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E92D2" w14:textId="183CEDFF" w:rsidR="00A7328D" w:rsidRPr="00663E7E" w:rsidRDefault="006012E4" w:rsidP="00663E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lang w:eastAsia="pl-PL"/>
        </w:rPr>
      </w:pPr>
      <w:bookmarkStart w:id="0" w:name="_GoBack"/>
      <w:bookmarkEnd w:id="0"/>
      <w:r w:rsidRPr="00A41A0B">
        <w:rPr>
          <w:rFonts w:asciiTheme="minorHAnsi" w:hAnsiTheme="minorHAnsi" w:cs="Arial"/>
          <w:b/>
          <w:sz w:val="24"/>
          <w:szCs w:val="24"/>
        </w:rPr>
        <w:t xml:space="preserve">Uwagi </w:t>
      </w:r>
      <w:r w:rsidR="00A41A0B" w:rsidRPr="00A41A0B">
        <w:rPr>
          <w:rFonts w:asciiTheme="minorHAnsi" w:hAnsiTheme="minorHAnsi" w:cs="Arial"/>
          <w:b/>
          <w:sz w:val="24"/>
          <w:szCs w:val="24"/>
        </w:rPr>
        <w:t xml:space="preserve">Konfederacji Lewiatan </w:t>
      </w:r>
      <w:r w:rsidRPr="00A41A0B">
        <w:rPr>
          <w:rFonts w:asciiTheme="minorHAnsi" w:hAnsiTheme="minorHAnsi" w:cs="Arial"/>
          <w:b/>
          <w:sz w:val="24"/>
          <w:szCs w:val="24"/>
        </w:rPr>
        <w:t>do projektu</w:t>
      </w:r>
      <w:r w:rsidR="004C136B" w:rsidRPr="00A41A0B">
        <w:rPr>
          <w:rFonts w:asciiTheme="minorHAnsi" w:hAnsiTheme="minorHAnsi" w:cs="Arial"/>
          <w:b/>
          <w:sz w:val="24"/>
          <w:szCs w:val="24"/>
        </w:rPr>
        <w:t xml:space="preserve"> </w:t>
      </w:r>
      <w:r w:rsidR="00FB298B" w:rsidRPr="00FB298B">
        <w:rPr>
          <w:rFonts w:asciiTheme="minorHAnsi" w:hAnsiTheme="minorHAnsi" w:cs="Arial"/>
          <w:b/>
          <w:sz w:val="24"/>
          <w:szCs w:val="24"/>
        </w:rPr>
        <w:t>rozporządzenia Ministra Klimatu i Środowiska w sprawie szczegółowych warunków udzielania pomocy publicznej na infrastrukturę do ładowania pojazdów elektrycznych i infrastrukturę do tankowania wodoru</w:t>
      </w:r>
      <w:r w:rsidR="00FB298B">
        <w:rPr>
          <w:rFonts w:asciiTheme="minorHAnsi" w:hAnsiTheme="minorHAnsi" w:cs="Arial"/>
          <w:b/>
          <w:sz w:val="24"/>
          <w:szCs w:val="24"/>
        </w:rPr>
        <w:t xml:space="preserve"> </w:t>
      </w:r>
      <w:r w:rsidR="00C735C5">
        <w:rPr>
          <w:rFonts w:asciiTheme="minorHAnsi" w:hAnsiTheme="minorHAnsi" w:cs="Arial"/>
          <w:b/>
          <w:sz w:val="24"/>
          <w:szCs w:val="24"/>
        </w:rPr>
        <w:t xml:space="preserve">z dnia </w:t>
      </w:r>
      <w:r w:rsidR="002D26A0">
        <w:rPr>
          <w:rFonts w:asciiTheme="minorHAnsi" w:hAnsiTheme="minorHAnsi" w:cs="Arial"/>
          <w:b/>
          <w:sz w:val="24"/>
          <w:szCs w:val="24"/>
        </w:rPr>
        <w:t>1</w:t>
      </w:r>
      <w:r w:rsidR="00FB298B">
        <w:rPr>
          <w:rFonts w:asciiTheme="minorHAnsi" w:hAnsiTheme="minorHAnsi" w:cs="Arial"/>
          <w:b/>
          <w:sz w:val="24"/>
          <w:szCs w:val="24"/>
        </w:rPr>
        <w:t>8</w:t>
      </w:r>
      <w:r w:rsidR="002D26A0">
        <w:rPr>
          <w:rFonts w:asciiTheme="minorHAnsi" w:hAnsiTheme="minorHAnsi" w:cs="Arial"/>
          <w:b/>
          <w:sz w:val="24"/>
          <w:szCs w:val="24"/>
        </w:rPr>
        <w:t xml:space="preserve"> </w:t>
      </w:r>
      <w:r w:rsidR="00FB298B">
        <w:rPr>
          <w:rFonts w:asciiTheme="minorHAnsi" w:hAnsiTheme="minorHAnsi" w:cs="Arial"/>
          <w:b/>
          <w:sz w:val="24"/>
          <w:szCs w:val="24"/>
        </w:rPr>
        <w:t>grudnia 2020 r.</w:t>
      </w:r>
      <w:r w:rsidR="00663E7E">
        <w:rPr>
          <w:rFonts w:asciiTheme="minorHAnsi" w:hAnsiTheme="minorHAnsi" w:cs="Arial"/>
          <w:b/>
          <w:sz w:val="24"/>
          <w:szCs w:val="24"/>
        </w:rPr>
        <w:t xml:space="preserve"> (</w:t>
      </w:r>
      <w:r w:rsidR="00663E7E" w:rsidRPr="00663E7E">
        <w:rPr>
          <w:rFonts w:asciiTheme="minorHAnsi" w:hAnsiTheme="minorHAnsi" w:cs="Arial"/>
          <w:b/>
          <w:sz w:val="24"/>
          <w:szCs w:val="24"/>
        </w:rPr>
        <w:t>nr 449 w Wykazie prac legislacyjnych Ministra Klimatu i Środowiska)</w:t>
      </w:r>
    </w:p>
    <w:p w14:paraId="29D46A3C" w14:textId="77777777" w:rsidR="005B5584" w:rsidRPr="00A41A0B" w:rsidRDefault="005B5584" w:rsidP="00D01542">
      <w:pPr>
        <w:spacing w:before="60" w:after="60" w:line="252" w:lineRule="auto"/>
        <w:rPr>
          <w:rFonts w:asciiTheme="minorHAnsi" w:hAnsiTheme="minorHAnsi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4"/>
        <w:gridCol w:w="2807"/>
        <w:gridCol w:w="5191"/>
        <w:gridCol w:w="5330"/>
      </w:tblGrid>
      <w:tr w:rsidR="00684DDD" w:rsidRPr="00EF0AE0" w14:paraId="472CBA2E" w14:textId="77777777" w:rsidTr="00ED333B">
        <w:tc>
          <w:tcPr>
            <w:tcW w:w="664" w:type="dxa"/>
            <w:shd w:val="clear" w:color="auto" w:fill="BFBFBF" w:themeFill="background1" w:themeFillShade="BF"/>
            <w:vAlign w:val="center"/>
          </w:tcPr>
          <w:p w14:paraId="4840D583" w14:textId="77777777" w:rsidR="006012E4" w:rsidRPr="00EF0AE0" w:rsidRDefault="006012E4" w:rsidP="00D01542">
            <w:pPr>
              <w:spacing w:before="60" w:after="60" w:line="252" w:lineRule="auto"/>
              <w:jc w:val="center"/>
              <w:rPr>
                <w:rFonts w:asciiTheme="minorHAnsi" w:hAnsiTheme="minorHAnsi" w:cstheme="minorHAnsi"/>
                <w:b/>
              </w:rPr>
            </w:pPr>
            <w:bookmarkStart w:id="1" w:name="_Hlk58314293"/>
            <w:bookmarkStart w:id="2" w:name="_Hlk56350168"/>
            <w:r w:rsidRPr="00EF0AE0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07" w:type="dxa"/>
            <w:shd w:val="clear" w:color="auto" w:fill="BFBFBF" w:themeFill="background1" w:themeFillShade="BF"/>
            <w:vAlign w:val="center"/>
          </w:tcPr>
          <w:p w14:paraId="3FF19504" w14:textId="77777777" w:rsidR="006012E4" w:rsidRPr="00EF0AE0" w:rsidRDefault="001B6D4A" w:rsidP="00D01542">
            <w:pPr>
              <w:spacing w:before="60" w:after="60" w:line="252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AE0">
              <w:rPr>
                <w:rFonts w:asciiTheme="minorHAnsi" w:hAnsiTheme="minorHAnsi" w:cstheme="minorHAnsi"/>
                <w:b/>
              </w:rPr>
              <w:t xml:space="preserve">Jednostka redakcyjna projektu ustawy, do </w:t>
            </w:r>
            <w:r w:rsidR="006012E4" w:rsidRPr="00EF0AE0">
              <w:rPr>
                <w:rFonts w:asciiTheme="minorHAnsi" w:hAnsiTheme="minorHAnsi" w:cstheme="minorHAnsi"/>
                <w:b/>
              </w:rPr>
              <w:t>którego odnosi się uwaga</w:t>
            </w:r>
          </w:p>
        </w:tc>
        <w:tc>
          <w:tcPr>
            <w:tcW w:w="5191" w:type="dxa"/>
            <w:shd w:val="clear" w:color="auto" w:fill="BFBFBF" w:themeFill="background1" w:themeFillShade="BF"/>
            <w:vAlign w:val="center"/>
          </w:tcPr>
          <w:p w14:paraId="099CECEB" w14:textId="77777777" w:rsidR="006012E4" w:rsidRPr="00EF0AE0" w:rsidRDefault="006012E4" w:rsidP="00D01542">
            <w:pPr>
              <w:spacing w:before="60" w:after="60" w:line="252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AE0">
              <w:rPr>
                <w:rFonts w:asciiTheme="minorHAnsi" w:hAnsiTheme="minorHAnsi" w:cstheme="minorHAnsi"/>
                <w:b/>
              </w:rPr>
              <w:t>Proponowana zmian</w:t>
            </w:r>
            <w:r w:rsidR="00130987" w:rsidRPr="00EF0AE0">
              <w:rPr>
                <w:rFonts w:asciiTheme="minorHAnsi" w:hAnsiTheme="minorHAnsi" w:cstheme="minorHAnsi"/>
                <w:b/>
              </w:rPr>
              <w:t>a</w:t>
            </w:r>
            <w:r w:rsidRPr="00EF0AE0">
              <w:rPr>
                <w:rFonts w:asciiTheme="minorHAnsi" w:hAnsiTheme="minorHAnsi" w:cstheme="minorHAnsi"/>
                <w:b/>
              </w:rPr>
              <w:t xml:space="preserve"> przepisu</w:t>
            </w:r>
          </w:p>
        </w:tc>
        <w:tc>
          <w:tcPr>
            <w:tcW w:w="5330" w:type="dxa"/>
            <w:shd w:val="clear" w:color="auto" w:fill="BFBFBF" w:themeFill="background1" w:themeFillShade="BF"/>
            <w:vAlign w:val="center"/>
          </w:tcPr>
          <w:p w14:paraId="0F62B3C0" w14:textId="77777777" w:rsidR="006012E4" w:rsidRPr="00EF0AE0" w:rsidRDefault="006012E4" w:rsidP="00D01542">
            <w:pPr>
              <w:spacing w:before="60" w:after="60" w:line="252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AE0">
              <w:rPr>
                <w:rFonts w:asciiTheme="minorHAnsi" w:hAnsiTheme="minorHAnsi" w:cstheme="minorHAnsi"/>
                <w:b/>
              </w:rPr>
              <w:t>Uzasadnienie zmiany przepisu</w:t>
            </w:r>
          </w:p>
        </w:tc>
      </w:tr>
      <w:tr w:rsidR="000F1698" w:rsidRPr="00EF0AE0" w14:paraId="4D3759BE" w14:textId="77777777" w:rsidTr="00F90E0C">
        <w:tc>
          <w:tcPr>
            <w:tcW w:w="13992" w:type="dxa"/>
            <w:gridSpan w:val="4"/>
            <w:shd w:val="clear" w:color="auto" w:fill="FFFFFF" w:themeFill="background1"/>
          </w:tcPr>
          <w:p w14:paraId="4C6B58B8" w14:textId="62302B57" w:rsidR="000F1698" w:rsidRPr="00EF0AE0" w:rsidRDefault="000F1698" w:rsidP="00510681">
            <w:pPr>
              <w:spacing w:before="60" w:after="60"/>
              <w:jc w:val="both"/>
              <w:rPr>
                <w:rFonts w:asciiTheme="minorHAnsi" w:hAnsiTheme="minorHAnsi" w:cstheme="minorHAnsi"/>
                <w:b/>
              </w:rPr>
            </w:pPr>
            <w:r w:rsidRPr="00EF0AE0">
              <w:rPr>
                <w:rFonts w:asciiTheme="minorHAnsi" w:hAnsiTheme="minorHAnsi" w:cstheme="minorHAnsi"/>
                <w:b/>
              </w:rPr>
              <w:t>Uwagi ogólne</w:t>
            </w:r>
          </w:p>
        </w:tc>
      </w:tr>
      <w:tr w:rsidR="000F1698" w:rsidRPr="00EF0AE0" w14:paraId="2856D124" w14:textId="77777777" w:rsidTr="00F90E0C">
        <w:tc>
          <w:tcPr>
            <w:tcW w:w="664" w:type="dxa"/>
            <w:shd w:val="clear" w:color="auto" w:fill="FFFFFF" w:themeFill="background1"/>
          </w:tcPr>
          <w:p w14:paraId="1E9D3486" w14:textId="3CA03BFA" w:rsidR="000F1698" w:rsidRPr="00EF0AE0" w:rsidRDefault="000F1698" w:rsidP="000F1698">
            <w:pPr>
              <w:spacing w:before="60" w:after="60" w:line="252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EF0AE0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807" w:type="dxa"/>
            <w:shd w:val="clear" w:color="auto" w:fill="FFFFFF" w:themeFill="background1"/>
          </w:tcPr>
          <w:p w14:paraId="0FF4BB38" w14:textId="5857D556" w:rsidR="000F1698" w:rsidRPr="00EF0AE0" w:rsidRDefault="000F1698" w:rsidP="000F1698">
            <w:pPr>
              <w:spacing w:before="60" w:after="60" w:line="252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F0AE0">
              <w:rPr>
                <w:rFonts w:asciiTheme="minorHAnsi" w:hAnsiTheme="minorHAnsi" w:cstheme="minorHAnsi"/>
                <w:b/>
                <w:bCs/>
              </w:rPr>
              <w:t>Uwaga ogólna</w:t>
            </w:r>
          </w:p>
        </w:tc>
        <w:tc>
          <w:tcPr>
            <w:tcW w:w="10521" w:type="dxa"/>
            <w:gridSpan w:val="2"/>
            <w:shd w:val="clear" w:color="auto" w:fill="FFFFFF" w:themeFill="background1"/>
          </w:tcPr>
          <w:p w14:paraId="474EF739" w14:textId="77777777" w:rsidR="000F1698" w:rsidRPr="00EF0AE0" w:rsidRDefault="000F1698" w:rsidP="000F1698">
            <w:pPr>
              <w:spacing w:before="60" w:after="120"/>
              <w:jc w:val="both"/>
              <w:rPr>
                <w:rFonts w:asciiTheme="minorHAnsi" w:hAnsiTheme="minorHAnsi" w:cstheme="minorHAnsi"/>
              </w:rPr>
            </w:pPr>
            <w:r w:rsidRPr="00EF0AE0">
              <w:rPr>
                <w:rFonts w:asciiTheme="minorHAnsi" w:hAnsiTheme="minorHAnsi" w:cstheme="minorHAnsi"/>
              </w:rPr>
              <w:t xml:space="preserve">Mając na uwadze wypracowaną przez Komisję Europejską, Strategię w zakresie wodoru na rzecz Europy neutralnej dla klimatu, która zakłada Plan działania do 2030 roku (dalej „Strategia”) pragniemy wskazać, że ww. dokument obejmuje również transport kolejowy. </w:t>
            </w:r>
          </w:p>
          <w:p w14:paraId="5FCEC566" w14:textId="06E0C02C" w:rsidR="000F1698" w:rsidRPr="00EF0AE0" w:rsidRDefault="000F1698" w:rsidP="00510681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EF0AE0">
              <w:rPr>
                <w:rFonts w:asciiTheme="minorHAnsi" w:hAnsiTheme="minorHAnsi" w:cstheme="minorHAnsi"/>
              </w:rPr>
              <w:t>W punkcie 4 Strategii „Pobudzanie popytu i zwiększanie produkcji” wskazano:</w:t>
            </w:r>
            <w:r w:rsidR="00510681" w:rsidRPr="00EF0AE0">
              <w:rPr>
                <w:rFonts w:asciiTheme="minorHAnsi" w:hAnsiTheme="minorHAnsi" w:cstheme="minorHAnsi"/>
              </w:rPr>
              <w:t xml:space="preserve"> </w:t>
            </w:r>
            <w:r w:rsidRPr="00EF0AE0">
              <w:rPr>
                <w:rFonts w:asciiTheme="minorHAnsi" w:hAnsiTheme="minorHAnsi" w:cstheme="minorHAnsi"/>
                <w:i/>
              </w:rPr>
              <w:t>„Pociągi napędzane wodorowymi ogniwami paliwowymi mogłyby zostać wprowadzone na innych nadających się do tego trasach komercyjnych linii kolejowych, których elektryfikacja jest trudna lub nieopłacalna. Obecnie bowiem około 46 % połączeń głównych jest w dalszym ciągu obsługiwanych przy pomocy technologii Diesla. Niektóre zastosowania wodorowych ogniw paliwowych w kolejnictwie (np. zespoły trakcyjne) są już teraz konkurencyjne pod względem kosztów w s</w:t>
            </w:r>
            <w:r w:rsidR="00E03DB6">
              <w:rPr>
                <w:rFonts w:asciiTheme="minorHAnsi" w:hAnsiTheme="minorHAnsi" w:cstheme="minorHAnsi"/>
                <w:i/>
              </w:rPr>
              <w:t xml:space="preserve">tosunku do technologii Diesla.”. </w:t>
            </w:r>
          </w:p>
          <w:p w14:paraId="7E739BE4" w14:textId="7C99201C" w:rsidR="000F1698" w:rsidRPr="00EF0AE0" w:rsidRDefault="000F1698" w:rsidP="000F1698">
            <w:pPr>
              <w:pStyle w:val="Normalny1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i/>
                <w:color w:val="444444"/>
                <w:sz w:val="22"/>
                <w:szCs w:val="22"/>
              </w:rPr>
            </w:pPr>
            <w:r w:rsidRPr="00E03DB6">
              <w:rPr>
                <w:rFonts w:asciiTheme="minorHAnsi" w:hAnsiTheme="minorHAnsi" w:cstheme="minorHAnsi"/>
                <w:sz w:val="22"/>
                <w:szCs w:val="22"/>
              </w:rPr>
              <w:t>Link do Strategii:</w:t>
            </w:r>
            <w:r w:rsidRPr="00E03DB6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 xml:space="preserve"> </w:t>
            </w:r>
            <w:hyperlink r:id="rId8" w:history="1">
              <w:r w:rsidRPr="00EF0AE0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https://eur-lex.europa.eu/legal-content/PL/TXT/?uri=CELEX:52020DC0301</w:t>
              </w:r>
            </w:hyperlink>
          </w:p>
          <w:p w14:paraId="2A5A4FCC" w14:textId="10B8103A" w:rsidR="000F1698" w:rsidRPr="00EF0AE0" w:rsidRDefault="000F1698" w:rsidP="000F1698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F0AE0">
              <w:rPr>
                <w:rFonts w:asciiTheme="minorHAnsi" w:hAnsiTheme="minorHAnsi" w:cstheme="minorHAnsi"/>
              </w:rPr>
              <w:t>W związku z powyższym, proponujemy uwzględnić w Projekcie możliwość funkcjonowania stacji do tankowania wodorem (również w kontekście wszystkich regul</w:t>
            </w:r>
            <w:r w:rsidR="00510681" w:rsidRPr="00EF0AE0">
              <w:rPr>
                <w:rFonts w:asciiTheme="minorHAnsi" w:hAnsiTheme="minorHAnsi" w:cstheme="minorHAnsi"/>
              </w:rPr>
              <w:t>acji w Projekcie powiązanych z </w:t>
            </w:r>
            <w:r w:rsidRPr="00EF0AE0">
              <w:rPr>
                <w:rFonts w:asciiTheme="minorHAnsi" w:hAnsiTheme="minorHAnsi" w:cstheme="minorHAnsi"/>
              </w:rPr>
              <w:t xml:space="preserve">wodorem) </w:t>
            </w:r>
            <w:r w:rsidRPr="00EF0AE0">
              <w:rPr>
                <w:rFonts w:asciiTheme="minorHAnsi" w:hAnsiTheme="minorHAnsi" w:cstheme="minorHAnsi"/>
                <w:b/>
              </w:rPr>
              <w:t xml:space="preserve">pojazdów innych niż samochodowe. </w:t>
            </w:r>
            <w:r w:rsidRPr="00EF0AE0">
              <w:rPr>
                <w:rFonts w:asciiTheme="minorHAnsi" w:hAnsiTheme="minorHAnsi" w:cstheme="minorHAnsi"/>
                <w:bCs/>
              </w:rPr>
              <w:t>Powyższe</w:t>
            </w:r>
            <w:r w:rsidR="00510681" w:rsidRPr="00EF0AE0">
              <w:rPr>
                <w:rFonts w:asciiTheme="minorHAnsi" w:hAnsiTheme="minorHAnsi" w:cstheme="minorHAnsi"/>
              </w:rPr>
              <w:t xml:space="preserve"> </w:t>
            </w:r>
            <w:r w:rsidRPr="00EF0AE0">
              <w:rPr>
                <w:rFonts w:asciiTheme="minorHAnsi" w:hAnsiTheme="minorHAnsi" w:cstheme="minorHAnsi"/>
              </w:rPr>
              <w:t>stanowisko, dodatkowo wzmacnia inicjatywa Ministerstwa Środowiska i Klimatu z lipca 2020 r.</w:t>
            </w:r>
          </w:p>
          <w:p w14:paraId="4F2A644E" w14:textId="1452C22E" w:rsidR="000F1698" w:rsidRPr="00EF0AE0" w:rsidRDefault="000F1698" w:rsidP="000F1698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F0AE0">
              <w:rPr>
                <w:rFonts w:asciiTheme="minorHAnsi" w:hAnsiTheme="minorHAnsi" w:cstheme="minorHAnsi"/>
              </w:rPr>
              <w:t>Przedsiębiorstwa energetyczne są stroną listu intencyjnego obok innych przedstawicieli s</w:t>
            </w:r>
            <w:r w:rsidR="00510681" w:rsidRPr="00EF0AE0">
              <w:rPr>
                <w:rFonts w:asciiTheme="minorHAnsi" w:hAnsiTheme="minorHAnsi" w:cstheme="minorHAnsi"/>
              </w:rPr>
              <w:t>półek sektora energetycznego i </w:t>
            </w:r>
            <w:r w:rsidRPr="00EF0AE0">
              <w:rPr>
                <w:rFonts w:asciiTheme="minorHAnsi" w:hAnsiTheme="minorHAnsi" w:cstheme="minorHAnsi"/>
              </w:rPr>
              <w:t xml:space="preserve">transportowego o ustanowieniu partnerstwa na rzecz budowy gospodarki wodorowej i zawarcia sektorowego porozumienia wodorowego. Budowa „Strategii Wodorowej Polski do 2030 r.” jest podstawowym celem listu intencyjnego, w tym wdrożenie wodoru jako paliwa transportowego. Ponadto w liście intencyjnym wskazano na przygotowanie nowych regulacji dla rynku wodoru – rozumiemy, że m.in. niniejszy Projekt po części realizuje te </w:t>
            </w:r>
            <w:r w:rsidRPr="00EF0AE0">
              <w:rPr>
                <w:rFonts w:asciiTheme="minorHAnsi" w:hAnsiTheme="minorHAnsi" w:cstheme="minorHAnsi"/>
              </w:rPr>
              <w:lastRenderedPageBreak/>
              <w:t xml:space="preserve">cele, poniżej link do komunikatu: </w:t>
            </w:r>
            <w:hyperlink r:id="rId9" w:history="1">
              <w:r w:rsidRPr="00EF0AE0">
                <w:rPr>
                  <w:rStyle w:val="Hipercze"/>
                  <w:rFonts w:asciiTheme="minorHAnsi" w:hAnsiTheme="minorHAnsi" w:cstheme="minorHAnsi"/>
                </w:rPr>
                <w:t>https://www.gov.pl/web/klimat/podpisanie-listu-intencyjnego-o-ustanowieniu-partnerstwa-na-rzecz-budowy-gospodarki-wodorowej</w:t>
              </w:r>
            </w:hyperlink>
          </w:p>
        </w:tc>
      </w:tr>
      <w:bookmarkEnd w:id="1"/>
      <w:tr w:rsidR="000F1698" w:rsidRPr="00EF0AE0" w14:paraId="00B6D7B0" w14:textId="77777777" w:rsidTr="00F90E0C">
        <w:tc>
          <w:tcPr>
            <w:tcW w:w="664" w:type="dxa"/>
            <w:shd w:val="clear" w:color="auto" w:fill="FFFFFF" w:themeFill="background1"/>
          </w:tcPr>
          <w:p w14:paraId="21700360" w14:textId="602BB6BC" w:rsidR="000F1698" w:rsidRPr="00EF0AE0" w:rsidRDefault="000F1698" w:rsidP="003A598C">
            <w:pPr>
              <w:spacing w:before="60" w:after="60" w:line="252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EF0AE0">
              <w:rPr>
                <w:rFonts w:asciiTheme="minorHAnsi" w:hAnsiTheme="minorHAnsi" w:cstheme="minorHAnsi"/>
                <w:bCs/>
              </w:rPr>
              <w:lastRenderedPageBreak/>
              <w:t>2</w:t>
            </w:r>
          </w:p>
        </w:tc>
        <w:tc>
          <w:tcPr>
            <w:tcW w:w="2807" w:type="dxa"/>
            <w:shd w:val="clear" w:color="auto" w:fill="FFFFFF" w:themeFill="background1"/>
          </w:tcPr>
          <w:p w14:paraId="613E30CC" w14:textId="21F5661A" w:rsidR="000F1698" w:rsidRPr="00EF0AE0" w:rsidRDefault="000F1698" w:rsidP="003A598C">
            <w:pPr>
              <w:spacing w:before="60" w:after="60" w:line="252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F0AE0">
              <w:rPr>
                <w:rFonts w:asciiTheme="minorHAnsi" w:hAnsiTheme="minorHAnsi" w:cstheme="minorHAnsi"/>
                <w:b/>
                <w:bCs/>
              </w:rPr>
              <w:t>Uwaga ogólna</w:t>
            </w:r>
          </w:p>
        </w:tc>
        <w:tc>
          <w:tcPr>
            <w:tcW w:w="10521" w:type="dxa"/>
            <w:gridSpan w:val="2"/>
            <w:shd w:val="clear" w:color="auto" w:fill="FFFFFF" w:themeFill="background1"/>
          </w:tcPr>
          <w:p w14:paraId="4BF35B7C" w14:textId="26557736" w:rsidR="000F1698" w:rsidRPr="00EF0AE0" w:rsidRDefault="000F1698" w:rsidP="003A598C">
            <w:pPr>
              <w:spacing w:before="60" w:after="120"/>
              <w:jc w:val="both"/>
              <w:rPr>
                <w:rFonts w:asciiTheme="minorHAnsi" w:hAnsiTheme="minorHAnsi" w:cstheme="minorHAnsi"/>
              </w:rPr>
            </w:pPr>
            <w:r w:rsidRPr="00EF0AE0">
              <w:rPr>
                <w:rFonts w:asciiTheme="minorHAnsi" w:hAnsiTheme="minorHAnsi" w:cstheme="minorHAnsi"/>
              </w:rPr>
              <w:t>Środki na wsparcie budowy infrastruktury powinny być priorytetowo alokowane w najbliższych latach dla infrastruktury ładowania aut eklektycznych a dla stacji tankowania w</w:t>
            </w:r>
            <w:r w:rsidR="00510681" w:rsidRPr="00EF0AE0">
              <w:rPr>
                <w:rFonts w:asciiTheme="minorHAnsi" w:hAnsiTheme="minorHAnsi" w:cstheme="minorHAnsi"/>
              </w:rPr>
              <w:t xml:space="preserve">odoru alokacja środków powinna </w:t>
            </w:r>
            <w:r w:rsidRPr="00EF0AE0">
              <w:rPr>
                <w:rFonts w:asciiTheme="minorHAnsi" w:hAnsiTheme="minorHAnsi" w:cstheme="minorHAnsi"/>
              </w:rPr>
              <w:t>dopiero stopniowo wzrastać z czasem i faktycznym wprowadzaniem rozwiązań transportowych na bazie wodoru.</w:t>
            </w:r>
          </w:p>
          <w:p w14:paraId="520991D1" w14:textId="37CB1A2D" w:rsidR="000F1698" w:rsidRPr="00EF0AE0" w:rsidRDefault="000F1698" w:rsidP="00510681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EF0AE0">
              <w:rPr>
                <w:rFonts w:asciiTheme="minorHAnsi" w:hAnsiTheme="minorHAnsi" w:cstheme="minorHAnsi"/>
              </w:rPr>
              <w:t>Jest mało prawdopodobne, aby doszło do szerokiego stosowania wodoru w sektorze transportu a zwłaszcza transportu osobowego w najbliższych latach (oferta osobowych samochodów wodorowych w zasadzie nie istnieje) o czym świadczą poniższe argumenty:</w:t>
            </w:r>
          </w:p>
          <w:p w14:paraId="4368454C" w14:textId="21D43B0B" w:rsidR="00510681" w:rsidRPr="00EF0AE0" w:rsidRDefault="000F1698" w:rsidP="00510681">
            <w:pPr>
              <w:pStyle w:val="Akapitzlist"/>
              <w:numPr>
                <w:ilvl w:val="0"/>
                <w:numId w:val="23"/>
              </w:numPr>
              <w:spacing w:after="120"/>
              <w:rPr>
                <w:rFonts w:cstheme="minorHAnsi"/>
              </w:rPr>
            </w:pPr>
            <w:r w:rsidRPr="00EF0AE0">
              <w:rPr>
                <w:rFonts w:cstheme="minorHAnsi"/>
              </w:rPr>
              <w:t>Bardzo niska efektywność ogniw paliwowych stosowanych w samochodach osobowych sprawia, że auta czysto elektryczne „są wielokrotnie bardziej ekonomiczne</w:t>
            </w:r>
            <w:r w:rsidR="00510681" w:rsidRPr="00EF0AE0">
              <w:rPr>
                <w:rFonts w:cstheme="minorHAnsi"/>
              </w:rPr>
              <w:t>,</w:t>
            </w:r>
          </w:p>
          <w:p w14:paraId="3CA48895" w14:textId="57B0999D" w:rsidR="000F1698" w:rsidRPr="00EF0AE0" w:rsidRDefault="000F1698" w:rsidP="00510681">
            <w:pPr>
              <w:pStyle w:val="Akapitzlist"/>
              <w:numPr>
                <w:ilvl w:val="0"/>
                <w:numId w:val="23"/>
              </w:numPr>
              <w:spacing w:after="120"/>
              <w:rPr>
                <w:rFonts w:cstheme="minorHAnsi"/>
              </w:rPr>
            </w:pPr>
            <w:r w:rsidRPr="00EF0AE0">
              <w:rPr>
                <w:rFonts w:cstheme="minorHAnsi"/>
              </w:rPr>
              <w:t>Efektywność auta z akumulatorem wynosi od 70 do 80 procent natomiast efektywność układu napędowego w pojeździe zasilanym wodorem wynosi w zależności od modelu, od 25 do 35 procent</w:t>
            </w:r>
            <w:r w:rsidR="00510681" w:rsidRPr="00EF0AE0">
              <w:rPr>
                <w:rFonts w:cstheme="minorHAnsi"/>
              </w:rPr>
              <w:t>,</w:t>
            </w:r>
          </w:p>
          <w:p w14:paraId="099E2A7E" w14:textId="437E134B" w:rsidR="000F1698" w:rsidRPr="00EF0AE0" w:rsidRDefault="000F1698" w:rsidP="00510681">
            <w:pPr>
              <w:pStyle w:val="Akapitzlist"/>
              <w:numPr>
                <w:ilvl w:val="0"/>
                <w:numId w:val="23"/>
              </w:numPr>
              <w:spacing w:after="120"/>
              <w:rPr>
                <w:rFonts w:cstheme="minorHAnsi"/>
              </w:rPr>
            </w:pPr>
            <w:r w:rsidRPr="00EF0AE0">
              <w:rPr>
                <w:rFonts w:cstheme="minorHAnsi"/>
              </w:rPr>
              <w:t>Pojazdy elektryczne z ogniwami paliwowymi nie są gotowe do masowej produkcji, a zatem nie wpłyną znacząco na osiągnięcie celu emisji CO2</w:t>
            </w:r>
            <w:r w:rsidR="00510681" w:rsidRPr="00EF0AE0">
              <w:rPr>
                <w:rFonts w:cstheme="minorHAnsi"/>
              </w:rPr>
              <w:t>,</w:t>
            </w:r>
          </w:p>
          <w:p w14:paraId="2E1A5EF9" w14:textId="4250256B" w:rsidR="000F1698" w:rsidRPr="00EF0AE0" w:rsidRDefault="000F1698" w:rsidP="00510681">
            <w:pPr>
              <w:pStyle w:val="Akapitzlist"/>
              <w:numPr>
                <w:ilvl w:val="0"/>
                <w:numId w:val="23"/>
              </w:numPr>
              <w:spacing w:after="120"/>
              <w:rPr>
                <w:rFonts w:cstheme="minorHAnsi"/>
              </w:rPr>
            </w:pPr>
            <w:r w:rsidRPr="00EF0AE0">
              <w:rPr>
                <w:rFonts w:cstheme="minorHAnsi"/>
              </w:rPr>
              <w:t>Samochody elektryczne zasilane wodorem, w porównaniu z samochodami elektrycznymi, będą nie tylko droższe w zakupie, ale też podczas eksploatacji</w:t>
            </w:r>
            <w:r w:rsidR="00510681" w:rsidRPr="00EF0AE0">
              <w:rPr>
                <w:rFonts w:cstheme="minorHAnsi"/>
              </w:rPr>
              <w:t>,</w:t>
            </w:r>
          </w:p>
          <w:p w14:paraId="7FEEA181" w14:textId="53742DF6" w:rsidR="000F1698" w:rsidRPr="00EF0AE0" w:rsidRDefault="000F1698" w:rsidP="00510681">
            <w:pPr>
              <w:pStyle w:val="Akapitzlist"/>
              <w:numPr>
                <w:ilvl w:val="0"/>
                <w:numId w:val="23"/>
              </w:numPr>
              <w:spacing w:after="120"/>
              <w:rPr>
                <w:rFonts w:cstheme="minorHAnsi"/>
              </w:rPr>
            </w:pPr>
            <w:r w:rsidRPr="00EF0AE0">
              <w:rPr>
                <w:rFonts w:cstheme="minorHAnsi"/>
              </w:rPr>
              <w:t>W średnio- i długoterminowej perspektywie wodór może znaleźć zastosowanie w przemyśle, poza tym w transporcie ciężkim, lotniczym i morskim.</w:t>
            </w:r>
          </w:p>
        </w:tc>
      </w:tr>
      <w:tr w:rsidR="000F1698" w:rsidRPr="00EF0AE0" w14:paraId="2E108EE4" w14:textId="77777777" w:rsidTr="00F90E0C">
        <w:tc>
          <w:tcPr>
            <w:tcW w:w="13992" w:type="dxa"/>
            <w:gridSpan w:val="4"/>
            <w:shd w:val="clear" w:color="auto" w:fill="FFFFFF" w:themeFill="background1"/>
          </w:tcPr>
          <w:p w14:paraId="6086CA6D" w14:textId="032EB047" w:rsidR="000F1698" w:rsidRPr="00EF0AE0" w:rsidRDefault="000F1698" w:rsidP="00510681">
            <w:pPr>
              <w:spacing w:before="60" w:after="60"/>
              <w:jc w:val="both"/>
              <w:rPr>
                <w:rFonts w:asciiTheme="minorHAnsi" w:hAnsiTheme="minorHAnsi" w:cstheme="minorHAnsi"/>
                <w:b/>
              </w:rPr>
            </w:pPr>
            <w:r w:rsidRPr="00EF0AE0">
              <w:rPr>
                <w:rFonts w:asciiTheme="minorHAnsi" w:hAnsiTheme="minorHAnsi" w:cstheme="minorHAnsi"/>
                <w:b/>
              </w:rPr>
              <w:t>Uwagi szczegółowe</w:t>
            </w:r>
          </w:p>
        </w:tc>
      </w:tr>
      <w:tr w:rsidR="00644A9C" w:rsidRPr="00EF0AE0" w14:paraId="215EEE49" w14:textId="77777777" w:rsidTr="00644A9C">
        <w:tc>
          <w:tcPr>
            <w:tcW w:w="664" w:type="dxa"/>
            <w:shd w:val="clear" w:color="auto" w:fill="FFFFFF" w:themeFill="background1"/>
          </w:tcPr>
          <w:p w14:paraId="5787ABC1" w14:textId="51E828D5" w:rsidR="00644A9C" w:rsidRPr="00E03DB6" w:rsidRDefault="00644A9C" w:rsidP="00644A9C">
            <w:pPr>
              <w:spacing w:before="60" w:after="60" w:line="252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E03DB6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807" w:type="dxa"/>
            <w:shd w:val="clear" w:color="auto" w:fill="FFFFFF" w:themeFill="background1"/>
          </w:tcPr>
          <w:p w14:paraId="0AD4E2B5" w14:textId="169FBF1A" w:rsidR="00644A9C" w:rsidRPr="00E03DB6" w:rsidRDefault="00644A9C" w:rsidP="00644A9C">
            <w:pPr>
              <w:spacing w:before="60" w:after="60" w:line="252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03DB6">
              <w:rPr>
                <w:rFonts w:asciiTheme="minorHAnsi" w:hAnsiTheme="minorHAnsi" w:cstheme="minorHAnsi"/>
                <w:b/>
              </w:rPr>
              <w:t>§ 2 pkt 3) Projektu</w:t>
            </w:r>
          </w:p>
        </w:tc>
        <w:tc>
          <w:tcPr>
            <w:tcW w:w="5191" w:type="dxa"/>
            <w:shd w:val="clear" w:color="auto" w:fill="FFFFFF" w:themeFill="background1"/>
            <w:vAlign w:val="center"/>
          </w:tcPr>
          <w:p w14:paraId="358846F0" w14:textId="7BE7112D" w:rsidR="00644A9C" w:rsidRPr="00E03DB6" w:rsidRDefault="00644A9C" w:rsidP="00644A9C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E03DB6">
              <w:rPr>
                <w:rFonts w:asciiTheme="minorHAnsi" w:hAnsiTheme="minorHAnsi" w:cstheme="minorHAnsi"/>
                <w:bCs/>
                <w:lang w:eastAsia="ar-SA"/>
              </w:rPr>
              <w:t>Proponujemy zmianę</w:t>
            </w:r>
            <w:r w:rsidRPr="00E03DB6">
              <w:rPr>
                <w:rFonts w:asciiTheme="minorHAnsi" w:hAnsiTheme="minorHAnsi" w:cstheme="minorHAnsi"/>
              </w:rPr>
              <w:t xml:space="preserve"> </w:t>
            </w:r>
            <w:r w:rsidR="00E03DB6">
              <w:rPr>
                <w:rFonts w:asciiTheme="minorHAnsi" w:hAnsiTheme="minorHAnsi" w:cstheme="minorHAnsi"/>
              </w:rPr>
              <w:t xml:space="preserve">w </w:t>
            </w:r>
            <w:r w:rsidR="00E03DB6" w:rsidRPr="00E03DB6">
              <w:rPr>
                <w:rFonts w:asciiTheme="minorHAnsi" w:hAnsiTheme="minorHAnsi" w:cstheme="minorHAnsi"/>
              </w:rPr>
              <w:t>§ 2 pkt 3)</w:t>
            </w:r>
            <w:r w:rsidR="00E03DB6" w:rsidRPr="00E03DB6">
              <w:rPr>
                <w:rFonts w:asciiTheme="minorHAnsi" w:hAnsiTheme="minorHAnsi" w:cstheme="minorHAnsi"/>
                <w:b/>
              </w:rPr>
              <w:t xml:space="preserve"> </w:t>
            </w:r>
            <w:r w:rsidRPr="00E03DB6">
              <w:rPr>
                <w:rFonts w:asciiTheme="minorHAnsi" w:hAnsiTheme="minorHAnsi" w:cstheme="minorHAnsi"/>
              </w:rPr>
              <w:t>definicji „</w:t>
            </w:r>
            <w:r w:rsidRPr="00E03DB6">
              <w:rPr>
                <w:rFonts w:asciiTheme="minorHAnsi" w:hAnsiTheme="minorHAnsi" w:cstheme="minorHAnsi"/>
                <w:i/>
              </w:rPr>
              <w:t>stacja tankowania i/lub wytwarzania wodoru”</w:t>
            </w:r>
            <w:r w:rsidRPr="00E03DB6">
              <w:rPr>
                <w:rFonts w:asciiTheme="minorHAnsi" w:hAnsiTheme="minorHAnsi" w:cstheme="minorHAnsi"/>
              </w:rPr>
              <w:t xml:space="preserve"> w brzmieniu jak poniżej:</w:t>
            </w:r>
          </w:p>
          <w:p w14:paraId="24A8EA5E" w14:textId="77777777" w:rsidR="00E03DB6" w:rsidRDefault="00644A9C" w:rsidP="00644A9C">
            <w:pPr>
              <w:spacing w:before="60" w:after="60"/>
              <w:jc w:val="both"/>
              <w:rPr>
                <w:rFonts w:asciiTheme="minorHAnsi" w:hAnsiTheme="minorHAnsi" w:cstheme="minorHAnsi"/>
                <w:i/>
              </w:rPr>
            </w:pPr>
            <w:r w:rsidRPr="00E03DB6">
              <w:rPr>
                <w:rFonts w:asciiTheme="minorHAnsi" w:hAnsiTheme="minorHAnsi" w:cstheme="minorHAnsi"/>
                <w:i/>
              </w:rPr>
              <w:t xml:space="preserve"> „</w:t>
            </w:r>
            <w:r w:rsidR="005E1771" w:rsidRPr="00E03DB6">
              <w:rPr>
                <w:rFonts w:asciiTheme="minorHAnsi" w:hAnsiTheme="minorHAnsi" w:cstheme="minorHAnsi"/>
                <w:i/>
              </w:rPr>
              <w:t xml:space="preserve">3) </w:t>
            </w:r>
            <w:r w:rsidRPr="00E03DB6">
              <w:rPr>
                <w:rFonts w:asciiTheme="minorHAnsi" w:hAnsiTheme="minorHAnsi" w:cstheme="minorHAnsi"/>
                <w:i/>
              </w:rPr>
              <w:t xml:space="preserve">stacja tankowania </w:t>
            </w:r>
            <w:r w:rsidRPr="00E03DB6">
              <w:rPr>
                <w:rFonts w:asciiTheme="minorHAnsi" w:hAnsiTheme="minorHAnsi" w:cstheme="minorHAnsi"/>
                <w:b/>
                <w:i/>
              </w:rPr>
              <w:t>i/lub wytwarzania wodoru</w:t>
            </w:r>
            <w:r w:rsidRPr="00E03DB6">
              <w:rPr>
                <w:rFonts w:asciiTheme="minorHAnsi" w:hAnsiTheme="minorHAnsi" w:cstheme="minorHAnsi"/>
                <w:i/>
              </w:rPr>
              <w:t xml:space="preserve"> – zespół urządzeń, w tym punkt tankowania wodoru wraz z niezbędną infrastrukturą pomocniczą oraz zbiornikami magazynowymi.</w:t>
            </w:r>
            <w:r w:rsidR="00E03DB6">
              <w:rPr>
                <w:rFonts w:asciiTheme="minorHAnsi" w:hAnsiTheme="minorHAnsi" w:cstheme="minorHAnsi"/>
                <w:i/>
              </w:rPr>
              <w:t>”</w:t>
            </w:r>
          </w:p>
          <w:p w14:paraId="540A8E96" w14:textId="29C6E04C" w:rsidR="00E03DB6" w:rsidRPr="00E03DB6" w:rsidRDefault="00E03DB6" w:rsidP="00E03DB6">
            <w:pPr>
              <w:spacing w:before="120" w:after="60"/>
              <w:jc w:val="both"/>
              <w:rPr>
                <w:rFonts w:asciiTheme="minorHAnsi" w:hAnsiTheme="minorHAnsi" w:cstheme="minorHAnsi"/>
              </w:rPr>
            </w:pPr>
            <w:r w:rsidRPr="00E03DB6">
              <w:rPr>
                <w:rFonts w:asciiTheme="minorHAnsi" w:hAnsiTheme="minorHAnsi" w:cstheme="minorHAnsi"/>
              </w:rPr>
              <w:t xml:space="preserve">oraz dodanie </w:t>
            </w:r>
            <w:r>
              <w:rPr>
                <w:rFonts w:asciiTheme="minorHAnsi" w:hAnsiTheme="minorHAnsi" w:cstheme="minorHAnsi"/>
              </w:rPr>
              <w:t>w § 2 pkt 4</w:t>
            </w:r>
            <w:r w:rsidRPr="00E03DB6">
              <w:rPr>
                <w:rFonts w:asciiTheme="minorHAnsi" w:hAnsiTheme="minorHAnsi" w:cstheme="minorHAnsi"/>
              </w:rPr>
              <w:t>) w brzmieniu jak poniżej:</w:t>
            </w:r>
          </w:p>
          <w:p w14:paraId="2409FA32" w14:textId="3DDE577B" w:rsidR="00644A9C" w:rsidRPr="00E03DB6" w:rsidRDefault="00E03DB6" w:rsidP="00644A9C">
            <w:pPr>
              <w:spacing w:before="60" w:after="6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lastRenderedPageBreak/>
              <w:t>„4) w</w:t>
            </w:r>
            <w:r w:rsidR="00644A9C" w:rsidRPr="00E03DB6">
              <w:rPr>
                <w:rFonts w:asciiTheme="minorHAnsi" w:hAnsiTheme="minorHAnsi" w:cstheme="minorHAnsi"/>
                <w:b/>
                <w:i/>
              </w:rPr>
              <w:t>ytwarzanie wodoru wraz z instalacjami wspomagającymi – infrastruktura do uzdatniania wody, oczyszczania wodoru i tlenu. Przyłącza prądowo-wodne.</w:t>
            </w:r>
            <w:r w:rsidR="00644A9C" w:rsidRPr="00E03DB6">
              <w:rPr>
                <w:rFonts w:asciiTheme="minorHAnsi" w:hAnsiTheme="minorHAnsi" w:cstheme="minorHAnsi"/>
                <w:i/>
              </w:rPr>
              <w:t>”</w:t>
            </w:r>
          </w:p>
        </w:tc>
        <w:tc>
          <w:tcPr>
            <w:tcW w:w="5330" w:type="dxa"/>
            <w:shd w:val="clear" w:color="auto" w:fill="FFFFFF" w:themeFill="background1"/>
          </w:tcPr>
          <w:p w14:paraId="2DD00BBC" w14:textId="3638F919" w:rsidR="00644A9C" w:rsidRPr="00E03DB6" w:rsidRDefault="00644A9C" w:rsidP="00644A9C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E03DB6">
              <w:rPr>
                <w:rFonts w:asciiTheme="minorHAnsi" w:hAnsiTheme="minorHAnsi" w:cstheme="minorHAnsi"/>
              </w:rPr>
              <w:lastRenderedPageBreak/>
              <w:t>Jeśli myślimy o zielonym, różowym wodorze jesteśmy zobligowani do ujęcia opłacalności inwestycji. Często jedynym rozwiązaniem jest, aby można było produkować paliwo w miejscu jego sprzedaży.</w:t>
            </w:r>
          </w:p>
        </w:tc>
      </w:tr>
      <w:tr w:rsidR="000F1698" w:rsidRPr="00EF0AE0" w14:paraId="221977B0" w14:textId="77777777" w:rsidTr="000F1698">
        <w:tc>
          <w:tcPr>
            <w:tcW w:w="664" w:type="dxa"/>
            <w:shd w:val="clear" w:color="auto" w:fill="FFFFFF" w:themeFill="background1"/>
          </w:tcPr>
          <w:p w14:paraId="6D58696A" w14:textId="2AF91F71" w:rsidR="000F1698" w:rsidRPr="00EF0AE0" w:rsidRDefault="00644A9C" w:rsidP="000F1698">
            <w:pPr>
              <w:spacing w:before="60" w:after="60" w:line="252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807" w:type="dxa"/>
            <w:shd w:val="clear" w:color="auto" w:fill="FFFFFF" w:themeFill="background1"/>
          </w:tcPr>
          <w:p w14:paraId="73D103E3" w14:textId="391A0C4B" w:rsidR="000F1698" w:rsidRPr="00EF0AE0" w:rsidRDefault="000F1698" w:rsidP="000F1698">
            <w:pPr>
              <w:spacing w:before="60" w:after="60" w:line="252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EF0AE0">
              <w:rPr>
                <w:rFonts w:asciiTheme="minorHAnsi" w:hAnsiTheme="minorHAnsi" w:cstheme="minorHAnsi"/>
                <w:b/>
              </w:rPr>
              <w:t>§ 2 pkt 4) Projektu</w:t>
            </w:r>
          </w:p>
        </w:tc>
        <w:tc>
          <w:tcPr>
            <w:tcW w:w="5191" w:type="dxa"/>
            <w:shd w:val="clear" w:color="auto" w:fill="FFFFFF" w:themeFill="background1"/>
            <w:vAlign w:val="center"/>
          </w:tcPr>
          <w:p w14:paraId="0F4278E1" w14:textId="24DD53B4" w:rsidR="000F1698" w:rsidRPr="00EF0AE0" w:rsidRDefault="000F1698" w:rsidP="00952F82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EF0AE0">
              <w:rPr>
                <w:rFonts w:asciiTheme="minorHAnsi" w:hAnsiTheme="minorHAnsi" w:cstheme="minorHAnsi"/>
                <w:bCs/>
                <w:lang w:eastAsia="ar-SA"/>
              </w:rPr>
              <w:t>Proponujemy dodanie</w:t>
            </w:r>
            <w:r w:rsidRPr="00EF0AE0">
              <w:rPr>
                <w:rFonts w:asciiTheme="minorHAnsi" w:hAnsiTheme="minorHAnsi" w:cstheme="minorHAnsi"/>
              </w:rPr>
              <w:t xml:space="preserve"> definicji pojazdu napędzanego wodorem w brzmieniu jak poniżej:</w:t>
            </w:r>
          </w:p>
          <w:p w14:paraId="042410DB" w14:textId="1DF7C6C7" w:rsidR="000F1698" w:rsidRPr="00EF0AE0" w:rsidRDefault="000F1698" w:rsidP="000F1698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EF0AE0">
              <w:rPr>
                <w:rFonts w:asciiTheme="minorHAnsi" w:hAnsiTheme="minorHAnsi" w:cstheme="minorHAnsi"/>
                <w:b/>
                <w:i/>
              </w:rPr>
              <w:t xml:space="preserve">4) pojazd napędzany wodorem – wykorzystujący do napędu energię elektryczną wytworzoną z wodoru w zainstalowanych w nim ogniwach paliwowych; </w:t>
            </w:r>
          </w:p>
          <w:p w14:paraId="348F0963" w14:textId="77777777" w:rsidR="000F1698" w:rsidRPr="00EF0AE0" w:rsidRDefault="000F1698" w:rsidP="000F1698">
            <w:pPr>
              <w:suppressAutoHyphens/>
              <w:snapToGrid w:val="0"/>
              <w:spacing w:before="60" w:after="60" w:line="252" w:lineRule="auto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5330" w:type="dxa"/>
            <w:shd w:val="clear" w:color="auto" w:fill="FFFFFF" w:themeFill="background1"/>
          </w:tcPr>
          <w:p w14:paraId="6E67E06C" w14:textId="7D5AE869" w:rsidR="000F1698" w:rsidRPr="00EF0AE0" w:rsidRDefault="000F1698" w:rsidP="000F1698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EF0AE0">
              <w:rPr>
                <w:rFonts w:asciiTheme="minorHAnsi" w:hAnsiTheme="minorHAnsi" w:cstheme="minorHAnsi"/>
              </w:rPr>
              <w:t xml:space="preserve">Postulujemy dodanie definicji pojazdu napędzanego wodorem (analogiczna uwagę zgłaszaliśmy do projektu Ustawy o zmianie Ustawy o elektromobilności i paliwach alternatywnych (UC 65)). Dzięki temu definicja </w:t>
            </w:r>
            <w:r w:rsidR="00510681" w:rsidRPr="00EF0AE0">
              <w:rPr>
                <w:rFonts w:asciiTheme="minorHAnsi" w:hAnsiTheme="minorHAnsi" w:cstheme="minorHAnsi"/>
              </w:rPr>
              <w:t xml:space="preserve">będzie rozszerzona i uwzględni </w:t>
            </w:r>
            <w:r w:rsidRPr="00EF0AE0">
              <w:rPr>
                <w:rFonts w:asciiTheme="minorHAnsi" w:hAnsiTheme="minorHAnsi" w:cstheme="minorHAnsi"/>
              </w:rPr>
              <w:t>pojazdy kolejowe, o których mowa w Strategii w zakresie wodoru na rzecz Europy neutralnej dla klimatu.</w:t>
            </w:r>
          </w:p>
        </w:tc>
      </w:tr>
      <w:bookmarkEnd w:id="2"/>
      <w:tr w:rsidR="00FB298B" w:rsidRPr="00EF0AE0" w14:paraId="2531FD60" w14:textId="77777777" w:rsidTr="000F1698">
        <w:tc>
          <w:tcPr>
            <w:tcW w:w="664" w:type="dxa"/>
            <w:shd w:val="clear" w:color="auto" w:fill="FFFFFF" w:themeFill="background1"/>
          </w:tcPr>
          <w:p w14:paraId="6BB44698" w14:textId="1BF542CF" w:rsidR="00FB298B" w:rsidRPr="00EF0AE0" w:rsidRDefault="00644A9C" w:rsidP="00FB298B">
            <w:pPr>
              <w:spacing w:before="60" w:after="60" w:line="252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807" w:type="dxa"/>
            <w:shd w:val="clear" w:color="auto" w:fill="FFFFFF" w:themeFill="background1"/>
          </w:tcPr>
          <w:p w14:paraId="7E052289" w14:textId="4A2B45CC" w:rsidR="00FB298B" w:rsidRPr="00EF0AE0" w:rsidRDefault="000F1698" w:rsidP="00FB298B">
            <w:pPr>
              <w:spacing w:before="60" w:after="60" w:line="252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F0AE0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 xml:space="preserve">§ 3 </w:t>
            </w:r>
            <w:r w:rsidRPr="00EF0AE0">
              <w:rPr>
                <w:rFonts w:asciiTheme="minorHAnsi" w:hAnsiTheme="minorHAnsi" w:cstheme="minorHAnsi"/>
                <w:b/>
              </w:rPr>
              <w:t>Projektu</w:t>
            </w:r>
          </w:p>
        </w:tc>
        <w:tc>
          <w:tcPr>
            <w:tcW w:w="5191" w:type="dxa"/>
            <w:shd w:val="clear" w:color="auto" w:fill="FFFFFF" w:themeFill="background1"/>
          </w:tcPr>
          <w:p w14:paraId="15189B22" w14:textId="79F7C8E9" w:rsidR="003A598C" w:rsidRPr="00EF0AE0" w:rsidRDefault="003A598C" w:rsidP="000F1698">
            <w:pPr>
              <w:suppressAutoHyphens/>
              <w:snapToGrid w:val="0"/>
              <w:spacing w:before="60" w:after="60" w:line="252" w:lineRule="auto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  <w:r w:rsidRPr="00EF0AE0">
              <w:rPr>
                <w:rFonts w:asciiTheme="minorHAnsi" w:hAnsiTheme="minorHAnsi" w:cstheme="minorHAnsi"/>
                <w:bCs/>
                <w:lang w:eastAsia="ar-SA"/>
              </w:rPr>
              <w:t xml:space="preserve">Proponujemy dodanie w </w:t>
            </w:r>
            <w:r w:rsidRPr="00EF0AE0">
              <w:rPr>
                <w:rFonts w:asciiTheme="minorHAnsi" w:eastAsia="Times New Roman" w:hAnsiTheme="minorHAnsi" w:cstheme="minorHAnsi"/>
                <w:bCs/>
                <w:lang w:eastAsia="ar-SA"/>
              </w:rPr>
              <w:t xml:space="preserve">§3 </w:t>
            </w:r>
            <w:r w:rsidRPr="00EF0AE0">
              <w:rPr>
                <w:rFonts w:asciiTheme="minorHAnsi" w:hAnsiTheme="minorHAnsi" w:cstheme="minorHAnsi"/>
                <w:bCs/>
                <w:lang w:eastAsia="ar-SA"/>
              </w:rPr>
              <w:t>pkt. 5) jak poniżej:</w:t>
            </w:r>
          </w:p>
          <w:p w14:paraId="046FA24B" w14:textId="77777777" w:rsidR="00FB298B" w:rsidRPr="00EF0AE0" w:rsidRDefault="00FB298B" w:rsidP="000F1698">
            <w:pPr>
              <w:suppressAutoHyphens/>
              <w:snapToGrid w:val="0"/>
              <w:spacing w:after="60" w:line="240" w:lineRule="auto"/>
              <w:ind w:firstLine="363"/>
              <w:jc w:val="both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  <w:r w:rsidRPr="00EF0AE0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§ 3. O wsparcie budowy lub rozbudowy ogólnodostępnej stacji ładowania, punktu ładowania oraz stacji tankowania wodoru może ubiegać się:</w:t>
            </w:r>
          </w:p>
          <w:p w14:paraId="49B1BD9C" w14:textId="77777777" w:rsidR="00FB298B" w:rsidRPr="00EF0AE0" w:rsidRDefault="00FB298B" w:rsidP="000F1698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before="40"/>
              <w:rPr>
                <w:rFonts w:eastAsia="Times New Roman" w:cstheme="minorHAnsi"/>
                <w:bCs/>
                <w:i/>
                <w:lang w:eastAsia="ar-SA"/>
              </w:rPr>
            </w:pPr>
            <w:r w:rsidRPr="00EF0AE0">
              <w:rPr>
                <w:rFonts w:eastAsia="Times New Roman" w:cstheme="minorHAnsi"/>
                <w:bCs/>
                <w:i/>
                <w:lang w:eastAsia="ar-SA"/>
              </w:rPr>
              <w:t>jednostka samorządu terytorialnego;</w:t>
            </w:r>
          </w:p>
          <w:p w14:paraId="025B0EC9" w14:textId="77777777" w:rsidR="00763E3B" w:rsidRPr="00EF0AE0" w:rsidRDefault="00763E3B" w:rsidP="000F1698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before="40"/>
              <w:ind w:left="357" w:hanging="357"/>
              <w:contextualSpacing w:val="0"/>
              <w:rPr>
                <w:rFonts w:eastAsia="Times New Roman" w:cstheme="minorHAnsi"/>
                <w:bCs/>
                <w:i/>
                <w:lang w:eastAsia="ar-SA"/>
              </w:rPr>
            </w:pPr>
            <w:r w:rsidRPr="00EF0AE0">
              <w:rPr>
                <w:rFonts w:cstheme="minorHAnsi"/>
                <w:i/>
              </w:rPr>
              <w:t>przedsiębiorca w rozumieniu ustawy z dnia 6 marca 2018 r. – Prawo przedsiębiorców (Dz. U. z 2019 r. poz. 1292 i 1495 oraz z 2020 r. poz. 424 i 1086), który posiada siedzibę lub oddział na terytorium Rzeczypospolitej Polskiej;</w:t>
            </w:r>
          </w:p>
          <w:p w14:paraId="12AB6D45" w14:textId="77777777" w:rsidR="00763E3B" w:rsidRPr="00EF0AE0" w:rsidRDefault="00763E3B" w:rsidP="000F1698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before="40"/>
              <w:ind w:left="357" w:hanging="357"/>
              <w:contextualSpacing w:val="0"/>
              <w:rPr>
                <w:rFonts w:eastAsia="Times New Roman" w:cstheme="minorHAnsi"/>
                <w:b/>
                <w:bCs/>
                <w:i/>
                <w:color w:val="C00000"/>
                <w:lang w:eastAsia="ar-SA"/>
              </w:rPr>
            </w:pPr>
            <w:r w:rsidRPr="00EF0AE0">
              <w:rPr>
                <w:rFonts w:cstheme="minorHAnsi"/>
                <w:i/>
              </w:rPr>
              <w:t xml:space="preserve">spółdzielnia mieszkaniowa w rozumieniu ustawy z dnia 15 grudnia 2000 r. o spółdzielniach mieszkaniowych (Dz. U. z 2020 r. poz. 1465); </w:t>
            </w:r>
          </w:p>
          <w:p w14:paraId="6AE547F5" w14:textId="240E98A4" w:rsidR="00763E3B" w:rsidRPr="00EF0AE0" w:rsidRDefault="00763E3B" w:rsidP="000F1698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before="40"/>
              <w:ind w:left="357" w:hanging="357"/>
              <w:contextualSpacing w:val="0"/>
              <w:rPr>
                <w:rFonts w:eastAsia="Times New Roman" w:cstheme="minorHAnsi"/>
                <w:b/>
                <w:bCs/>
                <w:i/>
                <w:color w:val="C00000"/>
                <w:lang w:eastAsia="ar-SA"/>
              </w:rPr>
            </w:pPr>
            <w:r w:rsidRPr="00EF0AE0">
              <w:rPr>
                <w:rFonts w:cstheme="minorHAnsi"/>
                <w:i/>
              </w:rPr>
              <w:t>wspólnota mieszkaniowa w rozumieniu ustawy z dnia 24 czerwca 1994 r. o własności lokali (Dz. U. 2020 r. poz. 1910)</w:t>
            </w:r>
            <w:r w:rsidRPr="00EF0AE0">
              <w:rPr>
                <w:rFonts w:eastAsia="Times New Roman" w:cstheme="minorHAnsi"/>
                <w:b/>
                <w:bCs/>
                <w:i/>
                <w:lang w:eastAsia="ar-SA"/>
              </w:rPr>
              <w:t>;</w:t>
            </w:r>
          </w:p>
          <w:p w14:paraId="260AE293" w14:textId="5F02971B" w:rsidR="00FB298B" w:rsidRPr="00EF0AE0" w:rsidRDefault="00FB298B" w:rsidP="000F1698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before="20" w:after="120"/>
              <w:ind w:left="357" w:hanging="357"/>
              <w:contextualSpacing w:val="0"/>
              <w:rPr>
                <w:rFonts w:eastAsia="Times New Roman" w:cstheme="minorHAnsi"/>
                <w:b/>
                <w:bCs/>
                <w:color w:val="C00000"/>
                <w:lang w:eastAsia="ar-SA"/>
              </w:rPr>
            </w:pPr>
            <w:r w:rsidRPr="00EF0AE0">
              <w:rPr>
                <w:rFonts w:eastAsia="Times New Roman" w:cstheme="minorHAnsi"/>
                <w:b/>
                <w:bCs/>
                <w:i/>
                <w:lang w:eastAsia="ar-SA"/>
              </w:rPr>
              <w:lastRenderedPageBreak/>
              <w:t>osoba fizyczna nieprowadząca działalności gospodarczej</w:t>
            </w:r>
            <w:r w:rsidR="00763E3B" w:rsidRPr="00EF0AE0">
              <w:rPr>
                <w:rFonts w:eastAsia="Times New Roman" w:cstheme="minorHAnsi"/>
                <w:b/>
                <w:bCs/>
                <w:i/>
                <w:lang w:eastAsia="ar-SA"/>
              </w:rPr>
              <w:t>.</w:t>
            </w:r>
            <w:r w:rsidRPr="00EF0AE0">
              <w:rPr>
                <w:rFonts w:eastAsia="Times New Roman" w:cstheme="minorHAnsi"/>
                <w:b/>
                <w:bCs/>
                <w:lang w:eastAsia="ar-SA"/>
              </w:rPr>
              <w:t xml:space="preserve"> </w:t>
            </w:r>
          </w:p>
        </w:tc>
        <w:tc>
          <w:tcPr>
            <w:tcW w:w="5330" w:type="dxa"/>
            <w:shd w:val="clear" w:color="auto" w:fill="FFFFFF" w:themeFill="background1"/>
          </w:tcPr>
          <w:p w14:paraId="6CADA184" w14:textId="10553CA4" w:rsidR="00FB298B" w:rsidRPr="00EF0AE0" w:rsidRDefault="00FB298B" w:rsidP="00FB298B">
            <w:pPr>
              <w:spacing w:before="60" w:after="120"/>
              <w:jc w:val="both"/>
              <w:rPr>
                <w:rFonts w:asciiTheme="minorHAnsi" w:hAnsiTheme="minorHAnsi" w:cstheme="minorHAnsi"/>
              </w:rPr>
            </w:pPr>
            <w:r w:rsidRPr="00EF0AE0">
              <w:rPr>
                <w:rFonts w:asciiTheme="minorHAnsi" w:hAnsiTheme="minorHAnsi" w:cstheme="minorHAnsi"/>
              </w:rPr>
              <w:lastRenderedPageBreak/>
              <w:t xml:space="preserve">O wsparcie na instalacje punktu ładowania powinna mieć możliwość ubiegać się również osoba fizyczna </w:t>
            </w:r>
            <w:r w:rsidR="0059723C" w:rsidRPr="00EF0AE0">
              <w:rPr>
                <w:rFonts w:asciiTheme="minorHAnsi" w:hAnsiTheme="minorHAnsi" w:cstheme="minorHAnsi"/>
              </w:rPr>
              <w:t>nieprowadząca</w:t>
            </w:r>
            <w:r w:rsidRPr="00EF0AE0">
              <w:rPr>
                <w:rFonts w:asciiTheme="minorHAnsi" w:hAnsiTheme="minorHAnsi" w:cstheme="minorHAnsi"/>
              </w:rPr>
              <w:t xml:space="preserve"> działalności gospodarczej. Obecny zapis daje</w:t>
            </w:r>
            <w:r w:rsidR="00C57F95" w:rsidRPr="00EF0AE0">
              <w:rPr>
                <w:rFonts w:asciiTheme="minorHAnsi" w:hAnsiTheme="minorHAnsi" w:cstheme="minorHAnsi"/>
              </w:rPr>
              <w:t xml:space="preserve"> taką możliwość przedsiębiorcom i</w:t>
            </w:r>
            <w:r w:rsidRPr="00EF0AE0">
              <w:rPr>
                <w:rFonts w:asciiTheme="minorHAnsi" w:hAnsiTheme="minorHAnsi" w:cstheme="minorHAnsi"/>
              </w:rPr>
              <w:t xml:space="preserve"> JST</w:t>
            </w:r>
            <w:r w:rsidR="00C57F95" w:rsidRPr="00EF0AE0">
              <w:rPr>
                <w:rFonts w:asciiTheme="minorHAnsi" w:hAnsiTheme="minorHAnsi" w:cstheme="minorHAnsi"/>
              </w:rPr>
              <w:t>.</w:t>
            </w:r>
          </w:p>
          <w:p w14:paraId="0AA2DE2C" w14:textId="3242CC19" w:rsidR="00FB298B" w:rsidRPr="00EF0AE0" w:rsidRDefault="00FB298B" w:rsidP="00FB298B">
            <w:pPr>
              <w:spacing w:before="60" w:after="60" w:line="252" w:lineRule="auto"/>
              <w:jc w:val="both"/>
              <w:rPr>
                <w:rFonts w:asciiTheme="minorHAnsi" w:hAnsiTheme="minorHAnsi" w:cstheme="minorHAnsi"/>
              </w:rPr>
            </w:pPr>
            <w:r w:rsidRPr="00EF0AE0">
              <w:rPr>
                <w:rFonts w:asciiTheme="minorHAnsi" w:hAnsiTheme="minorHAnsi" w:cstheme="minorHAnsi"/>
              </w:rPr>
              <w:t xml:space="preserve">Grupa beneficjentów nie powinna być ograniczona skoro wsparciem mogą zostać objęte również nieogólnodostępne punkty ładowania. Ładowanie w domu stanowi ok 50% procesów ładowania samochodów </w:t>
            </w:r>
            <w:r w:rsidR="0059723C" w:rsidRPr="00EF0AE0">
              <w:rPr>
                <w:rFonts w:asciiTheme="minorHAnsi" w:hAnsiTheme="minorHAnsi" w:cstheme="minorHAnsi"/>
              </w:rPr>
              <w:t>elektrycznych, dlatego</w:t>
            </w:r>
            <w:r w:rsidRPr="00EF0AE0">
              <w:rPr>
                <w:rFonts w:asciiTheme="minorHAnsi" w:hAnsiTheme="minorHAnsi" w:cstheme="minorHAnsi"/>
              </w:rPr>
              <w:t xml:space="preserve"> wsparcie infrastruktury domowej jest również konieczne</w:t>
            </w:r>
            <w:r w:rsidR="00510681" w:rsidRPr="00EF0AE0">
              <w:rPr>
                <w:rFonts w:asciiTheme="minorHAnsi" w:hAnsiTheme="minorHAnsi" w:cstheme="minorHAnsi"/>
              </w:rPr>
              <w:t>.</w:t>
            </w:r>
            <w:r w:rsidRPr="00EF0AE0">
              <w:rPr>
                <w:rFonts w:asciiTheme="minorHAnsi" w:hAnsiTheme="minorHAnsi" w:cstheme="minorHAnsi"/>
              </w:rPr>
              <w:t xml:space="preserve"> </w:t>
            </w:r>
            <w:r w:rsidRPr="00EF0AE0">
              <w:rPr>
                <w:rFonts w:asciiTheme="minorHAnsi" w:eastAsia="Times New Roman" w:hAnsiTheme="minorHAnsi" w:cstheme="minorHAnsi"/>
                <w:bCs/>
                <w:lang w:eastAsia="ar-SA"/>
              </w:rPr>
              <w:t xml:space="preserve"> </w:t>
            </w:r>
          </w:p>
        </w:tc>
      </w:tr>
      <w:tr w:rsidR="00644A9C" w:rsidRPr="00EF0AE0" w14:paraId="6C4AC0D5" w14:textId="77777777" w:rsidTr="00F90E0C">
        <w:tc>
          <w:tcPr>
            <w:tcW w:w="664" w:type="dxa"/>
            <w:shd w:val="clear" w:color="auto" w:fill="FFFFFF" w:themeFill="background1"/>
          </w:tcPr>
          <w:p w14:paraId="2E97B913" w14:textId="2B10C3FC" w:rsidR="00644A9C" w:rsidRPr="00E03DB6" w:rsidRDefault="00644A9C" w:rsidP="00644A9C">
            <w:pPr>
              <w:spacing w:before="60" w:after="60" w:line="252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E03DB6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807" w:type="dxa"/>
            <w:shd w:val="clear" w:color="auto" w:fill="FFFFFF" w:themeFill="background1"/>
          </w:tcPr>
          <w:p w14:paraId="0DA3D576" w14:textId="313B6ED2" w:rsidR="00644A9C" w:rsidRPr="00E03DB6" w:rsidRDefault="00644A9C" w:rsidP="00644A9C">
            <w:pPr>
              <w:spacing w:before="60" w:after="60" w:line="252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03DB6">
              <w:rPr>
                <w:rFonts w:asciiTheme="minorHAnsi" w:hAnsiTheme="minorHAnsi" w:cstheme="minorHAnsi"/>
                <w:b/>
              </w:rPr>
              <w:t>§ 8 ust. 1 pkt 3) Projektu</w:t>
            </w:r>
          </w:p>
        </w:tc>
        <w:tc>
          <w:tcPr>
            <w:tcW w:w="5191" w:type="dxa"/>
            <w:shd w:val="clear" w:color="auto" w:fill="FFFFFF" w:themeFill="background1"/>
            <w:vAlign w:val="center"/>
          </w:tcPr>
          <w:p w14:paraId="63703BFB" w14:textId="2976D2E8" w:rsidR="00F90E0C" w:rsidRPr="00E03DB6" w:rsidRDefault="00F90E0C" w:rsidP="00F90E0C">
            <w:pPr>
              <w:spacing w:before="60" w:after="60" w:line="252" w:lineRule="auto"/>
              <w:jc w:val="both"/>
              <w:rPr>
                <w:rFonts w:asciiTheme="minorHAnsi" w:hAnsiTheme="minorHAnsi" w:cstheme="minorHAnsi"/>
              </w:rPr>
            </w:pPr>
            <w:r w:rsidRPr="00E03DB6">
              <w:rPr>
                <w:rFonts w:asciiTheme="minorHAnsi" w:hAnsiTheme="minorHAnsi" w:cstheme="minorHAnsi"/>
              </w:rPr>
              <w:t xml:space="preserve">Proponujemy zmianę </w:t>
            </w:r>
            <w:r w:rsidRPr="00E03DB6">
              <w:rPr>
                <w:rFonts w:asciiTheme="minorHAnsi" w:eastAsia="Times New Roman" w:hAnsiTheme="minorHAnsi" w:cstheme="minorHAnsi"/>
                <w:bCs/>
                <w:lang w:eastAsia="ar-SA"/>
              </w:rPr>
              <w:t xml:space="preserve">§ 8 </w:t>
            </w:r>
            <w:r w:rsidRPr="00E03DB6">
              <w:rPr>
                <w:rFonts w:asciiTheme="minorHAnsi" w:hAnsiTheme="minorHAnsi" w:cstheme="minorHAnsi"/>
              </w:rPr>
              <w:t>ust. 1 pkt. 3) w brzmieniu jak poniżej:</w:t>
            </w:r>
          </w:p>
          <w:p w14:paraId="6140D540" w14:textId="17E4EF8A" w:rsidR="00644A9C" w:rsidRPr="00E03DB6" w:rsidRDefault="00F90E0C" w:rsidP="00F90E0C">
            <w:pPr>
              <w:suppressAutoHyphens/>
              <w:snapToGrid w:val="0"/>
              <w:spacing w:before="60" w:after="60" w:line="252" w:lineRule="auto"/>
              <w:jc w:val="both"/>
              <w:rPr>
                <w:rFonts w:asciiTheme="minorHAnsi" w:hAnsiTheme="minorHAnsi" w:cstheme="minorHAnsi"/>
                <w:i/>
              </w:rPr>
            </w:pPr>
            <w:r w:rsidRPr="00E03DB6">
              <w:rPr>
                <w:rFonts w:asciiTheme="minorHAnsi" w:hAnsiTheme="minorHAnsi" w:cstheme="minorHAnsi"/>
                <w:i/>
              </w:rPr>
              <w:t xml:space="preserve"> </w:t>
            </w:r>
            <w:r w:rsidR="00644A9C" w:rsidRPr="00E03DB6">
              <w:rPr>
                <w:rFonts w:asciiTheme="minorHAnsi" w:hAnsiTheme="minorHAnsi" w:cstheme="minorHAnsi"/>
                <w:i/>
              </w:rPr>
              <w:t>„</w:t>
            </w:r>
            <w:r w:rsidRPr="00E03DB6">
              <w:rPr>
                <w:rFonts w:asciiTheme="minorHAnsi" w:hAnsiTheme="minorHAnsi" w:cstheme="minorHAnsi"/>
                <w:i/>
              </w:rPr>
              <w:t>3) b</w:t>
            </w:r>
            <w:r w:rsidR="00644A9C" w:rsidRPr="00E03DB6">
              <w:rPr>
                <w:rFonts w:asciiTheme="minorHAnsi" w:hAnsiTheme="minorHAnsi" w:cstheme="minorHAnsi"/>
                <w:i/>
              </w:rPr>
              <w:t xml:space="preserve">udowę lub rozbudowę stacji tankowania </w:t>
            </w:r>
            <w:r w:rsidR="00644A9C" w:rsidRPr="00E03DB6">
              <w:rPr>
                <w:rFonts w:asciiTheme="minorHAnsi" w:hAnsiTheme="minorHAnsi" w:cstheme="minorHAnsi"/>
                <w:b/>
                <w:i/>
              </w:rPr>
              <w:t xml:space="preserve">i wytwarzania </w:t>
            </w:r>
            <w:r w:rsidR="00644A9C" w:rsidRPr="00E03DB6">
              <w:rPr>
                <w:rFonts w:asciiTheme="minorHAnsi" w:hAnsiTheme="minorHAnsi" w:cstheme="minorHAnsi"/>
                <w:i/>
              </w:rPr>
              <w:t>wodoru.”</w:t>
            </w:r>
          </w:p>
        </w:tc>
        <w:tc>
          <w:tcPr>
            <w:tcW w:w="5330" w:type="dxa"/>
            <w:shd w:val="clear" w:color="auto" w:fill="FFFFFF" w:themeFill="background1"/>
          </w:tcPr>
          <w:p w14:paraId="0F41D9BC" w14:textId="3958D17C" w:rsidR="00644A9C" w:rsidRPr="00E03DB6" w:rsidRDefault="00644A9C" w:rsidP="00F90E0C">
            <w:pPr>
              <w:spacing w:before="60" w:after="120"/>
              <w:rPr>
                <w:rFonts w:asciiTheme="minorHAnsi" w:hAnsiTheme="minorHAnsi" w:cstheme="minorHAnsi"/>
              </w:rPr>
            </w:pPr>
            <w:r w:rsidRPr="00E03DB6">
              <w:rPr>
                <w:rFonts w:asciiTheme="minorHAnsi" w:hAnsiTheme="minorHAnsi" w:cstheme="minorHAnsi"/>
                <w:lang w:eastAsia="pl-PL"/>
              </w:rPr>
              <w:t xml:space="preserve">Uwaga jak do </w:t>
            </w:r>
            <w:r w:rsidRPr="00E03DB6">
              <w:rPr>
                <w:rFonts w:asciiTheme="minorHAnsi" w:hAnsiTheme="minorHAnsi" w:cstheme="minorHAnsi"/>
              </w:rPr>
              <w:t>§ 2 pkt 3) Projektu</w:t>
            </w:r>
          </w:p>
        </w:tc>
      </w:tr>
      <w:tr w:rsidR="00952F82" w:rsidRPr="00EF0AE0" w14:paraId="0DFE0691" w14:textId="77777777" w:rsidTr="00952F82">
        <w:tc>
          <w:tcPr>
            <w:tcW w:w="664" w:type="dxa"/>
            <w:shd w:val="clear" w:color="auto" w:fill="FFFFFF" w:themeFill="background1"/>
          </w:tcPr>
          <w:p w14:paraId="7E13BDCC" w14:textId="27810A71" w:rsidR="00952F82" w:rsidRPr="00EF0AE0" w:rsidRDefault="00644A9C" w:rsidP="00952F82">
            <w:pPr>
              <w:spacing w:before="60" w:after="60" w:line="252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807" w:type="dxa"/>
            <w:shd w:val="clear" w:color="auto" w:fill="FFFFFF" w:themeFill="background1"/>
          </w:tcPr>
          <w:p w14:paraId="566546A0" w14:textId="23C9970E" w:rsidR="00952F82" w:rsidRPr="00EF0AE0" w:rsidRDefault="00952F82" w:rsidP="00952F82">
            <w:pPr>
              <w:spacing w:before="60" w:after="60" w:line="252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EF0AE0">
              <w:rPr>
                <w:rFonts w:asciiTheme="minorHAnsi" w:hAnsiTheme="minorHAnsi" w:cstheme="minorHAnsi"/>
                <w:b/>
              </w:rPr>
              <w:t>§ 8 ust. 2 pkt 5) Projektu</w:t>
            </w:r>
          </w:p>
        </w:tc>
        <w:tc>
          <w:tcPr>
            <w:tcW w:w="5191" w:type="dxa"/>
            <w:shd w:val="clear" w:color="auto" w:fill="FFFFFF" w:themeFill="background1"/>
          </w:tcPr>
          <w:p w14:paraId="06534A5C" w14:textId="769620E6" w:rsidR="00952F82" w:rsidRPr="00EF0AE0" w:rsidRDefault="00952F82" w:rsidP="00952F82">
            <w:pPr>
              <w:suppressAutoHyphens/>
              <w:snapToGrid w:val="0"/>
              <w:spacing w:before="60" w:after="60" w:line="252" w:lineRule="auto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  <w:r w:rsidRPr="00EF0AE0">
              <w:rPr>
                <w:rFonts w:asciiTheme="minorHAnsi" w:hAnsiTheme="minorHAnsi" w:cstheme="minorHAnsi"/>
              </w:rPr>
              <w:t>Konieczność doprecyzowania definicji: „</w:t>
            </w:r>
            <w:r w:rsidRPr="00644A9C">
              <w:rPr>
                <w:rFonts w:asciiTheme="minorHAnsi" w:hAnsiTheme="minorHAnsi" w:cstheme="minorHAnsi"/>
                <w:i/>
              </w:rPr>
              <w:t>koszty dokumentacji techniczne</w:t>
            </w:r>
            <w:r w:rsidRPr="00EF0AE0">
              <w:rPr>
                <w:rFonts w:asciiTheme="minorHAnsi" w:hAnsiTheme="minorHAnsi" w:cstheme="minorHAnsi"/>
              </w:rPr>
              <w:t>j”.</w:t>
            </w:r>
          </w:p>
        </w:tc>
        <w:tc>
          <w:tcPr>
            <w:tcW w:w="5330" w:type="dxa"/>
            <w:shd w:val="clear" w:color="auto" w:fill="FFFFFF" w:themeFill="background1"/>
          </w:tcPr>
          <w:p w14:paraId="6AC2403F" w14:textId="08C0B996" w:rsidR="00952F82" w:rsidRPr="00EF0AE0" w:rsidRDefault="00952F82" w:rsidP="00952F82">
            <w:pPr>
              <w:spacing w:before="60" w:after="120"/>
              <w:jc w:val="both"/>
              <w:rPr>
                <w:rFonts w:asciiTheme="minorHAnsi" w:hAnsiTheme="minorHAnsi" w:cstheme="minorHAnsi"/>
                <w:u w:val="single"/>
              </w:rPr>
            </w:pPr>
            <w:r w:rsidRPr="00EF0AE0">
              <w:rPr>
                <w:rFonts w:asciiTheme="minorHAnsi" w:hAnsiTheme="minorHAnsi" w:cstheme="minorHAnsi"/>
              </w:rPr>
              <w:t>„</w:t>
            </w:r>
            <w:r w:rsidRPr="00644A9C">
              <w:rPr>
                <w:rFonts w:asciiTheme="minorHAnsi" w:hAnsiTheme="minorHAnsi" w:cstheme="minorHAnsi"/>
                <w:i/>
              </w:rPr>
              <w:t>Koszty dokumentacji technicznej</w:t>
            </w:r>
            <w:r w:rsidRPr="00EF0AE0">
              <w:rPr>
                <w:rFonts w:asciiTheme="minorHAnsi" w:hAnsiTheme="minorHAnsi" w:cstheme="minorHAnsi"/>
              </w:rPr>
              <w:t>” zaliczono do kosztów kwalifikowanych równocześnie w § 8 ust. 3, w którym wskazano: „</w:t>
            </w:r>
            <w:r w:rsidRPr="00EF0AE0">
              <w:rPr>
                <w:rFonts w:asciiTheme="minorHAnsi" w:hAnsiTheme="minorHAnsi" w:cstheme="minorHAnsi"/>
                <w:b/>
                <w:i/>
              </w:rPr>
              <w:t>okres kwalifikow</w:t>
            </w:r>
            <w:r w:rsidR="00510681" w:rsidRPr="00EF0AE0">
              <w:rPr>
                <w:rFonts w:asciiTheme="minorHAnsi" w:hAnsiTheme="minorHAnsi" w:cstheme="minorHAnsi"/>
                <w:b/>
                <w:i/>
              </w:rPr>
              <w:t>alności kosztów rozpoczyna się </w:t>
            </w:r>
            <w:r w:rsidRPr="00EF0AE0">
              <w:rPr>
                <w:rFonts w:asciiTheme="minorHAnsi" w:hAnsiTheme="minorHAnsi" w:cstheme="minorHAnsi"/>
                <w:b/>
                <w:i/>
              </w:rPr>
              <w:t xml:space="preserve">po dniu złożenia wniosku o udzielenie </w:t>
            </w:r>
            <w:r w:rsidR="0059723C" w:rsidRPr="00EF0AE0">
              <w:rPr>
                <w:rFonts w:asciiTheme="minorHAnsi" w:hAnsiTheme="minorHAnsi" w:cstheme="minorHAnsi"/>
                <w:b/>
                <w:i/>
              </w:rPr>
              <w:t>pomocy”</w:t>
            </w:r>
            <w:r w:rsidR="0059723C" w:rsidRPr="00EF0AE0">
              <w:rPr>
                <w:rFonts w:asciiTheme="minorHAnsi" w:hAnsiTheme="minorHAnsi" w:cstheme="minorHAnsi"/>
              </w:rPr>
              <w:t xml:space="preserve">. </w:t>
            </w:r>
          </w:p>
          <w:p w14:paraId="422AA7DB" w14:textId="26675009" w:rsidR="00952F82" w:rsidRPr="00EF0AE0" w:rsidRDefault="00952F82" w:rsidP="00952F82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F0AE0">
              <w:rPr>
                <w:rFonts w:asciiTheme="minorHAnsi" w:hAnsiTheme="minorHAnsi" w:cstheme="minorHAnsi"/>
              </w:rPr>
              <w:t>Pod pojęciem okresu kwali</w:t>
            </w:r>
            <w:r w:rsidR="00510681" w:rsidRPr="00EF0AE0">
              <w:rPr>
                <w:rFonts w:asciiTheme="minorHAnsi" w:hAnsiTheme="minorHAnsi" w:cstheme="minorHAnsi"/>
              </w:rPr>
              <w:t>fikowania kosztów należy chyba </w:t>
            </w:r>
            <w:r w:rsidRPr="00EF0AE0">
              <w:rPr>
                <w:rFonts w:asciiTheme="minorHAnsi" w:hAnsiTheme="minorHAnsi" w:cstheme="minorHAnsi"/>
              </w:rPr>
              <w:t xml:space="preserve">rozumieć okres, </w:t>
            </w:r>
            <w:r w:rsidRPr="00EF0AE0">
              <w:rPr>
                <w:rFonts w:asciiTheme="minorHAnsi" w:hAnsiTheme="minorHAnsi" w:cstheme="minorHAnsi"/>
                <w:b/>
              </w:rPr>
              <w:t>w którym mogą być ponoszone</w:t>
            </w:r>
            <w:r w:rsidRPr="00EF0AE0">
              <w:rPr>
                <w:rFonts w:asciiTheme="minorHAnsi" w:hAnsiTheme="minorHAnsi" w:cstheme="minorHAnsi"/>
              </w:rPr>
              <w:t xml:space="preserve"> koszty </w:t>
            </w:r>
            <w:r w:rsidR="0059723C" w:rsidRPr="00EF0AE0">
              <w:rPr>
                <w:rFonts w:asciiTheme="minorHAnsi" w:hAnsiTheme="minorHAnsi" w:cstheme="minorHAnsi"/>
                <w:b/>
              </w:rPr>
              <w:t>kwalifikowalne</w:t>
            </w:r>
            <w:r w:rsidR="0059723C" w:rsidRPr="00EF0AE0">
              <w:rPr>
                <w:rFonts w:asciiTheme="minorHAnsi" w:hAnsiTheme="minorHAnsi" w:cstheme="minorHAnsi"/>
              </w:rPr>
              <w:t>, czyli</w:t>
            </w:r>
            <w:r w:rsidRPr="00EF0AE0">
              <w:rPr>
                <w:rFonts w:asciiTheme="minorHAnsi" w:hAnsiTheme="minorHAnsi" w:cstheme="minorHAnsi"/>
              </w:rPr>
              <w:t xml:space="preserve"> w odniesieniu do przywoływanego ust.</w:t>
            </w:r>
            <w:r w:rsidR="00510681" w:rsidRPr="00EF0AE0">
              <w:rPr>
                <w:rFonts w:asciiTheme="minorHAnsi" w:hAnsiTheme="minorHAnsi" w:cstheme="minorHAnsi"/>
              </w:rPr>
              <w:t xml:space="preserve"> </w:t>
            </w:r>
            <w:r w:rsidRPr="00EF0AE0">
              <w:rPr>
                <w:rFonts w:asciiTheme="minorHAnsi" w:hAnsiTheme="minorHAnsi" w:cstheme="minorHAnsi"/>
              </w:rPr>
              <w:t xml:space="preserve">2 pkt 5 koszty dokumentacji będą mogły być </w:t>
            </w:r>
            <w:r w:rsidR="0059723C" w:rsidRPr="00EF0AE0">
              <w:rPr>
                <w:rFonts w:asciiTheme="minorHAnsi" w:hAnsiTheme="minorHAnsi" w:cstheme="minorHAnsi"/>
              </w:rPr>
              <w:t>zaliczone, jeśli</w:t>
            </w:r>
            <w:r w:rsidRPr="00EF0AE0">
              <w:rPr>
                <w:rFonts w:asciiTheme="minorHAnsi" w:hAnsiTheme="minorHAnsi" w:cstheme="minorHAnsi"/>
              </w:rPr>
              <w:t xml:space="preserve"> ich zlecenie nastąpi po złożeniu wniosku o udzielenie pomocy mimo, że w § 7 ust. 1 zapisano, że pomoc może być udzielona pod warunkiem, że wniosek o jej udzielenie złożono przed dniem rozpoczęcie prac, lecz mowa jest tylko o rozpoczęciu prac jako robót budowlanych i zaciągnięciu z</w:t>
            </w:r>
            <w:r w:rsidR="00510681" w:rsidRPr="00EF0AE0">
              <w:rPr>
                <w:rFonts w:asciiTheme="minorHAnsi" w:hAnsiTheme="minorHAnsi" w:cstheme="minorHAnsi"/>
              </w:rPr>
              <w:t>obowiązań, które czynić będzie </w:t>
            </w:r>
            <w:r w:rsidRPr="00EF0AE0">
              <w:rPr>
                <w:rFonts w:asciiTheme="minorHAnsi" w:hAnsiTheme="minorHAnsi" w:cstheme="minorHAnsi"/>
              </w:rPr>
              <w:t>realizację inwestycji nieodwracalną. Zaciągnięcie zobowiązania dla opracowania dokumentacji nie czyni nieodwracalności realizacji inwestycji i w ob</w:t>
            </w:r>
            <w:r w:rsidR="00510681" w:rsidRPr="00EF0AE0">
              <w:rPr>
                <w:rFonts w:asciiTheme="minorHAnsi" w:hAnsiTheme="minorHAnsi" w:cstheme="minorHAnsi"/>
              </w:rPr>
              <w:t xml:space="preserve">ecnej treści zapisów projektu, </w:t>
            </w:r>
            <w:r w:rsidRPr="00EF0AE0">
              <w:rPr>
                <w:rFonts w:asciiTheme="minorHAnsi" w:hAnsiTheme="minorHAnsi" w:cstheme="minorHAnsi"/>
              </w:rPr>
              <w:t xml:space="preserve">koszty dokumentacji przy urzędniczym podejścia do tematu nigdy nie będzie można </w:t>
            </w:r>
            <w:r w:rsidR="0059723C" w:rsidRPr="00EF0AE0">
              <w:rPr>
                <w:rFonts w:asciiTheme="minorHAnsi" w:hAnsiTheme="minorHAnsi" w:cstheme="minorHAnsi"/>
              </w:rPr>
              <w:t>zaliczyć, jako</w:t>
            </w:r>
            <w:r w:rsidRPr="00EF0AE0">
              <w:rPr>
                <w:rFonts w:asciiTheme="minorHAnsi" w:hAnsiTheme="minorHAnsi" w:cstheme="minorHAnsi"/>
              </w:rPr>
              <w:t xml:space="preserve"> koszty kwalifikow</w:t>
            </w:r>
            <w:r w:rsidR="00510681" w:rsidRPr="00EF0AE0">
              <w:rPr>
                <w:rFonts w:asciiTheme="minorHAnsi" w:hAnsiTheme="minorHAnsi" w:cstheme="minorHAnsi"/>
              </w:rPr>
              <w:t xml:space="preserve">ane. Interpretacja </w:t>
            </w:r>
            <w:r w:rsidR="00510681" w:rsidRPr="00EF0AE0">
              <w:rPr>
                <w:rFonts w:asciiTheme="minorHAnsi" w:hAnsiTheme="minorHAnsi" w:cstheme="minorHAnsi"/>
              </w:rPr>
              <w:lastRenderedPageBreak/>
              <w:t>ww. zapisów wprowadza potencjalnego</w:t>
            </w:r>
            <w:r w:rsidRPr="00EF0AE0">
              <w:rPr>
                <w:rFonts w:asciiTheme="minorHAnsi" w:hAnsiTheme="minorHAnsi" w:cstheme="minorHAnsi"/>
              </w:rPr>
              <w:t xml:space="preserve"> wnioskodawcę w błąd. </w:t>
            </w:r>
          </w:p>
          <w:p w14:paraId="445863EB" w14:textId="79764B9B" w:rsidR="00952F82" w:rsidRPr="00EF0AE0" w:rsidRDefault="00952F82" w:rsidP="00952F82">
            <w:pPr>
              <w:suppressAutoHyphens/>
              <w:snapToGrid w:val="0"/>
              <w:spacing w:before="12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EF0AE0">
              <w:rPr>
                <w:rFonts w:asciiTheme="minorHAnsi" w:hAnsiTheme="minorHAnsi" w:cstheme="minorHAnsi"/>
              </w:rPr>
              <w:t>Jednocześnie wskazujemy, że koszty inwestycji są wiadome raczej po sporządzeniu dokumentacji, rzadziej przed.</w:t>
            </w:r>
          </w:p>
        </w:tc>
      </w:tr>
      <w:tr w:rsidR="00644A9C" w:rsidRPr="00EF0AE0" w14:paraId="4DA132B1" w14:textId="77777777" w:rsidTr="00F90E0C">
        <w:tc>
          <w:tcPr>
            <w:tcW w:w="664" w:type="dxa"/>
            <w:shd w:val="clear" w:color="auto" w:fill="FFFFFF" w:themeFill="background1"/>
          </w:tcPr>
          <w:p w14:paraId="4261AB15" w14:textId="3C227E27" w:rsidR="00644A9C" w:rsidRPr="00E03DB6" w:rsidRDefault="00644A9C" w:rsidP="00644A9C">
            <w:pPr>
              <w:spacing w:before="60" w:after="60" w:line="252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E03DB6">
              <w:rPr>
                <w:rFonts w:asciiTheme="minorHAnsi" w:hAnsiTheme="minorHAnsi" w:cstheme="minorHAnsi"/>
                <w:bCs/>
              </w:rPr>
              <w:lastRenderedPageBreak/>
              <w:t>6</w:t>
            </w:r>
          </w:p>
        </w:tc>
        <w:tc>
          <w:tcPr>
            <w:tcW w:w="2807" w:type="dxa"/>
            <w:shd w:val="clear" w:color="auto" w:fill="FFFFFF" w:themeFill="background1"/>
          </w:tcPr>
          <w:p w14:paraId="37ED122E" w14:textId="2F567761" w:rsidR="00644A9C" w:rsidRPr="00E03DB6" w:rsidRDefault="00644A9C" w:rsidP="00644A9C">
            <w:pPr>
              <w:spacing w:before="60" w:after="60" w:line="252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E03DB6">
              <w:rPr>
                <w:rFonts w:asciiTheme="minorHAnsi" w:hAnsiTheme="minorHAnsi" w:cstheme="minorHAnsi"/>
                <w:b/>
              </w:rPr>
              <w:t>§ 8 ust. 2 pkt 5) Projektu</w:t>
            </w:r>
          </w:p>
        </w:tc>
        <w:tc>
          <w:tcPr>
            <w:tcW w:w="5191" w:type="dxa"/>
            <w:shd w:val="clear" w:color="auto" w:fill="FFFFFF" w:themeFill="background1"/>
            <w:vAlign w:val="center"/>
          </w:tcPr>
          <w:p w14:paraId="043EA671" w14:textId="20502051" w:rsidR="00F90E0C" w:rsidRPr="00E03DB6" w:rsidRDefault="00F90E0C" w:rsidP="00F90E0C">
            <w:pPr>
              <w:spacing w:before="60" w:after="60" w:line="252" w:lineRule="auto"/>
              <w:jc w:val="both"/>
              <w:rPr>
                <w:rFonts w:asciiTheme="minorHAnsi" w:hAnsiTheme="minorHAnsi" w:cstheme="minorHAnsi"/>
              </w:rPr>
            </w:pPr>
            <w:r w:rsidRPr="00E03DB6">
              <w:rPr>
                <w:rFonts w:asciiTheme="minorHAnsi" w:hAnsiTheme="minorHAnsi" w:cstheme="minorHAnsi"/>
              </w:rPr>
              <w:t xml:space="preserve">Proponujemy zmianę </w:t>
            </w:r>
            <w:r w:rsidRPr="00E03DB6">
              <w:rPr>
                <w:rFonts w:asciiTheme="minorHAnsi" w:eastAsia="Times New Roman" w:hAnsiTheme="minorHAnsi" w:cstheme="minorHAnsi"/>
                <w:bCs/>
                <w:lang w:eastAsia="ar-SA"/>
              </w:rPr>
              <w:t xml:space="preserve">§ 8 </w:t>
            </w:r>
            <w:r w:rsidRPr="00E03DB6">
              <w:rPr>
                <w:rFonts w:asciiTheme="minorHAnsi" w:hAnsiTheme="minorHAnsi" w:cstheme="minorHAnsi"/>
              </w:rPr>
              <w:t>ust. 2 pkt. 5) w brzmieniu jak poniżej:</w:t>
            </w:r>
          </w:p>
          <w:p w14:paraId="1CDF487A" w14:textId="367136FD" w:rsidR="00644A9C" w:rsidRPr="00E03DB6" w:rsidRDefault="00F90E0C" w:rsidP="00644A9C">
            <w:pPr>
              <w:suppressAutoHyphens/>
              <w:snapToGrid w:val="0"/>
              <w:spacing w:before="60" w:after="60" w:line="252" w:lineRule="auto"/>
              <w:jc w:val="both"/>
              <w:rPr>
                <w:rFonts w:asciiTheme="minorHAnsi" w:hAnsiTheme="minorHAnsi" w:cstheme="minorHAnsi"/>
                <w:bCs/>
                <w:i/>
                <w:lang w:eastAsia="ar-SA"/>
              </w:rPr>
            </w:pPr>
            <w:r w:rsidRPr="00E03DB6">
              <w:rPr>
                <w:rFonts w:asciiTheme="minorHAnsi" w:hAnsiTheme="minorHAnsi" w:cstheme="minorHAnsi"/>
                <w:i/>
              </w:rPr>
              <w:t>„</w:t>
            </w:r>
            <w:r w:rsidRPr="00E03DB6">
              <w:rPr>
                <w:rFonts w:asciiTheme="minorHAnsi" w:hAnsiTheme="minorHAnsi" w:cstheme="minorHAnsi"/>
                <w:b/>
                <w:i/>
              </w:rPr>
              <w:t>5) k</w:t>
            </w:r>
            <w:r w:rsidR="00644A9C" w:rsidRPr="00E03DB6">
              <w:rPr>
                <w:rFonts w:asciiTheme="minorHAnsi" w:hAnsiTheme="minorHAnsi" w:cstheme="minorHAnsi"/>
                <w:b/>
                <w:i/>
              </w:rPr>
              <w:t>oszt OPEXu z wyłączeniem energii elektrycznej, wody/ścieków i innego paliwa wsadowego na okres eksploatacji 5 lat.</w:t>
            </w:r>
            <w:r w:rsidRPr="00E03DB6">
              <w:rPr>
                <w:rFonts w:asciiTheme="minorHAnsi" w:hAnsiTheme="minorHAnsi" w:cstheme="minorHAnsi"/>
                <w:b/>
                <w:i/>
              </w:rPr>
              <w:t>”</w:t>
            </w:r>
          </w:p>
        </w:tc>
        <w:tc>
          <w:tcPr>
            <w:tcW w:w="5330" w:type="dxa"/>
            <w:shd w:val="clear" w:color="auto" w:fill="FFFFFF" w:themeFill="background1"/>
          </w:tcPr>
          <w:p w14:paraId="3CEC3B06" w14:textId="1006E8AD" w:rsidR="00644A9C" w:rsidRPr="00E03DB6" w:rsidRDefault="00644A9C" w:rsidP="00F90E0C">
            <w:pPr>
              <w:suppressAutoHyphens/>
              <w:snapToGrid w:val="0"/>
              <w:spacing w:before="60"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E03DB6">
              <w:rPr>
                <w:rFonts w:asciiTheme="minorHAnsi" w:hAnsiTheme="minorHAnsi" w:cstheme="minorHAnsi"/>
                <w:lang w:eastAsia="pl-PL"/>
              </w:rPr>
              <w:t>Koszty związane z eksploatacją stacji do tankowania wodoru oraz jego wytwarzania wynoszą 3-5% CAPEX.</w:t>
            </w:r>
          </w:p>
        </w:tc>
      </w:tr>
      <w:tr w:rsidR="00FB298B" w:rsidRPr="00EF0AE0" w14:paraId="2C4CC84A" w14:textId="77777777" w:rsidTr="00952F82">
        <w:tc>
          <w:tcPr>
            <w:tcW w:w="664" w:type="dxa"/>
            <w:shd w:val="clear" w:color="auto" w:fill="FFFFFF" w:themeFill="background1"/>
          </w:tcPr>
          <w:p w14:paraId="2867C130" w14:textId="65C968A2" w:rsidR="00FB298B" w:rsidRPr="00EF0AE0" w:rsidRDefault="00644A9C" w:rsidP="00FB298B">
            <w:pPr>
              <w:spacing w:before="60" w:after="60" w:line="252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2807" w:type="dxa"/>
            <w:shd w:val="clear" w:color="auto" w:fill="FFFFFF" w:themeFill="background1"/>
          </w:tcPr>
          <w:p w14:paraId="2F6B1AB7" w14:textId="431974AD" w:rsidR="00FB298B" w:rsidRPr="00EF0AE0" w:rsidRDefault="003A598C" w:rsidP="003A598C">
            <w:pPr>
              <w:spacing w:before="60" w:after="60" w:line="252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F0AE0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§9</w:t>
            </w:r>
            <w:r w:rsidRPr="00EF0AE0">
              <w:rPr>
                <w:rFonts w:asciiTheme="minorHAnsi" w:hAnsiTheme="minorHAnsi" w:cstheme="minorHAnsi"/>
                <w:b/>
              </w:rPr>
              <w:t xml:space="preserve"> ust. 1 i ust. 2</w:t>
            </w:r>
            <w:r w:rsidR="000F1698" w:rsidRPr="00EF0AE0">
              <w:rPr>
                <w:rFonts w:asciiTheme="minorHAnsi" w:hAnsiTheme="minorHAnsi" w:cstheme="minorHAnsi"/>
                <w:b/>
              </w:rPr>
              <w:t xml:space="preserve"> Projektu</w:t>
            </w:r>
          </w:p>
        </w:tc>
        <w:tc>
          <w:tcPr>
            <w:tcW w:w="5191" w:type="dxa"/>
            <w:shd w:val="clear" w:color="auto" w:fill="FFFFFF" w:themeFill="background1"/>
          </w:tcPr>
          <w:p w14:paraId="209F9A34" w14:textId="059050A3" w:rsidR="003A598C" w:rsidRPr="00EF0AE0" w:rsidRDefault="003A598C" w:rsidP="00952F82">
            <w:pPr>
              <w:suppressAutoHyphens/>
              <w:snapToGrid w:val="0"/>
              <w:spacing w:before="60" w:after="60" w:line="252" w:lineRule="auto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  <w:r w:rsidRPr="00EF0AE0">
              <w:rPr>
                <w:rFonts w:asciiTheme="minorHAnsi" w:hAnsiTheme="minorHAnsi" w:cstheme="minorHAnsi"/>
                <w:bCs/>
                <w:lang w:eastAsia="ar-SA"/>
              </w:rPr>
              <w:t xml:space="preserve">Proponujemy </w:t>
            </w:r>
            <w:r w:rsidRPr="00EF0AE0">
              <w:rPr>
                <w:rFonts w:asciiTheme="minorHAnsi" w:hAnsiTheme="minorHAnsi" w:cstheme="minorHAnsi"/>
              </w:rPr>
              <w:t xml:space="preserve">dodanie </w:t>
            </w:r>
            <w:r w:rsidR="00D97A45" w:rsidRPr="00EF0AE0">
              <w:rPr>
                <w:rFonts w:asciiTheme="minorHAnsi" w:hAnsiTheme="minorHAnsi" w:cstheme="minorHAnsi"/>
              </w:rPr>
              <w:t xml:space="preserve">w </w:t>
            </w:r>
            <w:r w:rsidR="00D97A45" w:rsidRPr="00EF0AE0">
              <w:rPr>
                <w:rFonts w:asciiTheme="minorHAnsi" w:eastAsia="Times New Roman" w:hAnsiTheme="minorHAnsi" w:cstheme="minorHAnsi"/>
                <w:bCs/>
                <w:lang w:eastAsia="ar-SA"/>
              </w:rPr>
              <w:t xml:space="preserve">§ 9 </w:t>
            </w:r>
            <w:r w:rsidRPr="00EF0AE0">
              <w:rPr>
                <w:rFonts w:asciiTheme="minorHAnsi" w:hAnsiTheme="minorHAnsi" w:cstheme="minorHAnsi"/>
              </w:rPr>
              <w:t xml:space="preserve">ust. </w:t>
            </w:r>
            <w:r w:rsidR="00D97A45" w:rsidRPr="00EF0AE0">
              <w:rPr>
                <w:rFonts w:asciiTheme="minorHAnsi" w:hAnsiTheme="minorHAnsi" w:cstheme="minorHAnsi"/>
              </w:rPr>
              <w:t>1 pkt. 3) i 4)</w:t>
            </w:r>
            <w:r w:rsidRPr="00EF0AE0">
              <w:rPr>
                <w:rFonts w:asciiTheme="minorHAnsi" w:hAnsiTheme="minorHAnsi" w:cstheme="minorHAnsi"/>
              </w:rPr>
              <w:t xml:space="preserve"> </w:t>
            </w:r>
            <w:r w:rsidR="00D97A45" w:rsidRPr="00EF0AE0">
              <w:rPr>
                <w:rFonts w:asciiTheme="minorHAnsi" w:hAnsiTheme="minorHAnsi" w:cstheme="minorHAnsi"/>
              </w:rPr>
              <w:t xml:space="preserve">w brzmieniu jak poniżej oraz </w:t>
            </w:r>
            <w:r w:rsidR="00D97A45" w:rsidRPr="00EF0AE0">
              <w:rPr>
                <w:rFonts w:asciiTheme="minorHAnsi" w:hAnsiTheme="minorHAnsi" w:cstheme="minorHAnsi"/>
                <w:bCs/>
                <w:lang w:eastAsia="ar-SA"/>
              </w:rPr>
              <w:t>usunięcie ust. 2</w:t>
            </w:r>
            <w:r w:rsidRPr="00EF0AE0">
              <w:rPr>
                <w:rFonts w:asciiTheme="minorHAnsi" w:hAnsiTheme="minorHAnsi" w:cstheme="minorHAnsi"/>
                <w:bCs/>
                <w:lang w:eastAsia="ar-SA"/>
              </w:rPr>
              <w:t>:</w:t>
            </w:r>
          </w:p>
          <w:p w14:paraId="6D36FF82" w14:textId="77777777" w:rsidR="00FB298B" w:rsidRPr="00EF0AE0" w:rsidRDefault="00FB298B" w:rsidP="00952F82">
            <w:pPr>
              <w:suppressAutoHyphens/>
              <w:snapToGrid w:val="0"/>
              <w:spacing w:before="60" w:after="60" w:line="240" w:lineRule="auto"/>
              <w:ind w:firstLine="363"/>
              <w:jc w:val="both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  <w:r w:rsidRPr="00EF0AE0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§ 9. 1. W przypadku ogólnodostępnych stacja ładowania:</w:t>
            </w:r>
          </w:p>
          <w:p w14:paraId="71F5185B" w14:textId="77777777" w:rsidR="00FB298B" w:rsidRPr="00EF0AE0" w:rsidRDefault="00FB298B" w:rsidP="00952F82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before="40"/>
              <w:contextualSpacing w:val="0"/>
              <w:rPr>
                <w:rFonts w:cstheme="minorHAnsi"/>
                <w:i/>
              </w:rPr>
            </w:pPr>
            <w:r w:rsidRPr="00EF0AE0">
              <w:rPr>
                <w:rFonts w:cstheme="minorHAnsi"/>
                <w:i/>
              </w:rPr>
              <w:t>intensywność pomocy nie może przekroczyć 50% kosztów kwalifikowalnych;</w:t>
            </w:r>
          </w:p>
          <w:p w14:paraId="62B45E42" w14:textId="78726BCF" w:rsidR="00FB298B" w:rsidRPr="00EF0AE0" w:rsidRDefault="00FB298B" w:rsidP="00952F82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before="40"/>
              <w:contextualSpacing w:val="0"/>
              <w:rPr>
                <w:rFonts w:cstheme="minorHAnsi"/>
                <w:i/>
              </w:rPr>
            </w:pPr>
            <w:r w:rsidRPr="00EF0AE0">
              <w:rPr>
                <w:rFonts w:cstheme="minorHAnsi"/>
                <w:i/>
              </w:rPr>
              <w:t>intensywność pomocy ulega zwiększeniu o 25%, jeżeli ogólnodostępna stacja ładowania jest usytuowana w gminie, w której w roku poprzedzającym rok, w którym został złożony wniosek o udzielenie pomocy, liczba mieszkańców nie przekraczała 100 000 według danych opublikowanych przez Główny Urząd Statystyczny;</w:t>
            </w:r>
          </w:p>
          <w:p w14:paraId="46182566" w14:textId="3881E055" w:rsidR="00D97A45" w:rsidRPr="00EF0AE0" w:rsidRDefault="00D97A45" w:rsidP="00952F82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before="40"/>
              <w:contextualSpacing w:val="0"/>
              <w:rPr>
                <w:rFonts w:cstheme="minorHAnsi"/>
                <w:i/>
              </w:rPr>
            </w:pPr>
            <w:r w:rsidRPr="00EF0AE0">
              <w:rPr>
                <w:rFonts w:eastAsia="Times New Roman" w:cstheme="minorHAnsi"/>
                <w:b/>
                <w:bCs/>
                <w:i/>
                <w:lang w:eastAsia="ar-SA"/>
              </w:rPr>
              <w:t>intensywność pomocy ulega zwiększeniu o 25%, jeżeli ogólnodostępna stacja ładowania o mocy 100 kW i większej jest usytuowana w pasie drogowym drogi ekspresowej albo autostrady;</w:t>
            </w:r>
          </w:p>
          <w:p w14:paraId="17709400" w14:textId="275FA56E" w:rsidR="00D97A45" w:rsidRPr="00EF0AE0" w:rsidRDefault="00D97A45" w:rsidP="00952F82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before="40" w:after="120"/>
              <w:contextualSpacing w:val="0"/>
              <w:rPr>
                <w:rFonts w:cstheme="minorHAnsi"/>
                <w:i/>
              </w:rPr>
            </w:pPr>
            <w:r w:rsidRPr="00EF0AE0">
              <w:rPr>
                <w:rFonts w:eastAsia="Times New Roman" w:cstheme="minorHAnsi"/>
                <w:b/>
                <w:bCs/>
                <w:i/>
                <w:lang w:eastAsia="ar-SA"/>
              </w:rPr>
              <w:lastRenderedPageBreak/>
              <w:t>intensywność pomocy ulega zwiększeniu o 25%, jeżeli ogólnodostępna stacja ładowania jest zasilana energią ze źródeł odnawialnych.</w:t>
            </w:r>
          </w:p>
          <w:p w14:paraId="3AECB4E0" w14:textId="0DC87596" w:rsidR="00FB298B" w:rsidRPr="00EF0AE0" w:rsidRDefault="00FB298B" w:rsidP="00952F82">
            <w:pPr>
              <w:pStyle w:val="Akapitzlist"/>
              <w:suppressAutoHyphens/>
              <w:snapToGrid w:val="0"/>
              <w:spacing w:after="120"/>
              <w:ind w:left="0" w:firstLine="363"/>
              <w:rPr>
                <w:rFonts w:eastAsia="Times New Roman" w:cstheme="minorHAnsi"/>
                <w:b/>
                <w:bCs/>
                <w:i/>
                <w:strike/>
                <w:lang w:eastAsia="ar-SA"/>
              </w:rPr>
            </w:pPr>
            <w:r w:rsidRPr="00EF0AE0">
              <w:rPr>
                <w:rFonts w:eastAsia="Times New Roman" w:cstheme="minorHAnsi"/>
                <w:bCs/>
                <w:i/>
                <w:strike/>
                <w:lang w:eastAsia="ar-SA"/>
              </w:rPr>
              <w:t>2</w:t>
            </w:r>
            <w:r w:rsidRPr="00EF0AE0">
              <w:rPr>
                <w:rFonts w:eastAsia="Times New Roman" w:cstheme="minorHAnsi"/>
                <w:b/>
                <w:bCs/>
                <w:i/>
                <w:strike/>
                <w:lang w:eastAsia="ar-SA"/>
              </w:rPr>
              <w:t>.  Zwiększenie pomocy, o którym mowa w ust. 1 pkt 2, nie ma zastosowania do ogólnodostępnej stacji ładowania usytuowanej w pasie drogowym drogi ekspresowej albo autostrady.</w:t>
            </w:r>
          </w:p>
        </w:tc>
        <w:tc>
          <w:tcPr>
            <w:tcW w:w="5330" w:type="dxa"/>
            <w:shd w:val="clear" w:color="auto" w:fill="FFFFFF" w:themeFill="background1"/>
          </w:tcPr>
          <w:p w14:paraId="2498BC5D" w14:textId="5C0C5BFF" w:rsidR="00FB298B" w:rsidRPr="00EF0AE0" w:rsidRDefault="00FB298B" w:rsidP="00FB298B">
            <w:pPr>
              <w:suppressAutoHyphens/>
              <w:snapToGrid w:val="0"/>
              <w:spacing w:before="60" w:after="12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ar-SA"/>
              </w:rPr>
            </w:pPr>
            <w:r w:rsidRPr="00EF0AE0">
              <w:rPr>
                <w:rFonts w:asciiTheme="minorHAnsi" w:hAnsiTheme="minorHAnsi" w:cstheme="minorHAnsi"/>
              </w:rPr>
              <w:lastRenderedPageBreak/>
              <w:t xml:space="preserve">W Polsce nadal barierą jest niewystarczająca infrastruktura przy autostradach i głównych drogach, dodatkowo ładowarki w Polsce zbyt wolne. Najczęściej dysponują one mocą 50 </w:t>
            </w:r>
            <w:r w:rsidR="0059723C" w:rsidRPr="00EF0AE0">
              <w:rPr>
                <w:rFonts w:asciiTheme="minorHAnsi" w:hAnsiTheme="minorHAnsi" w:cstheme="minorHAnsi"/>
              </w:rPr>
              <w:t>kW, co</w:t>
            </w:r>
            <w:r w:rsidRPr="00EF0AE0">
              <w:rPr>
                <w:rFonts w:asciiTheme="minorHAnsi" w:hAnsiTheme="minorHAnsi" w:cstheme="minorHAnsi"/>
              </w:rPr>
              <w:t xml:space="preserve"> przy obecnych standardach ładowania nowych samochodów znacząco spowalnia proces ładowania na trasie. Dlatego dodatkowe wsparcie 25% powinno zostać wprowadzone dla szybkich stacji ładowania zlokalizowanych </w:t>
            </w:r>
            <w:r w:rsidRPr="00EF0AE0">
              <w:rPr>
                <w:rFonts w:asciiTheme="minorHAnsi" w:eastAsia="Times New Roman" w:hAnsiTheme="minorHAnsi" w:cstheme="minorHAnsi"/>
                <w:bCs/>
                <w:lang w:eastAsia="ar-SA"/>
              </w:rPr>
              <w:t xml:space="preserve">w pasie drogowym drogi ekspresowej albo autostrady </w:t>
            </w:r>
          </w:p>
          <w:p w14:paraId="25E3B969" w14:textId="127EF1A9" w:rsidR="00FB298B" w:rsidRPr="00EF0AE0" w:rsidRDefault="00FB298B" w:rsidP="00FB298B">
            <w:pPr>
              <w:spacing w:before="60" w:after="60" w:line="252" w:lineRule="auto"/>
              <w:jc w:val="both"/>
              <w:rPr>
                <w:rFonts w:asciiTheme="minorHAnsi" w:hAnsiTheme="minorHAnsi" w:cstheme="minorHAnsi"/>
              </w:rPr>
            </w:pPr>
            <w:r w:rsidRPr="00EF0AE0">
              <w:rPr>
                <w:rFonts w:asciiTheme="minorHAnsi" w:hAnsiTheme="minorHAnsi" w:cstheme="minorHAnsi"/>
              </w:rPr>
              <w:t>Dodatkowym wsparciem powinny być promowane inwestycje w infrastrukturę ładowania zasilane energią ze źródeł odnawialnych</w:t>
            </w:r>
          </w:p>
        </w:tc>
      </w:tr>
      <w:tr w:rsidR="00644A9C" w:rsidRPr="00EF0AE0" w14:paraId="1FC33ACF" w14:textId="77777777" w:rsidTr="0031798D">
        <w:tc>
          <w:tcPr>
            <w:tcW w:w="664" w:type="dxa"/>
            <w:shd w:val="clear" w:color="auto" w:fill="FFFFFF" w:themeFill="background1"/>
          </w:tcPr>
          <w:p w14:paraId="22F917E4" w14:textId="1FB3D817" w:rsidR="00644A9C" w:rsidRPr="00E03DB6" w:rsidRDefault="00644A9C" w:rsidP="00644A9C">
            <w:pPr>
              <w:spacing w:before="60" w:after="60" w:line="252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E03DB6"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2807" w:type="dxa"/>
            <w:shd w:val="clear" w:color="auto" w:fill="FFFFFF" w:themeFill="background1"/>
          </w:tcPr>
          <w:p w14:paraId="49165135" w14:textId="3FD1237B" w:rsidR="00644A9C" w:rsidRPr="00E03DB6" w:rsidRDefault="00644A9C" w:rsidP="00E03DB6">
            <w:pPr>
              <w:spacing w:before="60" w:after="60" w:line="252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E03DB6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§11</w:t>
            </w:r>
            <w:r w:rsidRPr="00E03DB6">
              <w:rPr>
                <w:rFonts w:asciiTheme="minorHAnsi" w:hAnsiTheme="minorHAnsi" w:cstheme="minorHAnsi"/>
                <w:b/>
              </w:rPr>
              <w:t xml:space="preserve"> Projektu</w:t>
            </w:r>
          </w:p>
        </w:tc>
        <w:tc>
          <w:tcPr>
            <w:tcW w:w="5191" w:type="dxa"/>
            <w:shd w:val="clear" w:color="auto" w:fill="FFFFFF" w:themeFill="background1"/>
          </w:tcPr>
          <w:p w14:paraId="0689C349" w14:textId="6D96FA3B" w:rsidR="00E03DB6" w:rsidRDefault="0031798D" w:rsidP="00E03DB6">
            <w:pPr>
              <w:spacing w:before="60" w:after="60" w:line="252" w:lineRule="auto"/>
              <w:jc w:val="both"/>
              <w:rPr>
                <w:rFonts w:asciiTheme="minorHAnsi" w:hAnsiTheme="minorHAnsi" w:cstheme="minorHAnsi"/>
              </w:rPr>
            </w:pPr>
            <w:r w:rsidRPr="00E03DB6">
              <w:rPr>
                <w:rFonts w:asciiTheme="minorHAnsi" w:hAnsiTheme="minorHAnsi" w:cstheme="minorHAnsi"/>
              </w:rPr>
              <w:t xml:space="preserve">Proponujemy </w:t>
            </w:r>
            <w:r w:rsidR="00E03DB6" w:rsidRPr="00E03DB6">
              <w:rPr>
                <w:rFonts w:asciiTheme="minorHAnsi" w:hAnsiTheme="minorHAnsi" w:cstheme="minorHAnsi"/>
              </w:rPr>
              <w:t xml:space="preserve">zmianę </w:t>
            </w:r>
            <w:r w:rsidR="00E03DB6" w:rsidRPr="00E03DB6">
              <w:rPr>
                <w:rFonts w:asciiTheme="minorHAnsi" w:eastAsia="Times New Roman" w:hAnsiTheme="minorHAnsi" w:cstheme="minorHAnsi"/>
                <w:bCs/>
                <w:lang w:eastAsia="ar-SA"/>
              </w:rPr>
              <w:t xml:space="preserve">§ </w:t>
            </w:r>
            <w:r w:rsidR="00E03DB6">
              <w:rPr>
                <w:rFonts w:asciiTheme="minorHAnsi" w:eastAsia="Times New Roman" w:hAnsiTheme="minorHAnsi" w:cstheme="minorHAnsi"/>
                <w:bCs/>
                <w:lang w:eastAsia="ar-SA"/>
              </w:rPr>
              <w:t xml:space="preserve">11 </w:t>
            </w:r>
            <w:r w:rsidR="00E03DB6">
              <w:rPr>
                <w:rFonts w:asciiTheme="minorHAnsi" w:hAnsiTheme="minorHAnsi" w:cstheme="minorHAnsi"/>
              </w:rPr>
              <w:t>pkt. 2</w:t>
            </w:r>
            <w:r w:rsidR="00E03DB6" w:rsidRPr="00E03DB6">
              <w:rPr>
                <w:rFonts w:asciiTheme="minorHAnsi" w:hAnsiTheme="minorHAnsi" w:cstheme="minorHAnsi"/>
              </w:rPr>
              <w:t>) w brzmieniu jak poniżej:</w:t>
            </w:r>
          </w:p>
          <w:p w14:paraId="10929C44" w14:textId="7F92A7DA" w:rsidR="00E03DB6" w:rsidRPr="00E03DB6" w:rsidRDefault="00E03DB6" w:rsidP="00E03DB6">
            <w:pPr>
              <w:spacing w:before="60" w:after="60" w:line="252" w:lineRule="auto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lang w:eastAsia="pl-PL"/>
              </w:rPr>
              <w:t>„</w:t>
            </w:r>
            <w:r w:rsidRPr="00E03DB6">
              <w:rPr>
                <w:rFonts w:asciiTheme="minorHAnsi" w:hAnsiTheme="minorHAnsi" w:cstheme="minorHAnsi"/>
                <w:i/>
                <w:lang w:eastAsia="pl-PL"/>
              </w:rPr>
              <w:t xml:space="preserve">2) wartość pomocy nie może przekroczyć </w:t>
            </w:r>
            <w:r w:rsidRPr="00E03DB6">
              <w:rPr>
                <w:rFonts w:asciiTheme="minorHAnsi" w:hAnsiTheme="minorHAnsi" w:cstheme="minorHAnsi"/>
                <w:b/>
                <w:i/>
                <w:lang w:eastAsia="pl-PL"/>
              </w:rPr>
              <w:t>7 000 000 zł</w:t>
            </w:r>
            <w:r w:rsidRPr="00E03DB6">
              <w:rPr>
                <w:rFonts w:asciiTheme="minorHAnsi" w:hAnsiTheme="minorHAnsi" w:cstheme="minorHAnsi"/>
                <w:i/>
                <w:lang w:eastAsia="pl-PL"/>
              </w:rPr>
              <w:t xml:space="preserve"> na jedną stację.</w:t>
            </w:r>
            <w:r>
              <w:rPr>
                <w:rFonts w:asciiTheme="minorHAnsi" w:hAnsiTheme="minorHAnsi" w:cstheme="minorHAnsi"/>
                <w:i/>
                <w:lang w:eastAsia="pl-PL"/>
              </w:rPr>
              <w:t>”</w:t>
            </w:r>
          </w:p>
          <w:p w14:paraId="78362DC0" w14:textId="4F024BE4" w:rsidR="00644A9C" w:rsidRPr="00E03DB6" w:rsidRDefault="00E03DB6" w:rsidP="00F47022">
            <w:pPr>
              <w:suppressAutoHyphens/>
              <w:snapToGrid w:val="0"/>
              <w:spacing w:before="120" w:after="60" w:line="252" w:lineRule="auto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  <w:r>
              <w:rPr>
                <w:rFonts w:asciiTheme="minorHAnsi" w:hAnsiTheme="minorHAnsi" w:cstheme="minorHAnsi"/>
              </w:rPr>
              <w:t>oraz do</w:t>
            </w:r>
            <w:r w:rsidR="00F47022">
              <w:rPr>
                <w:rFonts w:asciiTheme="minorHAnsi" w:hAnsiTheme="minorHAnsi" w:cstheme="minorHAnsi"/>
              </w:rPr>
              <w:t>precyzowanie</w:t>
            </w:r>
            <w:r w:rsidR="0031798D" w:rsidRPr="00E03DB6">
              <w:rPr>
                <w:rFonts w:asciiTheme="minorHAnsi" w:hAnsiTheme="minorHAnsi" w:cstheme="minorHAnsi"/>
              </w:rPr>
              <w:t>, że</w:t>
            </w:r>
            <w:r>
              <w:rPr>
                <w:rFonts w:asciiTheme="minorHAnsi" w:hAnsiTheme="minorHAnsi" w:cstheme="minorHAnsi"/>
              </w:rPr>
              <w:t xml:space="preserve"> d</w:t>
            </w:r>
            <w:r w:rsidR="00644A9C" w:rsidRPr="00E03DB6">
              <w:rPr>
                <w:rFonts w:asciiTheme="minorHAnsi" w:hAnsiTheme="minorHAnsi" w:cstheme="minorHAnsi"/>
              </w:rPr>
              <w:t>la stacji do tankowania i wytwarzania wodoru powinien być pułap pomocy w</w:t>
            </w:r>
            <w:r w:rsidR="0031798D" w:rsidRPr="00E03DB6">
              <w:rPr>
                <w:rFonts w:asciiTheme="minorHAnsi" w:hAnsiTheme="minorHAnsi" w:cstheme="minorHAnsi"/>
              </w:rPr>
              <w:t>ynoszący co najmniej 20 mln zł.</w:t>
            </w:r>
          </w:p>
        </w:tc>
        <w:tc>
          <w:tcPr>
            <w:tcW w:w="5330" w:type="dxa"/>
            <w:shd w:val="clear" w:color="auto" w:fill="FFFFFF" w:themeFill="background1"/>
          </w:tcPr>
          <w:p w14:paraId="5186143D" w14:textId="71689EA2" w:rsidR="00644A9C" w:rsidRPr="00E03DB6" w:rsidRDefault="00644A9C" w:rsidP="0031798D">
            <w:pPr>
              <w:suppressAutoHyphens/>
              <w:snapToGrid w:val="0"/>
              <w:spacing w:before="60"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E03DB6">
              <w:rPr>
                <w:rFonts w:asciiTheme="minorHAnsi" w:hAnsiTheme="minorHAnsi" w:cstheme="minorHAnsi"/>
              </w:rPr>
              <w:t>CAPEX na instalacje wodorowe jest bardzo wysoki. Proponowana pomoc nie jest wystarczająca.</w:t>
            </w:r>
          </w:p>
        </w:tc>
      </w:tr>
    </w:tbl>
    <w:p w14:paraId="5F51420A" w14:textId="25035676" w:rsidR="75FFFD57" w:rsidRPr="00C90B51" w:rsidRDefault="75FFFD57" w:rsidP="00D01542">
      <w:pPr>
        <w:spacing w:before="60" w:after="60" w:line="252" w:lineRule="auto"/>
        <w:jc w:val="both"/>
        <w:rPr>
          <w:rFonts w:asciiTheme="minorHAnsi" w:eastAsia="Arial Narrow" w:hAnsiTheme="minorHAnsi" w:cs="Arial Narrow"/>
        </w:rPr>
      </w:pPr>
    </w:p>
    <w:sectPr w:rsidR="75FFFD57" w:rsidRPr="00C90B51" w:rsidSect="007F0813">
      <w:headerReference w:type="default" r:id="rId10"/>
      <w:foot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E92B0" w14:textId="77777777" w:rsidR="008174A2" w:rsidRDefault="008174A2" w:rsidP="00097903">
      <w:pPr>
        <w:spacing w:after="0" w:line="240" w:lineRule="auto"/>
      </w:pPr>
      <w:r>
        <w:separator/>
      </w:r>
    </w:p>
  </w:endnote>
  <w:endnote w:type="continuationSeparator" w:id="0">
    <w:p w14:paraId="038CFD0A" w14:textId="77777777" w:rsidR="008174A2" w:rsidRDefault="008174A2" w:rsidP="0009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584311"/>
      <w:docPartObj>
        <w:docPartGallery w:val="Page Numbers (Bottom of Page)"/>
        <w:docPartUnique/>
      </w:docPartObj>
    </w:sdtPr>
    <w:sdtEndPr/>
    <w:sdtContent>
      <w:p w14:paraId="60C701FE" w14:textId="287060B6" w:rsidR="00C7381A" w:rsidRDefault="00C738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23C">
          <w:rPr>
            <w:noProof/>
          </w:rPr>
          <w:t>4</w:t>
        </w:r>
        <w:r>
          <w:fldChar w:fldCharType="end"/>
        </w:r>
      </w:p>
    </w:sdtContent>
  </w:sdt>
  <w:p w14:paraId="2BDD8B43" w14:textId="77777777" w:rsidR="00C7381A" w:rsidRDefault="00C738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6A8B9" w14:textId="77777777" w:rsidR="008174A2" w:rsidRDefault="008174A2" w:rsidP="00097903">
      <w:pPr>
        <w:spacing w:after="0" w:line="240" w:lineRule="auto"/>
      </w:pPr>
      <w:r>
        <w:separator/>
      </w:r>
    </w:p>
  </w:footnote>
  <w:footnote w:type="continuationSeparator" w:id="0">
    <w:p w14:paraId="23964E83" w14:textId="77777777" w:rsidR="008174A2" w:rsidRDefault="008174A2" w:rsidP="0009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00C7381A" w14:paraId="610B8982" w14:textId="77777777" w:rsidTr="75FFFD57">
      <w:tc>
        <w:tcPr>
          <w:tcW w:w="4665" w:type="dxa"/>
        </w:tcPr>
        <w:p w14:paraId="4E0160AD" w14:textId="2D46E78D" w:rsidR="00C7381A" w:rsidRDefault="00C7381A" w:rsidP="75FFFD57">
          <w:pPr>
            <w:pStyle w:val="Nagwek"/>
            <w:ind w:left="-115"/>
          </w:pPr>
        </w:p>
      </w:tc>
      <w:tc>
        <w:tcPr>
          <w:tcW w:w="4665" w:type="dxa"/>
        </w:tcPr>
        <w:p w14:paraId="7D37D331" w14:textId="25E2D85E" w:rsidR="00C7381A" w:rsidRDefault="00C7381A" w:rsidP="75FFFD57">
          <w:pPr>
            <w:pStyle w:val="Nagwek"/>
            <w:jc w:val="center"/>
          </w:pPr>
        </w:p>
      </w:tc>
      <w:tc>
        <w:tcPr>
          <w:tcW w:w="4665" w:type="dxa"/>
        </w:tcPr>
        <w:p w14:paraId="6AF4F5C1" w14:textId="65E23D86" w:rsidR="00C7381A" w:rsidRDefault="00C7381A" w:rsidP="75FFFD57">
          <w:pPr>
            <w:pStyle w:val="Nagwek"/>
            <w:ind w:right="-115"/>
            <w:jc w:val="right"/>
          </w:pPr>
        </w:p>
      </w:tc>
    </w:tr>
  </w:tbl>
  <w:p w14:paraId="35AC08F8" w14:textId="2CC1A41E" w:rsidR="00C7381A" w:rsidRDefault="00C7381A" w:rsidP="75FFFD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434F8"/>
    <w:multiLevelType w:val="hybridMultilevel"/>
    <w:tmpl w:val="A4B41DDE"/>
    <w:lvl w:ilvl="0" w:tplc="2C92305A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1CED"/>
    <w:multiLevelType w:val="hybridMultilevel"/>
    <w:tmpl w:val="D472CC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6D1301"/>
    <w:multiLevelType w:val="hybridMultilevel"/>
    <w:tmpl w:val="1D628B22"/>
    <w:lvl w:ilvl="0" w:tplc="FF6216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C1FCD"/>
    <w:multiLevelType w:val="hybridMultilevel"/>
    <w:tmpl w:val="2294C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C2358"/>
    <w:multiLevelType w:val="hybridMultilevel"/>
    <w:tmpl w:val="47BEC0FE"/>
    <w:lvl w:ilvl="0" w:tplc="890C26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E24415"/>
    <w:multiLevelType w:val="hybridMultilevel"/>
    <w:tmpl w:val="5C9EB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B44C4"/>
    <w:multiLevelType w:val="hybridMultilevel"/>
    <w:tmpl w:val="CBD2E952"/>
    <w:lvl w:ilvl="0" w:tplc="D67A82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9858FF"/>
    <w:multiLevelType w:val="hybridMultilevel"/>
    <w:tmpl w:val="56FEE42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039BE"/>
    <w:multiLevelType w:val="hybridMultilevel"/>
    <w:tmpl w:val="58AC2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575D32"/>
    <w:multiLevelType w:val="hybridMultilevel"/>
    <w:tmpl w:val="049E7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C5215"/>
    <w:multiLevelType w:val="hybridMultilevel"/>
    <w:tmpl w:val="59708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26D56"/>
    <w:multiLevelType w:val="hybridMultilevel"/>
    <w:tmpl w:val="7CFEBD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753660"/>
    <w:multiLevelType w:val="hybridMultilevel"/>
    <w:tmpl w:val="D980ABD4"/>
    <w:lvl w:ilvl="0" w:tplc="521EC7E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8332BE"/>
    <w:multiLevelType w:val="hybridMultilevel"/>
    <w:tmpl w:val="26D4F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A65E6"/>
    <w:multiLevelType w:val="hybridMultilevel"/>
    <w:tmpl w:val="E5102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22995"/>
    <w:multiLevelType w:val="hybridMultilevel"/>
    <w:tmpl w:val="D980ABD4"/>
    <w:lvl w:ilvl="0" w:tplc="521EC7E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3157AE"/>
    <w:multiLevelType w:val="hybridMultilevel"/>
    <w:tmpl w:val="58AC2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C71674"/>
    <w:multiLevelType w:val="hybridMultilevel"/>
    <w:tmpl w:val="8B98AC20"/>
    <w:lvl w:ilvl="0" w:tplc="DEE46B8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5C737C"/>
    <w:multiLevelType w:val="hybridMultilevel"/>
    <w:tmpl w:val="58AC2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362DA9"/>
    <w:multiLevelType w:val="hybridMultilevel"/>
    <w:tmpl w:val="BF7C9056"/>
    <w:lvl w:ilvl="0" w:tplc="3CDEA40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  <w:color w:val="auto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 w15:restartNumberingAfterBreak="0">
    <w:nsid w:val="7B9A162D"/>
    <w:multiLevelType w:val="hybridMultilevel"/>
    <w:tmpl w:val="CA0A6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A46D3"/>
    <w:multiLevelType w:val="hybridMultilevel"/>
    <w:tmpl w:val="342CD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19"/>
  </w:num>
  <w:num w:numId="5">
    <w:abstractNumId w:val="20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  <w:num w:numId="11">
    <w:abstractNumId w:val="21"/>
  </w:num>
  <w:num w:numId="12">
    <w:abstractNumId w:val="22"/>
  </w:num>
  <w:num w:numId="13">
    <w:abstractNumId w:val="17"/>
  </w:num>
  <w:num w:numId="14">
    <w:abstractNumId w:val="14"/>
  </w:num>
  <w:num w:numId="15">
    <w:abstractNumId w:val="0"/>
  </w:num>
  <w:num w:numId="16">
    <w:abstractNumId w:val="11"/>
  </w:num>
  <w:num w:numId="17">
    <w:abstractNumId w:val="4"/>
  </w:num>
  <w:num w:numId="18">
    <w:abstractNumId w:val="2"/>
  </w:num>
  <w:num w:numId="19">
    <w:abstractNumId w:val="13"/>
  </w:num>
  <w:num w:numId="20">
    <w:abstractNumId w:val="12"/>
  </w:num>
  <w:num w:numId="21">
    <w:abstractNumId w:val="10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CA"/>
    <w:rsid w:val="0000472F"/>
    <w:rsid w:val="00005846"/>
    <w:rsid w:val="000064EF"/>
    <w:rsid w:val="00012270"/>
    <w:rsid w:val="00013669"/>
    <w:rsid w:val="00016766"/>
    <w:rsid w:val="0002637F"/>
    <w:rsid w:val="000274D8"/>
    <w:rsid w:val="000512AA"/>
    <w:rsid w:val="000514B4"/>
    <w:rsid w:val="00054B9B"/>
    <w:rsid w:val="00056268"/>
    <w:rsid w:val="000570AF"/>
    <w:rsid w:val="00061C9A"/>
    <w:rsid w:val="0006391A"/>
    <w:rsid w:val="00070342"/>
    <w:rsid w:val="00085618"/>
    <w:rsid w:val="0008607D"/>
    <w:rsid w:val="000912E3"/>
    <w:rsid w:val="00097533"/>
    <w:rsid w:val="00097903"/>
    <w:rsid w:val="000A24BF"/>
    <w:rsid w:val="000B7A45"/>
    <w:rsid w:val="000B7B60"/>
    <w:rsid w:val="000C4E58"/>
    <w:rsid w:val="000C5A61"/>
    <w:rsid w:val="000D57B0"/>
    <w:rsid w:val="000E072E"/>
    <w:rsid w:val="000F1698"/>
    <w:rsid w:val="000F4AA9"/>
    <w:rsid w:val="00101FA4"/>
    <w:rsid w:val="00104D92"/>
    <w:rsid w:val="00105E69"/>
    <w:rsid w:val="00121245"/>
    <w:rsid w:val="001303E5"/>
    <w:rsid w:val="00130987"/>
    <w:rsid w:val="001329EC"/>
    <w:rsid w:val="00134644"/>
    <w:rsid w:val="00137F86"/>
    <w:rsid w:val="00143435"/>
    <w:rsid w:val="0015405A"/>
    <w:rsid w:val="0016586D"/>
    <w:rsid w:val="001714AF"/>
    <w:rsid w:val="001745ED"/>
    <w:rsid w:val="00176C9D"/>
    <w:rsid w:val="001840ED"/>
    <w:rsid w:val="00190909"/>
    <w:rsid w:val="001A292C"/>
    <w:rsid w:val="001B094E"/>
    <w:rsid w:val="001B1B9E"/>
    <w:rsid w:val="001B6D4A"/>
    <w:rsid w:val="001D4763"/>
    <w:rsid w:val="001D4C6C"/>
    <w:rsid w:val="001D5C95"/>
    <w:rsid w:val="001D6C43"/>
    <w:rsid w:val="001D73DA"/>
    <w:rsid w:val="001E0069"/>
    <w:rsid w:val="001E59A2"/>
    <w:rsid w:val="001E6EEF"/>
    <w:rsid w:val="001F2DFE"/>
    <w:rsid w:val="002357A2"/>
    <w:rsid w:val="00235BDC"/>
    <w:rsid w:val="00252BCE"/>
    <w:rsid w:val="0025738A"/>
    <w:rsid w:val="002573A0"/>
    <w:rsid w:val="00257475"/>
    <w:rsid w:val="00260981"/>
    <w:rsid w:val="00265E00"/>
    <w:rsid w:val="002753E1"/>
    <w:rsid w:val="0028125E"/>
    <w:rsid w:val="002A487E"/>
    <w:rsid w:val="002A56A3"/>
    <w:rsid w:val="002B34C8"/>
    <w:rsid w:val="002D26A0"/>
    <w:rsid w:val="002D293B"/>
    <w:rsid w:val="002D6A51"/>
    <w:rsid w:val="002E1ED4"/>
    <w:rsid w:val="0031348B"/>
    <w:rsid w:val="0031798D"/>
    <w:rsid w:val="00317CB1"/>
    <w:rsid w:val="00324DA2"/>
    <w:rsid w:val="0033343C"/>
    <w:rsid w:val="00364C23"/>
    <w:rsid w:val="00376A66"/>
    <w:rsid w:val="00382839"/>
    <w:rsid w:val="003829D1"/>
    <w:rsid w:val="0038365B"/>
    <w:rsid w:val="0039B0BD"/>
    <w:rsid w:val="003A598C"/>
    <w:rsid w:val="003C2A53"/>
    <w:rsid w:val="003D4757"/>
    <w:rsid w:val="003D7948"/>
    <w:rsid w:val="003E345B"/>
    <w:rsid w:val="003E753C"/>
    <w:rsid w:val="003F129D"/>
    <w:rsid w:val="00411F9B"/>
    <w:rsid w:val="0041412F"/>
    <w:rsid w:val="00415E1C"/>
    <w:rsid w:val="00416BDC"/>
    <w:rsid w:val="0044249F"/>
    <w:rsid w:val="00443AF1"/>
    <w:rsid w:val="004441DC"/>
    <w:rsid w:val="004616FB"/>
    <w:rsid w:val="0046235B"/>
    <w:rsid w:val="004664B1"/>
    <w:rsid w:val="00472877"/>
    <w:rsid w:val="00473860"/>
    <w:rsid w:val="00475D93"/>
    <w:rsid w:val="0048399D"/>
    <w:rsid w:val="00483FA6"/>
    <w:rsid w:val="00484E0E"/>
    <w:rsid w:val="00496D2D"/>
    <w:rsid w:val="004B73B0"/>
    <w:rsid w:val="004C136B"/>
    <w:rsid w:val="004C6F9F"/>
    <w:rsid w:val="004D1430"/>
    <w:rsid w:val="004D65F8"/>
    <w:rsid w:val="004E0C8A"/>
    <w:rsid w:val="004F25F4"/>
    <w:rsid w:val="004F4A17"/>
    <w:rsid w:val="004F6763"/>
    <w:rsid w:val="00510681"/>
    <w:rsid w:val="00512F6D"/>
    <w:rsid w:val="0051467D"/>
    <w:rsid w:val="005223A7"/>
    <w:rsid w:val="00533A5F"/>
    <w:rsid w:val="0053427F"/>
    <w:rsid w:val="0054783E"/>
    <w:rsid w:val="00547DAE"/>
    <w:rsid w:val="005508F7"/>
    <w:rsid w:val="00551E49"/>
    <w:rsid w:val="0055373A"/>
    <w:rsid w:val="00566304"/>
    <w:rsid w:val="00574D0B"/>
    <w:rsid w:val="0058205D"/>
    <w:rsid w:val="00594796"/>
    <w:rsid w:val="0059723C"/>
    <w:rsid w:val="005A3BE9"/>
    <w:rsid w:val="005B5584"/>
    <w:rsid w:val="005B7A92"/>
    <w:rsid w:val="005C4E9D"/>
    <w:rsid w:val="005D18AA"/>
    <w:rsid w:val="005D7BAA"/>
    <w:rsid w:val="005D7D16"/>
    <w:rsid w:val="005E05DE"/>
    <w:rsid w:val="005E0BCD"/>
    <w:rsid w:val="005E1771"/>
    <w:rsid w:val="005E2CDE"/>
    <w:rsid w:val="005E40C8"/>
    <w:rsid w:val="005E50DB"/>
    <w:rsid w:val="005F3A64"/>
    <w:rsid w:val="006012E4"/>
    <w:rsid w:val="006029C1"/>
    <w:rsid w:val="0061242D"/>
    <w:rsid w:val="00612A63"/>
    <w:rsid w:val="00613442"/>
    <w:rsid w:val="00621D16"/>
    <w:rsid w:val="00641B9C"/>
    <w:rsid w:val="00644A9C"/>
    <w:rsid w:val="00646F79"/>
    <w:rsid w:val="006511F7"/>
    <w:rsid w:val="006515AC"/>
    <w:rsid w:val="0065296F"/>
    <w:rsid w:val="006551D6"/>
    <w:rsid w:val="00655807"/>
    <w:rsid w:val="0066071B"/>
    <w:rsid w:val="00660FCA"/>
    <w:rsid w:val="00663E7E"/>
    <w:rsid w:val="00664AA0"/>
    <w:rsid w:val="00667025"/>
    <w:rsid w:val="00680B3C"/>
    <w:rsid w:val="00684DDD"/>
    <w:rsid w:val="00691CA8"/>
    <w:rsid w:val="00694851"/>
    <w:rsid w:val="006B1ACD"/>
    <w:rsid w:val="006B1F12"/>
    <w:rsid w:val="006B2239"/>
    <w:rsid w:val="006C4EB7"/>
    <w:rsid w:val="006F1A50"/>
    <w:rsid w:val="006F27AA"/>
    <w:rsid w:val="006F7C52"/>
    <w:rsid w:val="00710F01"/>
    <w:rsid w:val="007136CF"/>
    <w:rsid w:val="00713947"/>
    <w:rsid w:val="00715889"/>
    <w:rsid w:val="0072242A"/>
    <w:rsid w:val="00735D3E"/>
    <w:rsid w:val="007363EB"/>
    <w:rsid w:val="00740B78"/>
    <w:rsid w:val="00744851"/>
    <w:rsid w:val="00746348"/>
    <w:rsid w:val="007472B5"/>
    <w:rsid w:val="00751052"/>
    <w:rsid w:val="00763E3B"/>
    <w:rsid w:val="00781C92"/>
    <w:rsid w:val="007879BB"/>
    <w:rsid w:val="00790D04"/>
    <w:rsid w:val="007910D4"/>
    <w:rsid w:val="007959BD"/>
    <w:rsid w:val="007A75B8"/>
    <w:rsid w:val="007C0B7B"/>
    <w:rsid w:val="007C1ADA"/>
    <w:rsid w:val="007C1EC3"/>
    <w:rsid w:val="007D4A39"/>
    <w:rsid w:val="007E5F3A"/>
    <w:rsid w:val="007F0813"/>
    <w:rsid w:val="00801B71"/>
    <w:rsid w:val="00804B78"/>
    <w:rsid w:val="0080597E"/>
    <w:rsid w:val="00805C77"/>
    <w:rsid w:val="00814179"/>
    <w:rsid w:val="008174A2"/>
    <w:rsid w:val="0082004C"/>
    <w:rsid w:val="00820410"/>
    <w:rsid w:val="00827690"/>
    <w:rsid w:val="00832F86"/>
    <w:rsid w:val="00847C6E"/>
    <w:rsid w:val="00854BA8"/>
    <w:rsid w:val="008600B0"/>
    <w:rsid w:val="00866293"/>
    <w:rsid w:val="008678EA"/>
    <w:rsid w:val="00870A05"/>
    <w:rsid w:val="00871830"/>
    <w:rsid w:val="0088193C"/>
    <w:rsid w:val="00883334"/>
    <w:rsid w:val="00886415"/>
    <w:rsid w:val="008877C7"/>
    <w:rsid w:val="008928D5"/>
    <w:rsid w:val="008C33C3"/>
    <w:rsid w:val="008D36C4"/>
    <w:rsid w:val="008D6FB8"/>
    <w:rsid w:val="008E013F"/>
    <w:rsid w:val="008E1DBC"/>
    <w:rsid w:val="008F4259"/>
    <w:rsid w:val="009013D0"/>
    <w:rsid w:val="00905C18"/>
    <w:rsid w:val="00921A63"/>
    <w:rsid w:val="0092772A"/>
    <w:rsid w:val="00933520"/>
    <w:rsid w:val="00944C30"/>
    <w:rsid w:val="00945094"/>
    <w:rsid w:val="00945C92"/>
    <w:rsid w:val="00952BD8"/>
    <w:rsid w:val="00952F60"/>
    <w:rsid w:val="00952F82"/>
    <w:rsid w:val="0095487F"/>
    <w:rsid w:val="00965D4E"/>
    <w:rsid w:val="00970023"/>
    <w:rsid w:val="00970C3F"/>
    <w:rsid w:val="009767A0"/>
    <w:rsid w:val="00981C80"/>
    <w:rsid w:val="00991480"/>
    <w:rsid w:val="0099171B"/>
    <w:rsid w:val="009939F2"/>
    <w:rsid w:val="009A1C76"/>
    <w:rsid w:val="009B0377"/>
    <w:rsid w:val="009B599C"/>
    <w:rsid w:val="009B6E33"/>
    <w:rsid w:val="009C1475"/>
    <w:rsid w:val="009C304F"/>
    <w:rsid w:val="009D6100"/>
    <w:rsid w:val="009E3E3D"/>
    <w:rsid w:val="009E7E7F"/>
    <w:rsid w:val="009F06B5"/>
    <w:rsid w:val="009F3EBC"/>
    <w:rsid w:val="009F4EAF"/>
    <w:rsid w:val="00A102BC"/>
    <w:rsid w:val="00A14D05"/>
    <w:rsid w:val="00A2041D"/>
    <w:rsid w:val="00A20E18"/>
    <w:rsid w:val="00A22E2F"/>
    <w:rsid w:val="00A33125"/>
    <w:rsid w:val="00A37A18"/>
    <w:rsid w:val="00A40A0B"/>
    <w:rsid w:val="00A419B5"/>
    <w:rsid w:val="00A41A0B"/>
    <w:rsid w:val="00A45BC6"/>
    <w:rsid w:val="00A5100F"/>
    <w:rsid w:val="00A5438F"/>
    <w:rsid w:val="00A56796"/>
    <w:rsid w:val="00A7195C"/>
    <w:rsid w:val="00A73063"/>
    <w:rsid w:val="00A7328D"/>
    <w:rsid w:val="00A74B20"/>
    <w:rsid w:val="00A94E80"/>
    <w:rsid w:val="00A97361"/>
    <w:rsid w:val="00AA1617"/>
    <w:rsid w:val="00AA717F"/>
    <w:rsid w:val="00AB0C52"/>
    <w:rsid w:val="00AB5B79"/>
    <w:rsid w:val="00AC2623"/>
    <w:rsid w:val="00AC7374"/>
    <w:rsid w:val="00AD2F70"/>
    <w:rsid w:val="00AD5FF9"/>
    <w:rsid w:val="00B07BAA"/>
    <w:rsid w:val="00B20F24"/>
    <w:rsid w:val="00B23172"/>
    <w:rsid w:val="00B25931"/>
    <w:rsid w:val="00B269D1"/>
    <w:rsid w:val="00B30294"/>
    <w:rsid w:val="00B50320"/>
    <w:rsid w:val="00B6142D"/>
    <w:rsid w:val="00B63EBA"/>
    <w:rsid w:val="00B6655B"/>
    <w:rsid w:val="00B70700"/>
    <w:rsid w:val="00B74D06"/>
    <w:rsid w:val="00B76F60"/>
    <w:rsid w:val="00B8281B"/>
    <w:rsid w:val="00B9459B"/>
    <w:rsid w:val="00B968E3"/>
    <w:rsid w:val="00BA4BEB"/>
    <w:rsid w:val="00BB0977"/>
    <w:rsid w:val="00BC6590"/>
    <w:rsid w:val="00BD1C28"/>
    <w:rsid w:val="00BE6EBE"/>
    <w:rsid w:val="00BF17DC"/>
    <w:rsid w:val="00BF20AA"/>
    <w:rsid w:val="00C0055D"/>
    <w:rsid w:val="00C035BD"/>
    <w:rsid w:val="00C037E3"/>
    <w:rsid w:val="00C16562"/>
    <w:rsid w:val="00C2133A"/>
    <w:rsid w:val="00C30E9E"/>
    <w:rsid w:val="00C35AA9"/>
    <w:rsid w:val="00C37832"/>
    <w:rsid w:val="00C47C98"/>
    <w:rsid w:val="00C514FE"/>
    <w:rsid w:val="00C5464D"/>
    <w:rsid w:val="00C562EE"/>
    <w:rsid w:val="00C57F95"/>
    <w:rsid w:val="00C67A07"/>
    <w:rsid w:val="00C735C5"/>
    <w:rsid w:val="00C7381A"/>
    <w:rsid w:val="00C7502E"/>
    <w:rsid w:val="00C86FCA"/>
    <w:rsid w:val="00C90B51"/>
    <w:rsid w:val="00C912DE"/>
    <w:rsid w:val="00C945E7"/>
    <w:rsid w:val="00C95045"/>
    <w:rsid w:val="00C96428"/>
    <w:rsid w:val="00CA1D73"/>
    <w:rsid w:val="00CB2C28"/>
    <w:rsid w:val="00CC7466"/>
    <w:rsid w:val="00CD5BEB"/>
    <w:rsid w:val="00CE04D5"/>
    <w:rsid w:val="00CE770A"/>
    <w:rsid w:val="00CF1D16"/>
    <w:rsid w:val="00CF4A38"/>
    <w:rsid w:val="00CF6162"/>
    <w:rsid w:val="00CF7846"/>
    <w:rsid w:val="00D00249"/>
    <w:rsid w:val="00D01542"/>
    <w:rsid w:val="00D10615"/>
    <w:rsid w:val="00D12C25"/>
    <w:rsid w:val="00D24439"/>
    <w:rsid w:val="00D2680C"/>
    <w:rsid w:val="00D52462"/>
    <w:rsid w:val="00D60BD2"/>
    <w:rsid w:val="00D7285F"/>
    <w:rsid w:val="00D93537"/>
    <w:rsid w:val="00D95285"/>
    <w:rsid w:val="00D97A45"/>
    <w:rsid w:val="00DA3D4F"/>
    <w:rsid w:val="00DA4750"/>
    <w:rsid w:val="00DA6069"/>
    <w:rsid w:val="00DC49C0"/>
    <w:rsid w:val="00DD76C5"/>
    <w:rsid w:val="00DE05D2"/>
    <w:rsid w:val="00E03DB6"/>
    <w:rsid w:val="00E05470"/>
    <w:rsid w:val="00E06BE0"/>
    <w:rsid w:val="00E14683"/>
    <w:rsid w:val="00E2345E"/>
    <w:rsid w:val="00E31E0E"/>
    <w:rsid w:val="00E455EF"/>
    <w:rsid w:val="00E54785"/>
    <w:rsid w:val="00E62706"/>
    <w:rsid w:val="00E67CEE"/>
    <w:rsid w:val="00E723F1"/>
    <w:rsid w:val="00E742C9"/>
    <w:rsid w:val="00E82964"/>
    <w:rsid w:val="00E83186"/>
    <w:rsid w:val="00E86F77"/>
    <w:rsid w:val="00E8717A"/>
    <w:rsid w:val="00E87316"/>
    <w:rsid w:val="00E9142E"/>
    <w:rsid w:val="00EA2E51"/>
    <w:rsid w:val="00EA4EDB"/>
    <w:rsid w:val="00EB4158"/>
    <w:rsid w:val="00EC3857"/>
    <w:rsid w:val="00ED333B"/>
    <w:rsid w:val="00EE2FD8"/>
    <w:rsid w:val="00EE72BD"/>
    <w:rsid w:val="00EF0AE0"/>
    <w:rsid w:val="00EF6B33"/>
    <w:rsid w:val="00F05273"/>
    <w:rsid w:val="00F11978"/>
    <w:rsid w:val="00F2487A"/>
    <w:rsid w:val="00F2619A"/>
    <w:rsid w:val="00F3341F"/>
    <w:rsid w:val="00F3629C"/>
    <w:rsid w:val="00F36F52"/>
    <w:rsid w:val="00F47022"/>
    <w:rsid w:val="00F472DC"/>
    <w:rsid w:val="00F54667"/>
    <w:rsid w:val="00F81B45"/>
    <w:rsid w:val="00F90E0C"/>
    <w:rsid w:val="00F911AC"/>
    <w:rsid w:val="00F93B67"/>
    <w:rsid w:val="00F96CC1"/>
    <w:rsid w:val="00FB298B"/>
    <w:rsid w:val="00FB3D3B"/>
    <w:rsid w:val="00FC2B0B"/>
    <w:rsid w:val="00FD58D0"/>
    <w:rsid w:val="00FE19D3"/>
    <w:rsid w:val="00FE281C"/>
    <w:rsid w:val="00FF569B"/>
    <w:rsid w:val="00FF6888"/>
    <w:rsid w:val="0AAD4293"/>
    <w:rsid w:val="109738C9"/>
    <w:rsid w:val="224595ED"/>
    <w:rsid w:val="227D55A9"/>
    <w:rsid w:val="23FF05F9"/>
    <w:rsid w:val="25DE732B"/>
    <w:rsid w:val="2842E577"/>
    <w:rsid w:val="2959C45E"/>
    <w:rsid w:val="31B10976"/>
    <w:rsid w:val="376246FD"/>
    <w:rsid w:val="38B619FC"/>
    <w:rsid w:val="3B26B0EB"/>
    <w:rsid w:val="436D6F20"/>
    <w:rsid w:val="437AB2C0"/>
    <w:rsid w:val="450206D1"/>
    <w:rsid w:val="47DE4ACE"/>
    <w:rsid w:val="488AC803"/>
    <w:rsid w:val="4E31327D"/>
    <w:rsid w:val="4E91106D"/>
    <w:rsid w:val="50EF4508"/>
    <w:rsid w:val="5111A7DA"/>
    <w:rsid w:val="544E9762"/>
    <w:rsid w:val="581FD2AC"/>
    <w:rsid w:val="5AB68F5A"/>
    <w:rsid w:val="5BBDA0B6"/>
    <w:rsid w:val="5CDC7F29"/>
    <w:rsid w:val="62D465AF"/>
    <w:rsid w:val="68C66FBB"/>
    <w:rsid w:val="6B72BEF2"/>
    <w:rsid w:val="6C482CF7"/>
    <w:rsid w:val="706E842B"/>
    <w:rsid w:val="73C302BB"/>
    <w:rsid w:val="7403ED9D"/>
    <w:rsid w:val="74AE19F8"/>
    <w:rsid w:val="75FFFD57"/>
    <w:rsid w:val="76076F6C"/>
    <w:rsid w:val="76FCC4D1"/>
    <w:rsid w:val="7713573D"/>
    <w:rsid w:val="782F4465"/>
    <w:rsid w:val="79A0CE7A"/>
    <w:rsid w:val="7ABA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A9157"/>
  <w15:chartTrackingRefBased/>
  <w15:docId w15:val="{69997A6C-8EEA-425D-8365-8B6A1CF7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6C4E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4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7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790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79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7903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034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7034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70342"/>
    <w:rPr>
      <w:vertAlign w:val="superscript"/>
    </w:rPr>
  </w:style>
  <w:style w:type="character" w:styleId="Hipercze">
    <w:name w:val="Hyperlink"/>
    <w:unhideWhenUsed/>
    <w:rsid w:val="009D6100"/>
    <w:rPr>
      <w:color w:val="0000FF"/>
      <w:u w:val="single"/>
    </w:rPr>
  </w:style>
  <w:style w:type="character" w:customStyle="1" w:styleId="Nagwek4Znak">
    <w:name w:val="Nagłówek 4 Znak"/>
    <w:link w:val="Nagwek4"/>
    <w:uiPriority w:val="9"/>
    <w:rsid w:val="006C4EB7"/>
    <w:rPr>
      <w:rFonts w:ascii="Times New Roman" w:eastAsia="Times New Roman" w:hAnsi="Times New Roman"/>
      <w:b/>
      <w:bCs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410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715889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911AC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Normalny1">
    <w:name w:val="Normalny1"/>
    <w:basedOn w:val="Normalny"/>
    <w:rsid w:val="00F91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6B1ACD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9090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LITlitera">
    <w:name w:val="LIT – litera"/>
    <w:basedOn w:val="Normalny"/>
    <w:uiPriority w:val="14"/>
    <w:qFormat/>
    <w:rsid w:val="00190909"/>
    <w:pPr>
      <w:spacing w:after="0" w:line="360" w:lineRule="auto"/>
      <w:ind w:left="986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LITLITzmlitliter">
    <w:name w:val="Z_LIT/LIT – zm. lit. literą"/>
    <w:basedOn w:val="LITlitera"/>
    <w:uiPriority w:val="48"/>
    <w:qFormat/>
    <w:rsid w:val="00190909"/>
    <w:pPr>
      <w:ind w:left="1463"/>
    </w:pPr>
  </w:style>
  <w:style w:type="paragraph" w:customStyle="1" w:styleId="PKTpunkt">
    <w:name w:val="PKT – punkt"/>
    <w:uiPriority w:val="13"/>
    <w:qFormat/>
    <w:rsid w:val="005D18A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0512A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8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8E3"/>
    <w:rPr>
      <w:b/>
      <w:bCs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2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TXT/?uri=CELEX:52020DC03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klimat/podpisanie-listu-intencyjnego-o-ustanowieniu-partnerstwa-na-rzecz-budowy-gospodarki-wodorowe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D0D10-F7EA-4C09-84B8-B184542A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1473</Words>
  <Characters>8840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Zawadzka-Stępniak</dc:creator>
  <cp:keywords/>
  <dc:description/>
  <cp:lastModifiedBy>Sylwia Górecka</cp:lastModifiedBy>
  <cp:revision>2</cp:revision>
  <dcterms:created xsi:type="dcterms:W3CDTF">2021-01-08T14:36:00Z</dcterms:created>
  <dcterms:modified xsi:type="dcterms:W3CDTF">2021-01-08T14:36:00Z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