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93EB" w14:textId="77777777" w:rsidR="00525BE4" w:rsidRPr="001F7A28" w:rsidRDefault="00525BE4" w:rsidP="0040511A">
      <w:pPr>
        <w:tabs>
          <w:tab w:val="right" w:pos="10206"/>
        </w:tabs>
        <w:ind w:right="56"/>
        <w:rPr>
          <w:rFonts w:asciiTheme="minorHAnsi" w:hAnsiTheme="minorHAnsi" w:cstheme="minorHAnsi"/>
          <w:noProof/>
          <w:color w:val="0D0D0D" w:themeColor="text1" w:themeTint="F2"/>
          <w:sz w:val="22"/>
          <w:szCs w:val="22"/>
        </w:rPr>
      </w:pPr>
    </w:p>
    <w:p w14:paraId="3F69718B" w14:textId="6F2FE1EE" w:rsidR="001D720D" w:rsidRDefault="00532959" w:rsidP="002F28C0">
      <w:pPr>
        <w:tabs>
          <w:tab w:val="right" w:pos="10206"/>
        </w:tabs>
        <w:ind w:left="567" w:right="56"/>
        <w:jc w:val="right"/>
        <w:rPr>
          <w:rFonts w:asciiTheme="minorHAnsi" w:hAnsiTheme="minorHAnsi" w:cstheme="minorHAnsi"/>
          <w:noProof/>
          <w:sz w:val="22"/>
          <w:szCs w:val="22"/>
        </w:rPr>
      </w:pPr>
      <w:r w:rsidRPr="00044AE9">
        <w:rPr>
          <w:rFonts w:asciiTheme="minorHAnsi" w:hAnsiTheme="minorHAnsi" w:cstheme="minorHAnsi"/>
          <w:noProof/>
          <w:sz w:val="22"/>
          <w:szCs w:val="22"/>
        </w:rPr>
        <w:t>Warszawa</w:t>
      </w:r>
      <w:r w:rsidR="00723D50" w:rsidRPr="00044AE9">
        <w:rPr>
          <w:rFonts w:asciiTheme="minorHAnsi" w:hAnsiTheme="minorHAnsi" w:cstheme="minorHAnsi"/>
          <w:noProof/>
          <w:sz w:val="22"/>
          <w:szCs w:val="22"/>
        </w:rPr>
        <w:t xml:space="preserve">, </w:t>
      </w:r>
      <w:r w:rsidR="007255C5">
        <w:rPr>
          <w:rFonts w:asciiTheme="minorHAnsi" w:hAnsiTheme="minorHAnsi" w:cstheme="minorHAnsi"/>
          <w:noProof/>
          <w:sz w:val="22"/>
          <w:szCs w:val="22"/>
        </w:rPr>
        <w:t>9</w:t>
      </w:r>
      <w:r w:rsidR="00DB77F1">
        <w:rPr>
          <w:rFonts w:asciiTheme="minorHAnsi" w:hAnsiTheme="minorHAnsi" w:cstheme="minorHAnsi"/>
          <w:noProof/>
          <w:sz w:val="22"/>
          <w:szCs w:val="22"/>
        </w:rPr>
        <w:t xml:space="preserve"> </w:t>
      </w:r>
      <w:r w:rsidR="004C603E">
        <w:rPr>
          <w:rFonts w:asciiTheme="minorHAnsi" w:hAnsiTheme="minorHAnsi" w:cstheme="minorHAnsi"/>
          <w:noProof/>
          <w:sz w:val="22"/>
          <w:szCs w:val="22"/>
        </w:rPr>
        <w:t>lutego</w:t>
      </w:r>
      <w:r w:rsidR="00A7505C" w:rsidRPr="00044AE9">
        <w:rPr>
          <w:rFonts w:asciiTheme="minorHAnsi" w:hAnsiTheme="minorHAnsi" w:cstheme="minorHAnsi"/>
          <w:noProof/>
          <w:sz w:val="22"/>
          <w:szCs w:val="22"/>
        </w:rPr>
        <w:t xml:space="preserve"> </w:t>
      </w:r>
      <w:r w:rsidR="00723D50" w:rsidRPr="00044AE9">
        <w:rPr>
          <w:rFonts w:asciiTheme="minorHAnsi" w:hAnsiTheme="minorHAnsi" w:cstheme="minorHAnsi"/>
          <w:noProof/>
          <w:sz w:val="22"/>
          <w:szCs w:val="22"/>
        </w:rPr>
        <w:t>20</w:t>
      </w:r>
      <w:r w:rsidR="001B5468" w:rsidRPr="00044AE9">
        <w:rPr>
          <w:rFonts w:asciiTheme="minorHAnsi" w:hAnsiTheme="minorHAnsi" w:cstheme="minorHAnsi"/>
          <w:noProof/>
          <w:sz w:val="22"/>
          <w:szCs w:val="22"/>
        </w:rPr>
        <w:t>2</w:t>
      </w:r>
      <w:r w:rsidR="00906BDC">
        <w:rPr>
          <w:rFonts w:asciiTheme="minorHAnsi" w:hAnsiTheme="minorHAnsi" w:cstheme="minorHAnsi"/>
          <w:noProof/>
          <w:sz w:val="22"/>
          <w:szCs w:val="22"/>
        </w:rPr>
        <w:t>1</w:t>
      </w:r>
      <w:r w:rsidR="0055384D" w:rsidRPr="00044AE9">
        <w:rPr>
          <w:rFonts w:asciiTheme="minorHAnsi" w:hAnsiTheme="minorHAnsi" w:cstheme="minorHAnsi"/>
          <w:noProof/>
          <w:sz w:val="22"/>
          <w:szCs w:val="22"/>
        </w:rPr>
        <w:t xml:space="preserve"> </w:t>
      </w:r>
      <w:r w:rsidR="00723D50" w:rsidRPr="00044AE9">
        <w:rPr>
          <w:rFonts w:asciiTheme="minorHAnsi" w:hAnsiTheme="minorHAnsi" w:cstheme="minorHAnsi"/>
          <w:noProof/>
          <w:sz w:val="22"/>
          <w:szCs w:val="22"/>
        </w:rPr>
        <w:t>r.</w:t>
      </w:r>
    </w:p>
    <w:p w14:paraId="1958AB2F" w14:textId="4131EDF1" w:rsidR="002F28C0" w:rsidRDefault="002F28C0" w:rsidP="002F28C0">
      <w:pPr>
        <w:tabs>
          <w:tab w:val="right" w:pos="10206"/>
        </w:tabs>
        <w:ind w:left="567" w:right="56"/>
        <w:jc w:val="right"/>
        <w:rPr>
          <w:rFonts w:asciiTheme="minorHAnsi" w:hAnsiTheme="minorHAnsi" w:cstheme="minorHAnsi"/>
          <w:noProof/>
          <w:sz w:val="22"/>
          <w:szCs w:val="22"/>
        </w:rPr>
      </w:pPr>
      <w:r>
        <w:rPr>
          <w:rFonts w:asciiTheme="minorHAnsi" w:hAnsiTheme="minorHAnsi" w:cstheme="minorHAnsi"/>
          <w:noProof/>
          <w:sz w:val="22"/>
          <w:szCs w:val="22"/>
        </w:rPr>
        <w:t>KL/61/40/AZ/2021</w:t>
      </w:r>
    </w:p>
    <w:p w14:paraId="5EDC36DF" w14:textId="77777777" w:rsidR="002F28C0" w:rsidRPr="00044AE9" w:rsidRDefault="002F28C0" w:rsidP="002F28C0">
      <w:pPr>
        <w:tabs>
          <w:tab w:val="right" w:pos="10206"/>
        </w:tabs>
        <w:ind w:left="567" w:right="56"/>
        <w:jc w:val="right"/>
        <w:rPr>
          <w:rFonts w:asciiTheme="minorHAnsi" w:hAnsiTheme="minorHAnsi" w:cstheme="minorHAnsi"/>
          <w:noProof/>
          <w:sz w:val="22"/>
          <w:szCs w:val="22"/>
        </w:rPr>
      </w:pPr>
    </w:p>
    <w:p w14:paraId="4B35ACCC" w14:textId="77777777" w:rsidR="001956B2" w:rsidRPr="00044AE9" w:rsidRDefault="001956B2" w:rsidP="002F28C0">
      <w:pPr>
        <w:tabs>
          <w:tab w:val="right" w:pos="10206"/>
        </w:tabs>
        <w:ind w:left="567" w:right="56"/>
        <w:rPr>
          <w:rFonts w:asciiTheme="minorHAnsi" w:hAnsiTheme="minorHAnsi" w:cstheme="minorHAnsi"/>
          <w:noProof/>
          <w:sz w:val="22"/>
          <w:szCs w:val="22"/>
        </w:rPr>
      </w:pPr>
    </w:p>
    <w:p w14:paraId="6532FD00" w14:textId="77777777" w:rsidR="001B5468" w:rsidRPr="00044AE9" w:rsidRDefault="001B5468" w:rsidP="002F28C0">
      <w:pPr>
        <w:tabs>
          <w:tab w:val="right" w:pos="10206"/>
        </w:tabs>
        <w:ind w:left="567" w:right="56"/>
        <w:rPr>
          <w:rFonts w:asciiTheme="minorHAnsi" w:hAnsiTheme="minorHAnsi" w:cstheme="minorHAnsi"/>
          <w:noProof/>
          <w:sz w:val="22"/>
          <w:szCs w:val="22"/>
        </w:rPr>
      </w:pPr>
    </w:p>
    <w:p w14:paraId="0C503D2E" w14:textId="77777777" w:rsidR="007B536A" w:rsidRPr="007B536A" w:rsidRDefault="007278A8" w:rsidP="002F28C0">
      <w:pPr>
        <w:spacing w:line="288" w:lineRule="auto"/>
        <w:ind w:left="567" w:right="57"/>
        <w:jc w:val="both"/>
        <w:rPr>
          <w:rFonts w:ascii="Calibri" w:hAnsi="Calibri" w:cs="Calibri"/>
          <w:bCs/>
          <w:color w:val="000000"/>
          <w:sz w:val="22"/>
          <w:szCs w:val="22"/>
        </w:rPr>
      </w:pPr>
      <w:r w:rsidRPr="007B536A">
        <w:rPr>
          <w:rFonts w:ascii="Calibri" w:hAnsi="Calibri" w:cs="Calibri"/>
          <w:bCs/>
          <w:color w:val="000000"/>
          <w:sz w:val="22"/>
          <w:szCs w:val="22"/>
        </w:rPr>
        <w:t>Pan</w:t>
      </w:r>
      <w:r w:rsidR="00DB77F1" w:rsidRPr="007B536A">
        <w:rPr>
          <w:rFonts w:ascii="Calibri" w:hAnsi="Calibri" w:cs="Calibri"/>
          <w:bCs/>
          <w:color w:val="000000"/>
          <w:sz w:val="22"/>
          <w:szCs w:val="22"/>
        </w:rPr>
        <w:t xml:space="preserve"> </w:t>
      </w:r>
    </w:p>
    <w:p w14:paraId="2C4863B5" w14:textId="7D47BC9D" w:rsidR="00DB77F1" w:rsidRPr="002F28C0" w:rsidRDefault="00DB77F1" w:rsidP="002F28C0">
      <w:pPr>
        <w:spacing w:line="288" w:lineRule="auto"/>
        <w:ind w:left="567" w:right="57"/>
        <w:jc w:val="both"/>
        <w:rPr>
          <w:rFonts w:ascii="Calibri" w:hAnsi="Calibri" w:cs="Calibri"/>
          <w:b/>
          <w:bCs/>
          <w:color w:val="000000"/>
          <w:sz w:val="22"/>
          <w:szCs w:val="22"/>
        </w:rPr>
      </w:pPr>
      <w:r w:rsidRPr="00B90939">
        <w:rPr>
          <w:rFonts w:ascii="Calibri" w:hAnsi="Calibri" w:cs="Calibri"/>
          <w:b/>
          <w:bCs/>
          <w:color w:val="000000"/>
          <w:sz w:val="22"/>
          <w:szCs w:val="22"/>
        </w:rPr>
        <w:t>Henryk Kowalczyk</w:t>
      </w:r>
    </w:p>
    <w:p w14:paraId="624BD581" w14:textId="209543D9" w:rsidR="00DB77F1" w:rsidRPr="00B90939" w:rsidRDefault="00DB77F1" w:rsidP="002F28C0">
      <w:pPr>
        <w:ind w:left="567"/>
        <w:jc w:val="both"/>
        <w:rPr>
          <w:rFonts w:asciiTheme="minorHAnsi" w:hAnsiTheme="minorHAnsi" w:cstheme="minorHAnsi"/>
          <w:sz w:val="22"/>
          <w:szCs w:val="22"/>
        </w:rPr>
      </w:pPr>
      <w:r w:rsidRPr="00B90939">
        <w:rPr>
          <w:rFonts w:ascii="Calibri" w:hAnsi="Calibri" w:cs="Calibri"/>
          <w:color w:val="000000"/>
          <w:sz w:val="22"/>
          <w:szCs w:val="22"/>
        </w:rPr>
        <w:t xml:space="preserve">Przewodniczący </w:t>
      </w:r>
      <w:r w:rsidRPr="00B90939">
        <w:rPr>
          <w:rFonts w:asciiTheme="minorHAnsi" w:hAnsiTheme="minorHAnsi" w:cstheme="minorHAnsi"/>
          <w:sz w:val="22"/>
          <w:szCs w:val="22"/>
        </w:rPr>
        <w:t>Komisji Finansów Publicznych</w:t>
      </w:r>
    </w:p>
    <w:p w14:paraId="553AB2BD" w14:textId="699A24CA" w:rsidR="00DB77F1" w:rsidRPr="00B90939" w:rsidRDefault="00DB77F1" w:rsidP="002F28C0">
      <w:pPr>
        <w:ind w:left="567"/>
        <w:jc w:val="both"/>
        <w:rPr>
          <w:rFonts w:asciiTheme="minorHAnsi" w:hAnsiTheme="minorHAnsi" w:cstheme="minorHAnsi"/>
          <w:sz w:val="22"/>
          <w:szCs w:val="22"/>
        </w:rPr>
      </w:pPr>
      <w:r w:rsidRPr="00B90939">
        <w:rPr>
          <w:rFonts w:asciiTheme="minorHAnsi" w:hAnsiTheme="minorHAnsi" w:cstheme="minorHAnsi"/>
          <w:sz w:val="22"/>
          <w:szCs w:val="22"/>
        </w:rPr>
        <w:t>Sejm RP</w:t>
      </w:r>
    </w:p>
    <w:p w14:paraId="30461B02" w14:textId="77777777" w:rsidR="00F122B2" w:rsidRDefault="00F122B2" w:rsidP="002F28C0">
      <w:pPr>
        <w:ind w:left="567"/>
        <w:jc w:val="both"/>
        <w:rPr>
          <w:rFonts w:asciiTheme="minorHAnsi" w:hAnsiTheme="minorHAnsi" w:cstheme="minorHAnsi"/>
          <w:sz w:val="22"/>
          <w:szCs w:val="22"/>
        </w:rPr>
      </w:pPr>
    </w:p>
    <w:p w14:paraId="1185DEC2" w14:textId="77777777" w:rsidR="002F28C0" w:rsidRPr="00B90939" w:rsidRDefault="002F28C0" w:rsidP="002F28C0">
      <w:pPr>
        <w:ind w:left="567"/>
        <w:jc w:val="both"/>
        <w:rPr>
          <w:rFonts w:asciiTheme="minorHAnsi" w:hAnsiTheme="minorHAnsi" w:cstheme="minorHAnsi"/>
          <w:sz w:val="22"/>
          <w:szCs w:val="22"/>
        </w:rPr>
      </w:pPr>
    </w:p>
    <w:p w14:paraId="1F6BD2AC" w14:textId="69FFB313" w:rsidR="008A1ECC" w:rsidRPr="002F28C0" w:rsidRDefault="002F28C0" w:rsidP="002F28C0">
      <w:pPr>
        <w:ind w:left="567"/>
        <w:jc w:val="both"/>
        <w:rPr>
          <w:rFonts w:asciiTheme="minorHAnsi" w:hAnsiTheme="minorHAnsi" w:cstheme="minorHAnsi"/>
          <w:i/>
          <w:sz w:val="22"/>
          <w:szCs w:val="22"/>
        </w:rPr>
      </w:pPr>
      <w:r w:rsidRPr="002F28C0">
        <w:rPr>
          <w:rFonts w:asciiTheme="minorHAnsi" w:hAnsiTheme="minorHAnsi" w:cstheme="minorHAnsi"/>
          <w:i/>
          <w:sz w:val="22"/>
          <w:szCs w:val="22"/>
        </w:rPr>
        <w:t>Szanowny Panie Przewodniczący,</w:t>
      </w:r>
    </w:p>
    <w:p w14:paraId="69793553" w14:textId="77777777" w:rsidR="002F28C0" w:rsidRPr="00B90939" w:rsidRDefault="002F28C0" w:rsidP="002F28C0">
      <w:pPr>
        <w:ind w:left="567"/>
        <w:jc w:val="both"/>
        <w:rPr>
          <w:rFonts w:asciiTheme="minorHAnsi" w:hAnsiTheme="minorHAnsi" w:cstheme="minorHAnsi"/>
          <w:sz w:val="22"/>
          <w:szCs w:val="22"/>
        </w:rPr>
      </w:pPr>
    </w:p>
    <w:p w14:paraId="573298E0" w14:textId="536D443A" w:rsidR="00DB0BB8" w:rsidRPr="00B90939" w:rsidRDefault="002F28C0" w:rsidP="002F28C0">
      <w:pPr>
        <w:ind w:left="567"/>
        <w:jc w:val="both"/>
        <w:rPr>
          <w:rFonts w:asciiTheme="minorHAnsi" w:hAnsiTheme="minorHAnsi" w:cstheme="minorHAnsi"/>
          <w:sz w:val="22"/>
          <w:szCs w:val="22"/>
        </w:rPr>
      </w:pPr>
      <w:r>
        <w:rPr>
          <w:rFonts w:asciiTheme="minorHAnsi" w:hAnsiTheme="minorHAnsi" w:cstheme="minorHAnsi"/>
          <w:sz w:val="22"/>
          <w:szCs w:val="22"/>
        </w:rPr>
        <w:t>w</w:t>
      </w:r>
      <w:r w:rsidR="00C00BA9" w:rsidRPr="00B90939">
        <w:rPr>
          <w:rFonts w:asciiTheme="minorHAnsi" w:hAnsiTheme="minorHAnsi" w:cstheme="minorHAnsi"/>
          <w:sz w:val="22"/>
          <w:szCs w:val="22"/>
        </w:rPr>
        <w:t xml:space="preserve"> związku z</w:t>
      </w:r>
      <w:r w:rsidR="004C603E" w:rsidRPr="00B90939">
        <w:rPr>
          <w:rFonts w:asciiTheme="minorHAnsi" w:hAnsiTheme="minorHAnsi" w:cstheme="minorHAnsi"/>
          <w:sz w:val="22"/>
          <w:szCs w:val="22"/>
        </w:rPr>
        <w:t xml:space="preserve">e skierowaniem </w:t>
      </w:r>
      <w:r w:rsidR="004C603E" w:rsidRPr="00B90939">
        <w:rPr>
          <w:rFonts w:asciiTheme="minorHAnsi" w:hAnsiTheme="minorHAnsi" w:cstheme="minorHAnsi"/>
          <w:i/>
          <w:iCs/>
          <w:sz w:val="22"/>
          <w:szCs w:val="22"/>
        </w:rPr>
        <w:t>rządowego projektu ustawy o zmianie ustawy o przeciwdziałaniu praniu pieniędzy oraz finansowaniu terroryzmu oraz niektórych innych ustaw (druk nr. 909)</w:t>
      </w:r>
      <w:r w:rsidR="004C603E" w:rsidRPr="00B90939">
        <w:rPr>
          <w:rFonts w:asciiTheme="minorHAnsi" w:hAnsiTheme="minorHAnsi" w:cstheme="minorHAnsi"/>
          <w:sz w:val="22"/>
          <w:szCs w:val="22"/>
        </w:rPr>
        <w:t xml:space="preserve"> do Komisji Finansów Publicznych, </w:t>
      </w:r>
      <w:r w:rsidR="00C00BA9" w:rsidRPr="00B90939">
        <w:rPr>
          <w:rFonts w:asciiTheme="minorHAnsi" w:hAnsiTheme="minorHAnsi" w:cstheme="minorHAnsi"/>
          <w:sz w:val="22"/>
          <w:szCs w:val="22"/>
        </w:rPr>
        <w:t xml:space="preserve">Konfederacja Lewiatan przedstawia </w:t>
      </w:r>
      <w:r w:rsidR="00F122B2" w:rsidRPr="00B90939">
        <w:rPr>
          <w:rFonts w:asciiTheme="minorHAnsi" w:hAnsiTheme="minorHAnsi" w:cstheme="minorHAnsi"/>
          <w:sz w:val="22"/>
          <w:szCs w:val="22"/>
        </w:rPr>
        <w:t>niniejsze stanowisko.</w:t>
      </w:r>
      <w:r w:rsidR="00C00BA9" w:rsidRPr="00B90939">
        <w:rPr>
          <w:rFonts w:asciiTheme="minorHAnsi" w:hAnsiTheme="minorHAnsi" w:cstheme="minorHAnsi"/>
          <w:sz w:val="22"/>
          <w:szCs w:val="22"/>
        </w:rPr>
        <w:t xml:space="preserve"> </w:t>
      </w:r>
    </w:p>
    <w:p w14:paraId="4B1FA6BC" w14:textId="77777777" w:rsidR="00C66601" w:rsidRPr="00B90939" w:rsidRDefault="00C66601" w:rsidP="002F28C0">
      <w:pPr>
        <w:tabs>
          <w:tab w:val="right" w:pos="10206"/>
        </w:tabs>
        <w:spacing w:line="320" w:lineRule="atLeast"/>
        <w:ind w:left="567" w:right="56"/>
        <w:jc w:val="both"/>
        <w:rPr>
          <w:rFonts w:asciiTheme="minorHAnsi" w:hAnsiTheme="minorHAnsi" w:cstheme="minorHAnsi"/>
          <w:sz w:val="22"/>
          <w:szCs w:val="22"/>
        </w:rPr>
      </w:pPr>
    </w:p>
    <w:p w14:paraId="184C6094" w14:textId="39F908DF" w:rsidR="00C66601" w:rsidRPr="00B90939" w:rsidRDefault="000430F5" w:rsidP="002F28C0">
      <w:pPr>
        <w:tabs>
          <w:tab w:val="right" w:pos="10206"/>
        </w:tabs>
        <w:spacing w:line="320" w:lineRule="atLeast"/>
        <w:ind w:left="567" w:right="56"/>
        <w:jc w:val="both"/>
        <w:rPr>
          <w:rFonts w:asciiTheme="minorHAnsi" w:hAnsiTheme="minorHAnsi" w:cstheme="minorHAnsi"/>
          <w:sz w:val="22"/>
          <w:szCs w:val="22"/>
        </w:rPr>
      </w:pPr>
      <w:r w:rsidRPr="00B90939">
        <w:rPr>
          <w:rFonts w:asciiTheme="minorHAnsi" w:hAnsiTheme="minorHAnsi" w:cstheme="minorHAnsi"/>
          <w:sz w:val="22"/>
          <w:szCs w:val="22"/>
        </w:rPr>
        <w:t>Uprzejmie proszę o zapoznanie się z</w:t>
      </w:r>
      <w:r w:rsidR="001B22A6" w:rsidRPr="00B90939">
        <w:rPr>
          <w:rFonts w:asciiTheme="minorHAnsi" w:hAnsiTheme="minorHAnsi" w:cstheme="minorHAnsi"/>
          <w:sz w:val="22"/>
          <w:szCs w:val="22"/>
        </w:rPr>
        <w:t xml:space="preserve"> przedstawionymi uwagami</w:t>
      </w:r>
      <w:r w:rsidRPr="00B90939">
        <w:rPr>
          <w:rFonts w:asciiTheme="minorHAnsi" w:hAnsiTheme="minorHAnsi" w:cstheme="minorHAnsi"/>
          <w:sz w:val="22"/>
          <w:szCs w:val="22"/>
        </w:rPr>
        <w:t xml:space="preserve"> oraz o rozważenie </w:t>
      </w:r>
      <w:r w:rsidR="001B22A6" w:rsidRPr="00B90939">
        <w:rPr>
          <w:rFonts w:asciiTheme="minorHAnsi" w:hAnsiTheme="minorHAnsi" w:cstheme="minorHAnsi"/>
          <w:sz w:val="22"/>
          <w:szCs w:val="22"/>
        </w:rPr>
        <w:t>ich</w:t>
      </w:r>
      <w:r w:rsidRPr="00B90939">
        <w:rPr>
          <w:rFonts w:asciiTheme="minorHAnsi" w:hAnsiTheme="minorHAnsi" w:cstheme="minorHAnsi"/>
          <w:sz w:val="22"/>
          <w:szCs w:val="22"/>
        </w:rPr>
        <w:t xml:space="preserve"> uwzględnienia </w:t>
      </w:r>
      <w:r w:rsidR="00DD1503">
        <w:rPr>
          <w:rFonts w:asciiTheme="minorHAnsi" w:hAnsiTheme="minorHAnsi" w:cstheme="minorHAnsi"/>
          <w:sz w:val="22"/>
          <w:szCs w:val="22"/>
        </w:rPr>
        <w:br/>
      </w:r>
      <w:r w:rsidRPr="00B90939">
        <w:rPr>
          <w:rFonts w:asciiTheme="minorHAnsi" w:hAnsiTheme="minorHAnsi" w:cstheme="minorHAnsi"/>
          <w:sz w:val="22"/>
          <w:szCs w:val="22"/>
        </w:rPr>
        <w:t>w toku prac nad wyżej wskazan</w:t>
      </w:r>
      <w:r w:rsidR="00F122B2" w:rsidRPr="00B90939">
        <w:rPr>
          <w:rFonts w:asciiTheme="minorHAnsi" w:hAnsiTheme="minorHAnsi" w:cstheme="minorHAnsi"/>
          <w:sz w:val="22"/>
          <w:szCs w:val="22"/>
        </w:rPr>
        <w:t xml:space="preserve">ym projektem </w:t>
      </w:r>
      <w:r w:rsidR="0091044D" w:rsidRPr="00B90939">
        <w:rPr>
          <w:rFonts w:asciiTheme="minorHAnsi" w:hAnsiTheme="minorHAnsi" w:cstheme="minorHAnsi"/>
          <w:sz w:val="22"/>
          <w:szCs w:val="22"/>
        </w:rPr>
        <w:t xml:space="preserve">ustawy. </w:t>
      </w:r>
    </w:p>
    <w:p w14:paraId="4521BEEB" w14:textId="77777777" w:rsidR="008D3D3C" w:rsidRDefault="008D3D3C" w:rsidP="002F28C0">
      <w:pPr>
        <w:tabs>
          <w:tab w:val="right" w:pos="10206"/>
        </w:tabs>
        <w:spacing w:line="320" w:lineRule="atLeast"/>
        <w:ind w:left="567" w:right="56"/>
        <w:jc w:val="both"/>
        <w:rPr>
          <w:rFonts w:asciiTheme="minorHAnsi" w:hAnsiTheme="minorHAnsi" w:cstheme="minorHAnsi"/>
          <w:sz w:val="22"/>
          <w:szCs w:val="22"/>
        </w:rPr>
      </w:pPr>
    </w:p>
    <w:p w14:paraId="21DF4BA6" w14:textId="5EB708EE" w:rsidR="002F28C0" w:rsidRPr="00B90939" w:rsidRDefault="00F43735" w:rsidP="002F28C0">
      <w:pPr>
        <w:tabs>
          <w:tab w:val="right" w:pos="10206"/>
        </w:tabs>
        <w:spacing w:line="320" w:lineRule="atLeast"/>
        <w:ind w:left="567" w:right="56"/>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1A6F0E88" wp14:editId="375AA9D2">
            <wp:simplePos x="0" y="0"/>
            <wp:positionH relativeFrom="column">
              <wp:posOffset>-34290</wp:posOffset>
            </wp:positionH>
            <wp:positionV relativeFrom="paragraph">
              <wp:posOffset>127000</wp:posOffset>
            </wp:positionV>
            <wp:extent cx="1390650" cy="1186273"/>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ciej Witucki.png"/>
                    <pic:cNvPicPr/>
                  </pic:nvPicPr>
                  <pic:blipFill>
                    <a:blip r:embed="rId8">
                      <a:extLst>
                        <a:ext uri="{28A0092B-C50C-407E-A947-70E740481C1C}">
                          <a14:useLocalDpi xmlns:a14="http://schemas.microsoft.com/office/drawing/2010/main" val="0"/>
                        </a:ext>
                      </a:extLst>
                    </a:blip>
                    <a:stretch>
                      <a:fillRect/>
                    </a:stretch>
                  </pic:blipFill>
                  <pic:spPr>
                    <a:xfrm>
                      <a:off x="0" y="0"/>
                      <a:ext cx="1390650" cy="1186273"/>
                    </a:xfrm>
                    <a:prstGeom prst="rect">
                      <a:avLst/>
                    </a:prstGeom>
                  </pic:spPr>
                </pic:pic>
              </a:graphicData>
            </a:graphic>
            <wp14:sizeRelH relativeFrom="margin">
              <wp14:pctWidth>0</wp14:pctWidth>
            </wp14:sizeRelH>
            <wp14:sizeRelV relativeFrom="margin">
              <wp14:pctHeight>0</wp14:pctHeight>
            </wp14:sizeRelV>
          </wp:anchor>
        </w:drawing>
      </w:r>
    </w:p>
    <w:p w14:paraId="3AA61D34" w14:textId="4DC6CD19" w:rsidR="00A7505C" w:rsidRPr="00B90939" w:rsidRDefault="00A7505C" w:rsidP="002F28C0">
      <w:pPr>
        <w:tabs>
          <w:tab w:val="right" w:pos="10206"/>
        </w:tabs>
        <w:spacing w:line="320" w:lineRule="atLeast"/>
        <w:ind w:left="567" w:right="56"/>
        <w:jc w:val="both"/>
        <w:rPr>
          <w:rFonts w:asciiTheme="minorHAnsi" w:hAnsiTheme="minorHAnsi" w:cstheme="minorHAnsi"/>
          <w:sz w:val="22"/>
          <w:szCs w:val="22"/>
        </w:rPr>
      </w:pPr>
      <w:r w:rsidRPr="00B90939">
        <w:rPr>
          <w:rFonts w:asciiTheme="minorHAnsi" w:hAnsiTheme="minorHAnsi" w:cstheme="minorHAnsi"/>
          <w:sz w:val="22"/>
          <w:szCs w:val="22"/>
        </w:rPr>
        <w:t>Z poważaniem,</w:t>
      </w:r>
    </w:p>
    <w:p w14:paraId="11BB39F2" w14:textId="103EAEE8" w:rsidR="00635012" w:rsidRDefault="00635012" w:rsidP="002F28C0">
      <w:pPr>
        <w:tabs>
          <w:tab w:val="right" w:pos="10206"/>
        </w:tabs>
        <w:spacing w:line="320" w:lineRule="atLeast"/>
        <w:ind w:left="567" w:right="56"/>
        <w:jc w:val="both"/>
        <w:rPr>
          <w:rFonts w:asciiTheme="minorHAnsi" w:hAnsiTheme="minorHAnsi" w:cstheme="minorHAnsi"/>
          <w:sz w:val="22"/>
          <w:szCs w:val="22"/>
        </w:rPr>
      </w:pPr>
    </w:p>
    <w:p w14:paraId="751FAD3B" w14:textId="7AD872A6" w:rsidR="00CC2823" w:rsidRPr="00B90939" w:rsidRDefault="00CC2823" w:rsidP="002F28C0">
      <w:pPr>
        <w:tabs>
          <w:tab w:val="right" w:pos="10206"/>
        </w:tabs>
        <w:spacing w:line="320" w:lineRule="atLeast"/>
        <w:ind w:left="567" w:right="56"/>
        <w:jc w:val="both"/>
        <w:rPr>
          <w:rFonts w:asciiTheme="minorHAnsi" w:hAnsiTheme="minorHAnsi" w:cstheme="minorHAnsi"/>
          <w:sz w:val="22"/>
          <w:szCs w:val="22"/>
        </w:rPr>
      </w:pPr>
    </w:p>
    <w:p w14:paraId="56AABB86" w14:textId="6064614E" w:rsidR="00EA156C" w:rsidRPr="00B90939" w:rsidRDefault="008D3D3C" w:rsidP="002F28C0">
      <w:pPr>
        <w:tabs>
          <w:tab w:val="right" w:pos="10206"/>
        </w:tabs>
        <w:spacing w:line="320" w:lineRule="atLeast"/>
        <w:ind w:left="567" w:right="56"/>
        <w:jc w:val="both"/>
        <w:rPr>
          <w:rFonts w:asciiTheme="minorHAnsi" w:hAnsiTheme="minorHAnsi" w:cstheme="minorHAnsi"/>
          <w:sz w:val="22"/>
          <w:szCs w:val="22"/>
        </w:rPr>
      </w:pPr>
      <w:r w:rsidRPr="00B90939">
        <w:rPr>
          <w:rFonts w:asciiTheme="minorHAnsi" w:hAnsiTheme="minorHAnsi" w:cstheme="minorHAnsi"/>
          <w:sz w:val="22"/>
          <w:szCs w:val="22"/>
        </w:rPr>
        <w:t>Maciej Witucki</w:t>
      </w:r>
    </w:p>
    <w:p w14:paraId="6EE8EFE0" w14:textId="40720B43" w:rsidR="002A4DD7" w:rsidRPr="00B90939" w:rsidRDefault="008A0C75" w:rsidP="002F28C0">
      <w:pPr>
        <w:tabs>
          <w:tab w:val="right" w:pos="10206"/>
        </w:tabs>
        <w:spacing w:line="320" w:lineRule="atLeast"/>
        <w:ind w:left="567" w:right="56"/>
        <w:jc w:val="both"/>
        <w:rPr>
          <w:rFonts w:asciiTheme="minorHAnsi" w:hAnsiTheme="minorHAnsi" w:cstheme="minorHAnsi"/>
          <w:sz w:val="22"/>
          <w:szCs w:val="22"/>
        </w:rPr>
      </w:pPr>
      <w:r w:rsidRPr="00B90939">
        <w:rPr>
          <w:rFonts w:asciiTheme="minorHAnsi" w:hAnsiTheme="minorHAnsi" w:cstheme="minorHAnsi"/>
          <w:sz w:val="22"/>
          <w:szCs w:val="22"/>
        </w:rPr>
        <w:t>Prezydent Konfederacji Lewiatan</w:t>
      </w:r>
    </w:p>
    <w:p w14:paraId="7947494D" w14:textId="00E71E5A" w:rsidR="00C66601" w:rsidRPr="00B90939" w:rsidRDefault="00C66601" w:rsidP="002F28C0">
      <w:pPr>
        <w:ind w:left="567"/>
        <w:jc w:val="both"/>
        <w:outlineLvl w:val="1"/>
        <w:rPr>
          <w:rFonts w:ascii="Tahoma" w:hAnsi="Tahoma" w:cs="Tahoma"/>
          <w:b/>
          <w:color w:val="000000"/>
          <w:sz w:val="22"/>
          <w:szCs w:val="22"/>
        </w:rPr>
      </w:pPr>
    </w:p>
    <w:p w14:paraId="2D24ED4A" w14:textId="1A94294C" w:rsidR="00C00BA9" w:rsidRPr="00B90939" w:rsidRDefault="00C00BA9" w:rsidP="002F28C0">
      <w:pPr>
        <w:tabs>
          <w:tab w:val="right" w:pos="10206"/>
        </w:tabs>
        <w:spacing w:after="120" w:line="276" w:lineRule="auto"/>
        <w:ind w:left="567" w:right="56"/>
        <w:rPr>
          <w:rFonts w:asciiTheme="minorHAnsi" w:eastAsia="Calibri" w:hAnsiTheme="minorHAnsi" w:cstheme="minorHAnsi"/>
          <w:b/>
          <w:sz w:val="22"/>
          <w:szCs w:val="22"/>
          <w:u w:color="000000"/>
          <w:bdr w:val="nil"/>
        </w:rPr>
      </w:pPr>
    </w:p>
    <w:p w14:paraId="091E481F" w14:textId="2792E166" w:rsidR="00C00BA9" w:rsidRPr="00B90939" w:rsidRDefault="00C00BA9" w:rsidP="002F28C0">
      <w:pPr>
        <w:tabs>
          <w:tab w:val="right" w:pos="10206"/>
        </w:tabs>
        <w:spacing w:after="120" w:line="276" w:lineRule="auto"/>
        <w:ind w:left="567" w:right="56"/>
        <w:rPr>
          <w:rFonts w:asciiTheme="minorHAnsi" w:eastAsia="Calibri" w:hAnsiTheme="minorHAnsi" w:cstheme="minorHAnsi"/>
          <w:b/>
          <w:sz w:val="22"/>
          <w:szCs w:val="22"/>
          <w:u w:color="000000"/>
          <w:bdr w:val="nil"/>
        </w:rPr>
      </w:pPr>
    </w:p>
    <w:p w14:paraId="4299801F" w14:textId="5AB0D764" w:rsidR="00C00BA9" w:rsidRPr="00B90939" w:rsidRDefault="00C00BA9" w:rsidP="002F28C0">
      <w:pPr>
        <w:tabs>
          <w:tab w:val="right" w:pos="10206"/>
        </w:tabs>
        <w:spacing w:after="120" w:line="276" w:lineRule="auto"/>
        <w:ind w:left="567" w:right="56"/>
        <w:rPr>
          <w:rFonts w:asciiTheme="minorHAnsi" w:eastAsia="Calibri" w:hAnsiTheme="minorHAnsi" w:cstheme="minorHAnsi"/>
          <w:b/>
          <w:sz w:val="22"/>
          <w:szCs w:val="22"/>
          <w:u w:color="000000"/>
          <w:bdr w:val="nil"/>
        </w:rPr>
      </w:pPr>
    </w:p>
    <w:p w14:paraId="26C72011" w14:textId="0163A308" w:rsidR="00C00BA9" w:rsidRPr="00B90939" w:rsidRDefault="00C00BA9" w:rsidP="002F28C0">
      <w:pPr>
        <w:tabs>
          <w:tab w:val="right" w:pos="10206"/>
        </w:tabs>
        <w:spacing w:after="120" w:line="276" w:lineRule="auto"/>
        <w:ind w:left="567" w:right="56"/>
        <w:rPr>
          <w:rFonts w:asciiTheme="minorHAnsi" w:eastAsia="Calibri" w:hAnsiTheme="minorHAnsi" w:cstheme="minorHAnsi"/>
          <w:b/>
          <w:sz w:val="22"/>
          <w:szCs w:val="22"/>
          <w:u w:color="000000"/>
          <w:bdr w:val="nil"/>
        </w:rPr>
      </w:pPr>
    </w:p>
    <w:p w14:paraId="0D5A1DC9" w14:textId="323658D7" w:rsidR="00C00BA9" w:rsidRPr="00B90939" w:rsidRDefault="00C00BA9" w:rsidP="002F28C0">
      <w:pPr>
        <w:tabs>
          <w:tab w:val="right" w:pos="10206"/>
        </w:tabs>
        <w:spacing w:after="120" w:line="276" w:lineRule="auto"/>
        <w:ind w:left="567" w:right="56"/>
        <w:rPr>
          <w:rFonts w:asciiTheme="minorHAnsi" w:eastAsia="Calibri" w:hAnsiTheme="minorHAnsi" w:cstheme="minorHAnsi"/>
          <w:b/>
          <w:sz w:val="22"/>
          <w:szCs w:val="22"/>
          <w:u w:color="000000"/>
          <w:bdr w:val="nil"/>
        </w:rPr>
      </w:pPr>
    </w:p>
    <w:p w14:paraId="73D329D9" w14:textId="77777777" w:rsidR="002F28C0" w:rsidRPr="00B90939" w:rsidRDefault="002F28C0" w:rsidP="002F28C0">
      <w:pPr>
        <w:tabs>
          <w:tab w:val="right" w:pos="10206"/>
        </w:tabs>
        <w:spacing w:after="120" w:line="276" w:lineRule="auto"/>
        <w:ind w:left="567" w:right="56"/>
        <w:rPr>
          <w:rFonts w:asciiTheme="minorHAnsi" w:eastAsia="Calibri" w:hAnsiTheme="minorHAnsi" w:cstheme="minorHAnsi"/>
          <w:b/>
          <w:sz w:val="22"/>
          <w:szCs w:val="22"/>
          <w:u w:color="000000"/>
          <w:bdr w:val="nil"/>
        </w:rPr>
      </w:pPr>
    </w:p>
    <w:p w14:paraId="3402D8E5" w14:textId="77777777" w:rsidR="00F122B2" w:rsidRPr="00B90939" w:rsidRDefault="00F122B2" w:rsidP="002F28C0">
      <w:pPr>
        <w:tabs>
          <w:tab w:val="right" w:pos="10206"/>
        </w:tabs>
        <w:spacing w:after="120" w:line="276" w:lineRule="auto"/>
        <w:ind w:left="567" w:right="56"/>
        <w:rPr>
          <w:rFonts w:asciiTheme="minorHAnsi" w:eastAsia="Calibri" w:hAnsiTheme="minorHAnsi" w:cstheme="minorHAnsi"/>
          <w:b/>
          <w:sz w:val="22"/>
          <w:szCs w:val="22"/>
          <w:u w:color="000000"/>
          <w:bdr w:val="nil"/>
        </w:rPr>
      </w:pPr>
    </w:p>
    <w:p w14:paraId="4D44668B" w14:textId="77777777" w:rsidR="002F28C0" w:rsidRPr="002F28C0" w:rsidRDefault="002F28C0" w:rsidP="002F28C0">
      <w:pPr>
        <w:tabs>
          <w:tab w:val="right" w:pos="10206"/>
        </w:tabs>
        <w:spacing w:line="276" w:lineRule="auto"/>
        <w:ind w:left="567" w:right="56"/>
        <w:jc w:val="both"/>
        <w:rPr>
          <w:rFonts w:asciiTheme="minorHAnsi" w:eastAsia="Calibri" w:hAnsiTheme="minorHAnsi" w:cstheme="minorHAnsi"/>
          <w:sz w:val="22"/>
          <w:szCs w:val="22"/>
          <w:u w:val="single"/>
          <w:bdr w:val="nil"/>
        </w:rPr>
      </w:pPr>
      <w:r w:rsidRPr="002F28C0">
        <w:rPr>
          <w:rFonts w:asciiTheme="minorHAnsi" w:eastAsia="Calibri" w:hAnsiTheme="minorHAnsi" w:cstheme="minorHAnsi"/>
          <w:sz w:val="22"/>
          <w:szCs w:val="22"/>
          <w:u w:val="single"/>
          <w:bdr w:val="nil"/>
        </w:rPr>
        <w:t>Załącznik</w:t>
      </w:r>
      <w:r w:rsidR="00C00BA9" w:rsidRPr="002F28C0">
        <w:rPr>
          <w:rFonts w:asciiTheme="minorHAnsi" w:eastAsia="Calibri" w:hAnsiTheme="minorHAnsi" w:cstheme="minorHAnsi"/>
          <w:sz w:val="22"/>
          <w:szCs w:val="22"/>
          <w:u w:val="single"/>
          <w:bdr w:val="nil"/>
        </w:rPr>
        <w:t xml:space="preserve">: </w:t>
      </w:r>
      <w:bookmarkStart w:id="0" w:name="_Hlk37771138"/>
      <w:bookmarkStart w:id="1" w:name="_Hlk51837052"/>
      <w:bookmarkStart w:id="2" w:name="_Hlk63365237"/>
    </w:p>
    <w:p w14:paraId="68614440" w14:textId="2C31B495" w:rsidR="0091044D" w:rsidRPr="002F28C0" w:rsidRDefault="00C00BA9" w:rsidP="002F28C0">
      <w:pPr>
        <w:tabs>
          <w:tab w:val="right" w:pos="10206"/>
        </w:tabs>
        <w:spacing w:line="276" w:lineRule="auto"/>
        <w:ind w:left="567" w:right="56"/>
        <w:jc w:val="both"/>
        <w:rPr>
          <w:rFonts w:asciiTheme="minorHAnsi" w:eastAsia="Calibri" w:hAnsiTheme="minorHAnsi" w:cstheme="minorHAnsi"/>
          <w:sz w:val="22"/>
          <w:szCs w:val="22"/>
          <w:u w:color="000000"/>
          <w:bdr w:val="nil"/>
        </w:rPr>
      </w:pPr>
      <w:r w:rsidRPr="002F28C0">
        <w:rPr>
          <w:rFonts w:asciiTheme="minorHAnsi" w:eastAsia="Calibri" w:hAnsiTheme="minorHAnsi" w:cstheme="minorHAnsi"/>
          <w:sz w:val="22"/>
          <w:szCs w:val="22"/>
          <w:u w:color="000000"/>
          <w:bdr w:val="nil"/>
        </w:rPr>
        <w:t xml:space="preserve">Stanowisko Konfederacji Lewiatan </w:t>
      </w:r>
      <w:r w:rsidR="00F122B2" w:rsidRPr="002F28C0">
        <w:rPr>
          <w:rFonts w:asciiTheme="minorHAnsi" w:eastAsia="Calibri" w:hAnsiTheme="minorHAnsi" w:cstheme="minorHAnsi"/>
          <w:sz w:val="22"/>
          <w:szCs w:val="22"/>
          <w:u w:color="000000"/>
          <w:bdr w:val="nil"/>
        </w:rPr>
        <w:t>w przedmiocie</w:t>
      </w:r>
      <w:bookmarkEnd w:id="0"/>
      <w:r w:rsidR="0091044D" w:rsidRPr="002F28C0">
        <w:rPr>
          <w:rFonts w:asciiTheme="minorHAnsi" w:eastAsia="Calibri" w:hAnsiTheme="minorHAnsi" w:cstheme="minorHAnsi"/>
          <w:sz w:val="22"/>
          <w:szCs w:val="22"/>
          <w:u w:color="000000"/>
          <w:bdr w:val="nil"/>
        </w:rPr>
        <w:t xml:space="preserve"> </w:t>
      </w:r>
      <w:bookmarkEnd w:id="1"/>
      <w:r w:rsidR="004C603E" w:rsidRPr="002F28C0">
        <w:rPr>
          <w:rFonts w:asciiTheme="minorHAnsi" w:eastAsia="Calibri" w:hAnsiTheme="minorHAnsi" w:cstheme="minorHAnsi"/>
          <w:sz w:val="22"/>
          <w:szCs w:val="22"/>
          <w:u w:color="000000"/>
          <w:bdr w:val="nil"/>
        </w:rPr>
        <w:t xml:space="preserve">rządowego projektu ustawy o zmianie ustawy </w:t>
      </w:r>
      <w:r w:rsidR="002F28C0">
        <w:rPr>
          <w:rFonts w:asciiTheme="minorHAnsi" w:eastAsia="Calibri" w:hAnsiTheme="minorHAnsi" w:cstheme="minorHAnsi"/>
          <w:sz w:val="22"/>
          <w:szCs w:val="22"/>
          <w:u w:color="000000"/>
          <w:bdr w:val="nil"/>
        </w:rPr>
        <w:br/>
      </w:r>
      <w:r w:rsidR="004C603E" w:rsidRPr="002F28C0">
        <w:rPr>
          <w:rFonts w:asciiTheme="minorHAnsi" w:eastAsia="Calibri" w:hAnsiTheme="minorHAnsi" w:cstheme="minorHAnsi"/>
          <w:sz w:val="22"/>
          <w:szCs w:val="22"/>
          <w:u w:color="000000"/>
          <w:bdr w:val="nil"/>
        </w:rPr>
        <w:t>o przeciwdziałaniu praniu pieniędzy oraz finansowaniu terroryzmu oraz niektórych innych ustaw (druk nr. 909)</w:t>
      </w:r>
      <w:r w:rsidR="00F43735">
        <w:rPr>
          <w:rFonts w:asciiTheme="minorHAnsi" w:eastAsia="Calibri" w:hAnsiTheme="minorHAnsi" w:cstheme="minorHAnsi"/>
          <w:sz w:val="22"/>
          <w:szCs w:val="22"/>
          <w:u w:color="000000"/>
          <w:bdr w:val="nil"/>
        </w:rPr>
        <w:t>.</w:t>
      </w:r>
    </w:p>
    <w:bookmarkEnd w:id="2"/>
    <w:p w14:paraId="4F3E5D81" w14:textId="0CC9E710" w:rsidR="002F28C0" w:rsidRPr="002F28C0" w:rsidRDefault="004C603E" w:rsidP="002F28C0">
      <w:pPr>
        <w:tabs>
          <w:tab w:val="right" w:pos="10206"/>
        </w:tabs>
        <w:spacing w:after="120" w:line="360" w:lineRule="auto"/>
        <w:ind w:left="567" w:right="56"/>
        <w:jc w:val="center"/>
        <w:rPr>
          <w:rFonts w:asciiTheme="minorHAnsi" w:eastAsia="Calibri" w:hAnsiTheme="minorHAnsi" w:cstheme="minorHAnsi"/>
          <w:b/>
          <w:sz w:val="22"/>
          <w:szCs w:val="22"/>
          <w:u w:color="000000"/>
          <w:bdr w:val="nil"/>
        </w:rPr>
      </w:pPr>
      <w:r w:rsidRPr="002F28C0">
        <w:rPr>
          <w:rFonts w:asciiTheme="minorHAnsi" w:eastAsia="Calibri" w:hAnsiTheme="minorHAnsi" w:cstheme="minorHAnsi"/>
          <w:b/>
          <w:sz w:val="22"/>
          <w:szCs w:val="22"/>
          <w:u w:color="000000"/>
          <w:bdr w:val="nil"/>
        </w:rPr>
        <w:lastRenderedPageBreak/>
        <w:t>Stanowisko Konfederac</w:t>
      </w:r>
      <w:bookmarkStart w:id="3" w:name="_GoBack"/>
      <w:bookmarkEnd w:id="3"/>
      <w:r w:rsidRPr="002F28C0">
        <w:rPr>
          <w:rFonts w:asciiTheme="minorHAnsi" w:eastAsia="Calibri" w:hAnsiTheme="minorHAnsi" w:cstheme="minorHAnsi"/>
          <w:b/>
          <w:sz w:val="22"/>
          <w:szCs w:val="22"/>
          <w:u w:color="000000"/>
          <w:bdr w:val="nil"/>
        </w:rPr>
        <w:t xml:space="preserve">ji Lewiatan w przedmiocie rządowego projektu ustawy o zmianie ustawy </w:t>
      </w:r>
      <w:r w:rsidR="002F28C0">
        <w:rPr>
          <w:rFonts w:asciiTheme="minorHAnsi" w:eastAsia="Calibri" w:hAnsiTheme="minorHAnsi" w:cstheme="minorHAnsi"/>
          <w:b/>
          <w:sz w:val="22"/>
          <w:szCs w:val="22"/>
          <w:u w:color="000000"/>
          <w:bdr w:val="nil"/>
        </w:rPr>
        <w:br/>
      </w:r>
      <w:r w:rsidRPr="002F28C0">
        <w:rPr>
          <w:rFonts w:asciiTheme="minorHAnsi" w:eastAsia="Calibri" w:hAnsiTheme="minorHAnsi" w:cstheme="minorHAnsi"/>
          <w:b/>
          <w:sz w:val="22"/>
          <w:szCs w:val="22"/>
          <w:u w:color="000000"/>
          <w:bdr w:val="nil"/>
        </w:rPr>
        <w:t>o przeciwdziałaniu praniu pieniędzy oraz finansowaniu terroryzmu oraz niektórych innych ustaw, (druk nr. 909)</w:t>
      </w:r>
    </w:p>
    <w:p w14:paraId="2308BFC4" w14:textId="06385A58" w:rsidR="004C603E" w:rsidRPr="002F28C0" w:rsidRDefault="004C603E" w:rsidP="002F28C0">
      <w:pPr>
        <w:tabs>
          <w:tab w:val="right" w:pos="10206"/>
        </w:tabs>
        <w:spacing w:after="120" w:line="360" w:lineRule="auto"/>
        <w:ind w:left="567" w:right="56"/>
        <w:jc w:val="both"/>
        <w:rPr>
          <w:rFonts w:asciiTheme="minorHAnsi" w:eastAsia="Calibri" w:hAnsiTheme="minorHAnsi" w:cstheme="minorHAnsi"/>
          <w:b/>
          <w:sz w:val="22"/>
          <w:szCs w:val="22"/>
          <w:u w:color="000000"/>
          <w:bdr w:val="nil"/>
        </w:rPr>
      </w:pPr>
      <w:r w:rsidRPr="002F28C0">
        <w:rPr>
          <w:rFonts w:asciiTheme="minorHAnsi" w:eastAsia="Calibri" w:hAnsiTheme="minorHAnsi" w:cstheme="minorHAnsi"/>
          <w:b/>
          <w:sz w:val="22"/>
          <w:szCs w:val="22"/>
          <w:u w:color="000000"/>
          <w:bdr w:val="nil"/>
        </w:rPr>
        <w:t xml:space="preserve">Wyjaśnienia: </w:t>
      </w:r>
    </w:p>
    <w:p w14:paraId="23A3174A" w14:textId="76B7C6DF" w:rsidR="004C603E" w:rsidRPr="002F28C0" w:rsidRDefault="004C603E" w:rsidP="002F28C0">
      <w:pPr>
        <w:pStyle w:val="Akapitzlist"/>
        <w:numPr>
          <w:ilvl w:val="0"/>
          <w:numId w:val="43"/>
        </w:numPr>
        <w:tabs>
          <w:tab w:val="right" w:pos="10206"/>
        </w:tabs>
        <w:spacing w:after="120" w:line="360" w:lineRule="auto"/>
        <w:ind w:left="993" w:right="56"/>
        <w:jc w:val="both"/>
        <w:rPr>
          <w:rFonts w:asciiTheme="minorHAnsi" w:eastAsia="Calibri" w:hAnsiTheme="minorHAnsi" w:cstheme="minorHAnsi"/>
          <w:b/>
          <w:sz w:val="22"/>
          <w:u w:color="000000"/>
          <w:bdr w:val="nil"/>
        </w:rPr>
      </w:pPr>
      <w:r w:rsidRPr="002F28C0">
        <w:rPr>
          <w:rFonts w:asciiTheme="minorHAnsi" w:eastAsia="Calibri" w:hAnsiTheme="minorHAnsi" w:cstheme="minorHAnsi"/>
          <w:bCs/>
          <w:sz w:val="22"/>
          <w:u w:color="000000"/>
          <w:bdr w:val="nil"/>
        </w:rPr>
        <w:t>rządowy projekt ustawy o zmianie ustawy o przeciwdziałaniu praniu pieniędzy oraz finansowaniu terroryzmu oraz niektórych innych ustaw (druk nr. 909) – w treści niniejszego stanowiska określany jako</w:t>
      </w:r>
      <w:r w:rsidRPr="002F28C0">
        <w:rPr>
          <w:rFonts w:asciiTheme="minorHAnsi" w:eastAsia="Calibri" w:hAnsiTheme="minorHAnsi" w:cstheme="minorHAnsi"/>
          <w:b/>
          <w:sz w:val="22"/>
          <w:u w:color="000000"/>
          <w:bdr w:val="nil"/>
        </w:rPr>
        <w:t xml:space="preserve"> ,,Projekt”</w:t>
      </w:r>
    </w:p>
    <w:p w14:paraId="035558FE" w14:textId="45831A36" w:rsidR="004C603E" w:rsidRPr="002F28C0" w:rsidRDefault="004C603E" w:rsidP="002F28C0">
      <w:pPr>
        <w:pStyle w:val="Akapitzlist"/>
        <w:numPr>
          <w:ilvl w:val="0"/>
          <w:numId w:val="43"/>
        </w:numPr>
        <w:tabs>
          <w:tab w:val="right" w:pos="10206"/>
        </w:tabs>
        <w:spacing w:after="120" w:line="360" w:lineRule="auto"/>
        <w:ind w:left="993" w:right="56"/>
        <w:jc w:val="both"/>
        <w:rPr>
          <w:rFonts w:asciiTheme="minorHAnsi" w:eastAsia="Calibri" w:hAnsiTheme="minorHAnsi" w:cstheme="minorHAnsi"/>
          <w:bCs/>
          <w:sz w:val="22"/>
          <w:u w:color="000000"/>
          <w:bdr w:val="nil"/>
        </w:rPr>
      </w:pPr>
      <w:r w:rsidRPr="002F28C0">
        <w:rPr>
          <w:rFonts w:asciiTheme="minorHAnsi" w:eastAsia="Calibri" w:hAnsiTheme="minorHAnsi" w:cstheme="minorHAnsi"/>
          <w:bCs/>
          <w:sz w:val="22"/>
          <w:u w:color="000000"/>
          <w:bdr w:val="nil"/>
        </w:rPr>
        <w:t xml:space="preserve">ustawa z dnia 1 marca 2018 r. o przeciwdziałaniu praniu pieniędzy oraz finansowaniu terroryzmu – </w:t>
      </w:r>
      <w:bookmarkStart w:id="4" w:name="_Hlk63677815"/>
      <w:r w:rsidRPr="002F28C0">
        <w:rPr>
          <w:rFonts w:asciiTheme="minorHAnsi" w:eastAsia="Calibri" w:hAnsiTheme="minorHAnsi" w:cstheme="minorHAnsi"/>
          <w:bCs/>
          <w:sz w:val="22"/>
          <w:u w:color="000000"/>
          <w:bdr w:val="nil"/>
        </w:rPr>
        <w:t>w treści niniejszego stanowiska określana jako ,,</w:t>
      </w:r>
      <w:r w:rsidRPr="002F28C0">
        <w:rPr>
          <w:rFonts w:asciiTheme="minorHAnsi" w:eastAsia="Calibri" w:hAnsiTheme="minorHAnsi" w:cstheme="minorHAnsi"/>
          <w:b/>
          <w:sz w:val="22"/>
          <w:u w:color="000000"/>
          <w:bdr w:val="nil"/>
        </w:rPr>
        <w:t>Ustawa</w:t>
      </w:r>
      <w:r w:rsidRPr="002F28C0">
        <w:rPr>
          <w:rFonts w:asciiTheme="minorHAnsi" w:eastAsia="Calibri" w:hAnsiTheme="minorHAnsi" w:cstheme="minorHAnsi"/>
          <w:bCs/>
          <w:sz w:val="22"/>
          <w:u w:color="000000"/>
          <w:bdr w:val="nil"/>
        </w:rPr>
        <w:t>”</w:t>
      </w:r>
      <w:bookmarkEnd w:id="4"/>
    </w:p>
    <w:p w14:paraId="66432807" w14:textId="1971BA3E" w:rsidR="004C603E" w:rsidRDefault="005304D9" w:rsidP="002F28C0">
      <w:pPr>
        <w:pStyle w:val="Akapitzlist"/>
        <w:numPr>
          <w:ilvl w:val="0"/>
          <w:numId w:val="43"/>
        </w:numPr>
        <w:tabs>
          <w:tab w:val="right" w:pos="10206"/>
        </w:tabs>
        <w:spacing w:after="120" w:line="360" w:lineRule="auto"/>
        <w:ind w:left="993" w:right="56"/>
        <w:jc w:val="both"/>
        <w:rPr>
          <w:rFonts w:asciiTheme="minorHAnsi" w:eastAsia="Calibri" w:hAnsiTheme="minorHAnsi" w:cstheme="minorHAnsi"/>
          <w:bCs/>
          <w:sz w:val="22"/>
          <w:u w:color="000000"/>
          <w:bdr w:val="nil"/>
        </w:rPr>
      </w:pPr>
      <w:r w:rsidRPr="002F28C0">
        <w:rPr>
          <w:rFonts w:asciiTheme="minorHAnsi" w:eastAsia="Calibri" w:hAnsiTheme="minorHAnsi" w:cstheme="minorHAnsi"/>
          <w:bCs/>
          <w:sz w:val="22"/>
          <w:u w:color="000000"/>
          <w:bdr w:val="nil"/>
        </w:rPr>
        <w:t>dyrektywa 2018/843 z dnia 30 maja 2018 r. zmieniającej dyrektywę (UE) 2015/849 w sprawie zapobiegania wykorzystywaniu systemu finansowego do prania pieniędzy lub finansowania terroryzmu oraz zmieniająca dyrektywy 2009/138/WE i 2013/36/UE - w treści niniejszego stanowiska określana jako ,,Dyrektywa”</w:t>
      </w:r>
    </w:p>
    <w:p w14:paraId="3B02AAAD" w14:textId="77777777" w:rsidR="002F28C0" w:rsidRPr="002F28C0" w:rsidRDefault="002F28C0" w:rsidP="00116BE7">
      <w:pPr>
        <w:pStyle w:val="Akapitzlist"/>
        <w:tabs>
          <w:tab w:val="right" w:pos="10206"/>
        </w:tabs>
        <w:spacing w:after="0" w:line="360" w:lineRule="auto"/>
        <w:ind w:left="993" w:right="56"/>
        <w:jc w:val="both"/>
        <w:rPr>
          <w:rFonts w:asciiTheme="minorHAnsi" w:eastAsia="Calibri" w:hAnsiTheme="minorHAnsi" w:cstheme="minorHAnsi"/>
          <w:bCs/>
          <w:sz w:val="22"/>
          <w:u w:color="000000"/>
          <w:bdr w:val="nil"/>
        </w:rPr>
      </w:pPr>
    </w:p>
    <w:p w14:paraId="236EE06D" w14:textId="67E86005" w:rsidR="004C603E" w:rsidRPr="00116BE7" w:rsidRDefault="004C603E" w:rsidP="00116BE7">
      <w:pPr>
        <w:pStyle w:val="Akapitzlist"/>
        <w:numPr>
          <w:ilvl w:val="0"/>
          <w:numId w:val="44"/>
        </w:numPr>
        <w:tabs>
          <w:tab w:val="left" w:pos="284"/>
          <w:tab w:val="left" w:pos="851"/>
          <w:tab w:val="left" w:pos="1701"/>
          <w:tab w:val="left" w:pos="3119"/>
          <w:tab w:val="left" w:pos="4253"/>
          <w:tab w:val="right" w:pos="7655"/>
        </w:tabs>
        <w:spacing w:after="0" w:line="360" w:lineRule="auto"/>
        <w:ind w:left="993" w:hanging="426"/>
        <w:jc w:val="both"/>
        <w:rPr>
          <w:rFonts w:asciiTheme="minorHAnsi" w:hAnsiTheme="minorHAnsi" w:cstheme="minorHAnsi"/>
          <w:b/>
          <w:bCs/>
          <w:sz w:val="22"/>
          <w:u w:val="single"/>
        </w:rPr>
      </w:pPr>
      <w:r w:rsidRPr="002F28C0">
        <w:rPr>
          <w:rFonts w:asciiTheme="minorHAnsi" w:hAnsiTheme="minorHAnsi" w:cstheme="minorHAnsi"/>
          <w:b/>
          <w:bCs/>
          <w:sz w:val="22"/>
          <w:u w:val="single"/>
        </w:rPr>
        <w:t xml:space="preserve">Uwaga do obecnego brzmienia art. 36 ust. 1 pkt 1 </w:t>
      </w:r>
      <w:r w:rsidR="00BD2E9C" w:rsidRPr="002F28C0">
        <w:rPr>
          <w:rFonts w:asciiTheme="minorHAnsi" w:hAnsiTheme="minorHAnsi" w:cstheme="minorHAnsi"/>
          <w:b/>
          <w:bCs/>
          <w:sz w:val="22"/>
          <w:u w:val="single"/>
        </w:rPr>
        <w:t xml:space="preserve">lit. c </w:t>
      </w:r>
      <w:r w:rsidRPr="002F28C0">
        <w:rPr>
          <w:rFonts w:asciiTheme="minorHAnsi" w:hAnsiTheme="minorHAnsi" w:cstheme="minorHAnsi"/>
          <w:b/>
          <w:bCs/>
          <w:sz w:val="22"/>
          <w:u w:val="single"/>
        </w:rPr>
        <w:t>Ustawy, nie zmienianego w</w:t>
      </w:r>
      <w:r w:rsidR="00AC04C6" w:rsidRPr="002F28C0">
        <w:rPr>
          <w:rFonts w:asciiTheme="minorHAnsi" w:hAnsiTheme="minorHAnsi" w:cstheme="minorHAnsi"/>
          <w:b/>
          <w:bCs/>
          <w:sz w:val="22"/>
          <w:u w:val="single"/>
        </w:rPr>
        <w:t xml:space="preserve"> </w:t>
      </w:r>
      <w:r w:rsidRPr="002F28C0">
        <w:rPr>
          <w:rFonts w:asciiTheme="minorHAnsi" w:hAnsiTheme="minorHAnsi" w:cstheme="minorHAnsi"/>
          <w:b/>
          <w:bCs/>
          <w:sz w:val="22"/>
          <w:u w:val="single"/>
        </w:rPr>
        <w:t>Projekcie</w:t>
      </w:r>
      <w:r w:rsidRPr="002F28C0">
        <w:rPr>
          <w:rFonts w:asciiTheme="minorHAnsi" w:hAnsiTheme="minorHAnsi" w:cstheme="minorHAnsi"/>
          <w:sz w:val="22"/>
          <w:u w:val="single"/>
        </w:rPr>
        <w:t>:</w:t>
      </w:r>
    </w:p>
    <w:p w14:paraId="60A6CEBE" w14:textId="77777777" w:rsidR="00116BE7" w:rsidRPr="002F28C0" w:rsidRDefault="00116BE7" w:rsidP="00116BE7">
      <w:pPr>
        <w:pStyle w:val="Akapitzlist"/>
        <w:tabs>
          <w:tab w:val="left" w:pos="284"/>
          <w:tab w:val="left" w:pos="851"/>
          <w:tab w:val="left" w:pos="1701"/>
          <w:tab w:val="left" w:pos="3119"/>
          <w:tab w:val="left" w:pos="4253"/>
          <w:tab w:val="right" w:pos="7655"/>
        </w:tabs>
        <w:spacing w:after="0" w:line="360" w:lineRule="auto"/>
        <w:ind w:left="993"/>
        <w:jc w:val="both"/>
        <w:rPr>
          <w:rFonts w:asciiTheme="minorHAnsi" w:hAnsiTheme="minorHAnsi" w:cstheme="minorHAnsi"/>
          <w:b/>
          <w:bCs/>
          <w:sz w:val="22"/>
          <w:u w:val="single"/>
        </w:rPr>
      </w:pPr>
    </w:p>
    <w:p w14:paraId="6FA47F2D" w14:textId="77777777" w:rsidR="004C603E" w:rsidRPr="002F28C0" w:rsidRDefault="004C603E" w:rsidP="00116BE7">
      <w:pPr>
        <w:spacing w:line="360" w:lineRule="auto"/>
        <w:ind w:left="567"/>
        <w:jc w:val="both"/>
        <w:rPr>
          <w:rFonts w:asciiTheme="minorHAnsi" w:hAnsiTheme="minorHAnsi" w:cstheme="minorHAnsi"/>
          <w:sz w:val="22"/>
          <w:szCs w:val="22"/>
          <w:u w:val="single"/>
        </w:rPr>
      </w:pPr>
      <w:r w:rsidRPr="002F28C0">
        <w:rPr>
          <w:rFonts w:asciiTheme="minorHAnsi" w:hAnsiTheme="minorHAnsi" w:cstheme="minorHAnsi"/>
          <w:sz w:val="22"/>
          <w:szCs w:val="22"/>
          <w:u w:val="single"/>
        </w:rPr>
        <w:t>Aktualne brzmienie:</w:t>
      </w:r>
    </w:p>
    <w:p w14:paraId="7EAC44FA" w14:textId="77777777" w:rsidR="00AC04C6" w:rsidRPr="002F28C0" w:rsidRDefault="004C603E" w:rsidP="00116BE7">
      <w:pPr>
        <w:spacing w:line="360" w:lineRule="auto"/>
        <w:ind w:left="567"/>
        <w:jc w:val="both"/>
        <w:rPr>
          <w:rFonts w:asciiTheme="minorHAnsi" w:hAnsiTheme="minorHAnsi" w:cstheme="minorHAnsi"/>
          <w:i/>
          <w:iCs/>
          <w:sz w:val="22"/>
          <w:szCs w:val="22"/>
        </w:rPr>
      </w:pPr>
      <w:r w:rsidRPr="002F28C0">
        <w:rPr>
          <w:rFonts w:asciiTheme="minorHAnsi" w:hAnsiTheme="minorHAnsi" w:cstheme="minorHAnsi"/>
          <w:i/>
          <w:iCs/>
          <w:sz w:val="22"/>
          <w:szCs w:val="22"/>
        </w:rPr>
        <w:t>„Art. 36</w:t>
      </w:r>
      <w:r w:rsidR="00AC04C6" w:rsidRPr="002F28C0">
        <w:rPr>
          <w:rFonts w:asciiTheme="minorHAnsi" w:hAnsiTheme="minorHAnsi" w:cstheme="minorHAnsi"/>
          <w:i/>
          <w:iCs/>
          <w:sz w:val="22"/>
          <w:szCs w:val="22"/>
        </w:rPr>
        <w:t xml:space="preserve"> ust. </w:t>
      </w:r>
      <w:r w:rsidRPr="002F28C0">
        <w:rPr>
          <w:rFonts w:asciiTheme="minorHAnsi" w:hAnsiTheme="minorHAnsi" w:cstheme="minorHAnsi"/>
          <w:i/>
          <w:iCs/>
          <w:sz w:val="22"/>
          <w:szCs w:val="22"/>
        </w:rPr>
        <w:t xml:space="preserve">1 </w:t>
      </w:r>
    </w:p>
    <w:p w14:paraId="14AFC96D" w14:textId="36EB5F1A" w:rsidR="004C603E" w:rsidRPr="002F28C0" w:rsidRDefault="004C603E" w:rsidP="00116BE7">
      <w:pPr>
        <w:spacing w:line="360" w:lineRule="auto"/>
        <w:ind w:left="567"/>
        <w:jc w:val="both"/>
        <w:rPr>
          <w:rFonts w:asciiTheme="minorHAnsi" w:hAnsiTheme="minorHAnsi" w:cstheme="minorHAnsi"/>
          <w:i/>
          <w:iCs/>
          <w:sz w:val="22"/>
          <w:szCs w:val="22"/>
        </w:rPr>
      </w:pPr>
      <w:r w:rsidRPr="002F28C0">
        <w:rPr>
          <w:rFonts w:asciiTheme="minorHAnsi" w:hAnsiTheme="minorHAnsi" w:cstheme="minorHAnsi"/>
          <w:i/>
          <w:iCs/>
          <w:sz w:val="22"/>
          <w:szCs w:val="22"/>
        </w:rPr>
        <w:t xml:space="preserve">Identyfikacja klienta polega na ustaleniu w przypadku: </w:t>
      </w:r>
    </w:p>
    <w:p w14:paraId="36CF199D" w14:textId="77777777" w:rsidR="004C603E" w:rsidRPr="002F28C0" w:rsidRDefault="004C603E" w:rsidP="00116BE7">
      <w:pPr>
        <w:spacing w:line="360" w:lineRule="auto"/>
        <w:ind w:left="567"/>
        <w:jc w:val="both"/>
        <w:rPr>
          <w:rFonts w:asciiTheme="minorHAnsi" w:hAnsiTheme="minorHAnsi" w:cstheme="minorHAnsi"/>
          <w:i/>
          <w:iCs/>
          <w:sz w:val="22"/>
          <w:szCs w:val="22"/>
        </w:rPr>
      </w:pPr>
      <w:r w:rsidRPr="002F28C0">
        <w:rPr>
          <w:rFonts w:asciiTheme="minorHAnsi" w:hAnsiTheme="minorHAnsi" w:cstheme="minorHAnsi"/>
          <w:i/>
          <w:iCs/>
          <w:sz w:val="22"/>
          <w:szCs w:val="22"/>
        </w:rPr>
        <w:t xml:space="preserve">1) osoby fizycznej: </w:t>
      </w:r>
    </w:p>
    <w:p w14:paraId="42166CA8" w14:textId="77777777" w:rsidR="004C603E" w:rsidRPr="002F28C0" w:rsidRDefault="004C603E" w:rsidP="00116BE7">
      <w:pPr>
        <w:spacing w:line="360" w:lineRule="auto"/>
        <w:ind w:left="567"/>
        <w:jc w:val="both"/>
        <w:rPr>
          <w:rFonts w:asciiTheme="minorHAnsi" w:hAnsiTheme="minorHAnsi" w:cstheme="minorHAnsi"/>
          <w:i/>
          <w:iCs/>
          <w:sz w:val="22"/>
          <w:szCs w:val="22"/>
        </w:rPr>
      </w:pPr>
      <w:r w:rsidRPr="002F28C0">
        <w:rPr>
          <w:rFonts w:asciiTheme="minorHAnsi" w:hAnsiTheme="minorHAnsi" w:cstheme="minorHAnsi"/>
          <w:i/>
          <w:iCs/>
          <w:sz w:val="22"/>
          <w:szCs w:val="22"/>
        </w:rPr>
        <w:t>(…)</w:t>
      </w:r>
    </w:p>
    <w:p w14:paraId="715353F4" w14:textId="348C1AF6" w:rsidR="004C603E" w:rsidRPr="002F28C0" w:rsidRDefault="004C603E" w:rsidP="00116BE7">
      <w:pPr>
        <w:spacing w:line="360" w:lineRule="auto"/>
        <w:ind w:left="567"/>
        <w:jc w:val="both"/>
        <w:rPr>
          <w:rFonts w:asciiTheme="minorHAnsi" w:hAnsiTheme="minorHAnsi" w:cstheme="minorHAnsi"/>
          <w:i/>
          <w:iCs/>
          <w:sz w:val="22"/>
          <w:szCs w:val="22"/>
        </w:rPr>
      </w:pPr>
      <w:r w:rsidRPr="002F28C0">
        <w:rPr>
          <w:rFonts w:asciiTheme="minorHAnsi" w:hAnsiTheme="minorHAnsi" w:cstheme="minorHAnsi"/>
          <w:i/>
          <w:iCs/>
          <w:sz w:val="22"/>
          <w:szCs w:val="22"/>
        </w:rPr>
        <w:t xml:space="preserve">c) numeru Powszechnego Elektronicznego Systemu Ewidencji Ludności (PESEL) lub daty urodzenia </w:t>
      </w:r>
      <w:r w:rsidR="002F28C0">
        <w:rPr>
          <w:rFonts w:asciiTheme="minorHAnsi" w:hAnsiTheme="minorHAnsi" w:cstheme="minorHAnsi"/>
          <w:i/>
          <w:iCs/>
          <w:sz w:val="22"/>
          <w:szCs w:val="22"/>
        </w:rPr>
        <w:br/>
      </w:r>
      <w:r w:rsidRPr="002F28C0">
        <w:rPr>
          <w:rFonts w:asciiTheme="minorHAnsi" w:hAnsiTheme="minorHAnsi" w:cstheme="minorHAnsi"/>
          <w:i/>
          <w:iCs/>
          <w:sz w:val="22"/>
          <w:szCs w:val="22"/>
        </w:rPr>
        <w:t>– w przypadku gdy nie nadano numeru PESEL, oraz państwa urodzenia,”</w:t>
      </w:r>
    </w:p>
    <w:p w14:paraId="24C89933" w14:textId="77777777" w:rsidR="004C603E" w:rsidRPr="002F28C0" w:rsidRDefault="004C603E" w:rsidP="00116BE7">
      <w:pPr>
        <w:autoSpaceDE w:val="0"/>
        <w:autoSpaceDN w:val="0"/>
        <w:adjustRightInd w:val="0"/>
        <w:spacing w:line="360" w:lineRule="auto"/>
        <w:ind w:left="567"/>
        <w:jc w:val="both"/>
        <w:rPr>
          <w:rFonts w:asciiTheme="minorHAnsi" w:hAnsiTheme="minorHAnsi" w:cstheme="minorHAnsi"/>
          <w:sz w:val="22"/>
          <w:szCs w:val="22"/>
        </w:rPr>
      </w:pPr>
    </w:p>
    <w:p w14:paraId="3EAA002F" w14:textId="77777777" w:rsidR="004C603E" w:rsidRPr="002F28C0" w:rsidRDefault="004C603E" w:rsidP="00116BE7">
      <w:pPr>
        <w:spacing w:line="360" w:lineRule="auto"/>
        <w:ind w:left="567"/>
        <w:jc w:val="both"/>
        <w:rPr>
          <w:rFonts w:asciiTheme="minorHAnsi" w:hAnsiTheme="minorHAnsi" w:cstheme="minorHAnsi"/>
          <w:sz w:val="22"/>
          <w:szCs w:val="22"/>
          <w:u w:val="single"/>
        </w:rPr>
      </w:pPr>
      <w:r w:rsidRPr="002F28C0">
        <w:rPr>
          <w:rFonts w:asciiTheme="minorHAnsi" w:hAnsiTheme="minorHAnsi" w:cstheme="minorHAnsi"/>
          <w:sz w:val="22"/>
          <w:szCs w:val="22"/>
          <w:u w:val="single"/>
        </w:rPr>
        <w:t>Proponowane brzmienie:</w:t>
      </w:r>
    </w:p>
    <w:p w14:paraId="55DC3B97" w14:textId="054015A7" w:rsidR="00BD2E9C" w:rsidRPr="002F28C0" w:rsidRDefault="004C603E" w:rsidP="00116BE7">
      <w:pPr>
        <w:spacing w:line="360" w:lineRule="auto"/>
        <w:ind w:left="567"/>
        <w:jc w:val="both"/>
        <w:rPr>
          <w:rFonts w:asciiTheme="minorHAnsi" w:hAnsiTheme="minorHAnsi" w:cstheme="minorHAnsi"/>
          <w:i/>
          <w:iCs/>
          <w:sz w:val="22"/>
          <w:szCs w:val="22"/>
        </w:rPr>
      </w:pPr>
      <w:r w:rsidRPr="002F28C0">
        <w:rPr>
          <w:rFonts w:asciiTheme="minorHAnsi" w:hAnsiTheme="minorHAnsi" w:cstheme="minorHAnsi"/>
          <w:i/>
          <w:iCs/>
          <w:sz w:val="22"/>
          <w:szCs w:val="22"/>
        </w:rPr>
        <w:t xml:space="preserve">„Art. 36. </w:t>
      </w:r>
      <w:r w:rsidR="00BD2E9C" w:rsidRPr="002F28C0">
        <w:rPr>
          <w:rFonts w:asciiTheme="minorHAnsi" w:hAnsiTheme="minorHAnsi" w:cstheme="minorHAnsi"/>
          <w:i/>
          <w:iCs/>
          <w:sz w:val="22"/>
          <w:szCs w:val="22"/>
        </w:rPr>
        <w:t xml:space="preserve">ust. </w:t>
      </w:r>
      <w:r w:rsidRPr="002F28C0">
        <w:rPr>
          <w:rFonts w:asciiTheme="minorHAnsi" w:hAnsiTheme="minorHAnsi" w:cstheme="minorHAnsi"/>
          <w:i/>
          <w:iCs/>
          <w:sz w:val="22"/>
          <w:szCs w:val="22"/>
        </w:rPr>
        <w:t xml:space="preserve">1 </w:t>
      </w:r>
    </w:p>
    <w:p w14:paraId="1AD5EFEE" w14:textId="452C76F4" w:rsidR="004C603E" w:rsidRPr="002F28C0" w:rsidRDefault="004C603E" w:rsidP="00116BE7">
      <w:pPr>
        <w:spacing w:line="360" w:lineRule="auto"/>
        <w:ind w:left="567"/>
        <w:jc w:val="both"/>
        <w:rPr>
          <w:rFonts w:asciiTheme="minorHAnsi" w:hAnsiTheme="minorHAnsi" w:cstheme="minorHAnsi"/>
          <w:i/>
          <w:iCs/>
          <w:sz w:val="22"/>
          <w:szCs w:val="22"/>
        </w:rPr>
      </w:pPr>
      <w:r w:rsidRPr="002F28C0">
        <w:rPr>
          <w:rFonts w:asciiTheme="minorHAnsi" w:hAnsiTheme="minorHAnsi" w:cstheme="minorHAnsi"/>
          <w:i/>
          <w:iCs/>
          <w:sz w:val="22"/>
          <w:szCs w:val="22"/>
        </w:rPr>
        <w:t xml:space="preserve">Identyfikacja klienta polega na ustaleniu w przypadku: </w:t>
      </w:r>
    </w:p>
    <w:p w14:paraId="1C6243AC" w14:textId="77777777" w:rsidR="004C603E" w:rsidRPr="002F28C0" w:rsidRDefault="004C603E" w:rsidP="00116BE7">
      <w:pPr>
        <w:spacing w:line="360" w:lineRule="auto"/>
        <w:ind w:left="567"/>
        <w:jc w:val="both"/>
        <w:rPr>
          <w:rFonts w:asciiTheme="minorHAnsi" w:hAnsiTheme="minorHAnsi" w:cstheme="minorHAnsi"/>
          <w:i/>
          <w:iCs/>
          <w:sz w:val="22"/>
          <w:szCs w:val="22"/>
        </w:rPr>
      </w:pPr>
      <w:r w:rsidRPr="002F28C0">
        <w:rPr>
          <w:rFonts w:asciiTheme="minorHAnsi" w:hAnsiTheme="minorHAnsi" w:cstheme="minorHAnsi"/>
          <w:i/>
          <w:iCs/>
          <w:sz w:val="22"/>
          <w:szCs w:val="22"/>
        </w:rPr>
        <w:t xml:space="preserve">1) osoby fizycznej: </w:t>
      </w:r>
    </w:p>
    <w:p w14:paraId="00CAD888" w14:textId="77777777" w:rsidR="004C603E" w:rsidRPr="002F28C0" w:rsidRDefault="004C603E" w:rsidP="00116BE7">
      <w:pPr>
        <w:spacing w:line="360" w:lineRule="auto"/>
        <w:ind w:left="567"/>
        <w:jc w:val="both"/>
        <w:rPr>
          <w:rFonts w:asciiTheme="minorHAnsi" w:hAnsiTheme="minorHAnsi" w:cstheme="minorHAnsi"/>
          <w:i/>
          <w:iCs/>
          <w:sz w:val="22"/>
          <w:szCs w:val="22"/>
        </w:rPr>
      </w:pPr>
      <w:r w:rsidRPr="002F28C0">
        <w:rPr>
          <w:rFonts w:asciiTheme="minorHAnsi" w:hAnsiTheme="minorHAnsi" w:cstheme="minorHAnsi"/>
          <w:i/>
          <w:iCs/>
          <w:sz w:val="22"/>
          <w:szCs w:val="22"/>
        </w:rPr>
        <w:t>(…)</w:t>
      </w:r>
    </w:p>
    <w:p w14:paraId="00E191FB" w14:textId="77777777" w:rsidR="004C603E" w:rsidRPr="002F28C0" w:rsidRDefault="004C603E" w:rsidP="00116BE7">
      <w:pPr>
        <w:spacing w:line="360" w:lineRule="auto"/>
        <w:ind w:left="567"/>
        <w:jc w:val="both"/>
        <w:rPr>
          <w:rFonts w:asciiTheme="minorHAnsi" w:hAnsiTheme="minorHAnsi" w:cstheme="minorHAnsi"/>
          <w:i/>
          <w:iCs/>
          <w:sz w:val="22"/>
          <w:szCs w:val="22"/>
        </w:rPr>
      </w:pPr>
      <w:r w:rsidRPr="002F28C0">
        <w:rPr>
          <w:rFonts w:asciiTheme="minorHAnsi" w:hAnsiTheme="minorHAnsi" w:cstheme="minorHAnsi"/>
          <w:i/>
          <w:iCs/>
          <w:sz w:val="22"/>
          <w:szCs w:val="22"/>
        </w:rPr>
        <w:lastRenderedPageBreak/>
        <w:t>c) numeru Powszechnego Elektronicznego Systemu Ewidencji Ludności (PESEL) lub daty urodzenia oraz państwa urodzenia – w przypadku gdy nie nadano numeru PESEL,”</w:t>
      </w:r>
    </w:p>
    <w:p w14:paraId="68AA02FA" w14:textId="77777777" w:rsidR="004C603E" w:rsidRPr="002F28C0" w:rsidRDefault="004C603E" w:rsidP="00116BE7">
      <w:pPr>
        <w:autoSpaceDE w:val="0"/>
        <w:autoSpaceDN w:val="0"/>
        <w:adjustRightInd w:val="0"/>
        <w:spacing w:line="360" w:lineRule="auto"/>
        <w:ind w:left="567"/>
        <w:jc w:val="both"/>
        <w:rPr>
          <w:rFonts w:asciiTheme="minorHAnsi" w:hAnsiTheme="minorHAnsi" w:cstheme="minorHAnsi"/>
          <w:sz w:val="22"/>
          <w:szCs w:val="22"/>
        </w:rPr>
      </w:pPr>
    </w:p>
    <w:p w14:paraId="2B9347D9" w14:textId="032E5778" w:rsidR="00BD2E9C" w:rsidRPr="002F28C0" w:rsidRDefault="004C603E" w:rsidP="00116BE7">
      <w:pPr>
        <w:autoSpaceDE w:val="0"/>
        <w:autoSpaceDN w:val="0"/>
        <w:adjustRightInd w:val="0"/>
        <w:spacing w:line="360" w:lineRule="auto"/>
        <w:ind w:left="567"/>
        <w:jc w:val="both"/>
        <w:rPr>
          <w:rFonts w:asciiTheme="minorHAnsi" w:hAnsiTheme="minorHAnsi" w:cstheme="minorHAnsi"/>
          <w:sz w:val="22"/>
          <w:szCs w:val="22"/>
          <w:u w:val="single"/>
        </w:rPr>
      </w:pPr>
      <w:r w:rsidRPr="002F28C0">
        <w:rPr>
          <w:rFonts w:asciiTheme="minorHAnsi" w:hAnsiTheme="minorHAnsi" w:cstheme="minorHAnsi"/>
          <w:sz w:val="22"/>
          <w:szCs w:val="22"/>
          <w:u w:val="single"/>
        </w:rPr>
        <w:t>Uzasadnienie:</w:t>
      </w:r>
    </w:p>
    <w:p w14:paraId="19765E6B" w14:textId="705A73A1" w:rsidR="00AC04C6" w:rsidRPr="002F28C0" w:rsidRDefault="00AC04C6" w:rsidP="00116BE7">
      <w:pPr>
        <w:autoSpaceDE w:val="0"/>
        <w:autoSpaceDN w:val="0"/>
        <w:adjustRightInd w:val="0"/>
        <w:spacing w:line="360" w:lineRule="auto"/>
        <w:ind w:left="567"/>
        <w:jc w:val="both"/>
        <w:rPr>
          <w:rFonts w:asciiTheme="minorHAnsi" w:hAnsiTheme="minorHAnsi" w:cstheme="minorHAnsi"/>
          <w:sz w:val="22"/>
          <w:szCs w:val="22"/>
        </w:rPr>
      </w:pPr>
      <w:r w:rsidRPr="002F28C0">
        <w:rPr>
          <w:rFonts w:asciiTheme="minorHAnsi" w:hAnsiTheme="minorHAnsi" w:cstheme="minorHAnsi"/>
          <w:sz w:val="22"/>
          <w:szCs w:val="22"/>
        </w:rPr>
        <w:t xml:space="preserve">Rekomenduje się </w:t>
      </w:r>
      <w:r w:rsidR="004C603E" w:rsidRPr="002F28C0">
        <w:rPr>
          <w:rFonts w:asciiTheme="minorHAnsi" w:hAnsiTheme="minorHAnsi" w:cstheme="minorHAnsi"/>
          <w:sz w:val="22"/>
          <w:szCs w:val="22"/>
        </w:rPr>
        <w:t>zmianę aktualnego zapisu art. 36 ust</w:t>
      </w:r>
      <w:r w:rsidRPr="002F28C0">
        <w:rPr>
          <w:rFonts w:asciiTheme="minorHAnsi" w:hAnsiTheme="minorHAnsi" w:cstheme="minorHAnsi"/>
          <w:sz w:val="22"/>
          <w:szCs w:val="22"/>
        </w:rPr>
        <w:t>.</w:t>
      </w:r>
      <w:r w:rsidR="004C603E" w:rsidRPr="002F28C0">
        <w:rPr>
          <w:rFonts w:asciiTheme="minorHAnsi" w:hAnsiTheme="minorHAnsi" w:cstheme="minorHAnsi"/>
          <w:sz w:val="22"/>
          <w:szCs w:val="22"/>
        </w:rPr>
        <w:t xml:space="preserve"> 1 </w:t>
      </w:r>
      <w:r w:rsidRPr="002F28C0">
        <w:rPr>
          <w:rFonts w:asciiTheme="minorHAnsi" w:hAnsiTheme="minorHAnsi" w:cstheme="minorHAnsi"/>
          <w:sz w:val="22"/>
          <w:szCs w:val="22"/>
        </w:rPr>
        <w:t xml:space="preserve">Ustawy </w:t>
      </w:r>
      <w:r w:rsidR="004C603E" w:rsidRPr="002F28C0">
        <w:rPr>
          <w:rFonts w:asciiTheme="minorHAnsi" w:hAnsiTheme="minorHAnsi" w:cstheme="minorHAnsi"/>
          <w:sz w:val="22"/>
          <w:szCs w:val="22"/>
        </w:rPr>
        <w:t xml:space="preserve">w ramach opiniowanego Projektu, </w:t>
      </w:r>
      <w:r w:rsidR="002F28C0">
        <w:rPr>
          <w:rFonts w:asciiTheme="minorHAnsi" w:hAnsiTheme="minorHAnsi" w:cstheme="minorHAnsi"/>
          <w:sz w:val="22"/>
          <w:szCs w:val="22"/>
        </w:rPr>
        <w:br/>
      </w:r>
      <w:r w:rsidR="004C603E" w:rsidRPr="002F28C0">
        <w:rPr>
          <w:rFonts w:asciiTheme="minorHAnsi" w:hAnsiTheme="minorHAnsi" w:cstheme="minorHAnsi"/>
          <w:sz w:val="22"/>
          <w:szCs w:val="22"/>
        </w:rPr>
        <w:t xml:space="preserve">w związku z istnieniem rozbieżności interpretacyjnych w zakresie obligatoryjności zbierania danej „państwo urodzenia”. </w:t>
      </w:r>
    </w:p>
    <w:p w14:paraId="3B0D6A69" w14:textId="77777777" w:rsidR="00AC04C6" w:rsidRPr="002F28C0" w:rsidRDefault="00AC04C6" w:rsidP="00116BE7">
      <w:pPr>
        <w:autoSpaceDE w:val="0"/>
        <w:autoSpaceDN w:val="0"/>
        <w:adjustRightInd w:val="0"/>
        <w:spacing w:line="360" w:lineRule="auto"/>
        <w:ind w:left="567"/>
        <w:jc w:val="both"/>
        <w:rPr>
          <w:rFonts w:asciiTheme="minorHAnsi" w:hAnsiTheme="minorHAnsi" w:cstheme="minorHAnsi"/>
          <w:sz w:val="22"/>
          <w:szCs w:val="22"/>
        </w:rPr>
      </w:pPr>
    </w:p>
    <w:p w14:paraId="28E9FEFD" w14:textId="264C987F" w:rsidR="004C603E" w:rsidRPr="002F28C0" w:rsidRDefault="00AC04C6" w:rsidP="00116BE7">
      <w:pPr>
        <w:autoSpaceDE w:val="0"/>
        <w:autoSpaceDN w:val="0"/>
        <w:adjustRightInd w:val="0"/>
        <w:spacing w:line="360" w:lineRule="auto"/>
        <w:ind w:left="567"/>
        <w:jc w:val="both"/>
        <w:rPr>
          <w:rFonts w:asciiTheme="minorHAnsi" w:hAnsiTheme="minorHAnsi" w:cstheme="minorHAnsi"/>
          <w:sz w:val="22"/>
          <w:szCs w:val="22"/>
        </w:rPr>
      </w:pPr>
      <w:r w:rsidRPr="002F28C0">
        <w:rPr>
          <w:rFonts w:asciiTheme="minorHAnsi" w:hAnsiTheme="minorHAnsi" w:cstheme="minorHAnsi"/>
          <w:sz w:val="22"/>
          <w:szCs w:val="22"/>
        </w:rPr>
        <w:t xml:space="preserve">Zapis </w:t>
      </w:r>
      <w:r w:rsidR="004C603E" w:rsidRPr="002F28C0">
        <w:rPr>
          <w:rFonts w:asciiTheme="minorHAnsi" w:hAnsiTheme="minorHAnsi" w:cstheme="minorHAnsi"/>
          <w:sz w:val="22"/>
          <w:szCs w:val="22"/>
        </w:rPr>
        <w:t xml:space="preserve">powinien być zmieniony tak aby był jednoznaczny. </w:t>
      </w:r>
      <w:r w:rsidRPr="002F28C0">
        <w:rPr>
          <w:rFonts w:asciiTheme="minorHAnsi" w:hAnsiTheme="minorHAnsi" w:cstheme="minorHAnsi"/>
          <w:sz w:val="22"/>
          <w:szCs w:val="22"/>
        </w:rPr>
        <w:t>P</w:t>
      </w:r>
      <w:r w:rsidR="004C603E" w:rsidRPr="002F28C0">
        <w:rPr>
          <w:rFonts w:asciiTheme="minorHAnsi" w:hAnsiTheme="minorHAnsi" w:cstheme="minorHAnsi"/>
          <w:sz w:val="22"/>
          <w:szCs w:val="22"/>
        </w:rPr>
        <w:t xml:space="preserve">aństwo urodzenia powinno być ustalane </w:t>
      </w:r>
      <w:r w:rsidR="002F28C0">
        <w:rPr>
          <w:rFonts w:asciiTheme="minorHAnsi" w:hAnsiTheme="minorHAnsi" w:cstheme="minorHAnsi"/>
          <w:sz w:val="22"/>
          <w:szCs w:val="22"/>
        </w:rPr>
        <w:br/>
      </w:r>
      <w:r w:rsidR="004C603E" w:rsidRPr="002F28C0">
        <w:rPr>
          <w:rFonts w:asciiTheme="minorHAnsi" w:hAnsiTheme="minorHAnsi" w:cstheme="minorHAnsi"/>
          <w:sz w:val="22"/>
          <w:szCs w:val="22"/>
        </w:rPr>
        <w:t xml:space="preserve">z datą urodzenia wyłącznie w przypadku, gdy klient nie posiada numeru PESEL. Należy podkreślić doniosłe trudności praktyczne, które aktualnie wywołuje brzmienie przepisu, tj. konieczność ustalania danej „państwo urodzenia” dla pełnomocników czy osób reprezentujących osoby prawne, </w:t>
      </w:r>
      <w:r w:rsidR="002F28C0">
        <w:rPr>
          <w:rFonts w:asciiTheme="minorHAnsi" w:hAnsiTheme="minorHAnsi" w:cstheme="minorHAnsi"/>
          <w:sz w:val="22"/>
          <w:szCs w:val="22"/>
        </w:rPr>
        <w:br/>
      </w:r>
      <w:r w:rsidR="004C603E" w:rsidRPr="002F28C0">
        <w:rPr>
          <w:rFonts w:asciiTheme="minorHAnsi" w:hAnsiTheme="minorHAnsi" w:cstheme="minorHAnsi"/>
          <w:sz w:val="22"/>
          <w:szCs w:val="22"/>
        </w:rPr>
        <w:t xml:space="preserve">natomiast przedmiotowe dane nie występują w rejestrach handlowych, ani nawet w Centralnym Rejestrze Beneficjentów Rzeczywistych, który nie wymaga od osób reprezentujących podania danej „państwo urodzenia”. </w:t>
      </w:r>
      <w:r w:rsidRPr="002F28C0">
        <w:rPr>
          <w:rFonts w:asciiTheme="minorHAnsi" w:hAnsiTheme="minorHAnsi" w:cstheme="minorHAnsi"/>
          <w:sz w:val="22"/>
          <w:szCs w:val="22"/>
        </w:rPr>
        <w:t>Z</w:t>
      </w:r>
      <w:r w:rsidR="004C603E" w:rsidRPr="002F28C0">
        <w:rPr>
          <w:rFonts w:asciiTheme="minorHAnsi" w:hAnsiTheme="minorHAnsi" w:cstheme="minorHAnsi"/>
          <w:sz w:val="22"/>
          <w:szCs w:val="22"/>
        </w:rPr>
        <w:t xml:space="preserve">asoby, które instytucje obowiązane angażują w ustalenia danej „państwo urodzenia” powinny być przeznaczone na mitygowanie ryzyka prania pieniędzy. </w:t>
      </w:r>
      <w:r w:rsidRPr="002F28C0">
        <w:rPr>
          <w:rFonts w:asciiTheme="minorHAnsi" w:hAnsiTheme="minorHAnsi" w:cstheme="minorHAnsi"/>
          <w:sz w:val="22"/>
          <w:szCs w:val="22"/>
        </w:rPr>
        <w:t xml:space="preserve">Ponadto </w:t>
      </w:r>
      <w:r w:rsidR="004C603E" w:rsidRPr="002F28C0">
        <w:rPr>
          <w:rFonts w:asciiTheme="minorHAnsi" w:hAnsiTheme="minorHAnsi" w:cstheme="minorHAnsi"/>
          <w:sz w:val="22"/>
          <w:szCs w:val="22"/>
        </w:rPr>
        <w:t>dyrektywy 2015/849 oraz 2018/843 nie wymagają zbierania przedmiotowej danej.</w:t>
      </w:r>
    </w:p>
    <w:p w14:paraId="33E7EC27" w14:textId="77777777" w:rsidR="004C603E" w:rsidRPr="002F28C0" w:rsidRDefault="004C603E" w:rsidP="00116BE7">
      <w:pPr>
        <w:autoSpaceDE w:val="0"/>
        <w:autoSpaceDN w:val="0"/>
        <w:adjustRightInd w:val="0"/>
        <w:spacing w:line="360" w:lineRule="auto"/>
        <w:ind w:left="567"/>
        <w:jc w:val="both"/>
        <w:rPr>
          <w:rFonts w:asciiTheme="minorHAnsi" w:hAnsiTheme="minorHAnsi" w:cstheme="minorHAnsi"/>
          <w:sz w:val="22"/>
          <w:szCs w:val="22"/>
        </w:rPr>
      </w:pPr>
    </w:p>
    <w:p w14:paraId="45D191D0" w14:textId="4D1E8120" w:rsidR="004C603E" w:rsidRDefault="004C603E" w:rsidP="00116BE7">
      <w:pPr>
        <w:pStyle w:val="Akapitzlist"/>
        <w:numPr>
          <w:ilvl w:val="0"/>
          <w:numId w:val="44"/>
        </w:numPr>
        <w:tabs>
          <w:tab w:val="left" w:pos="284"/>
          <w:tab w:val="left" w:pos="851"/>
          <w:tab w:val="left" w:pos="1985"/>
          <w:tab w:val="left" w:pos="3119"/>
          <w:tab w:val="left" w:pos="4253"/>
          <w:tab w:val="right" w:pos="7655"/>
        </w:tabs>
        <w:spacing w:after="0" w:line="360" w:lineRule="auto"/>
        <w:ind w:left="1276"/>
        <w:jc w:val="both"/>
        <w:rPr>
          <w:rFonts w:asciiTheme="minorHAnsi" w:hAnsiTheme="minorHAnsi" w:cstheme="minorHAnsi"/>
          <w:b/>
          <w:bCs/>
          <w:sz w:val="22"/>
          <w:u w:val="single"/>
        </w:rPr>
      </w:pPr>
      <w:r w:rsidRPr="002F28C0">
        <w:rPr>
          <w:rFonts w:asciiTheme="minorHAnsi" w:hAnsiTheme="minorHAnsi" w:cstheme="minorHAnsi"/>
          <w:b/>
          <w:bCs/>
          <w:sz w:val="22"/>
          <w:u w:val="single"/>
        </w:rPr>
        <w:t xml:space="preserve">Uwaga do art. 1 </w:t>
      </w:r>
      <w:r w:rsidR="00AC04C6" w:rsidRPr="002F28C0">
        <w:rPr>
          <w:rFonts w:asciiTheme="minorHAnsi" w:hAnsiTheme="minorHAnsi" w:cstheme="minorHAnsi"/>
          <w:b/>
          <w:bCs/>
          <w:sz w:val="22"/>
          <w:u w:val="single"/>
        </w:rPr>
        <w:t>pkt</w:t>
      </w:r>
      <w:r w:rsidRPr="002F28C0">
        <w:rPr>
          <w:rFonts w:asciiTheme="minorHAnsi" w:hAnsiTheme="minorHAnsi" w:cstheme="minorHAnsi"/>
          <w:b/>
          <w:bCs/>
          <w:sz w:val="22"/>
          <w:u w:val="single"/>
        </w:rPr>
        <w:t xml:space="preserve"> 13 Projektu:</w:t>
      </w:r>
    </w:p>
    <w:p w14:paraId="0B22C6A6" w14:textId="77777777" w:rsidR="007B536A" w:rsidRPr="002F28C0" w:rsidRDefault="007B536A" w:rsidP="00116BE7">
      <w:pPr>
        <w:pStyle w:val="Akapitzlist"/>
        <w:tabs>
          <w:tab w:val="left" w:pos="284"/>
          <w:tab w:val="left" w:pos="851"/>
          <w:tab w:val="left" w:pos="1985"/>
          <w:tab w:val="left" w:pos="3119"/>
          <w:tab w:val="left" w:pos="4253"/>
          <w:tab w:val="right" w:pos="7655"/>
        </w:tabs>
        <w:spacing w:after="0" w:line="360" w:lineRule="auto"/>
        <w:ind w:left="1276"/>
        <w:jc w:val="both"/>
        <w:rPr>
          <w:rFonts w:asciiTheme="minorHAnsi" w:hAnsiTheme="minorHAnsi" w:cstheme="minorHAnsi"/>
          <w:b/>
          <w:bCs/>
          <w:sz w:val="22"/>
          <w:u w:val="single"/>
        </w:rPr>
      </w:pPr>
    </w:p>
    <w:p w14:paraId="05CB69AF" w14:textId="77777777" w:rsidR="004C603E" w:rsidRPr="002F28C0" w:rsidRDefault="004C603E" w:rsidP="00116BE7">
      <w:pPr>
        <w:spacing w:line="360" w:lineRule="auto"/>
        <w:ind w:left="567"/>
        <w:jc w:val="both"/>
        <w:rPr>
          <w:rFonts w:asciiTheme="minorHAnsi" w:hAnsiTheme="minorHAnsi" w:cstheme="minorHAnsi"/>
          <w:sz w:val="22"/>
          <w:szCs w:val="22"/>
          <w:u w:val="single"/>
        </w:rPr>
      </w:pPr>
      <w:r w:rsidRPr="002F28C0">
        <w:rPr>
          <w:rFonts w:asciiTheme="minorHAnsi" w:hAnsiTheme="minorHAnsi" w:cstheme="minorHAnsi"/>
          <w:sz w:val="22"/>
          <w:szCs w:val="22"/>
          <w:u w:val="single"/>
        </w:rPr>
        <w:t>Proponowane brzmienie:</w:t>
      </w:r>
    </w:p>
    <w:p w14:paraId="67A213D9" w14:textId="77777777" w:rsidR="004C603E" w:rsidRPr="002F28C0" w:rsidRDefault="004C603E" w:rsidP="00116BE7">
      <w:pPr>
        <w:spacing w:line="360" w:lineRule="auto"/>
        <w:ind w:left="567"/>
        <w:jc w:val="both"/>
        <w:rPr>
          <w:rFonts w:asciiTheme="minorHAnsi" w:hAnsiTheme="minorHAnsi" w:cstheme="minorHAnsi"/>
          <w:i/>
          <w:iCs/>
          <w:sz w:val="22"/>
          <w:szCs w:val="22"/>
        </w:rPr>
      </w:pPr>
      <w:r w:rsidRPr="002F28C0">
        <w:rPr>
          <w:rFonts w:asciiTheme="minorHAnsi" w:hAnsiTheme="minorHAnsi" w:cstheme="minorHAnsi"/>
          <w:i/>
          <w:iCs/>
          <w:sz w:val="22"/>
          <w:szCs w:val="22"/>
        </w:rPr>
        <w:t xml:space="preserve">„13) art. 37 otrzymuje brzmienie: </w:t>
      </w:r>
    </w:p>
    <w:p w14:paraId="23DE38B0" w14:textId="21D6322C" w:rsidR="002F28C0" w:rsidRDefault="00AC04C6" w:rsidP="00116BE7">
      <w:pPr>
        <w:spacing w:line="360" w:lineRule="auto"/>
        <w:ind w:left="567"/>
        <w:jc w:val="both"/>
        <w:rPr>
          <w:rFonts w:asciiTheme="minorHAnsi" w:hAnsiTheme="minorHAnsi" w:cstheme="minorHAnsi"/>
          <w:i/>
          <w:iCs/>
          <w:sz w:val="22"/>
          <w:szCs w:val="22"/>
        </w:rPr>
      </w:pPr>
      <w:r w:rsidRPr="002F28C0">
        <w:rPr>
          <w:rFonts w:asciiTheme="minorHAnsi" w:hAnsiTheme="minorHAnsi" w:cstheme="minorHAnsi"/>
          <w:i/>
          <w:iCs/>
          <w:sz w:val="22"/>
          <w:szCs w:val="22"/>
        </w:rPr>
        <w:t>3</w:t>
      </w:r>
      <w:r w:rsidR="004C603E" w:rsidRPr="002F28C0">
        <w:rPr>
          <w:rFonts w:asciiTheme="minorHAnsi" w:hAnsiTheme="minorHAnsi" w:cstheme="minorHAnsi"/>
          <w:i/>
          <w:iCs/>
          <w:sz w:val="22"/>
          <w:szCs w:val="22"/>
        </w:rPr>
        <w:t xml:space="preserve">. Instytucje obowiązane stosując środek bezpieczeństwa finansowanego, o którym mowa w art. 34 ust. 1 pkt 2, w przypadku stwierdzenia wyższego ryzyka prania pieniędzy lub finansowania terroryzmu, </w:t>
      </w:r>
      <w:r w:rsidR="00DD1503">
        <w:rPr>
          <w:rFonts w:asciiTheme="minorHAnsi" w:hAnsiTheme="minorHAnsi" w:cstheme="minorHAnsi"/>
          <w:i/>
          <w:iCs/>
          <w:sz w:val="22"/>
          <w:szCs w:val="22"/>
        </w:rPr>
        <w:br/>
      </w:r>
      <w:r w:rsidR="004C603E" w:rsidRPr="002F28C0">
        <w:rPr>
          <w:rFonts w:asciiTheme="minorHAnsi" w:hAnsiTheme="minorHAnsi" w:cstheme="minorHAnsi"/>
          <w:i/>
          <w:iCs/>
          <w:sz w:val="22"/>
          <w:szCs w:val="22"/>
        </w:rPr>
        <w:t>nie polegają wyłącznie na informacjach pochodzących z rejestru, o którym mowa w art. 55 lub rejestru, o którym mowa w art. 30 lub art. 31 dyrektywy 2015/849 prowadzonego we właściwym państwie członkowskim.”</w:t>
      </w:r>
    </w:p>
    <w:p w14:paraId="565DD316" w14:textId="77777777" w:rsidR="00116BE7" w:rsidRDefault="00116BE7" w:rsidP="00116BE7">
      <w:pPr>
        <w:spacing w:line="360" w:lineRule="auto"/>
        <w:ind w:left="567"/>
        <w:jc w:val="both"/>
        <w:rPr>
          <w:rFonts w:asciiTheme="minorHAnsi" w:hAnsiTheme="minorHAnsi" w:cstheme="minorHAnsi"/>
          <w:i/>
          <w:iCs/>
          <w:sz w:val="22"/>
          <w:szCs w:val="22"/>
        </w:rPr>
      </w:pPr>
    </w:p>
    <w:p w14:paraId="176DCA6C" w14:textId="77777777" w:rsidR="00116BE7" w:rsidRPr="002F28C0" w:rsidRDefault="00116BE7" w:rsidP="00116BE7">
      <w:pPr>
        <w:spacing w:line="360" w:lineRule="auto"/>
        <w:ind w:left="567"/>
        <w:jc w:val="both"/>
        <w:rPr>
          <w:rFonts w:asciiTheme="minorHAnsi" w:hAnsiTheme="minorHAnsi" w:cstheme="minorHAnsi"/>
          <w:i/>
          <w:iCs/>
          <w:sz w:val="22"/>
          <w:szCs w:val="22"/>
        </w:rPr>
      </w:pPr>
    </w:p>
    <w:p w14:paraId="58B48522" w14:textId="77777777" w:rsidR="00116BE7" w:rsidRDefault="004C603E" w:rsidP="00116BE7">
      <w:pPr>
        <w:spacing w:line="360" w:lineRule="auto"/>
        <w:ind w:left="567"/>
        <w:jc w:val="both"/>
        <w:rPr>
          <w:rFonts w:asciiTheme="minorHAnsi" w:hAnsiTheme="minorHAnsi" w:cstheme="minorHAnsi"/>
          <w:sz w:val="22"/>
          <w:szCs w:val="22"/>
          <w:u w:val="single"/>
        </w:rPr>
      </w:pPr>
      <w:r w:rsidRPr="002F28C0">
        <w:rPr>
          <w:rFonts w:asciiTheme="minorHAnsi" w:hAnsiTheme="minorHAnsi" w:cstheme="minorHAnsi"/>
          <w:sz w:val="22"/>
          <w:szCs w:val="22"/>
          <w:u w:val="single"/>
        </w:rPr>
        <w:lastRenderedPageBreak/>
        <w:t>Uzasadnienie:</w:t>
      </w:r>
    </w:p>
    <w:p w14:paraId="70A3222B" w14:textId="314F8FB0" w:rsidR="00BD2E9C" w:rsidRPr="00116BE7" w:rsidRDefault="004C603E" w:rsidP="00116BE7">
      <w:pPr>
        <w:spacing w:line="360" w:lineRule="auto"/>
        <w:ind w:left="567"/>
        <w:jc w:val="both"/>
        <w:rPr>
          <w:rFonts w:asciiTheme="minorHAnsi" w:hAnsiTheme="minorHAnsi" w:cstheme="minorHAnsi"/>
          <w:sz w:val="22"/>
          <w:szCs w:val="22"/>
          <w:u w:val="single"/>
        </w:rPr>
      </w:pPr>
      <w:r w:rsidRPr="002F28C0">
        <w:rPr>
          <w:rFonts w:asciiTheme="minorHAnsi" w:hAnsiTheme="minorHAnsi" w:cstheme="minorHAnsi"/>
          <w:sz w:val="22"/>
          <w:szCs w:val="22"/>
        </w:rPr>
        <w:t xml:space="preserve">Z proponowanego przepisu nie wynika w jakich okolicznościach jest wymagane dodatkowe sprawdzenie informacji uzyskanych z CRBR. Dla zachowania naczelnej zasady ryzyka, która całościowo wyznacza zakres stosowanych środków bezpieczeństwa finansowego tym samym pozwalając zwiększyć skuteczność systemów przeciwdziałania praniu pieniędzy i finansowaniu terroryzmu, </w:t>
      </w:r>
      <w:r w:rsidRPr="002F28C0">
        <w:rPr>
          <w:rFonts w:asciiTheme="minorHAnsi" w:hAnsiTheme="minorHAnsi" w:cstheme="minorHAnsi"/>
          <w:b/>
          <w:bCs/>
          <w:sz w:val="22"/>
          <w:szCs w:val="22"/>
          <w:u w:val="single"/>
        </w:rPr>
        <w:t>konieczne jest odwołanie w komentowanym przepisie do poziomu ryzyka</w:t>
      </w:r>
      <w:r w:rsidRPr="002F28C0">
        <w:rPr>
          <w:rFonts w:asciiTheme="minorHAnsi" w:hAnsiTheme="minorHAnsi" w:cstheme="minorHAnsi"/>
          <w:sz w:val="22"/>
          <w:szCs w:val="22"/>
        </w:rPr>
        <w:t xml:space="preserve">. W przeciwnym razie w każdym przypadku, niezależnie od poziomu ryzyka, instytucje obowiązane będą weryfikować zarówno dane Beneficjentów w Centralnym Rejestrze Beneficjentów Rzeczywistych oraz w innych rejestrach handlowych lub </w:t>
      </w:r>
      <w:r w:rsidR="00DD1503">
        <w:rPr>
          <w:rFonts w:asciiTheme="minorHAnsi" w:hAnsiTheme="minorHAnsi" w:cstheme="minorHAnsi"/>
          <w:sz w:val="22"/>
          <w:szCs w:val="22"/>
        </w:rPr>
        <w:br/>
      </w:r>
      <w:r w:rsidRPr="002F28C0">
        <w:rPr>
          <w:rFonts w:asciiTheme="minorHAnsi" w:hAnsiTheme="minorHAnsi" w:cstheme="minorHAnsi"/>
          <w:sz w:val="22"/>
          <w:szCs w:val="22"/>
        </w:rPr>
        <w:t xml:space="preserve">w kontakcie z </w:t>
      </w:r>
      <w:r w:rsidR="00BD2E9C" w:rsidRPr="002F28C0">
        <w:rPr>
          <w:rFonts w:asciiTheme="minorHAnsi" w:hAnsiTheme="minorHAnsi" w:cstheme="minorHAnsi"/>
          <w:sz w:val="22"/>
          <w:szCs w:val="22"/>
        </w:rPr>
        <w:t>k</w:t>
      </w:r>
      <w:r w:rsidRPr="002F28C0">
        <w:rPr>
          <w:rFonts w:asciiTheme="minorHAnsi" w:hAnsiTheme="minorHAnsi" w:cstheme="minorHAnsi"/>
          <w:sz w:val="22"/>
          <w:szCs w:val="22"/>
        </w:rPr>
        <w:t xml:space="preserve">lientem. </w:t>
      </w:r>
    </w:p>
    <w:p w14:paraId="465042B8" w14:textId="6C3EAA41" w:rsidR="004C603E" w:rsidRDefault="004C603E" w:rsidP="00116BE7">
      <w:pPr>
        <w:spacing w:line="360" w:lineRule="auto"/>
        <w:ind w:left="567"/>
        <w:jc w:val="both"/>
        <w:rPr>
          <w:rFonts w:asciiTheme="minorHAnsi" w:hAnsiTheme="minorHAnsi" w:cstheme="minorHAnsi"/>
          <w:sz w:val="22"/>
          <w:szCs w:val="22"/>
        </w:rPr>
      </w:pPr>
      <w:r w:rsidRPr="002F28C0">
        <w:rPr>
          <w:rFonts w:asciiTheme="minorHAnsi" w:hAnsiTheme="minorHAnsi" w:cstheme="minorHAnsi"/>
          <w:sz w:val="22"/>
          <w:szCs w:val="22"/>
        </w:rPr>
        <w:t xml:space="preserve">Takie podejście przeczy dostosowywaniu środków bezpieczeństwa finansowego do ryzyka pranie pieniędzy. </w:t>
      </w:r>
      <w:r w:rsidRPr="002F28C0">
        <w:rPr>
          <w:rFonts w:asciiTheme="minorHAnsi" w:hAnsiTheme="minorHAnsi" w:cstheme="minorHAnsi"/>
          <w:sz w:val="22"/>
          <w:szCs w:val="22"/>
          <w:lang w:val="en-US"/>
        </w:rPr>
        <w:t xml:space="preserve">Podejście wyrażone w przepisie jest również wprost sprzeczne ze stanowiskiem Europejskiego Banku Centralnego (dalej “EBA”) skierowanego do europejskich jednostek analityki finansowej, </w:t>
      </w:r>
      <w:r w:rsidR="00DD1503">
        <w:rPr>
          <w:rFonts w:asciiTheme="minorHAnsi" w:hAnsiTheme="minorHAnsi" w:cstheme="minorHAnsi"/>
          <w:sz w:val="22"/>
          <w:szCs w:val="22"/>
          <w:lang w:val="en-US"/>
        </w:rPr>
        <w:br/>
      </w:r>
      <w:r w:rsidRPr="002F28C0">
        <w:rPr>
          <w:rFonts w:asciiTheme="minorHAnsi" w:hAnsiTheme="minorHAnsi" w:cstheme="minorHAnsi"/>
          <w:sz w:val="22"/>
          <w:szCs w:val="22"/>
          <w:lang w:val="en-US"/>
        </w:rPr>
        <w:t xml:space="preserve">tj. z </w:t>
      </w:r>
      <w:r w:rsidRPr="002F28C0">
        <w:rPr>
          <w:rFonts w:asciiTheme="minorHAnsi" w:hAnsiTheme="minorHAnsi" w:cstheme="minorHAnsi"/>
          <w:i/>
          <w:iCs/>
          <w:sz w:val="22"/>
          <w:szCs w:val="22"/>
          <w:lang w:val="en-US"/>
        </w:rPr>
        <w:t>Draft Guidelines under Articles 17 and 18(4) of Directive (EU) 2015/849 on customer due diligence and the factors credit and financial institutions should consider when assessing the money laundering and terrorist financing risk associated with individual business relationships and occasional transactions (‘’The Risk Factors Guidelines’’), amending Guidelines JC/2017/37” (dalej: “Joint Guidelines”)</w:t>
      </w:r>
      <w:r w:rsidRPr="002F28C0">
        <w:rPr>
          <w:rFonts w:asciiTheme="minorHAnsi" w:hAnsiTheme="minorHAnsi" w:cstheme="minorHAnsi"/>
          <w:sz w:val="22"/>
          <w:szCs w:val="22"/>
          <w:lang w:val="en-US"/>
        </w:rPr>
        <w:t xml:space="preserve">. </w:t>
      </w:r>
      <w:r w:rsidRPr="002F28C0">
        <w:rPr>
          <w:rFonts w:asciiTheme="minorHAnsi" w:hAnsiTheme="minorHAnsi" w:cstheme="minorHAnsi"/>
          <w:sz w:val="22"/>
          <w:szCs w:val="22"/>
        </w:rPr>
        <w:t>Na stronie 46 Joint Guidelines w pkt 4.12. EBA wpr</w:t>
      </w:r>
      <w:r w:rsidR="00307120" w:rsidRPr="002F28C0">
        <w:rPr>
          <w:rFonts w:asciiTheme="minorHAnsi" w:hAnsiTheme="minorHAnsi" w:cstheme="minorHAnsi"/>
          <w:sz w:val="22"/>
          <w:szCs w:val="22"/>
        </w:rPr>
        <w:t>o</w:t>
      </w:r>
      <w:r w:rsidRPr="002F28C0">
        <w:rPr>
          <w:rFonts w:asciiTheme="minorHAnsi" w:hAnsiTheme="minorHAnsi" w:cstheme="minorHAnsi"/>
          <w:sz w:val="22"/>
          <w:szCs w:val="22"/>
        </w:rPr>
        <w:t>st wskazuje “</w:t>
      </w:r>
      <w:r w:rsidR="00BD2E9C" w:rsidRPr="002F28C0">
        <w:rPr>
          <w:rFonts w:asciiTheme="minorHAnsi" w:hAnsiTheme="minorHAnsi" w:cstheme="minorHAnsi"/>
          <w:sz w:val="22"/>
          <w:szCs w:val="22"/>
        </w:rPr>
        <w:t xml:space="preserve"> </w:t>
      </w:r>
      <w:r w:rsidR="00BD2E9C" w:rsidRPr="002F28C0">
        <w:rPr>
          <w:rFonts w:asciiTheme="minorHAnsi" w:hAnsiTheme="minorHAnsi" w:cstheme="minorHAnsi"/>
          <w:i/>
          <w:iCs/>
          <w:sz w:val="22"/>
          <w:szCs w:val="22"/>
        </w:rPr>
        <w:t xml:space="preserve">[…] </w:t>
      </w:r>
      <w:r w:rsidRPr="002F28C0">
        <w:rPr>
          <w:rFonts w:asciiTheme="minorHAnsi" w:hAnsiTheme="minorHAnsi" w:cstheme="minorHAnsi"/>
          <w:i/>
          <w:iCs/>
          <w:sz w:val="22"/>
          <w:szCs w:val="22"/>
        </w:rPr>
        <w:t>firmy mogą być obowiązane podjąć dodatkowe kroki w celu ide</w:t>
      </w:r>
      <w:r w:rsidR="00BD2E9C" w:rsidRPr="002F28C0">
        <w:rPr>
          <w:rFonts w:asciiTheme="minorHAnsi" w:hAnsiTheme="minorHAnsi" w:cstheme="minorHAnsi"/>
          <w:i/>
          <w:iCs/>
          <w:sz w:val="22"/>
          <w:szCs w:val="22"/>
        </w:rPr>
        <w:t>n</w:t>
      </w:r>
      <w:r w:rsidRPr="002F28C0">
        <w:rPr>
          <w:rFonts w:asciiTheme="minorHAnsi" w:hAnsiTheme="minorHAnsi" w:cstheme="minorHAnsi"/>
          <w:i/>
          <w:iCs/>
          <w:sz w:val="22"/>
          <w:szCs w:val="22"/>
        </w:rPr>
        <w:t xml:space="preserve">tyfikacji i weryfikacji tożsamości beneficjenta rzeczywistego, w szczególności gdy ryzyko związane ze stosunkami gospodarczymi jest podwyższone lub kiedy firmy mają wątpliwości, czy dane </w:t>
      </w:r>
      <w:r w:rsidR="00DD1503">
        <w:rPr>
          <w:rFonts w:asciiTheme="minorHAnsi" w:hAnsiTheme="minorHAnsi" w:cstheme="minorHAnsi"/>
          <w:i/>
          <w:iCs/>
          <w:sz w:val="22"/>
          <w:szCs w:val="22"/>
        </w:rPr>
        <w:br/>
      </w:r>
      <w:r w:rsidRPr="002F28C0">
        <w:rPr>
          <w:rFonts w:asciiTheme="minorHAnsi" w:hAnsiTheme="minorHAnsi" w:cstheme="minorHAnsi"/>
          <w:i/>
          <w:iCs/>
          <w:sz w:val="22"/>
          <w:szCs w:val="22"/>
        </w:rPr>
        <w:t>w rejestrze beneficjentów rzeczywistych są prawdziwe</w:t>
      </w:r>
      <w:r w:rsidRPr="002F28C0">
        <w:rPr>
          <w:rFonts w:asciiTheme="minorHAnsi" w:hAnsiTheme="minorHAnsi" w:cstheme="minorHAnsi"/>
          <w:sz w:val="22"/>
          <w:szCs w:val="22"/>
        </w:rPr>
        <w:t>”.</w:t>
      </w:r>
    </w:p>
    <w:p w14:paraId="69FB41C9" w14:textId="77777777" w:rsidR="00116BE7" w:rsidRPr="002F28C0" w:rsidRDefault="00116BE7" w:rsidP="00116BE7">
      <w:pPr>
        <w:spacing w:line="360" w:lineRule="auto"/>
        <w:ind w:left="567"/>
        <w:jc w:val="both"/>
        <w:rPr>
          <w:rFonts w:asciiTheme="minorHAnsi" w:hAnsiTheme="minorHAnsi" w:cstheme="minorHAnsi"/>
          <w:sz w:val="22"/>
          <w:szCs w:val="22"/>
        </w:rPr>
      </w:pPr>
    </w:p>
    <w:p w14:paraId="2FDF5CE3" w14:textId="77777777" w:rsidR="00D31D20" w:rsidRDefault="00D31D20" w:rsidP="00116BE7">
      <w:pPr>
        <w:numPr>
          <w:ilvl w:val="0"/>
          <w:numId w:val="44"/>
        </w:numPr>
        <w:tabs>
          <w:tab w:val="left" w:pos="284"/>
          <w:tab w:val="left" w:pos="851"/>
          <w:tab w:val="left" w:pos="1985"/>
          <w:tab w:val="left" w:pos="3119"/>
          <w:tab w:val="left" w:pos="4253"/>
          <w:tab w:val="right" w:pos="7655"/>
        </w:tabs>
        <w:spacing w:line="360" w:lineRule="auto"/>
        <w:ind w:left="1276"/>
        <w:jc w:val="both"/>
        <w:rPr>
          <w:rFonts w:asciiTheme="minorHAnsi" w:hAnsiTheme="minorHAnsi" w:cstheme="minorHAnsi"/>
          <w:b/>
          <w:bCs/>
          <w:sz w:val="22"/>
          <w:szCs w:val="22"/>
          <w:u w:val="single"/>
        </w:rPr>
      </w:pPr>
      <w:r w:rsidRPr="002F28C0">
        <w:rPr>
          <w:rFonts w:asciiTheme="minorHAnsi" w:hAnsiTheme="minorHAnsi" w:cstheme="minorHAnsi"/>
          <w:b/>
          <w:bCs/>
          <w:sz w:val="22"/>
          <w:szCs w:val="22"/>
          <w:u w:val="single"/>
        </w:rPr>
        <w:t>Uwaga do art. 1 pkt 23 lit. a Projektu:</w:t>
      </w:r>
    </w:p>
    <w:p w14:paraId="6717B0D5" w14:textId="77777777" w:rsidR="00116BE7" w:rsidRPr="002F28C0" w:rsidRDefault="00116BE7" w:rsidP="00116BE7">
      <w:pPr>
        <w:tabs>
          <w:tab w:val="left" w:pos="284"/>
          <w:tab w:val="left" w:pos="851"/>
          <w:tab w:val="left" w:pos="1985"/>
          <w:tab w:val="left" w:pos="3119"/>
          <w:tab w:val="left" w:pos="4253"/>
          <w:tab w:val="right" w:pos="7655"/>
        </w:tabs>
        <w:spacing w:line="360" w:lineRule="auto"/>
        <w:ind w:left="1276"/>
        <w:jc w:val="both"/>
        <w:rPr>
          <w:rFonts w:asciiTheme="minorHAnsi" w:hAnsiTheme="minorHAnsi" w:cstheme="minorHAnsi"/>
          <w:b/>
          <w:bCs/>
          <w:sz w:val="22"/>
          <w:szCs w:val="22"/>
          <w:u w:val="single"/>
        </w:rPr>
      </w:pPr>
    </w:p>
    <w:p w14:paraId="26FB2CC9" w14:textId="77777777" w:rsidR="00D31D20" w:rsidRPr="002F28C0" w:rsidRDefault="00D31D20" w:rsidP="00116BE7">
      <w:pPr>
        <w:spacing w:line="360" w:lineRule="auto"/>
        <w:ind w:left="567"/>
        <w:jc w:val="both"/>
        <w:rPr>
          <w:rFonts w:asciiTheme="minorHAnsi" w:hAnsiTheme="minorHAnsi" w:cstheme="minorHAnsi"/>
          <w:sz w:val="22"/>
          <w:szCs w:val="22"/>
          <w:u w:val="single"/>
        </w:rPr>
      </w:pPr>
      <w:r w:rsidRPr="002F28C0">
        <w:rPr>
          <w:rFonts w:asciiTheme="minorHAnsi" w:hAnsiTheme="minorHAnsi" w:cstheme="minorHAnsi"/>
          <w:sz w:val="22"/>
          <w:szCs w:val="22"/>
          <w:u w:val="single"/>
        </w:rPr>
        <w:t>Proponowane brzmienie:</w:t>
      </w:r>
    </w:p>
    <w:p w14:paraId="0CF1D6F7" w14:textId="77777777" w:rsidR="00D31D20" w:rsidRPr="002F28C0" w:rsidRDefault="00D31D20" w:rsidP="00116BE7">
      <w:pPr>
        <w:autoSpaceDE w:val="0"/>
        <w:autoSpaceDN w:val="0"/>
        <w:spacing w:line="360" w:lineRule="auto"/>
        <w:ind w:left="567"/>
        <w:jc w:val="both"/>
        <w:rPr>
          <w:rFonts w:asciiTheme="minorHAnsi" w:hAnsiTheme="minorHAnsi" w:cstheme="minorHAnsi"/>
          <w:i/>
          <w:iCs/>
          <w:sz w:val="22"/>
          <w:szCs w:val="22"/>
        </w:rPr>
      </w:pPr>
      <w:r w:rsidRPr="002F28C0">
        <w:rPr>
          <w:rFonts w:asciiTheme="minorHAnsi" w:hAnsiTheme="minorHAnsi" w:cstheme="minorHAnsi"/>
          <w:i/>
          <w:iCs/>
          <w:sz w:val="22"/>
          <w:szCs w:val="22"/>
        </w:rPr>
        <w:t>„23) w art. 49:</w:t>
      </w:r>
    </w:p>
    <w:p w14:paraId="34D08132" w14:textId="77777777" w:rsidR="00D31D20" w:rsidRPr="002F28C0" w:rsidRDefault="00D31D20" w:rsidP="00116BE7">
      <w:pPr>
        <w:autoSpaceDE w:val="0"/>
        <w:autoSpaceDN w:val="0"/>
        <w:spacing w:line="360" w:lineRule="auto"/>
        <w:ind w:left="567" w:firstLine="426"/>
        <w:jc w:val="both"/>
        <w:rPr>
          <w:rFonts w:asciiTheme="minorHAnsi" w:hAnsiTheme="minorHAnsi" w:cstheme="minorHAnsi"/>
          <w:i/>
          <w:iCs/>
          <w:sz w:val="22"/>
          <w:szCs w:val="22"/>
        </w:rPr>
      </w:pPr>
      <w:r w:rsidRPr="002F28C0">
        <w:rPr>
          <w:rFonts w:asciiTheme="minorHAnsi" w:hAnsiTheme="minorHAnsi" w:cstheme="minorHAnsi"/>
          <w:i/>
          <w:iCs/>
          <w:sz w:val="22"/>
          <w:szCs w:val="22"/>
        </w:rPr>
        <w:t>a) w ust. 1:</w:t>
      </w:r>
    </w:p>
    <w:p w14:paraId="38982B48" w14:textId="77777777" w:rsidR="00DD1503" w:rsidRDefault="00D31D20" w:rsidP="00116BE7">
      <w:pPr>
        <w:autoSpaceDE w:val="0"/>
        <w:autoSpaceDN w:val="0"/>
        <w:spacing w:line="360" w:lineRule="auto"/>
        <w:ind w:left="567" w:hanging="141"/>
        <w:jc w:val="both"/>
        <w:rPr>
          <w:rFonts w:asciiTheme="minorHAnsi" w:hAnsiTheme="minorHAnsi" w:cstheme="minorHAnsi"/>
          <w:i/>
          <w:iCs/>
          <w:sz w:val="22"/>
          <w:szCs w:val="22"/>
        </w:rPr>
      </w:pPr>
      <w:r w:rsidRPr="002F28C0">
        <w:rPr>
          <w:rFonts w:asciiTheme="minorHAnsi" w:hAnsiTheme="minorHAnsi" w:cstheme="minorHAnsi"/>
          <w:i/>
          <w:iCs/>
          <w:sz w:val="22"/>
          <w:szCs w:val="22"/>
        </w:rPr>
        <w:t>– wprowadzenie do wyliczenia otrzymuje brzmienie:</w:t>
      </w:r>
    </w:p>
    <w:p w14:paraId="60320E14" w14:textId="40C13728" w:rsidR="00D31D20" w:rsidRDefault="00D31D20" w:rsidP="00DD1503">
      <w:pPr>
        <w:autoSpaceDE w:val="0"/>
        <w:autoSpaceDN w:val="0"/>
        <w:spacing w:line="360" w:lineRule="auto"/>
        <w:ind w:left="567"/>
        <w:jc w:val="both"/>
        <w:rPr>
          <w:rFonts w:asciiTheme="minorHAnsi" w:hAnsiTheme="minorHAnsi" w:cstheme="minorHAnsi"/>
          <w:i/>
          <w:iCs/>
          <w:sz w:val="22"/>
          <w:szCs w:val="22"/>
        </w:rPr>
      </w:pPr>
      <w:r w:rsidRPr="002F28C0">
        <w:rPr>
          <w:rFonts w:asciiTheme="minorHAnsi" w:hAnsiTheme="minorHAnsi" w:cstheme="minorHAnsi"/>
          <w:i/>
          <w:iCs/>
          <w:sz w:val="22"/>
          <w:szCs w:val="22"/>
        </w:rPr>
        <w:t>„Instytucje obowiązane przechowują przez okres 5 lat, licząc od pierwszego dnia roku następującego po roku, w którym zakończono stosunki gospodarcze z klientem lub zastosowano środek bezpieczeństwa finansowego: ”</w:t>
      </w:r>
    </w:p>
    <w:p w14:paraId="5A6E3ABD" w14:textId="77777777" w:rsidR="00DD1503" w:rsidRPr="00DD1503" w:rsidRDefault="00DD1503" w:rsidP="00DD1503">
      <w:pPr>
        <w:autoSpaceDE w:val="0"/>
        <w:autoSpaceDN w:val="0"/>
        <w:spacing w:line="360" w:lineRule="auto"/>
        <w:ind w:left="567"/>
        <w:jc w:val="both"/>
        <w:rPr>
          <w:rFonts w:asciiTheme="minorHAnsi" w:hAnsiTheme="minorHAnsi" w:cstheme="minorHAnsi"/>
          <w:i/>
          <w:iCs/>
          <w:sz w:val="22"/>
          <w:szCs w:val="22"/>
        </w:rPr>
      </w:pPr>
    </w:p>
    <w:p w14:paraId="375B341A" w14:textId="1A79BBAF" w:rsidR="00D31D20" w:rsidRPr="002F28C0" w:rsidRDefault="00D31D20" w:rsidP="00116BE7">
      <w:pPr>
        <w:spacing w:line="360" w:lineRule="auto"/>
        <w:ind w:left="567"/>
        <w:jc w:val="both"/>
        <w:rPr>
          <w:rFonts w:asciiTheme="minorHAnsi" w:hAnsiTheme="minorHAnsi" w:cstheme="minorHAnsi"/>
          <w:sz w:val="22"/>
          <w:szCs w:val="22"/>
          <w:u w:val="single"/>
        </w:rPr>
      </w:pPr>
      <w:r w:rsidRPr="002F28C0">
        <w:rPr>
          <w:rFonts w:asciiTheme="minorHAnsi" w:hAnsiTheme="minorHAnsi" w:cstheme="minorHAnsi"/>
          <w:sz w:val="22"/>
          <w:szCs w:val="22"/>
          <w:u w:val="single"/>
        </w:rPr>
        <w:t>Uzasadnienie:</w:t>
      </w:r>
    </w:p>
    <w:p w14:paraId="40EAA349" w14:textId="6D3D2DCE" w:rsidR="00D31D20" w:rsidRPr="002F28C0" w:rsidRDefault="00D31D20" w:rsidP="00116BE7">
      <w:pPr>
        <w:spacing w:line="360" w:lineRule="auto"/>
        <w:ind w:left="567"/>
        <w:jc w:val="both"/>
        <w:rPr>
          <w:rFonts w:asciiTheme="minorHAnsi" w:hAnsiTheme="minorHAnsi" w:cstheme="minorHAnsi"/>
          <w:sz w:val="22"/>
          <w:szCs w:val="22"/>
        </w:rPr>
      </w:pPr>
      <w:r w:rsidRPr="002F28C0">
        <w:rPr>
          <w:rFonts w:asciiTheme="minorHAnsi" w:hAnsiTheme="minorHAnsi" w:cstheme="minorHAnsi"/>
          <w:sz w:val="22"/>
          <w:szCs w:val="22"/>
        </w:rPr>
        <w:t xml:space="preserve">W dotychczasowym brzemieniu, również po konsultacjach społecznych z rynkiem finansowym, </w:t>
      </w:r>
      <w:r w:rsidR="002F28C0">
        <w:rPr>
          <w:rFonts w:asciiTheme="minorHAnsi" w:hAnsiTheme="minorHAnsi" w:cstheme="minorHAnsi"/>
          <w:sz w:val="22"/>
          <w:szCs w:val="22"/>
        </w:rPr>
        <w:br/>
      </w:r>
      <w:r w:rsidRPr="002F28C0">
        <w:rPr>
          <w:rFonts w:asciiTheme="minorHAnsi" w:hAnsiTheme="minorHAnsi" w:cstheme="minorHAnsi"/>
          <w:sz w:val="22"/>
          <w:szCs w:val="22"/>
        </w:rPr>
        <w:t xml:space="preserve">w tekście Ustawy termin przechowywania dokumentów jest liczony od pierwszego dnia następującego po roku, którego dotyczy archiwizowane wydarzenie. Dzięki takiej organizacji instytucje obowiązane nie muszą w trybie dziennym kasować danych z baz analiz transakcji czy archiwum klienta. </w:t>
      </w:r>
    </w:p>
    <w:p w14:paraId="0486F932" w14:textId="77777777" w:rsidR="00D31D20" w:rsidRPr="002F28C0" w:rsidRDefault="00D31D20" w:rsidP="00116BE7">
      <w:pPr>
        <w:spacing w:line="360" w:lineRule="auto"/>
        <w:ind w:left="567"/>
        <w:jc w:val="both"/>
        <w:rPr>
          <w:rFonts w:asciiTheme="minorHAnsi" w:hAnsiTheme="minorHAnsi" w:cstheme="minorHAnsi"/>
          <w:sz w:val="22"/>
          <w:szCs w:val="22"/>
        </w:rPr>
      </w:pPr>
    </w:p>
    <w:p w14:paraId="4912A631" w14:textId="49932167" w:rsidR="00D31D20" w:rsidRPr="002F28C0" w:rsidRDefault="00D31D20" w:rsidP="00116BE7">
      <w:pPr>
        <w:spacing w:line="360" w:lineRule="auto"/>
        <w:ind w:left="567"/>
        <w:jc w:val="both"/>
        <w:rPr>
          <w:rFonts w:asciiTheme="minorHAnsi" w:hAnsiTheme="minorHAnsi" w:cstheme="minorHAnsi"/>
          <w:sz w:val="22"/>
          <w:szCs w:val="22"/>
        </w:rPr>
      </w:pPr>
      <w:r w:rsidRPr="002F28C0">
        <w:rPr>
          <w:rFonts w:asciiTheme="minorHAnsi" w:hAnsiTheme="minorHAnsi" w:cstheme="minorHAnsi"/>
          <w:b/>
          <w:bCs/>
          <w:sz w:val="22"/>
          <w:szCs w:val="22"/>
          <w:u w:val="single"/>
        </w:rPr>
        <w:t xml:space="preserve">Nie istnieje uzasadnienie dla zmiany tej zasady oraz wdrożenia dziennego usuwania danych </w:t>
      </w:r>
      <w:r w:rsidR="007B536A">
        <w:rPr>
          <w:rFonts w:asciiTheme="minorHAnsi" w:hAnsiTheme="minorHAnsi" w:cstheme="minorHAnsi"/>
          <w:b/>
          <w:bCs/>
          <w:sz w:val="22"/>
          <w:szCs w:val="22"/>
          <w:u w:val="single"/>
        </w:rPr>
        <w:br/>
      </w:r>
      <w:r w:rsidRPr="002F28C0">
        <w:rPr>
          <w:rFonts w:asciiTheme="minorHAnsi" w:hAnsiTheme="minorHAnsi" w:cstheme="minorHAnsi"/>
          <w:b/>
          <w:bCs/>
          <w:sz w:val="22"/>
          <w:szCs w:val="22"/>
          <w:u w:val="single"/>
        </w:rPr>
        <w:t>– roczne usuwanie danych zapewnia ich dłuższe przechowywanie, a również minimalizuje ryzyko błędu i utraty danych, których skasowanie  nie było zamierzone.</w:t>
      </w:r>
      <w:r w:rsidRPr="002F28C0">
        <w:rPr>
          <w:rFonts w:asciiTheme="minorHAnsi" w:hAnsiTheme="minorHAnsi" w:cstheme="minorHAnsi"/>
          <w:sz w:val="22"/>
          <w:szCs w:val="22"/>
        </w:rPr>
        <w:t xml:space="preserve"> </w:t>
      </w:r>
    </w:p>
    <w:p w14:paraId="6B7E7406" w14:textId="77777777" w:rsidR="00D31D20" w:rsidRPr="002F28C0" w:rsidRDefault="00D31D20" w:rsidP="00116BE7">
      <w:pPr>
        <w:spacing w:line="360" w:lineRule="auto"/>
        <w:ind w:left="567"/>
        <w:jc w:val="both"/>
        <w:rPr>
          <w:rFonts w:asciiTheme="minorHAnsi" w:hAnsiTheme="minorHAnsi" w:cstheme="minorHAnsi"/>
          <w:sz w:val="22"/>
          <w:szCs w:val="22"/>
        </w:rPr>
      </w:pPr>
    </w:p>
    <w:p w14:paraId="6D35FC4B" w14:textId="2C755B2A" w:rsidR="00D31D20" w:rsidRPr="002F28C0" w:rsidRDefault="00D31D20" w:rsidP="00116BE7">
      <w:pPr>
        <w:spacing w:line="360" w:lineRule="auto"/>
        <w:ind w:left="567"/>
        <w:jc w:val="both"/>
        <w:rPr>
          <w:rFonts w:asciiTheme="minorHAnsi" w:hAnsiTheme="minorHAnsi" w:cstheme="minorHAnsi"/>
          <w:sz w:val="22"/>
          <w:szCs w:val="22"/>
        </w:rPr>
      </w:pPr>
      <w:r w:rsidRPr="002F28C0">
        <w:rPr>
          <w:rFonts w:asciiTheme="minorHAnsi" w:hAnsiTheme="minorHAnsi" w:cstheme="minorHAnsi"/>
          <w:sz w:val="22"/>
          <w:szCs w:val="22"/>
        </w:rPr>
        <w:t xml:space="preserve">Ponadto, postulujemy aby archiwizacja była liczona od zakończenia relacji z klientem lub od momentu zastosowania środka bezpieczeństwa finansowego. Ze względu na długi czas trwania umów ubezpieczeniowych mogłoby się okazać że np. inicjalna informacja o identyfikacji klienta musi być przechowywana przez kilkadziesiąt lat, co może tworzyć znaczne ograniczenia organizacyjne </w:t>
      </w:r>
      <w:r w:rsidR="007B536A">
        <w:rPr>
          <w:rFonts w:asciiTheme="minorHAnsi" w:hAnsiTheme="minorHAnsi" w:cstheme="minorHAnsi"/>
          <w:sz w:val="22"/>
          <w:szCs w:val="22"/>
        </w:rPr>
        <w:br/>
      </w:r>
      <w:r w:rsidRPr="002F28C0">
        <w:rPr>
          <w:rFonts w:asciiTheme="minorHAnsi" w:hAnsiTheme="minorHAnsi" w:cstheme="minorHAnsi"/>
          <w:sz w:val="22"/>
          <w:szCs w:val="22"/>
        </w:rPr>
        <w:t xml:space="preserve">i koniczność inwestowania środków w nieużywane już rozwiązania technologiczne. </w:t>
      </w:r>
    </w:p>
    <w:p w14:paraId="59A7ED38" w14:textId="6B253E25" w:rsidR="00B90939" w:rsidRPr="002F28C0" w:rsidRDefault="00B90939" w:rsidP="00116BE7">
      <w:pPr>
        <w:spacing w:line="360" w:lineRule="auto"/>
        <w:ind w:left="567"/>
        <w:jc w:val="both"/>
        <w:rPr>
          <w:rFonts w:asciiTheme="minorHAnsi" w:hAnsiTheme="minorHAnsi" w:cstheme="minorHAnsi"/>
          <w:sz w:val="22"/>
          <w:szCs w:val="22"/>
        </w:rPr>
      </w:pPr>
    </w:p>
    <w:p w14:paraId="7A4833F8" w14:textId="2D371F91" w:rsidR="00B90939" w:rsidRDefault="00B90939" w:rsidP="00116BE7">
      <w:pPr>
        <w:spacing w:line="360" w:lineRule="auto"/>
        <w:ind w:left="567"/>
        <w:jc w:val="both"/>
        <w:rPr>
          <w:rFonts w:asciiTheme="minorHAnsi" w:hAnsiTheme="minorHAnsi" w:cstheme="minorHAnsi"/>
          <w:sz w:val="22"/>
          <w:szCs w:val="22"/>
        </w:rPr>
      </w:pPr>
      <w:r w:rsidRPr="002F28C0">
        <w:rPr>
          <w:rFonts w:asciiTheme="minorHAnsi" w:hAnsiTheme="minorHAnsi" w:cstheme="minorHAnsi"/>
          <w:sz w:val="22"/>
          <w:szCs w:val="22"/>
        </w:rPr>
        <w:t xml:space="preserve">Należy także wziąć pod uwagę, że dane zbierane w celu spełnienia wymogów wynikających </w:t>
      </w:r>
      <w:r w:rsidR="007B536A">
        <w:rPr>
          <w:rFonts w:asciiTheme="minorHAnsi" w:hAnsiTheme="minorHAnsi" w:cstheme="minorHAnsi"/>
          <w:sz w:val="22"/>
          <w:szCs w:val="22"/>
        </w:rPr>
        <w:br/>
      </w:r>
      <w:r w:rsidRPr="002F28C0">
        <w:rPr>
          <w:rFonts w:asciiTheme="minorHAnsi" w:hAnsiTheme="minorHAnsi" w:cstheme="minorHAnsi"/>
          <w:sz w:val="22"/>
          <w:szCs w:val="22"/>
        </w:rPr>
        <w:t>z przepisów ustawy, często stanowią element dokumentacji (np. wnioski), którą instytucje obowiązane muszą przechowywać dłużej, niż wynika to z projektowanego rozwiązania, na podstawie innych przepisów. To z kolei rodzi konieczność ingerowania w każdy dokument i anonimizacji części danych zawartych w tych dokumentach, i to z większą częstotliwością, co będzie znacznie utrudnione do wdrożenia z operacyjnego punktu widzenia.</w:t>
      </w:r>
    </w:p>
    <w:p w14:paraId="51D04012" w14:textId="77777777" w:rsidR="00DD1503" w:rsidRDefault="00DD1503" w:rsidP="00116BE7">
      <w:pPr>
        <w:spacing w:line="360" w:lineRule="auto"/>
        <w:ind w:left="567"/>
        <w:jc w:val="both"/>
        <w:rPr>
          <w:rFonts w:asciiTheme="minorHAnsi" w:hAnsiTheme="minorHAnsi" w:cstheme="minorHAnsi"/>
          <w:sz w:val="22"/>
          <w:szCs w:val="22"/>
        </w:rPr>
      </w:pPr>
    </w:p>
    <w:p w14:paraId="3D36E375" w14:textId="77777777" w:rsidR="00DD1503" w:rsidRPr="002F28C0" w:rsidRDefault="00DD1503" w:rsidP="00116BE7">
      <w:pPr>
        <w:spacing w:line="360" w:lineRule="auto"/>
        <w:ind w:left="567"/>
        <w:jc w:val="both"/>
        <w:rPr>
          <w:rFonts w:asciiTheme="minorHAnsi" w:hAnsiTheme="minorHAnsi" w:cstheme="minorHAnsi"/>
          <w:sz w:val="22"/>
          <w:szCs w:val="22"/>
        </w:rPr>
      </w:pPr>
    </w:p>
    <w:p w14:paraId="32280FB2" w14:textId="45EEFA67" w:rsidR="00EB6B35" w:rsidRPr="002F28C0" w:rsidRDefault="00EB6B35" w:rsidP="00116BE7">
      <w:pPr>
        <w:spacing w:line="360" w:lineRule="auto"/>
        <w:ind w:left="567"/>
        <w:jc w:val="both"/>
        <w:rPr>
          <w:rFonts w:asciiTheme="minorHAnsi" w:hAnsiTheme="minorHAnsi" w:cstheme="minorHAnsi"/>
          <w:sz w:val="22"/>
          <w:szCs w:val="22"/>
        </w:rPr>
      </w:pPr>
    </w:p>
    <w:p w14:paraId="6DA5C27A" w14:textId="5780A3EB" w:rsidR="007B536A" w:rsidRDefault="00EB6B35" w:rsidP="00116BE7">
      <w:pPr>
        <w:numPr>
          <w:ilvl w:val="0"/>
          <w:numId w:val="44"/>
        </w:numPr>
        <w:tabs>
          <w:tab w:val="left" w:pos="284"/>
          <w:tab w:val="left" w:pos="851"/>
          <w:tab w:val="left" w:pos="1985"/>
          <w:tab w:val="left" w:pos="3119"/>
          <w:tab w:val="left" w:pos="4253"/>
          <w:tab w:val="right" w:pos="7655"/>
        </w:tabs>
        <w:spacing w:line="360" w:lineRule="auto"/>
        <w:ind w:left="1276" w:hanging="709"/>
        <w:jc w:val="both"/>
        <w:rPr>
          <w:rFonts w:asciiTheme="minorHAnsi" w:hAnsiTheme="minorHAnsi" w:cstheme="minorHAnsi"/>
          <w:sz w:val="22"/>
          <w:szCs w:val="22"/>
          <w:u w:val="single"/>
        </w:rPr>
      </w:pPr>
      <w:r w:rsidRPr="002F28C0">
        <w:rPr>
          <w:rFonts w:asciiTheme="minorHAnsi" w:hAnsiTheme="minorHAnsi" w:cstheme="minorHAnsi"/>
          <w:b/>
          <w:bCs/>
          <w:sz w:val="22"/>
          <w:szCs w:val="22"/>
          <w:u w:val="single"/>
        </w:rPr>
        <w:t>Uwaga do art. 1 pkt 24 lit. b Projektu</w:t>
      </w:r>
      <w:r w:rsidRPr="002F28C0">
        <w:rPr>
          <w:rFonts w:asciiTheme="minorHAnsi" w:hAnsiTheme="minorHAnsi" w:cstheme="minorHAnsi"/>
          <w:sz w:val="22"/>
          <w:szCs w:val="22"/>
          <w:u w:val="single"/>
        </w:rPr>
        <w:t>:</w:t>
      </w:r>
    </w:p>
    <w:p w14:paraId="7D1D4BF4" w14:textId="77777777" w:rsidR="00DD1503" w:rsidRPr="00DD1503" w:rsidRDefault="00DD1503" w:rsidP="00DD1503">
      <w:pPr>
        <w:tabs>
          <w:tab w:val="left" w:pos="284"/>
          <w:tab w:val="left" w:pos="851"/>
          <w:tab w:val="left" w:pos="1985"/>
          <w:tab w:val="left" w:pos="3119"/>
          <w:tab w:val="left" w:pos="4253"/>
          <w:tab w:val="right" w:pos="7655"/>
        </w:tabs>
        <w:spacing w:line="360" w:lineRule="auto"/>
        <w:ind w:left="1276"/>
        <w:jc w:val="both"/>
        <w:rPr>
          <w:rFonts w:asciiTheme="minorHAnsi" w:hAnsiTheme="minorHAnsi" w:cstheme="minorHAnsi"/>
          <w:sz w:val="22"/>
          <w:szCs w:val="22"/>
          <w:u w:val="single"/>
        </w:rPr>
      </w:pPr>
    </w:p>
    <w:p w14:paraId="28B28583" w14:textId="08A69F51" w:rsidR="00EB6B35" w:rsidRPr="002F28C0" w:rsidRDefault="00EB6B35" w:rsidP="00116BE7">
      <w:pPr>
        <w:spacing w:line="360" w:lineRule="auto"/>
        <w:ind w:left="567"/>
        <w:jc w:val="both"/>
        <w:rPr>
          <w:rFonts w:asciiTheme="minorHAnsi" w:hAnsiTheme="minorHAnsi" w:cstheme="minorHAnsi"/>
          <w:sz w:val="22"/>
          <w:szCs w:val="22"/>
          <w:u w:val="single"/>
        </w:rPr>
      </w:pPr>
      <w:r w:rsidRPr="002F28C0">
        <w:rPr>
          <w:rFonts w:asciiTheme="minorHAnsi" w:hAnsiTheme="minorHAnsi" w:cstheme="minorHAnsi"/>
          <w:sz w:val="22"/>
          <w:szCs w:val="22"/>
          <w:u w:val="single"/>
        </w:rPr>
        <w:t>Proponowane brzmienie:</w:t>
      </w:r>
    </w:p>
    <w:p w14:paraId="279557FF" w14:textId="7DC0CF13" w:rsidR="00116BE7" w:rsidRDefault="00EB6B35" w:rsidP="00116BE7">
      <w:pPr>
        <w:spacing w:line="360" w:lineRule="auto"/>
        <w:ind w:left="567"/>
        <w:jc w:val="both"/>
        <w:rPr>
          <w:rFonts w:asciiTheme="minorHAnsi" w:hAnsiTheme="minorHAnsi" w:cstheme="minorHAnsi"/>
          <w:sz w:val="22"/>
          <w:szCs w:val="22"/>
        </w:rPr>
      </w:pPr>
      <w:r w:rsidRPr="002F28C0">
        <w:rPr>
          <w:rFonts w:asciiTheme="minorHAnsi" w:hAnsiTheme="minorHAnsi" w:cstheme="minorHAnsi"/>
          <w:sz w:val="22"/>
          <w:szCs w:val="22"/>
        </w:rPr>
        <w:t xml:space="preserve">Usunięcie art. 1 pkt 24 lit. b Projektu. </w:t>
      </w:r>
    </w:p>
    <w:p w14:paraId="275DA256" w14:textId="77777777" w:rsidR="00116BE7" w:rsidRPr="002F28C0" w:rsidRDefault="00116BE7" w:rsidP="00116BE7">
      <w:pPr>
        <w:spacing w:line="360" w:lineRule="auto"/>
        <w:ind w:left="567"/>
        <w:jc w:val="both"/>
        <w:rPr>
          <w:rFonts w:asciiTheme="minorHAnsi" w:hAnsiTheme="minorHAnsi" w:cstheme="minorHAnsi"/>
          <w:sz w:val="22"/>
          <w:szCs w:val="22"/>
        </w:rPr>
      </w:pPr>
    </w:p>
    <w:p w14:paraId="4E2988C5" w14:textId="2A70CB01" w:rsidR="00116BE7" w:rsidRPr="002F28C0" w:rsidRDefault="00EB6B35" w:rsidP="00116BE7">
      <w:pPr>
        <w:spacing w:line="360" w:lineRule="auto"/>
        <w:ind w:left="567"/>
        <w:jc w:val="both"/>
        <w:rPr>
          <w:rFonts w:asciiTheme="minorHAnsi" w:hAnsiTheme="minorHAnsi" w:cstheme="minorHAnsi"/>
          <w:sz w:val="22"/>
          <w:szCs w:val="22"/>
          <w:u w:val="single"/>
        </w:rPr>
      </w:pPr>
      <w:r w:rsidRPr="002F28C0">
        <w:rPr>
          <w:rFonts w:asciiTheme="minorHAnsi" w:hAnsiTheme="minorHAnsi" w:cstheme="minorHAnsi"/>
          <w:sz w:val="22"/>
          <w:szCs w:val="22"/>
          <w:u w:val="single"/>
        </w:rPr>
        <w:t xml:space="preserve">Uzasadnienie: </w:t>
      </w:r>
    </w:p>
    <w:p w14:paraId="370F3FB6" w14:textId="77777777" w:rsidR="008E5882" w:rsidRPr="002F28C0" w:rsidRDefault="00EB6B35" w:rsidP="00116BE7">
      <w:pPr>
        <w:spacing w:line="360" w:lineRule="auto"/>
        <w:ind w:left="567"/>
        <w:jc w:val="both"/>
        <w:rPr>
          <w:rFonts w:asciiTheme="minorHAnsi" w:hAnsiTheme="minorHAnsi" w:cstheme="minorHAnsi"/>
          <w:sz w:val="22"/>
          <w:szCs w:val="22"/>
        </w:rPr>
      </w:pPr>
      <w:r w:rsidRPr="002F28C0">
        <w:rPr>
          <w:rFonts w:asciiTheme="minorHAnsi" w:hAnsiTheme="minorHAnsi" w:cstheme="minorHAnsi"/>
          <w:sz w:val="22"/>
          <w:szCs w:val="22"/>
        </w:rPr>
        <w:t xml:space="preserve">W </w:t>
      </w:r>
      <w:r w:rsidR="008E5882" w:rsidRPr="002F28C0">
        <w:rPr>
          <w:rFonts w:asciiTheme="minorHAnsi" w:hAnsiTheme="minorHAnsi" w:cstheme="minorHAnsi"/>
          <w:sz w:val="22"/>
          <w:szCs w:val="22"/>
        </w:rPr>
        <w:t xml:space="preserve">projektowanym </w:t>
      </w:r>
      <w:r w:rsidRPr="002F28C0">
        <w:rPr>
          <w:rFonts w:asciiTheme="minorHAnsi" w:hAnsiTheme="minorHAnsi" w:cstheme="minorHAnsi"/>
          <w:sz w:val="22"/>
          <w:szCs w:val="22"/>
        </w:rPr>
        <w:t xml:space="preserve">art. 50 </w:t>
      </w:r>
      <w:r w:rsidR="008E5882" w:rsidRPr="002F28C0">
        <w:rPr>
          <w:rFonts w:asciiTheme="minorHAnsi" w:hAnsiTheme="minorHAnsi" w:cstheme="minorHAnsi"/>
          <w:sz w:val="22"/>
          <w:szCs w:val="22"/>
        </w:rPr>
        <w:t xml:space="preserve">Ustawy </w:t>
      </w:r>
      <w:r w:rsidRPr="002F28C0">
        <w:rPr>
          <w:rFonts w:asciiTheme="minorHAnsi" w:hAnsiTheme="minorHAnsi" w:cstheme="minorHAnsi"/>
          <w:sz w:val="22"/>
          <w:szCs w:val="22"/>
        </w:rPr>
        <w:t>dotyczącym wewnętrznej procedury w zakresie przeciwdziałania praniu pieniędzy oraz finansowaniu terroryzmu ustawodawca proponuje dodanie punktów 10 i 11</w:t>
      </w:r>
      <w:r w:rsidR="008E5882" w:rsidRPr="002F28C0">
        <w:rPr>
          <w:rFonts w:asciiTheme="minorHAnsi" w:hAnsiTheme="minorHAnsi" w:cstheme="minorHAnsi"/>
          <w:sz w:val="22"/>
          <w:szCs w:val="22"/>
        </w:rPr>
        <w:t xml:space="preserve">. </w:t>
      </w:r>
    </w:p>
    <w:p w14:paraId="6C3EB2A3" w14:textId="77777777" w:rsidR="008E5882" w:rsidRPr="002F28C0" w:rsidRDefault="008E5882" w:rsidP="00116BE7">
      <w:pPr>
        <w:spacing w:line="360" w:lineRule="auto"/>
        <w:ind w:left="567"/>
        <w:jc w:val="both"/>
        <w:rPr>
          <w:rFonts w:asciiTheme="minorHAnsi" w:hAnsiTheme="minorHAnsi" w:cstheme="minorHAnsi"/>
          <w:sz w:val="22"/>
          <w:szCs w:val="22"/>
        </w:rPr>
      </w:pPr>
    </w:p>
    <w:p w14:paraId="7C0919FB" w14:textId="7E0BCEF3" w:rsidR="00EB6B35" w:rsidRPr="002F28C0" w:rsidRDefault="008E5882" w:rsidP="00116BE7">
      <w:pPr>
        <w:spacing w:line="360" w:lineRule="auto"/>
        <w:ind w:left="567"/>
        <w:jc w:val="both"/>
        <w:rPr>
          <w:rFonts w:asciiTheme="minorHAnsi" w:hAnsiTheme="minorHAnsi" w:cstheme="minorHAnsi"/>
          <w:sz w:val="22"/>
          <w:szCs w:val="22"/>
        </w:rPr>
      </w:pPr>
      <w:r w:rsidRPr="002F28C0">
        <w:rPr>
          <w:rFonts w:asciiTheme="minorHAnsi" w:hAnsiTheme="minorHAnsi" w:cstheme="minorHAnsi"/>
          <w:sz w:val="22"/>
          <w:szCs w:val="22"/>
        </w:rPr>
        <w:t>Wskazana projektowana regulacja</w:t>
      </w:r>
      <w:r w:rsidR="00EB6B35" w:rsidRPr="002F28C0">
        <w:rPr>
          <w:rFonts w:asciiTheme="minorHAnsi" w:hAnsiTheme="minorHAnsi" w:cstheme="minorHAnsi"/>
          <w:sz w:val="22"/>
          <w:szCs w:val="22"/>
        </w:rPr>
        <w:t xml:space="preserve"> kreuje niepotrzebne obowiązki formalne, które są ciężkie do sprecyzowania dla instytucji obowiązanych. </w:t>
      </w:r>
      <w:r w:rsidRPr="002F28C0">
        <w:rPr>
          <w:rFonts w:asciiTheme="minorHAnsi" w:hAnsiTheme="minorHAnsi" w:cstheme="minorHAnsi"/>
          <w:sz w:val="22"/>
          <w:szCs w:val="22"/>
        </w:rPr>
        <w:t xml:space="preserve">Względem punktu 10 należy </w:t>
      </w:r>
      <w:r w:rsidR="008705DC" w:rsidRPr="002F28C0">
        <w:rPr>
          <w:rFonts w:asciiTheme="minorHAnsi" w:hAnsiTheme="minorHAnsi" w:cstheme="minorHAnsi"/>
          <w:sz w:val="22"/>
          <w:szCs w:val="22"/>
        </w:rPr>
        <w:t xml:space="preserve">dodatkowo </w:t>
      </w:r>
      <w:r w:rsidRPr="002F28C0">
        <w:rPr>
          <w:rFonts w:asciiTheme="minorHAnsi" w:hAnsiTheme="minorHAnsi" w:cstheme="minorHAnsi"/>
          <w:sz w:val="22"/>
          <w:szCs w:val="22"/>
        </w:rPr>
        <w:t>odnieść spostrzeżenia z pkt. V</w:t>
      </w:r>
      <w:r w:rsidR="00301A58" w:rsidRPr="002F28C0">
        <w:rPr>
          <w:rFonts w:asciiTheme="minorHAnsi" w:hAnsiTheme="minorHAnsi" w:cstheme="minorHAnsi"/>
          <w:sz w:val="22"/>
          <w:szCs w:val="22"/>
        </w:rPr>
        <w:t>II</w:t>
      </w:r>
      <w:r w:rsidRPr="002F28C0">
        <w:rPr>
          <w:rFonts w:asciiTheme="minorHAnsi" w:hAnsiTheme="minorHAnsi" w:cstheme="minorHAnsi"/>
          <w:sz w:val="22"/>
          <w:szCs w:val="22"/>
        </w:rPr>
        <w:t xml:space="preserve"> niniejszego stanowisk</w:t>
      </w:r>
      <w:r w:rsidR="00EB6B35" w:rsidRPr="002F28C0">
        <w:rPr>
          <w:rFonts w:asciiTheme="minorHAnsi" w:hAnsiTheme="minorHAnsi" w:cstheme="minorHAnsi"/>
          <w:sz w:val="22"/>
          <w:szCs w:val="22"/>
        </w:rPr>
        <w:t xml:space="preserve">. </w:t>
      </w:r>
      <w:r w:rsidR="008705DC" w:rsidRPr="002F28C0">
        <w:rPr>
          <w:rFonts w:asciiTheme="minorHAnsi" w:hAnsiTheme="minorHAnsi" w:cstheme="minorHAnsi"/>
          <w:sz w:val="22"/>
          <w:szCs w:val="22"/>
        </w:rPr>
        <w:t xml:space="preserve">Względem punktu </w:t>
      </w:r>
      <w:r w:rsidR="00EB6B35" w:rsidRPr="002F28C0">
        <w:rPr>
          <w:rFonts w:asciiTheme="minorHAnsi" w:hAnsiTheme="minorHAnsi" w:cstheme="minorHAnsi"/>
          <w:sz w:val="22"/>
          <w:szCs w:val="22"/>
        </w:rPr>
        <w:t xml:space="preserve">11 </w:t>
      </w:r>
      <w:r w:rsidR="008705DC" w:rsidRPr="002F28C0">
        <w:rPr>
          <w:rFonts w:asciiTheme="minorHAnsi" w:hAnsiTheme="minorHAnsi" w:cstheme="minorHAnsi"/>
          <w:sz w:val="22"/>
          <w:szCs w:val="22"/>
        </w:rPr>
        <w:t xml:space="preserve">dodatkowo </w:t>
      </w:r>
      <w:r w:rsidR="00EB6B35" w:rsidRPr="002F28C0">
        <w:rPr>
          <w:rFonts w:asciiTheme="minorHAnsi" w:hAnsiTheme="minorHAnsi" w:cstheme="minorHAnsi"/>
          <w:sz w:val="22"/>
          <w:szCs w:val="22"/>
        </w:rPr>
        <w:t>nie wiadomo jakich konkretnych utrudnień stwierdzonych w związku z weryfikacją tożsamości beneficjenta zasady dokumentowania mają dotyczyć</w:t>
      </w:r>
      <w:r w:rsidR="00301A58" w:rsidRPr="002F28C0">
        <w:rPr>
          <w:rFonts w:asciiTheme="minorHAnsi" w:hAnsiTheme="minorHAnsi" w:cstheme="minorHAnsi"/>
          <w:sz w:val="22"/>
          <w:szCs w:val="22"/>
        </w:rPr>
        <w:t>.</w:t>
      </w:r>
    </w:p>
    <w:p w14:paraId="2405DD23" w14:textId="10015FE9" w:rsidR="00301A58" w:rsidRPr="002F28C0" w:rsidRDefault="00301A58" w:rsidP="00116BE7">
      <w:pPr>
        <w:spacing w:line="360" w:lineRule="auto"/>
        <w:ind w:left="567"/>
        <w:jc w:val="both"/>
        <w:rPr>
          <w:rFonts w:asciiTheme="minorHAnsi" w:hAnsiTheme="minorHAnsi" w:cstheme="minorHAnsi"/>
          <w:sz w:val="22"/>
          <w:szCs w:val="22"/>
        </w:rPr>
      </w:pPr>
    </w:p>
    <w:p w14:paraId="4F3453DE" w14:textId="307C9DBC" w:rsidR="00301A58" w:rsidRDefault="00301A58" w:rsidP="00116BE7">
      <w:pPr>
        <w:pStyle w:val="Akapitzlist"/>
        <w:numPr>
          <w:ilvl w:val="0"/>
          <w:numId w:val="44"/>
        </w:numPr>
        <w:tabs>
          <w:tab w:val="right" w:pos="10206"/>
        </w:tabs>
        <w:spacing w:after="0" w:line="360" w:lineRule="auto"/>
        <w:ind w:left="851" w:right="56" w:hanging="283"/>
        <w:jc w:val="both"/>
        <w:rPr>
          <w:rFonts w:asciiTheme="minorHAnsi" w:eastAsia="Calibri" w:hAnsiTheme="minorHAnsi" w:cstheme="minorHAnsi"/>
          <w:b/>
          <w:sz w:val="22"/>
          <w:bdr w:val="none" w:sz="0" w:space="0" w:color="auto" w:frame="1"/>
        </w:rPr>
      </w:pPr>
      <w:r w:rsidRPr="002F28C0">
        <w:rPr>
          <w:rFonts w:asciiTheme="minorHAnsi" w:eastAsia="Calibri" w:hAnsiTheme="minorHAnsi" w:cstheme="minorHAnsi"/>
          <w:b/>
          <w:sz w:val="22"/>
          <w:bdr w:val="none" w:sz="0" w:space="0" w:color="auto" w:frame="1"/>
        </w:rPr>
        <w:t xml:space="preserve"> Uwaga </w:t>
      </w:r>
      <w:r w:rsidR="003B4FEC" w:rsidRPr="002F28C0">
        <w:rPr>
          <w:rFonts w:asciiTheme="minorHAnsi" w:eastAsia="Calibri" w:hAnsiTheme="minorHAnsi" w:cstheme="minorHAnsi"/>
          <w:b/>
          <w:sz w:val="22"/>
          <w:bdr w:val="none" w:sz="0" w:space="0" w:color="auto" w:frame="1"/>
        </w:rPr>
        <w:t>do art. 1 pkt. 18 Projektu</w:t>
      </w:r>
    </w:p>
    <w:p w14:paraId="402C1FD3" w14:textId="77777777" w:rsidR="007B536A" w:rsidRPr="002F28C0" w:rsidRDefault="007B536A" w:rsidP="00116BE7">
      <w:pPr>
        <w:pStyle w:val="Akapitzlist"/>
        <w:tabs>
          <w:tab w:val="right" w:pos="10206"/>
        </w:tabs>
        <w:spacing w:after="0" w:line="360" w:lineRule="auto"/>
        <w:ind w:left="851" w:right="56"/>
        <w:jc w:val="both"/>
        <w:rPr>
          <w:rFonts w:asciiTheme="minorHAnsi" w:eastAsia="Calibri" w:hAnsiTheme="minorHAnsi" w:cstheme="minorHAnsi"/>
          <w:b/>
          <w:sz w:val="22"/>
          <w:bdr w:val="none" w:sz="0" w:space="0" w:color="auto" w:frame="1"/>
        </w:rPr>
      </w:pPr>
    </w:p>
    <w:p w14:paraId="123A97E1" w14:textId="277EA27B" w:rsidR="00301A58" w:rsidRPr="007B536A" w:rsidRDefault="00301A58" w:rsidP="00116BE7">
      <w:pPr>
        <w:spacing w:line="360" w:lineRule="auto"/>
        <w:ind w:left="567"/>
        <w:jc w:val="both"/>
        <w:rPr>
          <w:rFonts w:asciiTheme="minorHAnsi" w:hAnsiTheme="minorHAnsi" w:cstheme="minorHAnsi"/>
          <w:sz w:val="22"/>
          <w:szCs w:val="22"/>
          <w:u w:val="single"/>
        </w:rPr>
      </w:pPr>
      <w:r w:rsidRPr="002F28C0">
        <w:rPr>
          <w:rFonts w:asciiTheme="minorHAnsi" w:hAnsiTheme="minorHAnsi" w:cstheme="minorHAnsi"/>
          <w:sz w:val="22"/>
          <w:szCs w:val="22"/>
          <w:u w:val="single"/>
        </w:rPr>
        <w:t>Proponowane brzmienie art. 44 ust. 1 Ustawy:</w:t>
      </w:r>
    </w:p>
    <w:p w14:paraId="6CE13FC5" w14:textId="77777777" w:rsidR="00301A58" w:rsidRPr="002F28C0" w:rsidRDefault="00301A58" w:rsidP="00116BE7">
      <w:pPr>
        <w:spacing w:line="360" w:lineRule="auto"/>
        <w:ind w:left="567"/>
        <w:jc w:val="both"/>
        <w:rPr>
          <w:rFonts w:asciiTheme="minorHAnsi" w:hAnsiTheme="minorHAnsi" w:cstheme="minorHAnsi"/>
          <w:i/>
          <w:sz w:val="22"/>
          <w:szCs w:val="22"/>
        </w:rPr>
      </w:pPr>
      <w:r w:rsidRPr="002F28C0">
        <w:rPr>
          <w:rFonts w:asciiTheme="minorHAnsi" w:hAnsiTheme="minorHAnsi" w:cstheme="minorHAnsi"/>
          <w:sz w:val="22"/>
          <w:szCs w:val="22"/>
        </w:rPr>
        <w:t xml:space="preserve">1. </w:t>
      </w:r>
      <w:r w:rsidRPr="002F28C0">
        <w:rPr>
          <w:rFonts w:asciiTheme="minorHAnsi" w:hAnsiTheme="minorHAnsi" w:cstheme="minorHAnsi"/>
          <w:i/>
          <w:sz w:val="22"/>
          <w:szCs w:val="22"/>
        </w:rPr>
        <w:t>Instytucje obowiązane stosują wzmożone środki bezpieczeństwa finansowego w przypadkach stosunków gospodarczych lub transakcji związanych z państwem trzecim wysokiego ryzyka, zidentyfikowanym przez Komisję Europejską w akcie delegowanym przyjętym na podstawie art. 9 dyrektywy 2015/849 w ramach których podejmują wobec klienta co najmniej następujące działania (…)</w:t>
      </w:r>
    </w:p>
    <w:p w14:paraId="185848C7" w14:textId="77777777" w:rsidR="00301A58" w:rsidRPr="002F28C0" w:rsidRDefault="00301A58" w:rsidP="00116BE7">
      <w:pPr>
        <w:tabs>
          <w:tab w:val="right" w:pos="10206"/>
        </w:tabs>
        <w:spacing w:line="360" w:lineRule="auto"/>
        <w:ind w:left="567" w:right="56"/>
        <w:jc w:val="both"/>
        <w:rPr>
          <w:rFonts w:asciiTheme="minorHAnsi" w:eastAsia="Calibri" w:hAnsiTheme="minorHAnsi" w:cstheme="minorHAnsi"/>
          <w:b/>
          <w:sz w:val="22"/>
          <w:szCs w:val="22"/>
          <w:bdr w:val="none" w:sz="0" w:space="0" w:color="auto" w:frame="1"/>
        </w:rPr>
      </w:pPr>
    </w:p>
    <w:p w14:paraId="0DECB677" w14:textId="77777777" w:rsidR="00301A58" w:rsidRPr="002F28C0" w:rsidRDefault="00301A58" w:rsidP="00116BE7">
      <w:pPr>
        <w:autoSpaceDE w:val="0"/>
        <w:autoSpaceDN w:val="0"/>
        <w:adjustRightInd w:val="0"/>
        <w:spacing w:line="360" w:lineRule="auto"/>
        <w:ind w:left="567"/>
        <w:jc w:val="both"/>
        <w:rPr>
          <w:rFonts w:asciiTheme="minorHAnsi" w:hAnsiTheme="minorHAnsi" w:cstheme="minorHAnsi"/>
          <w:sz w:val="22"/>
          <w:szCs w:val="22"/>
          <w:u w:val="single"/>
        </w:rPr>
      </w:pPr>
      <w:r w:rsidRPr="002F28C0">
        <w:rPr>
          <w:rFonts w:asciiTheme="minorHAnsi" w:hAnsiTheme="minorHAnsi" w:cstheme="minorHAnsi"/>
          <w:sz w:val="22"/>
          <w:szCs w:val="22"/>
          <w:u w:val="single"/>
        </w:rPr>
        <w:t>Uzasadnienie:</w:t>
      </w:r>
    </w:p>
    <w:p w14:paraId="77D668DD" w14:textId="7DC4C8B3" w:rsidR="00301A58" w:rsidRPr="00DD1503" w:rsidRDefault="00301A58" w:rsidP="00116BE7">
      <w:pPr>
        <w:tabs>
          <w:tab w:val="right" w:pos="10206"/>
        </w:tabs>
        <w:spacing w:line="360" w:lineRule="auto"/>
        <w:ind w:left="567" w:right="56"/>
        <w:jc w:val="both"/>
        <w:rPr>
          <w:rFonts w:asciiTheme="minorHAnsi" w:eastAsia="Calibri" w:hAnsiTheme="minorHAnsi" w:cstheme="minorHAnsi"/>
          <w:sz w:val="22"/>
          <w:szCs w:val="22"/>
          <w:bdr w:val="none" w:sz="0" w:space="0" w:color="auto" w:frame="1"/>
        </w:rPr>
      </w:pPr>
      <w:r w:rsidRPr="002F28C0">
        <w:rPr>
          <w:rFonts w:asciiTheme="minorHAnsi" w:eastAsia="Calibri" w:hAnsiTheme="minorHAnsi" w:cstheme="minorHAnsi"/>
          <w:sz w:val="22"/>
          <w:szCs w:val="22"/>
          <w:bdr w:val="none" w:sz="0" w:space="0" w:color="auto" w:frame="1"/>
        </w:rPr>
        <w:t xml:space="preserve">W celu uniknięcia wątpliwości interpretacyjnych rekomendowane jest doszczegółowienie zapisów wskazujących na zastosowanie obowiązków ww. art. wobec klienta, co jest spójne z treścią </w:t>
      </w:r>
      <w:r w:rsidRPr="002F28C0">
        <w:rPr>
          <w:rFonts w:asciiTheme="minorHAnsi" w:eastAsia="Calibri" w:hAnsiTheme="minorHAnsi" w:cstheme="minorHAnsi"/>
          <w:sz w:val="22"/>
          <w:szCs w:val="22"/>
          <w:bdr w:val="none" w:sz="0" w:space="0" w:color="auto" w:frame="1"/>
        </w:rPr>
        <w:br/>
        <w:t>art. 18 a) Dyrektywy mającym</w:t>
      </w:r>
      <w:r w:rsidRPr="002F28C0">
        <w:rPr>
          <w:rFonts w:asciiTheme="minorHAnsi" w:hAnsiTheme="minorHAnsi" w:cstheme="minorHAnsi"/>
          <w:color w:val="1F497D"/>
          <w:sz w:val="22"/>
          <w:szCs w:val="22"/>
        </w:rPr>
        <w:t xml:space="preserve"> </w:t>
      </w:r>
      <w:r w:rsidRPr="002F28C0">
        <w:rPr>
          <w:rFonts w:asciiTheme="minorHAnsi" w:hAnsiTheme="minorHAnsi" w:cstheme="minorHAnsi"/>
          <w:sz w:val="22"/>
          <w:szCs w:val="22"/>
        </w:rPr>
        <w:t>na celu ograniczenie relacji z podmiotami z krajów trzecich „</w:t>
      </w:r>
      <w:r w:rsidRPr="002F28C0">
        <w:rPr>
          <w:rFonts w:asciiTheme="minorHAnsi" w:hAnsiTheme="minorHAnsi" w:cstheme="minorHAnsi"/>
          <w:i/>
          <w:iCs/>
          <w:sz w:val="22"/>
          <w:szCs w:val="22"/>
        </w:rPr>
        <w:t>usiłujących wykorzystać krajowe instytucje obowiązane w procederze prania pieniędzy lub finansowania terroryzmu</w:t>
      </w:r>
      <w:r w:rsidRPr="002F28C0">
        <w:rPr>
          <w:rFonts w:asciiTheme="minorHAnsi" w:hAnsiTheme="minorHAnsi" w:cstheme="minorHAnsi"/>
          <w:sz w:val="22"/>
          <w:szCs w:val="22"/>
        </w:rPr>
        <w:t>.”</w:t>
      </w:r>
    </w:p>
    <w:p w14:paraId="7781DFF7" w14:textId="75F304AF" w:rsidR="00301A58" w:rsidRDefault="00301A58" w:rsidP="00116BE7">
      <w:pPr>
        <w:pStyle w:val="Akapitzlist"/>
        <w:numPr>
          <w:ilvl w:val="0"/>
          <w:numId w:val="44"/>
        </w:numPr>
        <w:tabs>
          <w:tab w:val="right" w:pos="10206"/>
        </w:tabs>
        <w:spacing w:after="0" w:line="360" w:lineRule="auto"/>
        <w:ind w:left="851" w:right="56" w:hanging="283"/>
        <w:jc w:val="both"/>
        <w:rPr>
          <w:rFonts w:asciiTheme="minorHAnsi" w:eastAsia="Calibri" w:hAnsiTheme="minorHAnsi" w:cstheme="minorHAnsi"/>
          <w:b/>
          <w:sz w:val="22"/>
          <w:bdr w:val="none" w:sz="0" w:space="0" w:color="auto" w:frame="1"/>
        </w:rPr>
      </w:pPr>
      <w:r w:rsidRPr="002F28C0">
        <w:rPr>
          <w:rFonts w:asciiTheme="minorHAnsi" w:eastAsia="Calibri" w:hAnsiTheme="minorHAnsi" w:cstheme="minorHAnsi"/>
          <w:b/>
          <w:sz w:val="22"/>
          <w:bdr w:val="none" w:sz="0" w:space="0" w:color="auto" w:frame="1"/>
        </w:rPr>
        <w:t xml:space="preserve">  </w:t>
      </w:r>
      <w:r w:rsidR="00943A21" w:rsidRPr="002F28C0">
        <w:rPr>
          <w:rFonts w:asciiTheme="minorHAnsi" w:eastAsia="Calibri" w:hAnsiTheme="minorHAnsi" w:cstheme="minorHAnsi"/>
          <w:b/>
          <w:sz w:val="22"/>
          <w:bdr w:val="none" w:sz="0" w:space="0" w:color="auto" w:frame="1"/>
        </w:rPr>
        <w:t>Uwaga do art. 1 pkt. 19 Projektu</w:t>
      </w:r>
    </w:p>
    <w:p w14:paraId="4428AC3F" w14:textId="77777777" w:rsidR="00116BE7" w:rsidRPr="002F28C0" w:rsidRDefault="00116BE7" w:rsidP="00116BE7">
      <w:pPr>
        <w:pStyle w:val="Akapitzlist"/>
        <w:tabs>
          <w:tab w:val="right" w:pos="10206"/>
        </w:tabs>
        <w:spacing w:after="0" w:line="360" w:lineRule="auto"/>
        <w:ind w:left="567" w:right="56"/>
        <w:jc w:val="both"/>
        <w:rPr>
          <w:rFonts w:asciiTheme="minorHAnsi" w:eastAsia="Calibri" w:hAnsiTheme="minorHAnsi" w:cstheme="minorHAnsi"/>
          <w:b/>
          <w:sz w:val="22"/>
          <w:bdr w:val="none" w:sz="0" w:space="0" w:color="auto" w:frame="1"/>
        </w:rPr>
      </w:pPr>
    </w:p>
    <w:p w14:paraId="0051D19C" w14:textId="0707AC22" w:rsidR="00301A58" w:rsidRPr="002F28C0" w:rsidRDefault="00301A58" w:rsidP="00116BE7">
      <w:pPr>
        <w:spacing w:line="360" w:lineRule="auto"/>
        <w:ind w:left="567"/>
        <w:jc w:val="both"/>
        <w:rPr>
          <w:rFonts w:asciiTheme="minorHAnsi" w:hAnsiTheme="minorHAnsi" w:cstheme="minorHAnsi"/>
          <w:sz w:val="22"/>
          <w:szCs w:val="22"/>
          <w:u w:val="single"/>
        </w:rPr>
      </w:pPr>
      <w:r w:rsidRPr="002F28C0">
        <w:rPr>
          <w:rFonts w:asciiTheme="minorHAnsi" w:hAnsiTheme="minorHAnsi" w:cstheme="minorHAnsi"/>
          <w:sz w:val="22"/>
          <w:szCs w:val="22"/>
          <w:u w:val="single"/>
        </w:rPr>
        <w:t>Proponowane brzmienie art. 44a Ustawy:</w:t>
      </w:r>
    </w:p>
    <w:p w14:paraId="5DE30245" w14:textId="1D85AC8D" w:rsidR="00301A58" w:rsidRPr="002F28C0" w:rsidRDefault="00301A58" w:rsidP="00116BE7">
      <w:pPr>
        <w:tabs>
          <w:tab w:val="right" w:pos="10206"/>
        </w:tabs>
        <w:spacing w:line="360" w:lineRule="auto"/>
        <w:ind w:left="567" w:right="56"/>
        <w:jc w:val="both"/>
        <w:rPr>
          <w:rFonts w:asciiTheme="minorHAnsi" w:eastAsia="Calibri" w:hAnsiTheme="minorHAnsi" w:cstheme="minorHAnsi"/>
          <w:i/>
          <w:sz w:val="22"/>
          <w:szCs w:val="22"/>
          <w:bdr w:val="none" w:sz="0" w:space="0" w:color="auto" w:frame="1"/>
        </w:rPr>
      </w:pPr>
      <w:r w:rsidRPr="002F28C0">
        <w:rPr>
          <w:rFonts w:asciiTheme="minorHAnsi" w:eastAsia="Calibri" w:hAnsiTheme="minorHAnsi" w:cstheme="minorHAnsi"/>
          <w:i/>
          <w:sz w:val="22"/>
          <w:szCs w:val="22"/>
          <w:bdr w:val="none" w:sz="0" w:space="0" w:color="auto" w:frame="1"/>
        </w:rPr>
        <w:t xml:space="preserve">W przypadku transakcji związanej z państwem trzecim wysokiego ryzyka, zidentyfikowanym przez Komisję Europejską w akcie delegowanym przyjętym na podstawie art. 9 dyrektywy 2015/849, przeprowadzanej przez osobę fizyczną, osobę prawną lub jednostkę organizacyjną nieposiadającą osobowości prawnej, instytucje obowiązane, w uzasadnionych przypadkach, w szczególności </w:t>
      </w:r>
      <w:r w:rsidRPr="002F28C0">
        <w:rPr>
          <w:rFonts w:asciiTheme="minorHAnsi" w:hAnsiTheme="minorHAnsi" w:cstheme="minorHAnsi"/>
          <w:i/>
          <w:iCs/>
          <w:sz w:val="22"/>
          <w:szCs w:val="22"/>
        </w:rPr>
        <w:t>stwierdzenia wyższego ryzyka prania pieniędzy lub finansowania terroryzmu</w:t>
      </w:r>
      <w:r w:rsidRPr="002F28C0">
        <w:rPr>
          <w:rFonts w:asciiTheme="minorHAnsi" w:eastAsia="Calibri" w:hAnsiTheme="minorHAnsi" w:cstheme="minorHAnsi"/>
          <w:i/>
          <w:sz w:val="22"/>
          <w:szCs w:val="22"/>
          <w:bdr w:val="none" w:sz="0" w:space="0" w:color="auto" w:frame="1"/>
        </w:rPr>
        <w:t xml:space="preserve"> oprócz stosowania środków bezpieczeństwa finansowego, o których mowa w art. 44 ust. 1, podejmują co najmniej jedno </w:t>
      </w:r>
      <w:r w:rsidR="00116BE7">
        <w:rPr>
          <w:rFonts w:asciiTheme="minorHAnsi" w:eastAsia="Calibri" w:hAnsiTheme="minorHAnsi" w:cstheme="minorHAnsi"/>
          <w:i/>
          <w:sz w:val="22"/>
          <w:szCs w:val="22"/>
          <w:bdr w:val="none" w:sz="0" w:space="0" w:color="auto" w:frame="1"/>
        </w:rPr>
        <w:br/>
      </w:r>
      <w:r w:rsidRPr="002F28C0">
        <w:rPr>
          <w:rFonts w:asciiTheme="minorHAnsi" w:eastAsia="Calibri" w:hAnsiTheme="minorHAnsi" w:cstheme="minorHAnsi"/>
          <w:i/>
          <w:sz w:val="22"/>
          <w:szCs w:val="22"/>
          <w:bdr w:val="none" w:sz="0" w:space="0" w:color="auto" w:frame="1"/>
        </w:rPr>
        <w:t>z następujących działań ograniczających ryzyko związane z taką transakcją (...)</w:t>
      </w:r>
    </w:p>
    <w:p w14:paraId="68DAFE89" w14:textId="77777777" w:rsidR="00301A58" w:rsidRPr="002F28C0" w:rsidRDefault="00301A58" w:rsidP="00116BE7">
      <w:pPr>
        <w:tabs>
          <w:tab w:val="right" w:pos="10206"/>
        </w:tabs>
        <w:spacing w:line="360" w:lineRule="auto"/>
        <w:ind w:left="567" w:right="56"/>
        <w:jc w:val="both"/>
        <w:rPr>
          <w:rFonts w:asciiTheme="minorHAnsi" w:eastAsia="Calibri" w:hAnsiTheme="minorHAnsi" w:cstheme="minorHAnsi"/>
          <w:b/>
          <w:sz w:val="22"/>
          <w:szCs w:val="22"/>
          <w:bdr w:val="none" w:sz="0" w:space="0" w:color="auto" w:frame="1"/>
        </w:rPr>
      </w:pPr>
    </w:p>
    <w:p w14:paraId="1696AF66" w14:textId="77777777" w:rsidR="00943A21" w:rsidRPr="002F28C0" w:rsidRDefault="00301A58" w:rsidP="00116BE7">
      <w:pPr>
        <w:tabs>
          <w:tab w:val="right" w:pos="10206"/>
        </w:tabs>
        <w:spacing w:line="360" w:lineRule="auto"/>
        <w:ind w:left="567" w:right="56"/>
        <w:jc w:val="both"/>
        <w:rPr>
          <w:rFonts w:asciiTheme="minorHAnsi" w:eastAsia="Calibri" w:hAnsiTheme="minorHAnsi" w:cstheme="minorHAnsi"/>
          <w:sz w:val="22"/>
          <w:szCs w:val="22"/>
          <w:bdr w:val="none" w:sz="0" w:space="0" w:color="auto" w:frame="1"/>
        </w:rPr>
      </w:pPr>
      <w:r w:rsidRPr="002F28C0">
        <w:rPr>
          <w:rFonts w:asciiTheme="minorHAnsi" w:eastAsia="Calibri" w:hAnsiTheme="minorHAnsi" w:cstheme="minorHAnsi"/>
          <w:sz w:val="22"/>
          <w:szCs w:val="22"/>
          <w:u w:val="single"/>
          <w:bdr w:val="none" w:sz="0" w:space="0" w:color="auto" w:frame="1"/>
        </w:rPr>
        <w:t>Uzasadnienie:</w:t>
      </w:r>
      <w:r w:rsidRPr="002F28C0">
        <w:rPr>
          <w:rFonts w:asciiTheme="minorHAnsi" w:eastAsia="Calibri" w:hAnsiTheme="minorHAnsi" w:cstheme="minorHAnsi"/>
          <w:sz w:val="22"/>
          <w:szCs w:val="22"/>
          <w:bdr w:val="none" w:sz="0" w:space="0" w:color="auto" w:frame="1"/>
        </w:rPr>
        <w:t xml:space="preserve"> </w:t>
      </w:r>
    </w:p>
    <w:p w14:paraId="3463C475" w14:textId="2C39612F" w:rsidR="00301A58" w:rsidRPr="002F28C0" w:rsidRDefault="00301A58" w:rsidP="00116BE7">
      <w:pPr>
        <w:tabs>
          <w:tab w:val="right" w:pos="10206"/>
        </w:tabs>
        <w:spacing w:line="360" w:lineRule="auto"/>
        <w:ind w:left="567" w:right="56"/>
        <w:jc w:val="both"/>
        <w:rPr>
          <w:rFonts w:asciiTheme="minorHAnsi" w:eastAsia="Calibri" w:hAnsiTheme="minorHAnsi" w:cstheme="minorHAnsi"/>
          <w:sz w:val="22"/>
          <w:szCs w:val="22"/>
          <w:bdr w:val="none" w:sz="0" w:space="0" w:color="auto" w:frame="1"/>
        </w:rPr>
      </w:pPr>
      <w:r w:rsidRPr="002F28C0">
        <w:rPr>
          <w:rFonts w:asciiTheme="minorHAnsi" w:eastAsia="Calibri" w:hAnsiTheme="minorHAnsi" w:cstheme="minorHAnsi"/>
          <w:sz w:val="22"/>
          <w:szCs w:val="22"/>
          <w:bdr w:val="none" w:sz="0" w:space="0" w:color="auto" w:frame="1"/>
        </w:rPr>
        <w:t>Brak wyszczególnieni</w:t>
      </w:r>
      <w:r w:rsidR="00943A21" w:rsidRPr="002F28C0">
        <w:rPr>
          <w:rFonts w:asciiTheme="minorHAnsi" w:eastAsia="Calibri" w:hAnsiTheme="minorHAnsi" w:cstheme="minorHAnsi"/>
          <w:sz w:val="22"/>
          <w:szCs w:val="22"/>
          <w:bdr w:val="none" w:sz="0" w:space="0" w:color="auto" w:frame="1"/>
        </w:rPr>
        <w:t>a</w:t>
      </w:r>
      <w:r w:rsidRPr="002F28C0">
        <w:rPr>
          <w:rFonts w:asciiTheme="minorHAnsi" w:eastAsia="Calibri" w:hAnsiTheme="minorHAnsi" w:cstheme="minorHAnsi"/>
          <w:sz w:val="22"/>
          <w:szCs w:val="22"/>
          <w:bdr w:val="none" w:sz="0" w:space="0" w:color="auto" w:frame="1"/>
        </w:rPr>
        <w:t xml:space="preserve"> w brzmieniu tego przepisu uzasadnionych przypadków </w:t>
      </w:r>
      <w:r w:rsidRPr="002F28C0">
        <w:rPr>
          <w:rFonts w:asciiTheme="minorHAnsi" w:hAnsiTheme="minorHAnsi" w:cstheme="minorHAnsi"/>
          <w:iCs/>
          <w:sz w:val="22"/>
          <w:szCs w:val="22"/>
        </w:rPr>
        <w:t>stwierdzenia wyższego ryzyka prania pieniędzy lub finansowania terroryzmu czy nietypowych transakcji</w:t>
      </w:r>
      <w:r w:rsidRPr="002F28C0">
        <w:rPr>
          <w:rFonts w:asciiTheme="minorHAnsi" w:eastAsia="Calibri" w:hAnsiTheme="minorHAnsi" w:cstheme="minorHAnsi"/>
          <w:sz w:val="22"/>
          <w:szCs w:val="22"/>
          <w:bdr w:val="none" w:sz="0" w:space="0" w:color="auto" w:frame="1"/>
        </w:rPr>
        <w:t xml:space="preserve"> wskazuje, </w:t>
      </w:r>
      <w:r w:rsidR="00116BE7">
        <w:rPr>
          <w:rFonts w:asciiTheme="minorHAnsi" w:eastAsia="Calibri" w:hAnsiTheme="minorHAnsi" w:cstheme="minorHAnsi"/>
          <w:sz w:val="22"/>
          <w:szCs w:val="22"/>
          <w:bdr w:val="none" w:sz="0" w:space="0" w:color="auto" w:frame="1"/>
        </w:rPr>
        <w:br/>
      </w:r>
      <w:r w:rsidRPr="002F28C0">
        <w:rPr>
          <w:rFonts w:asciiTheme="minorHAnsi" w:eastAsia="Calibri" w:hAnsiTheme="minorHAnsi" w:cstheme="minorHAnsi"/>
          <w:sz w:val="22"/>
          <w:szCs w:val="22"/>
          <w:bdr w:val="none" w:sz="0" w:space="0" w:color="auto" w:frame="1"/>
        </w:rPr>
        <w:t>że ustawodawca w odniesieniu do każdej transakcji z udziałem tych konkretnych podmiotów wymaga stosowania określonych w tych przepisach dodatkowych obowiązków (ponad te wskazane w art. 44 ust. 1).</w:t>
      </w:r>
    </w:p>
    <w:p w14:paraId="101C772C" w14:textId="6D5696F1" w:rsidR="004C603E" w:rsidRDefault="00301A58" w:rsidP="00116BE7">
      <w:pPr>
        <w:tabs>
          <w:tab w:val="right" w:pos="10206"/>
        </w:tabs>
        <w:spacing w:line="360" w:lineRule="auto"/>
        <w:ind w:left="567" w:right="56"/>
        <w:jc w:val="both"/>
        <w:rPr>
          <w:rFonts w:asciiTheme="minorHAnsi" w:eastAsia="Calibri" w:hAnsiTheme="minorHAnsi" w:cstheme="minorHAnsi"/>
          <w:i/>
          <w:sz w:val="22"/>
          <w:szCs w:val="22"/>
          <w:bdr w:val="none" w:sz="0" w:space="0" w:color="auto" w:frame="1"/>
        </w:rPr>
      </w:pPr>
      <w:r w:rsidRPr="002F28C0">
        <w:rPr>
          <w:rFonts w:asciiTheme="minorHAnsi" w:eastAsia="Calibri" w:hAnsiTheme="minorHAnsi" w:cstheme="minorHAnsi"/>
          <w:sz w:val="22"/>
          <w:szCs w:val="22"/>
          <w:bdr w:val="none" w:sz="0" w:space="0" w:color="auto" w:frame="1"/>
        </w:rPr>
        <w:t xml:space="preserve">Zapis ten jest transponowany w znacznie szerszym zakresie niż wynika to z art. 18 a) Dyrektywy 2018/843.  Zgodna z zasadą </w:t>
      </w:r>
      <w:r w:rsidRPr="002F28C0">
        <w:rPr>
          <w:rFonts w:asciiTheme="minorHAnsi" w:eastAsia="Calibri" w:hAnsiTheme="minorHAnsi" w:cstheme="minorHAnsi"/>
          <w:i/>
          <w:sz w:val="22"/>
          <w:szCs w:val="22"/>
          <w:bdr w:val="none" w:sz="0" w:space="0" w:color="auto" w:frame="1"/>
        </w:rPr>
        <w:t>risk based approach</w:t>
      </w:r>
      <w:r w:rsidRPr="002F28C0">
        <w:rPr>
          <w:rFonts w:asciiTheme="minorHAnsi" w:eastAsia="Calibri" w:hAnsiTheme="minorHAnsi" w:cstheme="minorHAnsi"/>
          <w:sz w:val="22"/>
          <w:szCs w:val="22"/>
          <w:bdr w:val="none" w:sz="0" w:space="0" w:color="auto" w:frame="1"/>
        </w:rPr>
        <w:t xml:space="preserve"> – podejmowanie działań określonych ww. artykułem powinno być realizowane w sytuacjach uwzględniających szczególne okoliczności. W przeciwnym razie, literalne brzmienie przepisów wskazuje, na konieczność  zastosowania przez instytucje obowiązane obowiązków wynikających z </w:t>
      </w:r>
      <w:r w:rsidR="00943A21" w:rsidRPr="002F28C0">
        <w:rPr>
          <w:rFonts w:asciiTheme="minorHAnsi" w:eastAsia="Calibri" w:hAnsiTheme="minorHAnsi" w:cstheme="minorHAnsi"/>
          <w:sz w:val="22"/>
          <w:szCs w:val="22"/>
          <w:bdr w:val="none" w:sz="0" w:space="0" w:color="auto" w:frame="1"/>
        </w:rPr>
        <w:t xml:space="preserve">projektowanych </w:t>
      </w:r>
      <w:r w:rsidRPr="002F28C0">
        <w:rPr>
          <w:rFonts w:asciiTheme="minorHAnsi" w:eastAsia="Calibri" w:hAnsiTheme="minorHAnsi" w:cstheme="minorHAnsi"/>
          <w:sz w:val="22"/>
          <w:szCs w:val="22"/>
          <w:bdr w:val="none" w:sz="0" w:space="0" w:color="auto" w:frame="1"/>
        </w:rPr>
        <w:t xml:space="preserve">art. 44. 1 i 44a </w:t>
      </w:r>
      <w:r w:rsidR="00943A21" w:rsidRPr="002F28C0">
        <w:rPr>
          <w:rFonts w:asciiTheme="minorHAnsi" w:eastAsia="Calibri" w:hAnsiTheme="minorHAnsi" w:cstheme="minorHAnsi"/>
          <w:sz w:val="22"/>
          <w:szCs w:val="22"/>
          <w:bdr w:val="none" w:sz="0" w:space="0" w:color="auto" w:frame="1"/>
        </w:rPr>
        <w:t xml:space="preserve">Ustawy </w:t>
      </w:r>
      <w:r w:rsidRPr="002F28C0">
        <w:rPr>
          <w:rFonts w:asciiTheme="minorHAnsi" w:eastAsia="Calibri" w:hAnsiTheme="minorHAnsi" w:cstheme="minorHAnsi"/>
          <w:sz w:val="22"/>
          <w:szCs w:val="22"/>
          <w:bdr w:val="none" w:sz="0" w:space="0" w:color="auto" w:frame="1"/>
        </w:rPr>
        <w:t xml:space="preserve">w każdym przypadku przeprowadzonej transakcji związanej z państwem trzecim wysokiego ryzyka, zidentyfikowanym przez Komisję Europejską </w:t>
      </w:r>
      <w:r w:rsidRPr="002F28C0">
        <w:rPr>
          <w:rFonts w:asciiTheme="minorHAnsi" w:eastAsia="Calibri" w:hAnsiTheme="minorHAnsi" w:cstheme="minorHAnsi"/>
          <w:i/>
          <w:sz w:val="22"/>
          <w:szCs w:val="22"/>
          <w:bdr w:val="none" w:sz="0" w:space="0" w:color="auto" w:frame="1"/>
        </w:rPr>
        <w:t xml:space="preserve">w akcie delegowanym przyjętym na podstawie art. 9 dyrektywy 2015/849. </w:t>
      </w:r>
    </w:p>
    <w:p w14:paraId="30521840" w14:textId="77777777" w:rsidR="00116BE7" w:rsidRPr="002F28C0" w:rsidRDefault="00116BE7" w:rsidP="00116BE7">
      <w:pPr>
        <w:tabs>
          <w:tab w:val="right" w:pos="10206"/>
        </w:tabs>
        <w:spacing w:line="360" w:lineRule="auto"/>
        <w:ind w:left="567" w:right="56"/>
        <w:jc w:val="both"/>
        <w:rPr>
          <w:rFonts w:asciiTheme="minorHAnsi" w:eastAsia="Calibri" w:hAnsiTheme="minorHAnsi" w:cstheme="minorHAnsi"/>
          <w:sz w:val="22"/>
          <w:szCs w:val="22"/>
          <w:bdr w:val="none" w:sz="0" w:space="0" w:color="auto" w:frame="1"/>
        </w:rPr>
      </w:pPr>
    </w:p>
    <w:p w14:paraId="2F147CCC" w14:textId="55413823" w:rsidR="004C603E" w:rsidRPr="002F28C0" w:rsidRDefault="004C603E" w:rsidP="00116BE7">
      <w:pPr>
        <w:numPr>
          <w:ilvl w:val="0"/>
          <w:numId w:val="44"/>
        </w:numPr>
        <w:tabs>
          <w:tab w:val="left" w:pos="284"/>
          <w:tab w:val="left" w:pos="567"/>
          <w:tab w:val="left" w:pos="1985"/>
          <w:tab w:val="left" w:pos="3119"/>
          <w:tab w:val="left" w:pos="4253"/>
          <w:tab w:val="right" w:pos="7655"/>
        </w:tabs>
        <w:spacing w:line="360" w:lineRule="auto"/>
        <w:ind w:left="993" w:hanging="426"/>
        <w:jc w:val="both"/>
        <w:rPr>
          <w:rFonts w:asciiTheme="minorHAnsi" w:hAnsiTheme="minorHAnsi" w:cstheme="minorHAnsi"/>
          <w:sz w:val="22"/>
          <w:szCs w:val="22"/>
          <w:u w:val="single"/>
        </w:rPr>
      </w:pPr>
      <w:bookmarkStart w:id="5" w:name="_Hlk63367208"/>
      <w:r w:rsidRPr="002F28C0">
        <w:rPr>
          <w:rFonts w:asciiTheme="minorHAnsi" w:hAnsiTheme="minorHAnsi" w:cstheme="minorHAnsi"/>
          <w:b/>
          <w:bCs/>
          <w:sz w:val="22"/>
          <w:szCs w:val="22"/>
          <w:u w:val="single"/>
        </w:rPr>
        <w:t xml:space="preserve">Uwaga do art. 1 </w:t>
      </w:r>
      <w:r w:rsidR="00461AFE" w:rsidRPr="002F28C0">
        <w:rPr>
          <w:rFonts w:asciiTheme="minorHAnsi" w:hAnsiTheme="minorHAnsi" w:cstheme="minorHAnsi"/>
          <w:b/>
          <w:bCs/>
          <w:sz w:val="22"/>
          <w:szCs w:val="22"/>
          <w:u w:val="single"/>
        </w:rPr>
        <w:t>pkt</w:t>
      </w:r>
      <w:r w:rsidRPr="002F28C0">
        <w:rPr>
          <w:rFonts w:asciiTheme="minorHAnsi" w:hAnsiTheme="minorHAnsi" w:cstheme="minorHAnsi"/>
          <w:b/>
          <w:bCs/>
          <w:sz w:val="22"/>
          <w:szCs w:val="22"/>
          <w:u w:val="single"/>
        </w:rPr>
        <w:t xml:space="preserve"> 37 Projektu</w:t>
      </w:r>
      <w:r w:rsidRPr="002F28C0">
        <w:rPr>
          <w:rFonts w:asciiTheme="minorHAnsi" w:hAnsiTheme="minorHAnsi" w:cstheme="minorHAnsi"/>
          <w:sz w:val="22"/>
          <w:szCs w:val="22"/>
          <w:u w:val="single"/>
        </w:rPr>
        <w:t>:</w:t>
      </w:r>
    </w:p>
    <w:bookmarkEnd w:id="5"/>
    <w:p w14:paraId="656D41A9" w14:textId="77777777" w:rsidR="005304D9" w:rsidRPr="002F28C0" w:rsidRDefault="005304D9" w:rsidP="00116BE7">
      <w:pPr>
        <w:spacing w:line="360" w:lineRule="auto"/>
        <w:ind w:left="567"/>
        <w:jc w:val="both"/>
        <w:rPr>
          <w:rFonts w:asciiTheme="minorHAnsi" w:hAnsiTheme="minorHAnsi" w:cstheme="minorHAnsi"/>
          <w:sz w:val="22"/>
          <w:szCs w:val="22"/>
          <w:u w:val="single"/>
        </w:rPr>
      </w:pPr>
    </w:p>
    <w:p w14:paraId="6641BEA2" w14:textId="01546B93" w:rsidR="00116BE7" w:rsidRPr="002F28C0" w:rsidRDefault="005304D9" w:rsidP="00116BE7">
      <w:pPr>
        <w:spacing w:line="360" w:lineRule="auto"/>
        <w:ind w:left="567"/>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Projektowany art. 61a Ustawy, nakłada na instytucje obowiązane (dalej: „IO”) obowiązek odnotowywania rozbieżności pomiędzy informacjami zgromadzonymi w Centralnym Rejestrze Beneficjentów Rzeczywistych (dalej: „CRBR”), a ustalonymi przez nią informacjami o bene</w:t>
      </w:r>
      <w:r w:rsidR="00116BE7">
        <w:rPr>
          <w:rFonts w:asciiTheme="minorHAnsi" w:eastAsia="Georgia" w:hAnsiTheme="minorHAnsi" w:cstheme="minorHAnsi"/>
          <w:color w:val="000000"/>
          <w:sz w:val="22"/>
          <w:szCs w:val="22"/>
        </w:rPr>
        <w:t xml:space="preserve">ficjencie rzeczywistym klienta </w:t>
      </w:r>
      <w:r w:rsidRPr="002F28C0">
        <w:rPr>
          <w:rFonts w:asciiTheme="minorHAnsi" w:eastAsia="Georgia" w:hAnsiTheme="minorHAnsi" w:cstheme="minorHAnsi"/>
          <w:color w:val="000000"/>
          <w:sz w:val="22"/>
          <w:szCs w:val="22"/>
        </w:rPr>
        <w:t xml:space="preserve">i podejmowania czynności w celu wyjaśnienia przyczyn tych rozbieżności, </w:t>
      </w:r>
      <w:r w:rsidR="00116BE7">
        <w:rPr>
          <w:rFonts w:asciiTheme="minorHAnsi" w:eastAsia="Georgia" w:hAnsiTheme="minorHAnsi" w:cstheme="minorHAnsi"/>
          <w:color w:val="000000"/>
          <w:sz w:val="22"/>
          <w:szCs w:val="22"/>
        </w:rPr>
        <w:br/>
      </w:r>
      <w:r w:rsidRPr="002F28C0">
        <w:rPr>
          <w:rFonts w:asciiTheme="minorHAnsi" w:eastAsia="Georgia" w:hAnsiTheme="minorHAnsi" w:cstheme="minorHAnsi"/>
          <w:color w:val="000000"/>
          <w:sz w:val="22"/>
          <w:szCs w:val="22"/>
        </w:rPr>
        <w:t xml:space="preserve">oraz przekazywania właściwemu organowi zweryfikowanej informacji o rozbieżnościach wraz </w:t>
      </w:r>
      <w:r w:rsidR="00116BE7">
        <w:rPr>
          <w:rFonts w:asciiTheme="minorHAnsi" w:eastAsia="Georgia" w:hAnsiTheme="minorHAnsi" w:cstheme="minorHAnsi"/>
          <w:color w:val="000000"/>
          <w:sz w:val="22"/>
          <w:szCs w:val="22"/>
        </w:rPr>
        <w:br/>
      </w:r>
      <w:r w:rsidRPr="002F28C0">
        <w:rPr>
          <w:rFonts w:asciiTheme="minorHAnsi" w:eastAsia="Georgia" w:hAnsiTheme="minorHAnsi" w:cstheme="minorHAnsi"/>
          <w:color w:val="000000"/>
          <w:sz w:val="22"/>
          <w:szCs w:val="22"/>
        </w:rPr>
        <w:t xml:space="preserve">z uzasadnieniem i właściwą dokumentacją. </w:t>
      </w:r>
    </w:p>
    <w:p w14:paraId="71FBFCB3" w14:textId="77777777"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p>
    <w:p w14:paraId="6B1A655F" w14:textId="77777777"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Zgodnie z treścią projektowanego przepisu:</w:t>
      </w:r>
    </w:p>
    <w:p w14:paraId="6EAFE193" w14:textId="1EAF9349" w:rsidR="005304D9" w:rsidRPr="002F28C0" w:rsidRDefault="005304D9" w:rsidP="00116BE7">
      <w:pPr>
        <w:spacing w:line="360" w:lineRule="auto"/>
        <w:ind w:left="567"/>
        <w:jc w:val="both"/>
        <w:rPr>
          <w:rFonts w:asciiTheme="minorHAnsi" w:eastAsia="Georgia" w:hAnsiTheme="minorHAnsi" w:cstheme="minorHAnsi"/>
          <w:i/>
          <w:color w:val="000000"/>
          <w:sz w:val="22"/>
          <w:szCs w:val="22"/>
          <w:u w:val="single"/>
        </w:rPr>
      </w:pPr>
      <w:r w:rsidRPr="002F28C0">
        <w:rPr>
          <w:rFonts w:asciiTheme="minorHAnsi" w:eastAsia="Georgia" w:hAnsiTheme="minorHAnsi" w:cstheme="minorHAnsi"/>
          <w:color w:val="000000"/>
          <w:sz w:val="22"/>
          <w:szCs w:val="22"/>
        </w:rPr>
        <w:t xml:space="preserve"> </w:t>
      </w:r>
      <w:r w:rsidRPr="002F28C0">
        <w:rPr>
          <w:rFonts w:asciiTheme="minorHAnsi" w:eastAsia="Georgia" w:hAnsiTheme="minorHAnsi" w:cstheme="minorHAnsi"/>
          <w:i/>
          <w:color w:val="000000"/>
          <w:sz w:val="22"/>
          <w:szCs w:val="22"/>
        </w:rPr>
        <w:t xml:space="preserve">„Art. 61a. 1. Instytucja obowiązana odnotowuje rozbieżności pomiędzy informacjami zgromadzonymi </w:t>
      </w:r>
      <w:r w:rsidR="00DD1503">
        <w:rPr>
          <w:rFonts w:asciiTheme="minorHAnsi" w:eastAsia="Georgia" w:hAnsiTheme="minorHAnsi" w:cstheme="minorHAnsi"/>
          <w:i/>
          <w:color w:val="000000"/>
          <w:sz w:val="22"/>
          <w:szCs w:val="22"/>
        </w:rPr>
        <w:br/>
      </w:r>
      <w:r w:rsidRPr="002F28C0">
        <w:rPr>
          <w:rFonts w:asciiTheme="minorHAnsi" w:eastAsia="Georgia" w:hAnsiTheme="minorHAnsi" w:cstheme="minorHAnsi"/>
          <w:i/>
          <w:color w:val="000000"/>
          <w:sz w:val="22"/>
          <w:szCs w:val="22"/>
        </w:rPr>
        <w:t xml:space="preserve">w Rejestrze, a ustalonymi przez nią informacjami o beneficjencie rzeczywistym klienta i </w:t>
      </w:r>
      <w:r w:rsidRPr="002F28C0">
        <w:rPr>
          <w:rFonts w:asciiTheme="minorHAnsi" w:eastAsia="Georgia" w:hAnsiTheme="minorHAnsi" w:cstheme="minorHAnsi"/>
          <w:i/>
          <w:color w:val="000000"/>
          <w:sz w:val="22"/>
          <w:szCs w:val="22"/>
          <w:u w:val="single"/>
        </w:rPr>
        <w:t>podejmuje czynności w celu wyjaśnienia przyczyn tych rozbieżności.</w:t>
      </w:r>
    </w:p>
    <w:p w14:paraId="6C6DAC2D" w14:textId="3EBDDAE5" w:rsidR="005304D9" w:rsidRPr="002F28C0" w:rsidRDefault="00116BE7" w:rsidP="00116BE7">
      <w:pPr>
        <w:spacing w:line="360" w:lineRule="auto"/>
        <w:ind w:left="567"/>
        <w:jc w:val="both"/>
        <w:rPr>
          <w:rFonts w:asciiTheme="minorHAnsi" w:eastAsia="Georgia" w:hAnsiTheme="minorHAnsi" w:cstheme="minorHAnsi"/>
          <w:i/>
          <w:color w:val="000000"/>
          <w:sz w:val="22"/>
          <w:szCs w:val="22"/>
          <w:u w:val="single"/>
        </w:rPr>
      </w:pPr>
      <w:r>
        <w:rPr>
          <w:rFonts w:asciiTheme="minorHAnsi" w:eastAsia="Georgia" w:hAnsiTheme="minorHAnsi" w:cstheme="minorHAnsi"/>
          <w:i/>
          <w:color w:val="000000"/>
          <w:sz w:val="22"/>
          <w:szCs w:val="22"/>
        </w:rPr>
        <w:t xml:space="preserve">2. W </w:t>
      </w:r>
      <w:r w:rsidR="005304D9" w:rsidRPr="002F28C0">
        <w:rPr>
          <w:rFonts w:asciiTheme="minorHAnsi" w:eastAsia="Georgia" w:hAnsiTheme="minorHAnsi" w:cstheme="minorHAnsi"/>
          <w:i/>
          <w:color w:val="000000"/>
          <w:sz w:val="22"/>
          <w:szCs w:val="22"/>
        </w:rPr>
        <w:t xml:space="preserve">przypadku potwierdzenia odnotowanych rozbieżności, instytucja obowiązana przekazuje organowi właściwemu w sprawach Rejestru </w:t>
      </w:r>
      <w:r w:rsidR="005304D9" w:rsidRPr="002F28C0">
        <w:rPr>
          <w:rFonts w:asciiTheme="minorHAnsi" w:eastAsia="Georgia" w:hAnsiTheme="minorHAnsi" w:cstheme="minorHAnsi"/>
          <w:i/>
          <w:color w:val="000000"/>
          <w:sz w:val="22"/>
          <w:szCs w:val="22"/>
          <w:u w:val="single"/>
        </w:rPr>
        <w:t xml:space="preserve">zweryfikowaną informację o tych rozbieżnościach wraz </w:t>
      </w:r>
      <w:r>
        <w:rPr>
          <w:rFonts w:asciiTheme="minorHAnsi" w:eastAsia="Georgia" w:hAnsiTheme="minorHAnsi" w:cstheme="minorHAnsi"/>
          <w:i/>
          <w:color w:val="000000"/>
          <w:sz w:val="22"/>
          <w:szCs w:val="22"/>
          <w:u w:val="single"/>
        </w:rPr>
        <w:br/>
      </w:r>
      <w:r w:rsidR="005304D9" w:rsidRPr="002F28C0">
        <w:rPr>
          <w:rFonts w:asciiTheme="minorHAnsi" w:eastAsia="Georgia" w:hAnsiTheme="minorHAnsi" w:cstheme="minorHAnsi"/>
          <w:i/>
          <w:color w:val="000000"/>
          <w:sz w:val="22"/>
          <w:szCs w:val="22"/>
          <w:u w:val="single"/>
        </w:rPr>
        <w:t>z uzasadnieniem i właściwą dokumentacją.</w:t>
      </w:r>
    </w:p>
    <w:p w14:paraId="46732A37" w14:textId="490D10B7" w:rsidR="005304D9" w:rsidRPr="002F28C0" w:rsidRDefault="00116BE7" w:rsidP="00116BE7">
      <w:pPr>
        <w:spacing w:line="360" w:lineRule="auto"/>
        <w:ind w:left="567"/>
        <w:jc w:val="both"/>
        <w:rPr>
          <w:rFonts w:asciiTheme="minorHAnsi" w:eastAsia="Georgia" w:hAnsiTheme="minorHAnsi" w:cstheme="minorHAnsi"/>
          <w:i/>
          <w:color w:val="000000"/>
          <w:sz w:val="22"/>
          <w:szCs w:val="22"/>
        </w:rPr>
      </w:pPr>
      <w:r>
        <w:rPr>
          <w:rFonts w:asciiTheme="minorHAnsi" w:eastAsia="Georgia" w:hAnsiTheme="minorHAnsi" w:cstheme="minorHAnsi"/>
          <w:i/>
          <w:color w:val="000000"/>
          <w:sz w:val="22"/>
          <w:szCs w:val="22"/>
        </w:rPr>
        <w:t xml:space="preserve">3. </w:t>
      </w:r>
      <w:r w:rsidR="005304D9" w:rsidRPr="002F28C0">
        <w:rPr>
          <w:rFonts w:asciiTheme="minorHAnsi" w:eastAsia="Georgia" w:hAnsiTheme="minorHAnsi" w:cstheme="minorHAnsi"/>
          <w:i/>
          <w:color w:val="000000"/>
          <w:sz w:val="22"/>
          <w:szCs w:val="22"/>
        </w:rPr>
        <w:t>Jednostki współpracujące mogą informować o odnotowanych rozbieżnościach pomiędzy informacjami zgromadzonymi w Rejestrze, a posiadanymi informacjami o beneficjentach rzeczywistych. Przepis ust. 2 stosuje się odpowiednio.</w:t>
      </w:r>
    </w:p>
    <w:p w14:paraId="4B276129" w14:textId="77777777" w:rsidR="005304D9" w:rsidRPr="002F28C0" w:rsidRDefault="005304D9" w:rsidP="00116BE7">
      <w:pPr>
        <w:spacing w:line="360" w:lineRule="auto"/>
        <w:ind w:left="567"/>
        <w:jc w:val="both"/>
        <w:rPr>
          <w:rFonts w:asciiTheme="minorHAnsi" w:eastAsia="Georgia" w:hAnsiTheme="minorHAnsi" w:cstheme="minorHAnsi"/>
          <w:i/>
          <w:color w:val="000000"/>
          <w:sz w:val="22"/>
          <w:szCs w:val="22"/>
        </w:rPr>
      </w:pPr>
      <w:r w:rsidRPr="002F28C0">
        <w:rPr>
          <w:rFonts w:asciiTheme="minorHAnsi" w:eastAsia="Georgia" w:hAnsiTheme="minorHAnsi" w:cstheme="minorHAnsi"/>
          <w:i/>
          <w:color w:val="000000"/>
          <w:sz w:val="22"/>
          <w:szCs w:val="22"/>
        </w:rPr>
        <w:t>4. Informacje, o których mowa w ust. 2 i 3, mogą być przekazywane za pośrednictwem systemu teleinformatycznego, o którym mowa w art. 55.</w:t>
      </w:r>
    </w:p>
    <w:p w14:paraId="40C7524A" w14:textId="14835D68" w:rsidR="005304D9" w:rsidRPr="002F28C0" w:rsidRDefault="00116BE7" w:rsidP="00116BE7">
      <w:pPr>
        <w:spacing w:line="360" w:lineRule="auto"/>
        <w:ind w:left="567"/>
        <w:jc w:val="both"/>
        <w:rPr>
          <w:rFonts w:asciiTheme="minorHAnsi" w:eastAsia="Georgia" w:hAnsiTheme="minorHAnsi" w:cstheme="minorHAnsi"/>
          <w:i/>
          <w:color w:val="000000"/>
          <w:sz w:val="22"/>
          <w:szCs w:val="22"/>
        </w:rPr>
      </w:pPr>
      <w:r>
        <w:rPr>
          <w:rFonts w:asciiTheme="minorHAnsi" w:eastAsia="Georgia" w:hAnsiTheme="minorHAnsi" w:cstheme="minorHAnsi"/>
          <w:i/>
          <w:color w:val="000000"/>
          <w:sz w:val="22"/>
          <w:szCs w:val="22"/>
        </w:rPr>
        <w:t xml:space="preserve">5. </w:t>
      </w:r>
      <w:r w:rsidR="005304D9" w:rsidRPr="002F28C0">
        <w:rPr>
          <w:rFonts w:asciiTheme="minorHAnsi" w:eastAsia="Georgia" w:hAnsiTheme="minorHAnsi" w:cstheme="minorHAnsi"/>
          <w:i/>
          <w:color w:val="000000"/>
          <w:sz w:val="22"/>
          <w:szCs w:val="22"/>
        </w:rPr>
        <w:t xml:space="preserve">Organ właściwy w sprawach Rejestru po uzyskaniu informacji o rozbieżnościach, o których mowa </w:t>
      </w:r>
      <w:r>
        <w:rPr>
          <w:rFonts w:asciiTheme="minorHAnsi" w:eastAsia="Georgia" w:hAnsiTheme="minorHAnsi" w:cstheme="minorHAnsi"/>
          <w:i/>
          <w:color w:val="000000"/>
          <w:sz w:val="22"/>
          <w:szCs w:val="22"/>
        </w:rPr>
        <w:br/>
      </w:r>
      <w:r w:rsidR="005304D9" w:rsidRPr="002F28C0">
        <w:rPr>
          <w:rFonts w:asciiTheme="minorHAnsi" w:eastAsia="Georgia" w:hAnsiTheme="minorHAnsi" w:cstheme="minorHAnsi"/>
          <w:i/>
          <w:color w:val="000000"/>
          <w:sz w:val="22"/>
          <w:szCs w:val="22"/>
        </w:rPr>
        <w:t>w ust. 2 lub 3, podejmuje czynności zmierzające do ich wyjaśnienia.”</w:t>
      </w:r>
    </w:p>
    <w:p w14:paraId="39ACA60B" w14:textId="77777777" w:rsidR="005304D9" w:rsidRPr="002F28C0" w:rsidRDefault="005304D9" w:rsidP="00116BE7">
      <w:pPr>
        <w:spacing w:line="360" w:lineRule="auto"/>
        <w:ind w:left="567"/>
        <w:jc w:val="both"/>
        <w:rPr>
          <w:rFonts w:asciiTheme="minorHAnsi" w:hAnsiTheme="minorHAnsi" w:cstheme="minorHAnsi"/>
          <w:sz w:val="22"/>
          <w:szCs w:val="22"/>
          <w:u w:val="single"/>
        </w:rPr>
      </w:pPr>
    </w:p>
    <w:p w14:paraId="2F6AC093" w14:textId="6187B1FA" w:rsidR="005304D9" w:rsidRPr="002F28C0" w:rsidRDefault="005304D9" w:rsidP="00116BE7">
      <w:pPr>
        <w:spacing w:line="360" w:lineRule="auto"/>
        <w:ind w:left="567"/>
        <w:jc w:val="both"/>
        <w:rPr>
          <w:rFonts w:asciiTheme="minorHAnsi" w:eastAsia="Georgia" w:hAnsiTheme="minorHAnsi" w:cstheme="minorHAnsi"/>
          <w:i/>
          <w:color w:val="000000"/>
          <w:sz w:val="22"/>
          <w:szCs w:val="22"/>
        </w:rPr>
      </w:pPr>
      <w:r w:rsidRPr="002F28C0">
        <w:rPr>
          <w:rFonts w:asciiTheme="minorHAnsi" w:eastAsia="Georgia" w:hAnsiTheme="minorHAnsi" w:cstheme="minorHAnsi"/>
          <w:color w:val="000000"/>
          <w:sz w:val="22"/>
          <w:szCs w:val="22"/>
        </w:rPr>
        <w:t xml:space="preserve">Wprowadzenie cytowanego przepisu do Ustawy ma stanowić implementację Dyrektywy. </w:t>
      </w:r>
    </w:p>
    <w:p w14:paraId="2D6A934E" w14:textId="77777777"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p>
    <w:p w14:paraId="1BB0FCE5" w14:textId="3E19E780"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Zgodnie z treścią Dyrektywy:</w:t>
      </w:r>
    </w:p>
    <w:p w14:paraId="6FE28C2B" w14:textId="5FAB66AC" w:rsidR="005304D9" w:rsidRPr="002F28C0" w:rsidRDefault="00116BE7" w:rsidP="00116BE7">
      <w:pPr>
        <w:spacing w:line="360" w:lineRule="auto"/>
        <w:ind w:left="567"/>
        <w:jc w:val="both"/>
        <w:rPr>
          <w:rFonts w:asciiTheme="minorHAnsi" w:eastAsia="Georgia" w:hAnsiTheme="minorHAnsi" w:cstheme="minorHAnsi"/>
          <w:i/>
          <w:color w:val="000000"/>
          <w:sz w:val="22"/>
          <w:szCs w:val="22"/>
        </w:rPr>
      </w:pPr>
      <w:r>
        <w:rPr>
          <w:rFonts w:asciiTheme="minorHAnsi" w:eastAsia="Georgia" w:hAnsiTheme="minorHAnsi" w:cstheme="minorHAnsi"/>
          <w:i/>
          <w:color w:val="000000"/>
          <w:sz w:val="22"/>
          <w:szCs w:val="22"/>
        </w:rPr>
        <w:t xml:space="preserve">„4. </w:t>
      </w:r>
      <w:r w:rsidR="005304D9" w:rsidRPr="002F28C0">
        <w:rPr>
          <w:rFonts w:asciiTheme="minorHAnsi" w:eastAsia="Georgia" w:hAnsiTheme="minorHAnsi" w:cstheme="minorHAnsi"/>
          <w:i/>
          <w:color w:val="000000"/>
          <w:sz w:val="22"/>
          <w:szCs w:val="22"/>
        </w:rPr>
        <w:t xml:space="preserve">Państwa członkowskie wymagają, aby informacje przechowywane w centralnym rejestrze, </w:t>
      </w:r>
      <w:r>
        <w:rPr>
          <w:rFonts w:asciiTheme="minorHAnsi" w:eastAsia="Georgia" w:hAnsiTheme="minorHAnsi" w:cstheme="minorHAnsi"/>
          <w:i/>
          <w:color w:val="000000"/>
          <w:sz w:val="22"/>
          <w:szCs w:val="22"/>
        </w:rPr>
        <w:br/>
      </w:r>
      <w:r w:rsidR="005304D9" w:rsidRPr="002F28C0">
        <w:rPr>
          <w:rFonts w:asciiTheme="minorHAnsi" w:eastAsia="Georgia" w:hAnsiTheme="minorHAnsi" w:cstheme="minorHAnsi"/>
          <w:i/>
          <w:color w:val="000000"/>
          <w:sz w:val="22"/>
          <w:szCs w:val="22"/>
        </w:rPr>
        <w:t xml:space="preserve">o którym mowa w ust. 3, były odpowiednie, dokładne i aktualne oraz wprowadzają w tym celu odpowiednie mechanizmy. Mechanizmy takie obejmują nałożenie na podmioty zobowiązane, </w:t>
      </w:r>
      <w:r>
        <w:rPr>
          <w:rFonts w:asciiTheme="minorHAnsi" w:eastAsia="Georgia" w:hAnsiTheme="minorHAnsi" w:cstheme="minorHAnsi"/>
          <w:i/>
          <w:color w:val="000000"/>
          <w:sz w:val="22"/>
          <w:szCs w:val="22"/>
        </w:rPr>
        <w:br/>
      </w:r>
      <w:r w:rsidR="005304D9" w:rsidRPr="002F28C0">
        <w:rPr>
          <w:rFonts w:asciiTheme="minorHAnsi" w:eastAsia="Georgia" w:hAnsiTheme="minorHAnsi" w:cstheme="minorHAnsi"/>
          <w:i/>
          <w:color w:val="000000"/>
          <w:sz w:val="22"/>
          <w:szCs w:val="22"/>
        </w:rPr>
        <w:t xml:space="preserve">a w stosownych przypadkach i w zakresie, w jakim wymóg ten nie zakłóca niepotrzebnie ich zadań, </w:t>
      </w:r>
      <w:r w:rsidR="00CC2823">
        <w:rPr>
          <w:rFonts w:asciiTheme="minorHAnsi" w:eastAsia="Georgia" w:hAnsiTheme="minorHAnsi" w:cstheme="minorHAnsi"/>
          <w:i/>
          <w:color w:val="000000"/>
          <w:sz w:val="22"/>
          <w:szCs w:val="22"/>
        </w:rPr>
        <w:br/>
      </w:r>
      <w:r w:rsidR="005304D9" w:rsidRPr="002F28C0">
        <w:rPr>
          <w:rFonts w:asciiTheme="minorHAnsi" w:eastAsia="Georgia" w:hAnsiTheme="minorHAnsi" w:cstheme="minorHAnsi"/>
          <w:i/>
          <w:color w:val="000000"/>
          <w:sz w:val="22"/>
          <w:szCs w:val="22"/>
        </w:rPr>
        <w:t xml:space="preserve">na właściwe organy, obowiązku zgłaszania wszelkich odkrytych przez nie rozbieżności między informacjami o beneficjentach rzeczywistych dostępnymi w centralnych rejestrach a informacjami </w:t>
      </w:r>
      <w:r w:rsidR="00CC2823">
        <w:rPr>
          <w:rFonts w:asciiTheme="minorHAnsi" w:eastAsia="Georgia" w:hAnsiTheme="minorHAnsi" w:cstheme="minorHAnsi"/>
          <w:i/>
          <w:color w:val="000000"/>
          <w:sz w:val="22"/>
          <w:szCs w:val="22"/>
        </w:rPr>
        <w:br/>
      </w:r>
      <w:r w:rsidR="005304D9" w:rsidRPr="002F28C0">
        <w:rPr>
          <w:rFonts w:asciiTheme="minorHAnsi" w:eastAsia="Georgia" w:hAnsiTheme="minorHAnsi" w:cstheme="minorHAnsi"/>
          <w:i/>
          <w:color w:val="000000"/>
          <w:sz w:val="22"/>
          <w:szCs w:val="22"/>
        </w:rPr>
        <w:t xml:space="preserve">o beneficjentach rzeczywistych, do których te podmioty lub organy mają dostęp. W przypadku zgłoszenia rozbieżności państwa członkowskie zapewniają, aby w sposób terminowy podjęte zostały odpowiednie działania w celu wyjaśnienia rozbieżności oraz, w stosownych przypadkach, aby w międzyczasie </w:t>
      </w:r>
      <w:r w:rsidR="00CC2823">
        <w:rPr>
          <w:rFonts w:asciiTheme="minorHAnsi" w:eastAsia="Georgia" w:hAnsiTheme="minorHAnsi" w:cstheme="minorHAnsi"/>
          <w:i/>
          <w:color w:val="000000"/>
          <w:sz w:val="22"/>
          <w:szCs w:val="22"/>
        </w:rPr>
        <w:br/>
      </w:r>
      <w:r w:rsidR="005304D9" w:rsidRPr="002F28C0">
        <w:rPr>
          <w:rFonts w:asciiTheme="minorHAnsi" w:eastAsia="Georgia" w:hAnsiTheme="minorHAnsi" w:cstheme="minorHAnsi"/>
          <w:i/>
          <w:color w:val="000000"/>
          <w:sz w:val="22"/>
          <w:szCs w:val="22"/>
        </w:rPr>
        <w:t>w rejestrze centralnym umieszczono wzmiankę na ten temat.”</w:t>
      </w:r>
    </w:p>
    <w:p w14:paraId="6128498D" w14:textId="77777777" w:rsidR="005304D9" w:rsidRPr="002F28C0" w:rsidRDefault="005304D9" w:rsidP="00116BE7">
      <w:pPr>
        <w:spacing w:line="360" w:lineRule="auto"/>
        <w:ind w:left="567"/>
        <w:jc w:val="both"/>
        <w:rPr>
          <w:rFonts w:asciiTheme="minorHAnsi" w:hAnsiTheme="minorHAnsi" w:cstheme="minorHAnsi"/>
          <w:sz w:val="22"/>
          <w:szCs w:val="22"/>
          <w:u w:val="single"/>
        </w:rPr>
      </w:pPr>
    </w:p>
    <w:p w14:paraId="619A90D8" w14:textId="011AF29D"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 xml:space="preserve">Porównanie treści projektowanego przepisu z Projektu i Dyrektywy prowadzi do wniosku, że będzie on niezgodny z treścią Dyrektywy, </w:t>
      </w:r>
      <w:r w:rsidRPr="002F28C0">
        <w:rPr>
          <w:rFonts w:asciiTheme="minorHAnsi" w:eastAsia="Georgia" w:hAnsiTheme="minorHAnsi" w:cstheme="minorHAnsi"/>
          <w:b/>
          <w:bCs/>
          <w:color w:val="000000"/>
          <w:sz w:val="22"/>
          <w:szCs w:val="22"/>
          <w:u w:val="single"/>
        </w:rPr>
        <w:t xml:space="preserve">która wskazuje jedynie, że dostrzeżone rozbieżności mają być zgłaszane przez IO do właściwych organów. </w:t>
      </w:r>
      <w:r w:rsidRPr="002F28C0">
        <w:rPr>
          <w:rFonts w:asciiTheme="minorHAnsi" w:eastAsia="Georgia" w:hAnsiTheme="minorHAnsi" w:cstheme="minorHAnsi"/>
          <w:color w:val="000000"/>
          <w:sz w:val="22"/>
          <w:szCs w:val="22"/>
        </w:rPr>
        <w:t xml:space="preserve">Dyrektywa nie przewiduje nałożenia na IO obowiązku podejmowania proaktywnych działań w celu wyjaśnienia przyczyn rozbieżności w rejestrze CRBR. Dyrektywa nie nakazuje, aby rozbieżności były weryfikowane przez IO i przekazane wraz z uzasadnieniem </w:t>
      </w:r>
      <w:r w:rsidR="00DD1503">
        <w:rPr>
          <w:rFonts w:asciiTheme="minorHAnsi" w:eastAsia="Georgia" w:hAnsiTheme="minorHAnsi" w:cstheme="minorHAnsi"/>
          <w:color w:val="000000"/>
          <w:sz w:val="22"/>
          <w:szCs w:val="22"/>
        </w:rPr>
        <w:br/>
      </w:r>
      <w:r w:rsidRPr="002F28C0">
        <w:rPr>
          <w:rFonts w:asciiTheme="minorHAnsi" w:eastAsia="Georgia" w:hAnsiTheme="minorHAnsi" w:cstheme="minorHAnsi"/>
          <w:color w:val="000000"/>
          <w:sz w:val="22"/>
          <w:szCs w:val="22"/>
        </w:rPr>
        <w:t xml:space="preserve">i dokumentacją (projektowany art. 61a ust. 2 Ustawy). </w:t>
      </w:r>
    </w:p>
    <w:p w14:paraId="01B39A85" w14:textId="77777777"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p>
    <w:p w14:paraId="623B90F1" w14:textId="5DABDEA0"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r w:rsidRPr="002F28C0">
        <w:rPr>
          <w:rFonts w:asciiTheme="minorHAnsi" w:eastAsia="Georgia" w:hAnsiTheme="minorHAnsi" w:cstheme="minorHAnsi"/>
          <w:b/>
          <w:bCs/>
          <w:color w:val="000000"/>
          <w:sz w:val="22"/>
          <w:szCs w:val="22"/>
          <w:u w:val="single"/>
        </w:rPr>
        <w:t>Ponadto przepisy Dyrektywy wskazują, że obowiązki w tym zakresie powinny spoczywać na właściwych organach państw członkowskich</w:t>
      </w:r>
      <w:r w:rsidRPr="002F28C0">
        <w:rPr>
          <w:rFonts w:asciiTheme="minorHAnsi" w:eastAsia="Georgia" w:hAnsiTheme="minorHAnsi" w:cstheme="minorHAnsi"/>
          <w:color w:val="000000"/>
          <w:sz w:val="22"/>
          <w:szCs w:val="22"/>
        </w:rPr>
        <w:t>: „</w:t>
      </w:r>
      <w:r w:rsidRPr="002F28C0">
        <w:rPr>
          <w:rFonts w:asciiTheme="minorHAnsi" w:eastAsia="Georgia" w:hAnsiTheme="minorHAnsi" w:cstheme="minorHAnsi"/>
          <w:i/>
          <w:color w:val="000000"/>
          <w:sz w:val="22"/>
          <w:szCs w:val="22"/>
        </w:rPr>
        <w:t>W przypadku zgłoszenia rozbieżności państwa członkowskie zapewniają, aby w sposób terminowy podjęte zostały odpowiednie działania w celu wyjaśnienia rozbieżności oraz w stosownych przypadkach, aby w międzyczasie w rejestrze centralnym umieszczono wzmiankę na ten temat.”</w:t>
      </w:r>
    </w:p>
    <w:p w14:paraId="22346956" w14:textId="77777777"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p>
    <w:p w14:paraId="4FB9D56B" w14:textId="77777777"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Przepisy projektowanego art. 61a Ustawy narzucają na polskie IO – w tym grupę zawodową bie</w:t>
      </w:r>
      <w:r w:rsidRPr="002F28C0">
        <w:rPr>
          <w:rFonts w:asciiTheme="minorHAnsi" w:eastAsia="Georgia" w:hAnsiTheme="minorHAnsi" w:cstheme="minorHAnsi"/>
          <w:sz w:val="22"/>
          <w:szCs w:val="22"/>
        </w:rPr>
        <w:t>głych rewidentów</w:t>
      </w:r>
      <w:r w:rsidRPr="002F28C0">
        <w:rPr>
          <w:rFonts w:asciiTheme="minorHAnsi" w:eastAsia="Georgia" w:hAnsiTheme="minorHAnsi" w:cstheme="minorHAnsi"/>
          <w:color w:val="000000"/>
          <w:sz w:val="22"/>
          <w:szCs w:val="22"/>
        </w:rPr>
        <w:t xml:space="preserve"> – kolejne uciążliwe i trudne do realizacji obowiązki w zakresie przeciwdziałania praniu pieniędzy. </w:t>
      </w:r>
    </w:p>
    <w:p w14:paraId="273D4729" w14:textId="77777777"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p>
    <w:p w14:paraId="74DFA8D6" w14:textId="27981432"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 xml:space="preserve">Dodatkowo, zgłoszenia do CRBR dokonywane są obowiązkowo przez reprezentantów pod rygorem odpowiedzialności karnej za składanie fałszywych zeznań (art. 61 ust. 5), zatem </w:t>
      </w:r>
      <w:r w:rsidRPr="002F28C0">
        <w:rPr>
          <w:rFonts w:asciiTheme="minorHAnsi" w:eastAsia="Georgia" w:hAnsiTheme="minorHAnsi" w:cstheme="minorHAnsi"/>
          <w:sz w:val="22"/>
          <w:szCs w:val="22"/>
        </w:rPr>
        <w:t>zweryfikowanie</w:t>
      </w:r>
      <w:r w:rsidRPr="002F28C0">
        <w:rPr>
          <w:rFonts w:asciiTheme="minorHAnsi" w:eastAsia="Georgia" w:hAnsiTheme="minorHAnsi" w:cstheme="minorHAnsi"/>
          <w:color w:val="000000"/>
          <w:sz w:val="22"/>
          <w:szCs w:val="22"/>
        </w:rPr>
        <w:t xml:space="preserve"> rozbieżności przez IO przynajmniej teoretycznie może obejmować swym zakresem postępowanie, </w:t>
      </w:r>
      <w:r w:rsidR="00116BE7">
        <w:rPr>
          <w:rFonts w:asciiTheme="minorHAnsi" w:eastAsia="Georgia" w:hAnsiTheme="minorHAnsi" w:cstheme="minorHAnsi"/>
          <w:color w:val="000000"/>
          <w:sz w:val="22"/>
          <w:szCs w:val="22"/>
        </w:rPr>
        <w:br/>
      </w:r>
      <w:r w:rsidRPr="002F28C0">
        <w:rPr>
          <w:rFonts w:asciiTheme="minorHAnsi" w:eastAsia="Georgia" w:hAnsiTheme="minorHAnsi" w:cstheme="minorHAnsi"/>
          <w:color w:val="000000"/>
          <w:sz w:val="22"/>
          <w:szCs w:val="22"/>
        </w:rPr>
        <w:t xml:space="preserve">w którym właściwe są wyłącznie organy władzy publicznej. Należy podkreślić, że IO nie dysponują żadnymi środkami pozwalającymi na prowadzenie tego rodzaju </w:t>
      </w:r>
      <w:r w:rsidRPr="002F28C0">
        <w:rPr>
          <w:rFonts w:asciiTheme="minorHAnsi" w:eastAsia="Georgia" w:hAnsiTheme="minorHAnsi" w:cstheme="minorHAnsi"/>
          <w:sz w:val="22"/>
          <w:szCs w:val="22"/>
        </w:rPr>
        <w:t>postępowania</w:t>
      </w:r>
      <w:r w:rsidRPr="002F28C0">
        <w:rPr>
          <w:rFonts w:asciiTheme="minorHAnsi" w:eastAsia="Georgia" w:hAnsiTheme="minorHAnsi" w:cstheme="minorHAnsi"/>
          <w:color w:val="000000"/>
          <w:sz w:val="22"/>
          <w:szCs w:val="22"/>
        </w:rPr>
        <w:t xml:space="preserve"> wyjaśniające jak np. dostęp do danych (w tym dotyczących cudzoziemców, spółek zarejestrowanych w innych jurysdykcjach), zobowiązanie do udzielania informacji etc. (tak jak np. organy nadzoru lub wymiaru sprawiedliwości)</w:t>
      </w:r>
      <w:r w:rsidR="00DD1503">
        <w:rPr>
          <w:rFonts w:asciiTheme="minorHAnsi" w:eastAsia="Georgia" w:hAnsiTheme="minorHAnsi" w:cstheme="minorHAnsi"/>
          <w:color w:val="000000"/>
          <w:sz w:val="22"/>
          <w:szCs w:val="22"/>
        </w:rPr>
        <w:t>,</w:t>
      </w:r>
      <w:r w:rsidRPr="002F28C0">
        <w:rPr>
          <w:rFonts w:asciiTheme="minorHAnsi" w:eastAsia="Georgia" w:hAnsiTheme="minorHAnsi" w:cstheme="minorHAnsi"/>
          <w:color w:val="000000"/>
          <w:sz w:val="22"/>
          <w:szCs w:val="22"/>
        </w:rPr>
        <w:t xml:space="preserve"> </w:t>
      </w:r>
      <w:r w:rsidR="00DD1503">
        <w:rPr>
          <w:rFonts w:asciiTheme="minorHAnsi" w:eastAsia="Georgia" w:hAnsiTheme="minorHAnsi" w:cstheme="minorHAnsi"/>
          <w:color w:val="000000"/>
          <w:sz w:val="22"/>
          <w:szCs w:val="22"/>
        </w:rPr>
        <w:br/>
      </w:r>
      <w:r w:rsidRPr="002F28C0">
        <w:rPr>
          <w:rFonts w:asciiTheme="minorHAnsi" w:eastAsia="Georgia" w:hAnsiTheme="minorHAnsi" w:cstheme="minorHAnsi"/>
          <w:color w:val="000000"/>
          <w:sz w:val="22"/>
          <w:szCs w:val="22"/>
        </w:rPr>
        <w:t xml:space="preserve">co powoduje, że wykonanie przez IO nałożonych na nią obowiązków będzie po prostu </w:t>
      </w:r>
      <w:r w:rsidRPr="002F28C0">
        <w:rPr>
          <w:rFonts w:asciiTheme="minorHAnsi" w:eastAsia="Georgia" w:hAnsiTheme="minorHAnsi" w:cstheme="minorHAnsi"/>
          <w:sz w:val="22"/>
          <w:szCs w:val="22"/>
        </w:rPr>
        <w:t>niemożliwe</w:t>
      </w:r>
      <w:r w:rsidRPr="002F28C0">
        <w:rPr>
          <w:rFonts w:asciiTheme="minorHAnsi" w:eastAsia="Georgia" w:hAnsiTheme="minorHAnsi" w:cstheme="minorHAnsi"/>
          <w:color w:val="000000"/>
          <w:sz w:val="22"/>
          <w:szCs w:val="22"/>
        </w:rPr>
        <w:t xml:space="preserve"> lub powoduje ryzyko błędnych konkluzji wynikających z ograniczonego dostępu do informacji. </w:t>
      </w:r>
    </w:p>
    <w:p w14:paraId="435D1BBE" w14:textId="77777777"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p>
    <w:p w14:paraId="30D29380" w14:textId="104B9D2A" w:rsidR="005304D9" w:rsidRPr="002F28C0" w:rsidRDefault="00943A21" w:rsidP="00116BE7">
      <w:pPr>
        <w:spacing w:line="360" w:lineRule="auto"/>
        <w:ind w:left="567"/>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N</w:t>
      </w:r>
      <w:r w:rsidR="005304D9" w:rsidRPr="002F28C0">
        <w:rPr>
          <w:rFonts w:asciiTheme="minorHAnsi" w:eastAsia="Georgia" w:hAnsiTheme="minorHAnsi" w:cstheme="minorHAnsi"/>
          <w:color w:val="000000"/>
          <w:sz w:val="22"/>
          <w:szCs w:val="22"/>
        </w:rPr>
        <w:t xml:space="preserve">ależy podkreślić ogólny i niejednoznaczny charakter definicji beneficjenta rzeczywistego zawarty </w:t>
      </w:r>
      <w:r w:rsidR="00116BE7">
        <w:rPr>
          <w:rFonts w:asciiTheme="minorHAnsi" w:eastAsia="Georgia" w:hAnsiTheme="minorHAnsi" w:cstheme="minorHAnsi"/>
          <w:color w:val="000000"/>
          <w:sz w:val="22"/>
          <w:szCs w:val="22"/>
        </w:rPr>
        <w:br/>
      </w:r>
      <w:r w:rsidR="005304D9" w:rsidRPr="002F28C0">
        <w:rPr>
          <w:rFonts w:asciiTheme="minorHAnsi" w:eastAsia="Georgia" w:hAnsiTheme="minorHAnsi" w:cstheme="minorHAnsi"/>
          <w:color w:val="000000"/>
          <w:sz w:val="22"/>
          <w:szCs w:val="22"/>
        </w:rPr>
        <w:t xml:space="preserve">w </w:t>
      </w:r>
      <w:r w:rsidRPr="002F28C0">
        <w:rPr>
          <w:rFonts w:asciiTheme="minorHAnsi" w:eastAsia="Georgia" w:hAnsiTheme="minorHAnsi" w:cstheme="minorHAnsi"/>
          <w:color w:val="000000"/>
          <w:sz w:val="22"/>
          <w:szCs w:val="22"/>
        </w:rPr>
        <w:t>U</w:t>
      </w:r>
      <w:r w:rsidR="005304D9" w:rsidRPr="002F28C0">
        <w:rPr>
          <w:rFonts w:asciiTheme="minorHAnsi" w:eastAsia="Georgia" w:hAnsiTheme="minorHAnsi" w:cstheme="minorHAnsi"/>
          <w:color w:val="000000"/>
          <w:sz w:val="22"/>
          <w:szCs w:val="22"/>
        </w:rPr>
        <w:t xml:space="preserve">stawie, który z oczywistych względów, w sposób oczywiście usprawiedliwiony może prowadzić do rozbieżnych jej interpretacji w danym stanie faktycznym. Dodatkowo należy uwzględnić ewentualność, że kilka IO będzie miała różne informacje i odmienne interpretacje dotyczące definicji beneficjenta rzeczywistego, co potencjalnie może prowadzić do kilku </w:t>
      </w:r>
      <w:r w:rsidR="005304D9" w:rsidRPr="002F28C0">
        <w:rPr>
          <w:rFonts w:asciiTheme="minorHAnsi" w:eastAsia="Georgia" w:hAnsiTheme="minorHAnsi" w:cstheme="minorHAnsi"/>
          <w:sz w:val="22"/>
          <w:szCs w:val="22"/>
        </w:rPr>
        <w:t>postępowań</w:t>
      </w:r>
      <w:r w:rsidR="005304D9" w:rsidRPr="002F28C0">
        <w:rPr>
          <w:rFonts w:asciiTheme="minorHAnsi" w:eastAsia="Georgia" w:hAnsiTheme="minorHAnsi" w:cstheme="minorHAnsi"/>
          <w:color w:val="000000"/>
          <w:sz w:val="22"/>
          <w:szCs w:val="22"/>
        </w:rPr>
        <w:t xml:space="preserve"> wyjaśniających i różnych konkluzji. Właściwe organy władzy publicznej nie zapewniają możliwości uzyskania interpretacji lub wyjaśnień </w:t>
      </w:r>
      <w:r w:rsidR="00DD1503">
        <w:rPr>
          <w:rFonts w:asciiTheme="minorHAnsi" w:eastAsia="Georgia" w:hAnsiTheme="minorHAnsi" w:cstheme="minorHAnsi"/>
          <w:color w:val="000000"/>
          <w:sz w:val="22"/>
          <w:szCs w:val="22"/>
        </w:rPr>
        <w:br/>
      </w:r>
      <w:r w:rsidR="005304D9" w:rsidRPr="002F28C0">
        <w:rPr>
          <w:rFonts w:asciiTheme="minorHAnsi" w:eastAsia="Georgia" w:hAnsiTheme="minorHAnsi" w:cstheme="minorHAnsi"/>
          <w:color w:val="000000"/>
          <w:sz w:val="22"/>
          <w:szCs w:val="22"/>
        </w:rPr>
        <w:t xml:space="preserve">w tym zakresie w krótkim terminie. Wydaje się, że z uwagi na potencjalnie daleko idące skutki prawne ostatecznie i tak właściwy organ nadzoru powinien we własnym zakresie przeprowadzić </w:t>
      </w:r>
      <w:r w:rsidR="005304D9" w:rsidRPr="002F28C0">
        <w:rPr>
          <w:rFonts w:asciiTheme="minorHAnsi" w:eastAsia="Georgia" w:hAnsiTheme="minorHAnsi" w:cstheme="minorHAnsi"/>
          <w:sz w:val="22"/>
          <w:szCs w:val="22"/>
        </w:rPr>
        <w:t>postępowanie</w:t>
      </w:r>
      <w:r w:rsidR="005304D9" w:rsidRPr="002F28C0">
        <w:rPr>
          <w:rFonts w:asciiTheme="minorHAnsi" w:eastAsia="Georgia" w:hAnsiTheme="minorHAnsi" w:cstheme="minorHAnsi"/>
          <w:color w:val="000000"/>
          <w:sz w:val="22"/>
          <w:szCs w:val="22"/>
        </w:rPr>
        <w:t xml:space="preserve"> wyjaśniające. Mając na uwadze te okoliczności wydaje się, że nałożenie obowiązku prowadzenia </w:t>
      </w:r>
      <w:r w:rsidR="005304D9" w:rsidRPr="002F28C0">
        <w:rPr>
          <w:rFonts w:asciiTheme="minorHAnsi" w:eastAsia="Georgia" w:hAnsiTheme="minorHAnsi" w:cstheme="minorHAnsi"/>
          <w:sz w:val="22"/>
          <w:szCs w:val="22"/>
        </w:rPr>
        <w:t>postępowań</w:t>
      </w:r>
      <w:r w:rsidR="005304D9" w:rsidRPr="002F28C0">
        <w:rPr>
          <w:rFonts w:asciiTheme="minorHAnsi" w:eastAsia="Georgia" w:hAnsiTheme="minorHAnsi" w:cstheme="minorHAnsi"/>
          <w:color w:val="000000"/>
          <w:sz w:val="22"/>
          <w:szCs w:val="22"/>
        </w:rPr>
        <w:t xml:space="preserve"> wyjaśniających przez IO nie powinno mieć miejsca. </w:t>
      </w:r>
    </w:p>
    <w:p w14:paraId="30281583" w14:textId="77777777"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p>
    <w:p w14:paraId="65FE278E" w14:textId="197171D1" w:rsidR="005304D9" w:rsidRPr="002F28C0" w:rsidRDefault="005304D9" w:rsidP="00116BE7">
      <w:pPr>
        <w:spacing w:line="360" w:lineRule="auto"/>
        <w:ind w:left="567"/>
        <w:jc w:val="both"/>
        <w:rPr>
          <w:rFonts w:asciiTheme="minorHAnsi" w:eastAsia="Georgia" w:hAnsiTheme="minorHAnsi" w:cstheme="minorHAnsi"/>
          <w:b/>
          <w:bCs/>
          <w:color w:val="000000"/>
          <w:sz w:val="22"/>
          <w:szCs w:val="22"/>
        </w:rPr>
      </w:pPr>
      <w:r w:rsidRPr="002F28C0">
        <w:rPr>
          <w:rFonts w:asciiTheme="minorHAnsi" w:eastAsia="Georgia" w:hAnsiTheme="minorHAnsi" w:cstheme="minorHAnsi"/>
          <w:b/>
          <w:bCs/>
          <w:color w:val="000000"/>
          <w:sz w:val="22"/>
          <w:szCs w:val="22"/>
        </w:rPr>
        <w:t>W związku z tym zasadna jest zmiana treści projektowanego przepisu i ograniczenie jego implementacji tylko do zakresu w jakim Dyrektywa zobowiązuje do tego państwa członkowskie.</w:t>
      </w:r>
    </w:p>
    <w:p w14:paraId="62406320" w14:textId="77777777"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p>
    <w:p w14:paraId="5B27BC15" w14:textId="790CABA1"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 xml:space="preserve">Nałożenie na IO obowiązków określonych projektowanym przepisem znacząco utrudni i wydłuży już obecnie skomplikowany proces nawiązania stosunków gospodarczych z klientami i podnosi koszty działalności IO co w rezultacie pośrednio obciąża klientów IO – polskich przedsiębiorców </w:t>
      </w:r>
      <w:r w:rsidR="00116BE7">
        <w:rPr>
          <w:rFonts w:asciiTheme="minorHAnsi" w:eastAsia="Georgia" w:hAnsiTheme="minorHAnsi" w:cstheme="minorHAnsi"/>
          <w:color w:val="000000"/>
          <w:sz w:val="22"/>
          <w:szCs w:val="22"/>
        </w:rPr>
        <w:br/>
      </w:r>
      <w:r w:rsidRPr="002F28C0">
        <w:rPr>
          <w:rFonts w:asciiTheme="minorHAnsi" w:eastAsia="Georgia" w:hAnsiTheme="minorHAnsi" w:cstheme="minorHAnsi"/>
          <w:color w:val="000000"/>
          <w:sz w:val="22"/>
          <w:szCs w:val="22"/>
        </w:rPr>
        <w:t xml:space="preserve">i konsumentów, którzy i tak ponoszą koszty tej zmiany pomimo tego, że część z nich już poniosła </w:t>
      </w:r>
      <w:r w:rsidR="00116BE7">
        <w:rPr>
          <w:rFonts w:asciiTheme="minorHAnsi" w:eastAsia="Georgia" w:hAnsiTheme="minorHAnsi" w:cstheme="minorHAnsi"/>
          <w:color w:val="000000"/>
          <w:sz w:val="22"/>
          <w:szCs w:val="22"/>
        </w:rPr>
        <w:br/>
      </w:r>
      <w:r w:rsidRPr="002F28C0">
        <w:rPr>
          <w:rFonts w:asciiTheme="minorHAnsi" w:eastAsia="Georgia" w:hAnsiTheme="minorHAnsi" w:cstheme="minorHAnsi"/>
          <w:color w:val="000000"/>
          <w:sz w:val="22"/>
          <w:szCs w:val="22"/>
        </w:rPr>
        <w:t>i nadal ponosi nakłady finansowe na zgłoszenie i ciągłą aktualizację danych w CRBR.</w:t>
      </w:r>
    </w:p>
    <w:p w14:paraId="4BAC151A" w14:textId="5FE19981" w:rsidR="004C603E" w:rsidRPr="002F28C0" w:rsidRDefault="004C603E" w:rsidP="00116BE7">
      <w:pPr>
        <w:tabs>
          <w:tab w:val="right" w:pos="10206"/>
        </w:tabs>
        <w:spacing w:line="360" w:lineRule="auto"/>
        <w:ind w:left="567" w:right="56"/>
        <w:jc w:val="both"/>
        <w:rPr>
          <w:rFonts w:asciiTheme="minorHAnsi" w:eastAsia="Calibri" w:hAnsiTheme="minorHAnsi" w:cstheme="minorHAnsi"/>
          <w:b/>
          <w:sz w:val="22"/>
          <w:szCs w:val="22"/>
          <w:bdr w:val="nil"/>
        </w:rPr>
      </w:pPr>
    </w:p>
    <w:p w14:paraId="7EED452E" w14:textId="77777777" w:rsidR="005304D9" w:rsidRPr="002F28C0" w:rsidRDefault="005304D9" w:rsidP="00116BE7">
      <w:pPr>
        <w:pStyle w:val="Akapitzlist"/>
        <w:numPr>
          <w:ilvl w:val="0"/>
          <w:numId w:val="44"/>
        </w:numPr>
        <w:pBdr>
          <w:top w:val="nil"/>
          <w:left w:val="nil"/>
          <w:bottom w:val="nil"/>
          <w:right w:val="nil"/>
          <w:between w:val="nil"/>
        </w:pBdr>
        <w:spacing w:after="0" w:line="360" w:lineRule="auto"/>
        <w:ind w:left="1134" w:hanging="567"/>
        <w:jc w:val="both"/>
        <w:rPr>
          <w:rFonts w:asciiTheme="minorHAnsi" w:eastAsia="Georgia" w:hAnsiTheme="minorHAnsi" w:cstheme="minorHAnsi"/>
          <w:b/>
          <w:color w:val="000000"/>
          <w:sz w:val="22"/>
          <w:u w:val="single"/>
        </w:rPr>
      </w:pPr>
      <w:r w:rsidRPr="002F28C0">
        <w:rPr>
          <w:rFonts w:asciiTheme="minorHAnsi" w:eastAsia="Georgia" w:hAnsiTheme="minorHAnsi" w:cstheme="minorHAnsi"/>
          <w:b/>
          <w:color w:val="000000"/>
          <w:sz w:val="22"/>
          <w:u w:val="single"/>
        </w:rPr>
        <w:t>Biegły rewident jako instytucja obowiązana a wykonywanie zawodu w firmie audytorskiej</w:t>
      </w:r>
    </w:p>
    <w:p w14:paraId="33C02C4B" w14:textId="3FD91B07"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 xml:space="preserve">Dążąc do </w:t>
      </w:r>
      <w:r w:rsidRPr="002F28C0">
        <w:rPr>
          <w:rFonts w:asciiTheme="minorHAnsi" w:eastAsia="Georgia" w:hAnsiTheme="minorHAnsi" w:cstheme="minorHAnsi"/>
          <w:sz w:val="22"/>
          <w:szCs w:val="22"/>
        </w:rPr>
        <w:t>najlepszej realizacji</w:t>
      </w:r>
      <w:r w:rsidRPr="002F28C0">
        <w:rPr>
          <w:rFonts w:asciiTheme="minorHAnsi" w:eastAsia="Georgia" w:hAnsiTheme="minorHAnsi" w:cstheme="minorHAnsi"/>
          <w:color w:val="000000"/>
          <w:sz w:val="22"/>
          <w:szCs w:val="22"/>
        </w:rPr>
        <w:t xml:space="preserve"> celów Ustawy</w:t>
      </w:r>
      <w:r w:rsidR="00943A21" w:rsidRPr="002F28C0">
        <w:rPr>
          <w:rFonts w:asciiTheme="minorHAnsi" w:eastAsia="Georgia" w:hAnsiTheme="minorHAnsi" w:cstheme="minorHAnsi"/>
          <w:color w:val="000000"/>
          <w:sz w:val="22"/>
          <w:szCs w:val="22"/>
        </w:rPr>
        <w:t xml:space="preserve">, </w:t>
      </w:r>
      <w:r w:rsidRPr="002F28C0">
        <w:rPr>
          <w:rFonts w:asciiTheme="minorHAnsi" w:eastAsia="Georgia" w:hAnsiTheme="minorHAnsi" w:cstheme="minorHAnsi"/>
          <w:color w:val="000000"/>
          <w:sz w:val="22"/>
          <w:szCs w:val="22"/>
        </w:rPr>
        <w:t xml:space="preserve">przedstawiamy postulat doprecyzowania regulacji Ustawy w zakresie wskazania, iż w sytuacji świadczenia </w:t>
      </w:r>
      <w:r w:rsidRPr="002F28C0">
        <w:rPr>
          <w:rFonts w:asciiTheme="minorHAnsi" w:eastAsia="Georgia" w:hAnsiTheme="minorHAnsi" w:cstheme="minorHAnsi"/>
          <w:sz w:val="22"/>
          <w:szCs w:val="22"/>
        </w:rPr>
        <w:t xml:space="preserve">przez biegłego rewidenta </w:t>
      </w:r>
      <w:r w:rsidRPr="002F28C0">
        <w:rPr>
          <w:rFonts w:asciiTheme="minorHAnsi" w:eastAsia="Georgia" w:hAnsiTheme="minorHAnsi" w:cstheme="minorHAnsi"/>
          <w:color w:val="000000"/>
          <w:sz w:val="22"/>
          <w:szCs w:val="22"/>
        </w:rPr>
        <w:t>usług w ramach firmy audytorskiej (</w:t>
      </w:r>
      <w:r w:rsidRPr="002F28C0">
        <w:rPr>
          <w:rFonts w:asciiTheme="minorHAnsi" w:eastAsia="Georgia" w:hAnsiTheme="minorHAnsi" w:cstheme="minorHAnsi"/>
          <w:sz w:val="22"/>
          <w:szCs w:val="22"/>
        </w:rPr>
        <w:t>np. w zakresie stosunku pracy</w:t>
      </w:r>
      <w:r w:rsidRPr="002F28C0">
        <w:rPr>
          <w:rFonts w:asciiTheme="minorHAnsi" w:eastAsia="Georgia" w:hAnsiTheme="minorHAnsi" w:cstheme="minorHAnsi"/>
          <w:color w:val="000000"/>
          <w:sz w:val="22"/>
          <w:szCs w:val="22"/>
        </w:rPr>
        <w:t>), obowiązki wynikające z Ustawy realizowane być powinny na poziomie firmy audytorskiej (spółki</w:t>
      </w:r>
      <w:r w:rsidRPr="002F28C0">
        <w:rPr>
          <w:rFonts w:asciiTheme="minorHAnsi" w:eastAsia="Georgia" w:hAnsiTheme="minorHAnsi" w:cstheme="minorHAnsi"/>
          <w:sz w:val="22"/>
          <w:szCs w:val="22"/>
        </w:rPr>
        <w:t>/</w:t>
      </w:r>
      <w:r w:rsidRPr="002F28C0">
        <w:rPr>
          <w:rFonts w:asciiTheme="minorHAnsi" w:eastAsia="Georgia" w:hAnsiTheme="minorHAnsi" w:cstheme="minorHAnsi"/>
          <w:color w:val="000000"/>
          <w:sz w:val="22"/>
          <w:szCs w:val="22"/>
        </w:rPr>
        <w:t>pracodawcy), co odpowiadać będzie realiom świadczenia tych usług. Obecnie treś</w:t>
      </w:r>
      <w:r w:rsidRPr="002F28C0">
        <w:rPr>
          <w:rFonts w:asciiTheme="minorHAnsi" w:eastAsia="Georgia" w:hAnsiTheme="minorHAnsi" w:cstheme="minorHAnsi"/>
          <w:sz w:val="22"/>
          <w:szCs w:val="22"/>
        </w:rPr>
        <w:t>ć</w:t>
      </w:r>
      <w:r w:rsidRPr="002F28C0">
        <w:rPr>
          <w:rFonts w:asciiTheme="minorHAnsi" w:eastAsia="Georgia" w:hAnsiTheme="minorHAnsi" w:cstheme="minorHAnsi"/>
          <w:color w:val="000000"/>
          <w:sz w:val="22"/>
          <w:szCs w:val="22"/>
        </w:rPr>
        <w:t xml:space="preserve"> ustawy jednoznacznie </w:t>
      </w:r>
      <w:r w:rsidRPr="002F28C0">
        <w:rPr>
          <w:rFonts w:asciiTheme="minorHAnsi" w:eastAsia="Georgia" w:hAnsiTheme="minorHAnsi" w:cstheme="minorHAnsi"/>
          <w:sz w:val="22"/>
          <w:szCs w:val="22"/>
        </w:rPr>
        <w:t xml:space="preserve">określa, że instytucją obowiązaną są biegli rewidenci (nie zaś firmy audytorskie), co prowadzi do skomplikowanych sytuacji w praktyce, niekoniecznie sprzyjających realizacji celów Ustawy. </w:t>
      </w:r>
      <w:r w:rsidRPr="002F28C0">
        <w:rPr>
          <w:rFonts w:asciiTheme="minorHAnsi" w:eastAsia="Georgia" w:hAnsiTheme="minorHAnsi" w:cstheme="minorHAnsi"/>
          <w:color w:val="000000"/>
          <w:sz w:val="22"/>
          <w:szCs w:val="22"/>
        </w:rPr>
        <w:t>Za realizacją powyższego postulatu przemawiają poniższe argumenty:</w:t>
      </w:r>
    </w:p>
    <w:p w14:paraId="6E6FF6C2" w14:textId="77777777" w:rsidR="005304D9" w:rsidRPr="002F28C0" w:rsidRDefault="005304D9" w:rsidP="00116BE7">
      <w:pPr>
        <w:numPr>
          <w:ilvl w:val="0"/>
          <w:numId w:val="45"/>
        </w:numPr>
        <w:pBdr>
          <w:top w:val="nil"/>
          <w:left w:val="nil"/>
          <w:bottom w:val="nil"/>
          <w:right w:val="nil"/>
          <w:between w:val="nil"/>
        </w:pBdr>
        <w:spacing w:line="360" w:lineRule="auto"/>
        <w:ind w:left="993"/>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Formy wykonywania zawodu biegłego rewidenta a identyfikacja jako IO</w:t>
      </w:r>
    </w:p>
    <w:p w14:paraId="585A758C" w14:textId="26F4ED68" w:rsidR="005304D9" w:rsidRPr="002F28C0" w:rsidRDefault="005304D9" w:rsidP="00116BE7">
      <w:pPr>
        <w:spacing w:line="360" w:lineRule="auto"/>
        <w:ind w:left="993"/>
        <w:jc w:val="both"/>
        <w:rPr>
          <w:rFonts w:asciiTheme="minorHAnsi" w:eastAsia="Georgia" w:hAnsiTheme="minorHAnsi" w:cstheme="minorHAnsi"/>
          <w:sz w:val="22"/>
          <w:szCs w:val="22"/>
        </w:rPr>
      </w:pPr>
      <w:r w:rsidRPr="002F28C0">
        <w:rPr>
          <w:rFonts w:asciiTheme="minorHAnsi" w:eastAsia="Georgia" w:hAnsiTheme="minorHAnsi" w:cstheme="minorHAnsi"/>
          <w:sz w:val="22"/>
          <w:szCs w:val="22"/>
        </w:rPr>
        <w:t xml:space="preserve">Biegli rewidenci mogą wykonywać zawód działając we własnym imieniu i na własny rachunek lub </w:t>
      </w:r>
      <w:r w:rsidR="00116BE7">
        <w:rPr>
          <w:rFonts w:asciiTheme="minorHAnsi" w:eastAsia="Georgia" w:hAnsiTheme="minorHAnsi" w:cstheme="minorHAnsi"/>
          <w:sz w:val="22"/>
          <w:szCs w:val="22"/>
        </w:rPr>
        <w:br/>
      </w:r>
      <w:r w:rsidRPr="002F28C0">
        <w:rPr>
          <w:rFonts w:asciiTheme="minorHAnsi" w:eastAsia="Georgia" w:hAnsiTheme="minorHAnsi" w:cstheme="minorHAnsi"/>
          <w:sz w:val="22"/>
          <w:szCs w:val="22"/>
        </w:rPr>
        <w:t xml:space="preserve">w imieniu i na rzecz firmy audytorskiej (a nie własnym) oraz jako uczestnik spółki, </w:t>
      </w:r>
      <w:r w:rsidR="00116BE7">
        <w:rPr>
          <w:rFonts w:asciiTheme="minorHAnsi" w:eastAsia="Georgia" w:hAnsiTheme="minorHAnsi" w:cstheme="minorHAnsi"/>
          <w:sz w:val="22"/>
          <w:szCs w:val="22"/>
        </w:rPr>
        <w:br/>
      </w:r>
      <w:r w:rsidRPr="002F28C0">
        <w:rPr>
          <w:rFonts w:asciiTheme="minorHAnsi" w:eastAsia="Georgia" w:hAnsiTheme="minorHAnsi" w:cstheme="minorHAnsi"/>
          <w:sz w:val="22"/>
          <w:szCs w:val="22"/>
        </w:rPr>
        <w:t xml:space="preserve">a ponadto pozostając w stosunku pracy. </w:t>
      </w:r>
    </w:p>
    <w:p w14:paraId="215C6C7B" w14:textId="7506F2BD"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r w:rsidRPr="002F28C0">
        <w:rPr>
          <w:rFonts w:asciiTheme="minorHAnsi" w:eastAsia="Georgia" w:hAnsiTheme="minorHAnsi" w:cstheme="minorHAnsi"/>
          <w:sz w:val="22"/>
          <w:szCs w:val="22"/>
        </w:rPr>
        <w:t xml:space="preserve">Z kolei Ustawa </w:t>
      </w:r>
      <w:r w:rsidRPr="002F28C0">
        <w:rPr>
          <w:rFonts w:asciiTheme="minorHAnsi" w:eastAsia="Georgia" w:hAnsiTheme="minorHAnsi" w:cstheme="minorHAnsi"/>
          <w:color w:val="000000"/>
          <w:sz w:val="22"/>
          <w:szCs w:val="22"/>
        </w:rPr>
        <w:t>w zupełności pomija formy wykonywania tego zawodu, wskazując w art. 2 ust. 1 pkt 15, że IO są tylko biegli rewidenci (analogiczny wniosek dotyczy doradców podatkowych</w:t>
      </w:r>
      <w:r w:rsidRPr="002F28C0">
        <w:rPr>
          <w:rFonts w:asciiTheme="minorHAnsi" w:eastAsia="Georgia" w:hAnsiTheme="minorHAnsi" w:cstheme="minorHAnsi"/>
          <w:sz w:val="22"/>
          <w:szCs w:val="22"/>
        </w:rPr>
        <w:t xml:space="preserve"> adwokatów i radców prawnych</w:t>
      </w:r>
      <w:r w:rsidRPr="002F28C0">
        <w:rPr>
          <w:rFonts w:asciiTheme="minorHAnsi" w:eastAsia="Georgia" w:hAnsiTheme="minorHAnsi" w:cstheme="minorHAnsi"/>
          <w:color w:val="000000"/>
          <w:sz w:val="22"/>
          <w:szCs w:val="22"/>
        </w:rPr>
        <w:t xml:space="preserve">). O ile zrozumiałe jest zastosowanie powyższych odniesień do osób fizycznych prowadzących działalność gospodarczą (firma audytorska w rozumieniu 46 pkt 1 ustawy o biegłych rewidentach firmach audytorskich oraz nadzorze publicznym z dnia 11 maja 2017 r. dalej: „ustawa o biegłych rewidentach”), gdyż niezależnie od formy wykonywania zawodu, czynności związane z wykonywaniem zawodu świadczone są przez te osoby, to zasadnym byłoby umożliwienie realizacji obowiązków AML przez firmy audytorskie, w ramach których biegli wykonują zawód oraz w określonym zakresie pracodawców. </w:t>
      </w:r>
    </w:p>
    <w:p w14:paraId="71BA5E62" w14:textId="77777777"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p>
    <w:p w14:paraId="15C3BC2E" w14:textId="3B165DE0"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 xml:space="preserve">Pominięcie w Ustawie innych form wykonywania zawodu biegłego rewidenta spowodowały istotne wątpliwości interpretacyjne w zakresie ustalenia czy firma audytorska jest IO. Między innymi z tych względów, że podmiot na rzecz którego wykonywana jest usługa nie jest „klientem” (w rozumieniu Ustawy) biegłego rewidenta lecz firmy audytorskiej, w ramach której lub na rzecz której (a nie </w:t>
      </w:r>
      <w:r w:rsidR="00DD1503">
        <w:rPr>
          <w:rFonts w:asciiTheme="minorHAnsi" w:eastAsia="Georgia" w:hAnsiTheme="minorHAnsi" w:cstheme="minorHAnsi"/>
          <w:color w:val="000000"/>
          <w:sz w:val="22"/>
          <w:szCs w:val="22"/>
        </w:rPr>
        <w:br/>
      </w:r>
      <w:r w:rsidRPr="002F28C0">
        <w:rPr>
          <w:rFonts w:asciiTheme="minorHAnsi" w:eastAsia="Georgia" w:hAnsiTheme="minorHAnsi" w:cstheme="minorHAnsi"/>
          <w:color w:val="000000"/>
          <w:sz w:val="22"/>
          <w:szCs w:val="22"/>
        </w:rPr>
        <w:t xml:space="preserve">w imieniu własnym i na własną rzecz) wykonuje on określone zadania służbowe </w:t>
      </w:r>
      <w:r w:rsidR="00116BE7">
        <w:rPr>
          <w:rFonts w:asciiTheme="minorHAnsi" w:eastAsia="Georgia" w:hAnsiTheme="minorHAnsi" w:cstheme="minorHAnsi"/>
          <w:color w:val="000000"/>
          <w:sz w:val="22"/>
          <w:szCs w:val="22"/>
        </w:rPr>
        <w:br/>
      </w:r>
      <w:r w:rsidRPr="002F28C0">
        <w:rPr>
          <w:rFonts w:asciiTheme="minorHAnsi" w:eastAsia="Georgia" w:hAnsiTheme="minorHAnsi" w:cstheme="minorHAnsi"/>
          <w:color w:val="000000"/>
          <w:sz w:val="22"/>
          <w:szCs w:val="22"/>
        </w:rPr>
        <w:t>i która to firma audytorska (a nie indywidualnie biegły rewident) podejmuje decyzję przede wszystkim o nawiązaniu relacji gospodarczych. W tym kontekście powstają dalej idące wątpliwości, w</w:t>
      </w:r>
      <w:r w:rsidRPr="002F28C0">
        <w:rPr>
          <w:rFonts w:asciiTheme="minorHAnsi" w:eastAsia="Georgia" w:hAnsiTheme="minorHAnsi" w:cstheme="minorHAnsi"/>
          <w:sz w:val="22"/>
          <w:szCs w:val="22"/>
        </w:rPr>
        <w:t xml:space="preserve"> tym na przykład</w:t>
      </w:r>
      <w:r w:rsidRPr="002F28C0">
        <w:rPr>
          <w:rFonts w:asciiTheme="minorHAnsi" w:eastAsia="Georgia" w:hAnsiTheme="minorHAnsi" w:cstheme="minorHAnsi"/>
          <w:color w:val="000000"/>
          <w:sz w:val="22"/>
          <w:szCs w:val="22"/>
        </w:rPr>
        <w:t xml:space="preserve"> dotyczące podstaw prawnych przetwarzania danych osobowych klienta firmy audytorskiej przez biegłego rewidenta (a nie firmę audytorską).</w:t>
      </w:r>
    </w:p>
    <w:p w14:paraId="1116FDD1" w14:textId="77777777"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p>
    <w:p w14:paraId="3A13EAE1" w14:textId="4A68BF68" w:rsidR="005304D9" w:rsidRPr="002F28C0" w:rsidRDefault="005304D9" w:rsidP="00116BE7">
      <w:pPr>
        <w:numPr>
          <w:ilvl w:val="0"/>
          <w:numId w:val="45"/>
        </w:numPr>
        <w:pBdr>
          <w:top w:val="nil"/>
          <w:left w:val="nil"/>
          <w:bottom w:val="nil"/>
          <w:right w:val="nil"/>
          <w:between w:val="nil"/>
        </w:pBdr>
        <w:spacing w:line="360" w:lineRule="auto"/>
        <w:ind w:left="993"/>
        <w:jc w:val="both"/>
        <w:rPr>
          <w:rFonts w:asciiTheme="minorHAnsi" w:eastAsia="Georgia" w:hAnsiTheme="minorHAnsi" w:cstheme="minorHAnsi"/>
          <w:color w:val="000000"/>
          <w:sz w:val="22"/>
          <w:szCs w:val="22"/>
          <w:u w:val="single"/>
        </w:rPr>
      </w:pPr>
      <w:r w:rsidRPr="002F28C0">
        <w:rPr>
          <w:rFonts w:asciiTheme="minorHAnsi" w:eastAsia="Georgia" w:hAnsiTheme="minorHAnsi" w:cstheme="minorHAnsi"/>
          <w:color w:val="000000"/>
          <w:sz w:val="22"/>
          <w:szCs w:val="22"/>
          <w:u w:val="single"/>
        </w:rPr>
        <w:t>Dostrzeżenie niespójności w Ustawie przez Ministerstwo Finansów</w:t>
      </w:r>
    </w:p>
    <w:p w14:paraId="29269D2B" w14:textId="77777777"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 xml:space="preserve">Wskazać należy, iż argumentacja przedstawiona powyżej znajduje potwierdzenie w stanowisku Ministerstwa Finansów, wyrazem czego jest pismo Departamentu Informacji Finansowej przy Ministerstwie Finansów z dnia 10 września 2020 r. będące </w:t>
      </w:r>
      <w:r w:rsidRPr="002F28C0">
        <w:rPr>
          <w:rFonts w:asciiTheme="minorHAnsi" w:eastAsia="Georgia" w:hAnsiTheme="minorHAnsi" w:cstheme="minorHAnsi"/>
          <w:sz w:val="22"/>
          <w:szCs w:val="22"/>
        </w:rPr>
        <w:t>odpowiedzią</w:t>
      </w:r>
      <w:r w:rsidRPr="002F28C0">
        <w:rPr>
          <w:rFonts w:asciiTheme="minorHAnsi" w:eastAsia="Georgia" w:hAnsiTheme="minorHAnsi" w:cstheme="minorHAnsi"/>
          <w:color w:val="000000"/>
          <w:sz w:val="22"/>
          <w:szCs w:val="22"/>
        </w:rPr>
        <w:t xml:space="preserve"> na zapytanie </w:t>
      </w:r>
      <w:r w:rsidRPr="002F28C0">
        <w:rPr>
          <w:rFonts w:asciiTheme="minorHAnsi" w:eastAsia="Georgia" w:hAnsiTheme="minorHAnsi" w:cstheme="minorHAnsi"/>
          <w:sz w:val="22"/>
          <w:szCs w:val="22"/>
        </w:rPr>
        <w:t>skierowane</w:t>
      </w:r>
      <w:r w:rsidRPr="002F28C0">
        <w:rPr>
          <w:rFonts w:asciiTheme="minorHAnsi" w:eastAsia="Georgia" w:hAnsiTheme="minorHAnsi" w:cstheme="minorHAnsi"/>
          <w:color w:val="000000"/>
          <w:sz w:val="22"/>
          <w:szCs w:val="22"/>
        </w:rPr>
        <w:t xml:space="preserve"> przez Prezesa Krajowej Rady Biegłych Rewidentów z 30 stycznia 2020 r. oraz 31 lipca 2020 r.</w:t>
      </w:r>
    </w:p>
    <w:p w14:paraId="701FA4D4" w14:textId="090339C0" w:rsidR="00943A21" w:rsidRPr="002F28C0" w:rsidRDefault="005304D9" w:rsidP="00116BE7">
      <w:pPr>
        <w:spacing w:line="360" w:lineRule="auto"/>
        <w:ind w:left="993"/>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 xml:space="preserve">W przedmiotowej odpowiedzi Ministerstwo Finansów wskazało: </w:t>
      </w:r>
    </w:p>
    <w:p w14:paraId="42B3A215" w14:textId="77777777" w:rsidR="005304D9" w:rsidRPr="002F28C0" w:rsidRDefault="005304D9" w:rsidP="00116BE7">
      <w:pPr>
        <w:spacing w:line="360" w:lineRule="auto"/>
        <w:ind w:left="993"/>
        <w:jc w:val="both"/>
        <w:rPr>
          <w:rFonts w:asciiTheme="minorHAnsi" w:eastAsia="Georgia" w:hAnsiTheme="minorHAnsi" w:cstheme="minorHAnsi"/>
          <w:i/>
          <w:color w:val="000000"/>
          <w:sz w:val="22"/>
          <w:szCs w:val="22"/>
        </w:rPr>
      </w:pPr>
      <w:r w:rsidRPr="002F28C0">
        <w:rPr>
          <w:rFonts w:asciiTheme="minorHAnsi" w:eastAsia="Georgia" w:hAnsiTheme="minorHAnsi" w:cstheme="minorHAnsi"/>
          <w:i/>
          <w:color w:val="000000"/>
          <w:sz w:val="22"/>
          <w:szCs w:val="22"/>
        </w:rPr>
        <w:t>„Zestawienie następujących przepisów /.../ może prowadzić do wniosku, że poza przypadkiem /.../ kiedy biegły rewident wykonuje zawód jako osoba fizyczna /.../ w pozostałych przypadkach instytucja obowiązaną powinna być firma audytorska /.../. Niemniej jednak z literalnego brzmienia ustawy PPP/PFT jednoznacznie wynika, że instytucją obowiązaną są biegli rewidenci, nie zaś firmy audytorskie.”</w:t>
      </w:r>
    </w:p>
    <w:p w14:paraId="005DD773" w14:textId="77777777"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W świetle powyższego wskazania wymaga, że samo Ministerstwo Finansów dostrzega systemowy rozdźwięk między literalną treścią przepisów Ustawy a innych aktów prawa a także praktyki.</w:t>
      </w:r>
    </w:p>
    <w:p w14:paraId="2B1F05C2" w14:textId="77777777"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p>
    <w:p w14:paraId="602CB90B" w14:textId="77777777" w:rsidR="005304D9" w:rsidRPr="002F28C0" w:rsidRDefault="005304D9" w:rsidP="00116BE7">
      <w:pPr>
        <w:numPr>
          <w:ilvl w:val="0"/>
          <w:numId w:val="45"/>
        </w:numPr>
        <w:pBdr>
          <w:top w:val="nil"/>
          <w:left w:val="nil"/>
          <w:bottom w:val="nil"/>
          <w:right w:val="nil"/>
          <w:between w:val="nil"/>
        </w:pBdr>
        <w:spacing w:line="360" w:lineRule="auto"/>
        <w:ind w:left="993"/>
        <w:jc w:val="both"/>
        <w:rPr>
          <w:rFonts w:asciiTheme="minorHAnsi" w:eastAsia="Georgia" w:hAnsiTheme="minorHAnsi" w:cstheme="minorHAnsi"/>
          <w:color w:val="000000"/>
          <w:sz w:val="22"/>
          <w:szCs w:val="22"/>
          <w:u w:val="single"/>
        </w:rPr>
      </w:pPr>
      <w:r w:rsidRPr="002F28C0">
        <w:rPr>
          <w:rFonts w:asciiTheme="minorHAnsi" w:eastAsia="Georgia" w:hAnsiTheme="minorHAnsi" w:cstheme="minorHAnsi"/>
          <w:color w:val="000000"/>
          <w:sz w:val="22"/>
          <w:szCs w:val="22"/>
          <w:u w:val="single"/>
        </w:rPr>
        <w:t>Transpozycja Dyrektywy 2015/849 do krajowego porządku prawnego</w:t>
      </w:r>
    </w:p>
    <w:p w14:paraId="2EC3D3DB" w14:textId="77777777"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 xml:space="preserve">Jak słusznie wyjaśniło Ministerstwo Finansów w stanowisku z 10 września 2020 r., art. 2 ust. 1 pkt 3 Dyrektywy 2015/849 wskazuje, że przepisy dyrektywy znajdują zastosowanie do osób fizycznych </w:t>
      </w:r>
      <w:r w:rsidRPr="002F28C0">
        <w:rPr>
          <w:rFonts w:asciiTheme="minorHAnsi" w:eastAsia="Georgia" w:hAnsiTheme="minorHAnsi" w:cstheme="minorHAnsi"/>
          <w:color w:val="000000"/>
          <w:sz w:val="22"/>
          <w:szCs w:val="22"/>
          <w:u w:val="single"/>
        </w:rPr>
        <w:t>lub prawnych</w:t>
      </w:r>
      <w:r w:rsidRPr="002F28C0">
        <w:rPr>
          <w:rFonts w:asciiTheme="minorHAnsi" w:eastAsia="Georgia" w:hAnsiTheme="minorHAnsi" w:cstheme="minorHAnsi"/>
          <w:color w:val="000000"/>
          <w:sz w:val="22"/>
          <w:szCs w:val="22"/>
        </w:rPr>
        <w:t xml:space="preserve"> /…/.</w:t>
      </w:r>
    </w:p>
    <w:p w14:paraId="29A351E0" w14:textId="669F2B6F"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 xml:space="preserve">Przytoczony powyżej przepis dyrektywy 2015/843 wskazuje na lukę prawną w Ustawie, </w:t>
      </w:r>
      <w:r w:rsidR="00116BE7">
        <w:rPr>
          <w:rFonts w:asciiTheme="minorHAnsi" w:eastAsia="Georgia" w:hAnsiTheme="minorHAnsi" w:cstheme="minorHAnsi"/>
          <w:color w:val="000000"/>
          <w:sz w:val="22"/>
          <w:szCs w:val="22"/>
        </w:rPr>
        <w:br/>
      </w:r>
      <w:r w:rsidRPr="002F28C0">
        <w:rPr>
          <w:rFonts w:asciiTheme="minorHAnsi" w:eastAsia="Georgia" w:hAnsiTheme="minorHAnsi" w:cstheme="minorHAnsi"/>
          <w:color w:val="000000"/>
          <w:sz w:val="22"/>
          <w:szCs w:val="22"/>
        </w:rPr>
        <w:t>a przedmiotowa luka polega na pominięciu w definicji IO osób prawnych, które również świadczą usługi objęte regulacj</w:t>
      </w:r>
      <w:r w:rsidRPr="002F28C0">
        <w:rPr>
          <w:rFonts w:asciiTheme="minorHAnsi" w:eastAsia="Georgia" w:hAnsiTheme="minorHAnsi" w:cstheme="minorHAnsi"/>
          <w:sz w:val="22"/>
          <w:szCs w:val="22"/>
        </w:rPr>
        <w:t>ą</w:t>
      </w:r>
      <w:r w:rsidRPr="002F28C0">
        <w:rPr>
          <w:rFonts w:asciiTheme="minorHAnsi" w:eastAsia="Georgia" w:hAnsiTheme="minorHAnsi" w:cstheme="minorHAnsi"/>
          <w:color w:val="000000"/>
          <w:sz w:val="22"/>
          <w:szCs w:val="22"/>
        </w:rPr>
        <w:t xml:space="preserve"> tej dyrektywy.</w:t>
      </w:r>
    </w:p>
    <w:p w14:paraId="7988C5A1" w14:textId="77777777"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p>
    <w:p w14:paraId="0F12A7BA" w14:textId="290BD606"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 xml:space="preserve">Pominięcie możliwości wykonywania zawodu w ramach firmy audytorskiej w definicji IO powoduje, że w niektórych przypadkach biegli rewidenci potencjalnie, mimo iż działają na rzecz firmy audytorskiej np. na podstawie stosunku pracy, muszą indywidualnie dostosowywać się do obowiązków wynikających z Ustawy i m.in. samodzielnie opracowywać wewnętrzną procedurę AML, dokonywać oceny ryzyka i wykonywać szereg obowiązków wynikających z Ustawy, </w:t>
      </w:r>
      <w:r w:rsidR="002D387B">
        <w:rPr>
          <w:rFonts w:asciiTheme="minorHAnsi" w:eastAsia="Georgia" w:hAnsiTheme="minorHAnsi" w:cstheme="minorHAnsi"/>
          <w:color w:val="000000"/>
          <w:sz w:val="22"/>
          <w:szCs w:val="22"/>
        </w:rPr>
        <w:br/>
      </w:r>
      <w:r w:rsidRPr="002F28C0">
        <w:rPr>
          <w:rFonts w:asciiTheme="minorHAnsi" w:eastAsia="Georgia" w:hAnsiTheme="minorHAnsi" w:cstheme="minorHAnsi"/>
          <w:color w:val="000000"/>
          <w:sz w:val="22"/>
          <w:szCs w:val="22"/>
        </w:rPr>
        <w:t>co odbiega od realiów świadczenia usług przez takie osoby.</w:t>
      </w:r>
    </w:p>
    <w:p w14:paraId="59B95652" w14:textId="77777777"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p>
    <w:p w14:paraId="36317A21" w14:textId="1E033E07"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 xml:space="preserve">Tego rodzaju dysonans pomiędzy Ustawą a Dyrektywą 2015/843 może prowadzić do nadmiernego obłożenia biegłych rewidentów obowiązkami z Ustawy, oraz luki prawnej </w:t>
      </w:r>
      <w:r w:rsidR="002D387B">
        <w:rPr>
          <w:rFonts w:asciiTheme="minorHAnsi" w:eastAsia="Georgia" w:hAnsiTheme="minorHAnsi" w:cstheme="minorHAnsi"/>
          <w:color w:val="000000"/>
          <w:sz w:val="22"/>
          <w:szCs w:val="22"/>
        </w:rPr>
        <w:br/>
      </w:r>
      <w:r w:rsidRPr="002F28C0">
        <w:rPr>
          <w:rFonts w:asciiTheme="minorHAnsi" w:eastAsia="Georgia" w:hAnsiTheme="minorHAnsi" w:cstheme="minorHAnsi"/>
          <w:color w:val="000000"/>
          <w:sz w:val="22"/>
          <w:szCs w:val="22"/>
        </w:rPr>
        <w:t xml:space="preserve">w systemie przeciwdziałania praniu pieniędzy i finansowania terroryzmu np. w sytuacji, </w:t>
      </w:r>
      <w:r w:rsidR="00DD1503">
        <w:rPr>
          <w:rFonts w:asciiTheme="minorHAnsi" w:eastAsia="Georgia" w:hAnsiTheme="minorHAnsi" w:cstheme="minorHAnsi"/>
          <w:color w:val="000000"/>
          <w:sz w:val="22"/>
          <w:szCs w:val="22"/>
        </w:rPr>
        <w:br/>
      </w:r>
      <w:r w:rsidRPr="002F28C0">
        <w:rPr>
          <w:rFonts w:asciiTheme="minorHAnsi" w:eastAsia="Georgia" w:hAnsiTheme="minorHAnsi" w:cstheme="minorHAnsi"/>
          <w:color w:val="000000"/>
          <w:sz w:val="22"/>
          <w:szCs w:val="22"/>
        </w:rPr>
        <w:t>w której potencjalnie ani firma audytorska, która w świetle wyjaśnień Mini</w:t>
      </w:r>
      <w:r w:rsidR="00DD1503">
        <w:rPr>
          <w:rFonts w:asciiTheme="minorHAnsi" w:eastAsia="Georgia" w:hAnsiTheme="minorHAnsi" w:cstheme="minorHAnsi"/>
          <w:color w:val="000000"/>
          <w:sz w:val="22"/>
          <w:szCs w:val="22"/>
        </w:rPr>
        <w:t xml:space="preserve">sterstwa Finansów IO nie jest, </w:t>
      </w:r>
      <w:r w:rsidR="002D387B">
        <w:rPr>
          <w:rFonts w:asciiTheme="minorHAnsi" w:eastAsia="Georgia" w:hAnsiTheme="minorHAnsi" w:cstheme="minorHAnsi"/>
          <w:color w:val="000000"/>
          <w:sz w:val="22"/>
          <w:szCs w:val="22"/>
        </w:rPr>
        <w:t xml:space="preserve">a </w:t>
      </w:r>
      <w:r w:rsidRPr="002F28C0">
        <w:rPr>
          <w:rFonts w:asciiTheme="minorHAnsi" w:eastAsia="Georgia" w:hAnsiTheme="minorHAnsi" w:cstheme="minorHAnsi"/>
          <w:color w:val="000000"/>
          <w:sz w:val="22"/>
          <w:szCs w:val="22"/>
        </w:rPr>
        <w:t>w konsekwencji nie ma obowiązku stosowania środków bezpiec</w:t>
      </w:r>
      <w:r w:rsidR="002D387B">
        <w:rPr>
          <w:rFonts w:asciiTheme="minorHAnsi" w:eastAsia="Georgia" w:hAnsiTheme="minorHAnsi" w:cstheme="minorHAnsi"/>
          <w:color w:val="000000"/>
          <w:sz w:val="22"/>
          <w:szCs w:val="22"/>
        </w:rPr>
        <w:t xml:space="preserve">zeństwa finansowego, </w:t>
      </w:r>
      <w:r w:rsidR="002D387B">
        <w:rPr>
          <w:rFonts w:asciiTheme="minorHAnsi" w:eastAsia="Georgia" w:hAnsiTheme="minorHAnsi" w:cstheme="minorHAnsi"/>
          <w:color w:val="000000"/>
          <w:sz w:val="22"/>
          <w:szCs w:val="22"/>
        </w:rPr>
        <w:br/>
        <w:t xml:space="preserve">ani nie ma </w:t>
      </w:r>
      <w:r w:rsidRPr="002F28C0">
        <w:rPr>
          <w:rFonts w:asciiTheme="minorHAnsi" w:eastAsia="Georgia" w:hAnsiTheme="minorHAnsi" w:cstheme="minorHAnsi"/>
          <w:color w:val="000000"/>
          <w:sz w:val="22"/>
          <w:szCs w:val="22"/>
        </w:rPr>
        <w:t>ich również biegły rewident, którego „klientem” (w rozumieniu definicji Ustawy) może być firma audytorska na rzecz której świadczy on usługi.</w:t>
      </w:r>
    </w:p>
    <w:p w14:paraId="232724DF" w14:textId="77777777"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p>
    <w:p w14:paraId="2FBE5388" w14:textId="77777777" w:rsidR="005304D9" w:rsidRPr="002F28C0" w:rsidRDefault="005304D9" w:rsidP="00116BE7">
      <w:pPr>
        <w:numPr>
          <w:ilvl w:val="0"/>
          <w:numId w:val="45"/>
        </w:numPr>
        <w:pBdr>
          <w:top w:val="nil"/>
          <w:left w:val="nil"/>
          <w:bottom w:val="nil"/>
          <w:right w:val="nil"/>
          <w:between w:val="nil"/>
        </w:pBdr>
        <w:spacing w:line="360" w:lineRule="auto"/>
        <w:ind w:left="993"/>
        <w:jc w:val="both"/>
        <w:rPr>
          <w:rFonts w:asciiTheme="minorHAnsi" w:eastAsia="Georgia" w:hAnsiTheme="minorHAnsi" w:cstheme="minorHAnsi"/>
          <w:color w:val="000000"/>
          <w:sz w:val="22"/>
          <w:szCs w:val="22"/>
          <w:u w:val="single"/>
        </w:rPr>
      </w:pPr>
      <w:r w:rsidRPr="002F28C0">
        <w:rPr>
          <w:rFonts w:asciiTheme="minorHAnsi" w:eastAsia="Georgia" w:hAnsiTheme="minorHAnsi" w:cstheme="minorHAnsi"/>
          <w:color w:val="000000"/>
          <w:sz w:val="22"/>
          <w:szCs w:val="22"/>
          <w:u w:val="single"/>
        </w:rPr>
        <w:t xml:space="preserve">Umowa o świadczenie usług audytorskich </w:t>
      </w:r>
    </w:p>
    <w:p w14:paraId="33975E0D" w14:textId="77777777"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 xml:space="preserve">Argumentację przedstawioną w niniejszym piśmie, dotyczącą identyfikacji jako IO również firm audytorskich, popiera również fakt, iż zasadniczo to właśnie te spółki (a nie ich personel np. biegli rewidenci) są faktycznymi podmiotami oferującymi, świadczącymi oraz odpowiedzialnymi za przedmiotowe usługi na mocy umów cywilnoprawnych zawartych pomiędzy tymi firmami a ich klientami i to przy uwzględnieniu, że pracodawca nie ma obowiązku zawiadomienia (nie mówiąc już o uzyskaniu jego zgody) biegłego rewidenta - pracownika o zawarciu takiej umowy. </w:t>
      </w:r>
    </w:p>
    <w:p w14:paraId="50FFE3CD" w14:textId="77777777"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p>
    <w:p w14:paraId="03D30977" w14:textId="77777777" w:rsidR="005304D9" w:rsidRPr="002F28C0" w:rsidRDefault="005304D9" w:rsidP="00116BE7">
      <w:pPr>
        <w:pStyle w:val="Akapitzlist"/>
        <w:numPr>
          <w:ilvl w:val="0"/>
          <w:numId w:val="45"/>
        </w:numPr>
        <w:spacing w:after="0" w:line="360" w:lineRule="auto"/>
        <w:ind w:left="993"/>
        <w:jc w:val="both"/>
        <w:rPr>
          <w:rFonts w:asciiTheme="minorHAnsi" w:eastAsia="Georgia" w:hAnsiTheme="minorHAnsi" w:cstheme="minorHAnsi"/>
          <w:color w:val="000000"/>
          <w:sz w:val="22"/>
        </w:rPr>
      </w:pPr>
      <w:r w:rsidRPr="002F28C0">
        <w:rPr>
          <w:rFonts w:asciiTheme="minorHAnsi" w:eastAsia="Georgia" w:hAnsiTheme="minorHAnsi" w:cstheme="minorHAnsi"/>
          <w:color w:val="000000"/>
          <w:sz w:val="22"/>
        </w:rPr>
        <w:t>Obowiązki organizacyjne</w:t>
      </w:r>
    </w:p>
    <w:p w14:paraId="521ED37A" w14:textId="3E5D411C"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 xml:space="preserve">W rozważanym kontekście wskazania wymaga również kwestia realizacji obowiązków organizacyjnych przewidzianych w art. 7 i 8 Ustawy. Przedmiotowe artykuły zobowiązują IO do wyznaczenia członków organu zarządzającego odpowiedzialnych za wykonanie obowiązków ustawowych oraz wyznaczenia pracownika zajmującego kierownicze stanowisko, odpowiedzialnego za wykonanie obowiązków ustawowych. </w:t>
      </w:r>
    </w:p>
    <w:p w14:paraId="03A3C079" w14:textId="77777777"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p>
    <w:p w14:paraId="3C1B8A92" w14:textId="06EEB7AC"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 xml:space="preserve">Istnienie przedmiotowych przepisów ponownie dowodzi wewnętrznych nieścisłości systemowych w Ustawie, są one bowiem wyrazem świadomości ustawodawcy istnienia IO o korporacyjnym charakterze. Jednocześnie, ustawodawca wydaje się zapominać o tym fakcie w przypadku biegłych rewidentów, którzy też niejednokrotnie są uczestnikami spółek lub podejmują zatrudnienie </w:t>
      </w:r>
      <w:r w:rsidR="00DD1503">
        <w:rPr>
          <w:rFonts w:asciiTheme="minorHAnsi" w:eastAsia="Georgia" w:hAnsiTheme="minorHAnsi" w:cstheme="minorHAnsi"/>
          <w:color w:val="000000"/>
          <w:sz w:val="22"/>
          <w:szCs w:val="22"/>
        </w:rPr>
        <w:br/>
      </w:r>
      <w:r w:rsidRPr="002F28C0">
        <w:rPr>
          <w:rFonts w:asciiTheme="minorHAnsi" w:eastAsia="Georgia" w:hAnsiTheme="minorHAnsi" w:cstheme="minorHAnsi"/>
          <w:color w:val="000000"/>
          <w:sz w:val="22"/>
          <w:szCs w:val="22"/>
        </w:rPr>
        <w:t xml:space="preserve">w takich podmiotach. </w:t>
      </w:r>
    </w:p>
    <w:p w14:paraId="079FC7C1" w14:textId="77777777"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p>
    <w:p w14:paraId="17BED9E2" w14:textId="0F551D66"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 xml:space="preserve">Dodatkowo wskazać należy, iż aktualny stan prawny wyrażony przez Ustawę, z jednej strony pomija firmy audytorskie w definicji IO, a z drugiej strony zobowiązuje pracowników/osoby świadczące usługi na rzecz tych spółek do skomplikowanych obowiązków związanych ze statusem IO. </w:t>
      </w:r>
    </w:p>
    <w:p w14:paraId="0FB9715F" w14:textId="36D5F1E4"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 xml:space="preserve">Przedmiotowy stan prawny tworzy swoiste dysproporcje w zasobach organizacyjnych pomiędzy pojedynczym przedstawicielem wolnego zawodu a spółkami wyposażonymi niejednokrotnie </w:t>
      </w:r>
      <w:r w:rsidR="002D387B">
        <w:rPr>
          <w:rFonts w:asciiTheme="minorHAnsi" w:eastAsia="Georgia" w:hAnsiTheme="minorHAnsi" w:cstheme="minorHAnsi"/>
          <w:color w:val="000000"/>
          <w:sz w:val="22"/>
          <w:szCs w:val="22"/>
        </w:rPr>
        <w:br/>
      </w:r>
      <w:r w:rsidRPr="002F28C0">
        <w:rPr>
          <w:rFonts w:asciiTheme="minorHAnsi" w:eastAsia="Georgia" w:hAnsiTheme="minorHAnsi" w:cstheme="minorHAnsi"/>
          <w:color w:val="000000"/>
          <w:sz w:val="22"/>
          <w:szCs w:val="22"/>
        </w:rPr>
        <w:t>w sprawne zespoły ds. zarządzania jakością i ryzykiem.</w:t>
      </w:r>
    </w:p>
    <w:p w14:paraId="583EFAD0" w14:textId="77777777"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p>
    <w:p w14:paraId="0328EB56" w14:textId="77777777"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 xml:space="preserve">Należy wskazać, że to firmy (firmy audytorskie) z reguły dysponują odpowiednimi zasobami, profesjonalistami i narzędziami pozwalającymi realizować cele Ustawy lepiej i proporcjonalnie niższych nakładach niż osobiście biegli rewidenci. Przedstawione powyżej istotne argumenty przemawiają za koniecznością zmiany lub doprecyzowania treści obecnie obowiązujących przepisów. </w:t>
      </w:r>
    </w:p>
    <w:p w14:paraId="53D8F9B0" w14:textId="77777777"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p>
    <w:p w14:paraId="45EFBEAA" w14:textId="424D663D" w:rsidR="005304D9" w:rsidRPr="002F28C0" w:rsidRDefault="005304D9" w:rsidP="00116BE7">
      <w:pPr>
        <w:spacing w:line="360" w:lineRule="auto"/>
        <w:ind w:left="993"/>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 xml:space="preserve">Należy wskazać, że przedmiotowy postulat dotyczy nie tylko biegłych rewidentów, lecz również innych przedstawicieli wolnych zawodów, które mogą być wykonywane zarówno osobiście jak </w:t>
      </w:r>
      <w:r w:rsidR="002D387B">
        <w:rPr>
          <w:rFonts w:asciiTheme="minorHAnsi" w:eastAsia="Georgia" w:hAnsiTheme="minorHAnsi" w:cstheme="minorHAnsi"/>
          <w:color w:val="000000"/>
          <w:sz w:val="22"/>
          <w:szCs w:val="22"/>
        </w:rPr>
        <w:br/>
      </w:r>
      <w:r w:rsidRPr="002F28C0">
        <w:rPr>
          <w:rFonts w:asciiTheme="minorHAnsi" w:eastAsia="Georgia" w:hAnsiTheme="minorHAnsi" w:cstheme="minorHAnsi"/>
          <w:color w:val="000000"/>
          <w:sz w:val="22"/>
          <w:szCs w:val="22"/>
        </w:rPr>
        <w:t xml:space="preserve">i za pośrednictwem form korporacyjnych (radcowie prawni, adwokaci, doradcy podatkowi), </w:t>
      </w:r>
      <w:r w:rsidR="002D387B">
        <w:rPr>
          <w:rFonts w:asciiTheme="minorHAnsi" w:eastAsia="Georgia" w:hAnsiTheme="minorHAnsi" w:cstheme="minorHAnsi"/>
          <w:color w:val="000000"/>
          <w:sz w:val="22"/>
          <w:szCs w:val="22"/>
        </w:rPr>
        <w:br/>
      </w:r>
      <w:r w:rsidRPr="002F28C0">
        <w:rPr>
          <w:rFonts w:asciiTheme="minorHAnsi" w:eastAsia="Georgia" w:hAnsiTheme="minorHAnsi" w:cstheme="minorHAnsi"/>
          <w:color w:val="000000"/>
          <w:sz w:val="22"/>
          <w:szCs w:val="22"/>
        </w:rPr>
        <w:t>a w odniesieniu do których Ustawa identyfikuje IO analogicznie jak w przypadku biegłych rewidentów.</w:t>
      </w:r>
    </w:p>
    <w:p w14:paraId="1972558E" w14:textId="77777777"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p>
    <w:p w14:paraId="5248DB3D" w14:textId="77777777" w:rsidR="005304D9" w:rsidRDefault="005304D9" w:rsidP="002D387B">
      <w:pPr>
        <w:pStyle w:val="Akapitzlist"/>
        <w:numPr>
          <w:ilvl w:val="0"/>
          <w:numId w:val="44"/>
        </w:numPr>
        <w:pBdr>
          <w:top w:val="nil"/>
          <w:left w:val="nil"/>
          <w:bottom w:val="nil"/>
          <w:right w:val="nil"/>
          <w:between w:val="nil"/>
        </w:pBdr>
        <w:spacing w:after="0" w:line="360" w:lineRule="auto"/>
        <w:ind w:left="1276"/>
        <w:jc w:val="both"/>
        <w:rPr>
          <w:rFonts w:asciiTheme="minorHAnsi" w:eastAsia="Georgia" w:hAnsiTheme="minorHAnsi" w:cstheme="minorHAnsi"/>
          <w:b/>
          <w:color w:val="000000"/>
          <w:sz w:val="22"/>
          <w:u w:val="single"/>
        </w:rPr>
      </w:pPr>
      <w:r w:rsidRPr="002F28C0">
        <w:rPr>
          <w:rFonts w:asciiTheme="minorHAnsi" w:eastAsia="Georgia" w:hAnsiTheme="minorHAnsi" w:cstheme="minorHAnsi"/>
          <w:b/>
          <w:color w:val="000000"/>
          <w:sz w:val="22"/>
          <w:u w:val="single"/>
        </w:rPr>
        <w:t>Rozszerzenie danych w CRBR o informacje dotyczące statusu PEP</w:t>
      </w:r>
    </w:p>
    <w:p w14:paraId="52FA50D3" w14:textId="77777777" w:rsidR="002D387B" w:rsidRPr="002F28C0" w:rsidRDefault="002D387B" w:rsidP="002D387B">
      <w:pPr>
        <w:pStyle w:val="Akapitzlist"/>
        <w:pBdr>
          <w:top w:val="nil"/>
          <w:left w:val="nil"/>
          <w:bottom w:val="nil"/>
          <w:right w:val="nil"/>
          <w:between w:val="nil"/>
        </w:pBdr>
        <w:spacing w:after="0" w:line="360" w:lineRule="auto"/>
        <w:ind w:left="1276"/>
        <w:jc w:val="both"/>
        <w:rPr>
          <w:rFonts w:asciiTheme="minorHAnsi" w:eastAsia="Georgia" w:hAnsiTheme="minorHAnsi" w:cstheme="minorHAnsi"/>
          <w:b/>
          <w:color w:val="000000"/>
          <w:sz w:val="22"/>
          <w:u w:val="single"/>
        </w:rPr>
      </w:pPr>
    </w:p>
    <w:p w14:paraId="500F84E8" w14:textId="67FB7EE6"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 xml:space="preserve">Ustawa przewiduje szczegółowe regulacje oraz specyficzne obowiązki w przypadku nawiązania stosunków gospodarczych z osobą zajmującą eksponowane stanowisko polityczne, tzw. PEP (art. 46 ust. 2 Ustawy AML). W przypadku stosunków gospodarczych z taką osobą IO mają obowiązek podjęcia szczególnych działań tj. uzyskania akceptacji kadry kierowniczej wyższego szczebla na nawiązanie lub kontynuację stosunków gospodarczych z tym podmiotem, stosowanie odpowiednich środków w celu ustalenia źródła majątku klienta i źródła pochodzenia wartości majątkowych pozostających </w:t>
      </w:r>
      <w:r w:rsidR="002D387B">
        <w:rPr>
          <w:rFonts w:asciiTheme="minorHAnsi" w:eastAsia="Georgia" w:hAnsiTheme="minorHAnsi" w:cstheme="minorHAnsi"/>
          <w:color w:val="000000"/>
          <w:sz w:val="22"/>
          <w:szCs w:val="22"/>
        </w:rPr>
        <w:br/>
      </w:r>
      <w:r w:rsidRPr="002F28C0">
        <w:rPr>
          <w:rFonts w:asciiTheme="minorHAnsi" w:eastAsia="Georgia" w:hAnsiTheme="minorHAnsi" w:cstheme="minorHAnsi"/>
          <w:color w:val="000000"/>
          <w:sz w:val="22"/>
          <w:szCs w:val="22"/>
        </w:rPr>
        <w:t>w dyspozycji klienta w ramach stosunków gospodarczych lub transakcji oraz obowiązek intensyfikacji stosowanych środków bezpieczeństwa finansowego.</w:t>
      </w:r>
    </w:p>
    <w:p w14:paraId="7E6A98A3" w14:textId="77777777"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p>
    <w:p w14:paraId="5A6E95AE" w14:textId="16B121E7"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W celu ustalenia, czy klient lub beneficjent rzeczywisty ma status osoby zajmującej eksponowane stanowisko polityczne, IO wdrażają procedury oparte na analizie ryzyka, w tym mogą przyjmować od klienta oświadczenie w formie pisemnej lub formie dokumentowej, że posiada lub nie posiada statusu osoby zajmującej takie stanowisko. Oświadczenia składane są pod rygorem odpowiedzialności karnej za złożenie fałszywego oświadczenia (art. 46 ust. 1 Ustawy).</w:t>
      </w:r>
    </w:p>
    <w:p w14:paraId="5F7126C6" w14:textId="77777777"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p>
    <w:p w14:paraId="094CE31E" w14:textId="36402C00" w:rsidR="00943A21" w:rsidRPr="002F28C0" w:rsidRDefault="005304D9" w:rsidP="00116BE7">
      <w:pPr>
        <w:spacing w:line="360" w:lineRule="auto"/>
        <w:ind w:left="567"/>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 xml:space="preserve">Jednocześnie aktualny stan prawny nakłada na spółki jawne, spółki komandytowe, </w:t>
      </w:r>
      <w:r w:rsidR="002D387B">
        <w:rPr>
          <w:rFonts w:asciiTheme="minorHAnsi" w:eastAsia="Georgia" w:hAnsiTheme="minorHAnsi" w:cstheme="minorHAnsi"/>
          <w:color w:val="000000"/>
          <w:sz w:val="22"/>
          <w:szCs w:val="22"/>
        </w:rPr>
        <w:br/>
      </w:r>
      <w:r w:rsidRPr="002F28C0">
        <w:rPr>
          <w:rFonts w:asciiTheme="minorHAnsi" w:eastAsia="Georgia" w:hAnsiTheme="minorHAnsi" w:cstheme="minorHAnsi"/>
          <w:color w:val="000000"/>
          <w:sz w:val="22"/>
          <w:szCs w:val="22"/>
        </w:rPr>
        <w:t>spółki komandytowo-akcyjne, spółki z ograniczoną odpowiedzialnością, spółki akcyjne, z wyjątkiem spółek publicznych obowiązek zgłaszania i czasowej aktualizacji informacji o swoich beneficjentach rzeczywistych (art. 59 Ustawy).</w:t>
      </w:r>
    </w:p>
    <w:p w14:paraId="12E96FB8" w14:textId="008F0203"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 xml:space="preserve"> </w:t>
      </w:r>
    </w:p>
    <w:p w14:paraId="77730CC4" w14:textId="226B3C1C" w:rsidR="005304D9" w:rsidRDefault="005304D9" w:rsidP="00116BE7">
      <w:pPr>
        <w:spacing w:line="360" w:lineRule="auto"/>
        <w:ind w:left="567"/>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 xml:space="preserve">Powyższe tworzy stan prawny, w którym obie strony potencjalnego stosunku prawnego są zobowiązane do podejmowania dodatkowych działań zmierzających do wypełnienia obowiązków </w:t>
      </w:r>
      <w:r w:rsidR="002D387B">
        <w:rPr>
          <w:rFonts w:asciiTheme="minorHAnsi" w:eastAsia="Georgia" w:hAnsiTheme="minorHAnsi" w:cstheme="minorHAnsi"/>
          <w:color w:val="000000"/>
          <w:sz w:val="22"/>
          <w:szCs w:val="22"/>
        </w:rPr>
        <w:br/>
      </w:r>
      <w:r w:rsidRPr="002F28C0">
        <w:rPr>
          <w:rFonts w:asciiTheme="minorHAnsi" w:eastAsia="Georgia" w:hAnsiTheme="minorHAnsi" w:cstheme="minorHAnsi"/>
          <w:color w:val="000000"/>
          <w:sz w:val="22"/>
          <w:szCs w:val="22"/>
        </w:rPr>
        <w:t xml:space="preserve">z Ustawy. </w:t>
      </w:r>
    </w:p>
    <w:p w14:paraId="06EDC056" w14:textId="77777777" w:rsidR="002D387B" w:rsidRPr="002F28C0" w:rsidRDefault="002D387B" w:rsidP="00116BE7">
      <w:pPr>
        <w:spacing w:line="360" w:lineRule="auto"/>
        <w:ind w:left="567"/>
        <w:jc w:val="both"/>
        <w:rPr>
          <w:rFonts w:asciiTheme="minorHAnsi" w:eastAsia="Georgia" w:hAnsiTheme="minorHAnsi" w:cstheme="minorHAnsi"/>
          <w:color w:val="000000"/>
          <w:sz w:val="22"/>
          <w:szCs w:val="22"/>
        </w:rPr>
      </w:pPr>
    </w:p>
    <w:p w14:paraId="13BDA215" w14:textId="69F865A0" w:rsidR="005304D9" w:rsidRPr="002F28C0" w:rsidRDefault="005304D9" w:rsidP="00116BE7">
      <w:pPr>
        <w:spacing w:line="360" w:lineRule="auto"/>
        <w:ind w:left="567"/>
        <w:jc w:val="both"/>
        <w:rPr>
          <w:rFonts w:asciiTheme="minorHAnsi" w:eastAsia="Georgia" w:hAnsiTheme="minorHAnsi" w:cstheme="minorHAnsi"/>
          <w:b/>
          <w:bCs/>
          <w:color w:val="000000"/>
          <w:sz w:val="22"/>
          <w:szCs w:val="22"/>
          <w:u w:val="single"/>
        </w:rPr>
      </w:pPr>
      <w:r w:rsidRPr="002F28C0">
        <w:rPr>
          <w:rFonts w:asciiTheme="minorHAnsi" w:eastAsia="Georgia" w:hAnsiTheme="minorHAnsi" w:cstheme="minorHAnsi"/>
          <w:color w:val="000000"/>
          <w:sz w:val="22"/>
          <w:szCs w:val="22"/>
        </w:rPr>
        <w:t xml:space="preserve">Każdy dodatkowy obowiązek weryfikacyjny/dokumentacyjny powoduje spowolnienie i utrudnia zawarcie stosunków gospodarczych między usługodawcami a klientami. Postulatem, który bez uszczerbku dla celu Ustawy, jakim jest przeciwdziałanie praniu pieniędzy i finansowaniu terroryzmu, może usprawnić zawieranie stosunków gospodarczych </w:t>
      </w:r>
      <w:r w:rsidRPr="002F28C0">
        <w:rPr>
          <w:rFonts w:asciiTheme="minorHAnsi" w:eastAsia="Georgia" w:hAnsiTheme="minorHAnsi" w:cstheme="minorHAnsi"/>
          <w:sz w:val="22"/>
          <w:szCs w:val="22"/>
        </w:rPr>
        <w:t>między</w:t>
      </w:r>
      <w:r w:rsidRPr="002F28C0">
        <w:rPr>
          <w:rFonts w:asciiTheme="minorHAnsi" w:eastAsia="Georgia" w:hAnsiTheme="minorHAnsi" w:cstheme="minorHAnsi"/>
          <w:color w:val="000000"/>
          <w:sz w:val="22"/>
          <w:szCs w:val="22"/>
        </w:rPr>
        <w:t xml:space="preserve"> IO a klientami, jest </w:t>
      </w:r>
      <w:r w:rsidRPr="002F28C0">
        <w:rPr>
          <w:rFonts w:asciiTheme="minorHAnsi" w:eastAsia="Georgia" w:hAnsiTheme="minorHAnsi" w:cstheme="minorHAnsi"/>
          <w:b/>
          <w:bCs/>
          <w:color w:val="000000"/>
          <w:sz w:val="22"/>
          <w:szCs w:val="22"/>
          <w:u w:val="single"/>
        </w:rPr>
        <w:t xml:space="preserve">ujęcie </w:t>
      </w:r>
      <w:r w:rsidR="002D387B">
        <w:rPr>
          <w:rFonts w:asciiTheme="minorHAnsi" w:eastAsia="Georgia" w:hAnsiTheme="minorHAnsi" w:cstheme="minorHAnsi"/>
          <w:b/>
          <w:bCs/>
          <w:color w:val="000000"/>
          <w:sz w:val="22"/>
          <w:szCs w:val="22"/>
          <w:u w:val="single"/>
        </w:rPr>
        <w:br/>
      </w:r>
      <w:r w:rsidRPr="002F28C0">
        <w:rPr>
          <w:rFonts w:asciiTheme="minorHAnsi" w:eastAsia="Georgia" w:hAnsiTheme="minorHAnsi" w:cstheme="minorHAnsi"/>
          <w:b/>
          <w:bCs/>
          <w:color w:val="000000"/>
          <w:sz w:val="22"/>
          <w:szCs w:val="22"/>
          <w:u w:val="single"/>
        </w:rPr>
        <w:t>w obowiązkowym już zgłoszeniu do CRBR i treści samego rejestru informacji na temat osób zajmujących eksponowane stanowisko polityczne podmiotu obowiązanego do zgłoszenia informacji.</w:t>
      </w:r>
      <w:r w:rsidRPr="002F28C0">
        <w:rPr>
          <w:rFonts w:asciiTheme="minorHAnsi" w:eastAsia="Georgia" w:hAnsiTheme="minorHAnsi" w:cstheme="minorHAnsi"/>
          <w:color w:val="000000"/>
          <w:sz w:val="22"/>
          <w:szCs w:val="22"/>
        </w:rPr>
        <w:t xml:space="preserve"> </w:t>
      </w:r>
      <w:r w:rsidRPr="002F28C0">
        <w:rPr>
          <w:rFonts w:asciiTheme="minorHAnsi" w:eastAsia="Georgia" w:hAnsiTheme="minorHAnsi" w:cstheme="minorHAnsi"/>
          <w:b/>
          <w:bCs/>
          <w:color w:val="000000"/>
          <w:sz w:val="22"/>
          <w:szCs w:val="22"/>
          <w:u w:val="single"/>
        </w:rPr>
        <w:t xml:space="preserve">Aktualny stan prawny zmusza IO do każdorazowych działań weryfikacyjnych, w tym uzyskiwania oświadczeń o statusie osoby zajmującej eksponowane stanowisko polityczne, podczas gdy informacje o takich osobach mogłyby zostać wpisane do CRBR razem z informacjami na temat beneficjentów rzeczywistych danego podmiotu. </w:t>
      </w:r>
    </w:p>
    <w:p w14:paraId="6CFFC23D" w14:textId="77777777"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p>
    <w:p w14:paraId="2ACB8A5C" w14:textId="7337567F" w:rsidR="005304D9" w:rsidRPr="002F28C0" w:rsidRDefault="005304D9" w:rsidP="00116BE7">
      <w:pPr>
        <w:spacing w:line="360" w:lineRule="auto"/>
        <w:ind w:left="567"/>
        <w:jc w:val="both"/>
        <w:rPr>
          <w:rFonts w:asciiTheme="minorHAnsi" w:eastAsia="Georgia" w:hAnsiTheme="minorHAnsi" w:cstheme="minorHAnsi"/>
          <w:i/>
          <w:color w:val="000000"/>
          <w:sz w:val="22"/>
          <w:szCs w:val="22"/>
        </w:rPr>
      </w:pPr>
      <w:r w:rsidRPr="002F28C0">
        <w:rPr>
          <w:rFonts w:asciiTheme="minorHAnsi" w:eastAsia="Georgia" w:hAnsiTheme="minorHAnsi" w:cstheme="minorHAnsi"/>
          <w:color w:val="000000"/>
          <w:sz w:val="22"/>
          <w:szCs w:val="22"/>
        </w:rPr>
        <w:t xml:space="preserve">Ponadto, wskazać należy, iż </w:t>
      </w:r>
      <w:r w:rsidRPr="002F28C0">
        <w:rPr>
          <w:rFonts w:asciiTheme="minorHAnsi" w:eastAsia="Georgia" w:hAnsiTheme="minorHAnsi" w:cstheme="minorHAnsi"/>
          <w:sz w:val="22"/>
          <w:szCs w:val="22"/>
        </w:rPr>
        <w:t>proponowane</w:t>
      </w:r>
      <w:r w:rsidRPr="002F28C0">
        <w:rPr>
          <w:rFonts w:asciiTheme="minorHAnsi" w:eastAsia="Georgia" w:hAnsiTheme="minorHAnsi" w:cstheme="minorHAnsi"/>
          <w:color w:val="000000"/>
          <w:sz w:val="22"/>
          <w:szCs w:val="22"/>
        </w:rPr>
        <w:t xml:space="preserve"> rozwiązanie będzie zgodne z celami jakie kształtuje Dyrektywa 2015/849, punkt 43 preambuły tejże dyrektywy mówi: „</w:t>
      </w:r>
      <w:r w:rsidRPr="002F28C0">
        <w:rPr>
          <w:rFonts w:asciiTheme="minorHAnsi" w:eastAsia="Georgia" w:hAnsiTheme="minorHAnsi" w:cstheme="minorHAnsi"/>
          <w:i/>
          <w:color w:val="000000"/>
          <w:sz w:val="22"/>
          <w:szCs w:val="22"/>
        </w:rPr>
        <w:t xml:space="preserve">Niektóre aspekty wdrożenia niniejszej dyrektywy wymagają gromadzenia, analizy, przechowywania i przekazywania danych. Takie przetwarzanie danych osobowych powinno być dozwolone pod warunkiem pełnego poszanowania praw podstawowych </w:t>
      </w:r>
      <w:r w:rsidR="00DD1503">
        <w:rPr>
          <w:rFonts w:asciiTheme="minorHAnsi" w:eastAsia="Georgia" w:hAnsiTheme="minorHAnsi" w:cstheme="minorHAnsi"/>
          <w:i/>
          <w:color w:val="000000"/>
          <w:sz w:val="22"/>
          <w:szCs w:val="22"/>
        </w:rPr>
        <w:br/>
      </w:r>
      <w:r w:rsidRPr="002F28C0">
        <w:rPr>
          <w:rFonts w:asciiTheme="minorHAnsi" w:eastAsia="Georgia" w:hAnsiTheme="minorHAnsi" w:cstheme="minorHAnsi"/>
          <w:i/>
          <w:color w:val="000000"/>
          <w:sz w:val="22"/>
          <w:szCs w:val="22"/>
        </w:rPr>
        <w:t>i jedynie do celów określonych w niniejszej dyrektywie; ma to również zastosowanie do działań wymaganych na mocy niniejszej dyrektywy, takich jak: stosowanie środków należytej staranności wobec klienta, ciągłe monitorowanie, badanie nietypowych i podejrzanych transakcji oraz ich zgłaszanie, identyfikacja beneficjenta rzeczywistego osoby prawnej lub porozumienia prawnego, identyfikacja osób zajmujących eksponowane stanowiska polityczne, przekazywanie informacji przez właściwe organy oraz przekazywanie informacji przez instytucje kredytowe i finansowe oraz inne podmioty zobowiązane.”</w:t>
      </w:r>
      <w:r w:rsidRPr="002F28C0">
        <w:rPr>
          <w:rFonts w:asciiTheme="minorHAnsi" w:eastAsia="Georgia" w:hAnsiTheme="minorHAnsi" w:cstheme="minorHAnsi"/>
          <w:color w:val="000000"/>
          <w:sz w:val="22"/>
          <w:szCs w:val="22"/>
        </w:rPr>
        <w:t xml:space="preserve"> </w:t>
      </w:r>
      <w:r w:rsidR="00DD1503">
        <w:rPr>
          <w:rFonts w:asciiTheme="minorHAnsi" w:eastAsia="Georgia" w:hAnsiTheme="minorHAnsi" w:cstheme="minorHAnsi"/>
          <w:color w:val="000000"/>
          <w:sz w:val="22"/>
          <w:szCs w:val="22"/>
        </w:rPr>
        <w:br/>
      </w:r>
      <w:r w:rsidRPr="002F28C0">
        <w:rPr>
          <w:rFonts w:asciiTheme="minorHAnsi" w:eastAsia="Georgia" w:hAnsiTheme="minorHAnsi" w:cstheme="minorHAnsi"/>
          <w:color w:val="000000"/>
          <w:sz w:val="22"/>
          <w:szCs w:val="22"/>
        </w:rPr>
        <w:t xml:space="preserve">Co oznacza, iż gromadzenie danych o beneficjentach rzeczywistych czy też osobach zajmujących eksponowane stanowisko polityczne może zostać prowadzone, o ile tylko ma na względzie wypełnienie celu dyrektywy oraz jest zgodnie z unijnym prawodawstwem dotyczącym ochrony danych osobowych. Ponadto Dyrektywa 2015/849 w punkcie 33 preambuły stanowi, że </w:t>
      </w:r>
      <w:r w:rsidRPr="002F28C0">
        <w:rPr>
          <w:rFonts w:asciiTheme="minorHAnsi" w:eastAsia="Georgia" w:hAnsiTheme="minorHAnsi" w:cstheme="minorHAnsi"/>
          <w:i/>
          <w:color w:val="000000"/>
          <w:sz w:val="22"/>
          <w:szCs w:val="22"/>
        </w:rPr>
        <w:t xml:space="preserve">wymogi dotyczące osób zajmujących eksponowane stanowiska polityczne mają charakter zapobiegawczy a nie karny i nie należy ich interpretować jako wskazania, że osoby te są zaangażowane w działalność przestępczą. Odmowa nawiązania stosunków gospodarczych z osobą zajmującą eksponowane stanowisko polityczne wyłącznie z uwagi na ten status jest sprzeczna z literą i duchem niniejszej dyrektywy oraz zmienionych zaleceń FATF. </w:t>
      </w:r>
    </w:p>
    <w:p w14:paraId="5D87A9FC" w14:textId="77777777"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p>
    <w:p w14:paraId="38911C16" w14:textId="1050A8AB" w:rsidR="005304D9" w:rsidRDefault="005304D9" w:rsidP="00116BE7">
      <w:pPr>
        <w:spacing w:line="360" w:lineRule="auto"/>
        <w:ind w:left="567"/>
        <w:jc w:val="both"/>
        <w:rPr>
          <w:rFonts w:asciiTheme="minorHAnsi" w:eastAsia="Georgia" w:hAnsiTheme="minorHAnsi" w:cstheme="minorHAnsi"/>
          <w:color w:val="000000"/>
          <w:sz w:val="22"/>
          <w:szCs w:val="22"/>
        </w:rPr>
      </w:pPr>
      <w:r w:rsidRPr="002F28C0">
        <w:rPr>
          <w:rFonts w:asciiTheme="minorHAnsi" w:eastAsia="Georgia" w:hAnsiTheme="minorHAnsi" w:cstheme="minorHAnsi"/>
          <w:color w:val="000000"/>
          <w:sz w:val="22"/>
          <w:szCs w:val="22"/>
        </w:rPr>
        <w:t xml:space="preserve">Postulowana zmiana odpowiada założeniom szczelności systemu przeciwdziałania prania pieniędzy </w:t>
      </w:r>
      <w:r w:rsidR="002D387B">
        <w:rPr>
          <w:rFonts w:asciiTheme="minorHAnsi" w:eastAsia="Georgia" w:hAnsiTheme="minorHAnsi" w:cstheme="minorHAnsi"/>
          <w:color w:val="000000"/>
          <w:sz w:val="22"/>
          <w:szCs w:val="22"/>
        </w:rPr>
        <w:br/>
      </w:r>
      <w:r w:rsidRPr="002F28C0">
        <w:rPr>
          <w:rFonts w:asciiTheme="minorHAnsi" w:eastAsia="Georgia" w:hAnsiTheme="minorHAnsi" w:cstheme="minorHAnsi"/>
          <w:color w:val="000000"/>
          <w:sz w:val="22"/>
          <w:szCs w:val="22"/>
        </w:rPr>
        <w:t>i finansowania terroryzmu, i jednocześnie ułatwi nawiązywanie stosunków gospodarczych poprzez wyeliminowanie konieczności odbierania dodatkowego oświadczenia o statusie osoby zajmującej eksponowane stanowisko polityczne od klienta oraz skrócenie czasu potrzebnego do prawidłowego nawiązania stosunków gospodarczych, co byłoby istotnym ułatwieniem obrotu gospodarczego.</w:t>
      </w:r>
    </w:p>
    <w:p w14:paraId="016352D6" w14:textId="77777777" w:rsidR="002D387B" w:rsidRPr="002F28C0" w:rsidRDefault="002D387B" w:rsidP="00116BE7">
      <w:pPr>
        <w:spacing w:line="360" w:lineRule="auto"/>
        <w:ind w:left="567"/>
        <w:jc w:val="both"/>
        <w:rPr>
          <w:rFonts w:asciiTheme="minorHAnsi" w:eastAsia="Georgia" w:hAnsiTheme="minorHAnsi" w:cstheme="minorHAnsi"/>
          <w:color w:val="000000"/>
          <w:sz w:val="22"/>
          <w:szCs w:val="22"/>
        </w:rPr>
      </w:pPr>
    </w:p>
    <w:p w14:paraId="7FEC7C31" w14:textId="0DEBDAFF" w:rsidR="00B90939" w:rsidRDefault="00B90939" w:rsidP="002D387B">
      <w:pPr>
        <w:pStyle w:val="Akapitzlist"/>
        <w:numPr>
          <w:ilvl w:val="0"/>
          <w:numId w:val="44"/>
        </w:numPr>
        <w:pBdr>
          <w:top w:val="nil"/>
          <w:left w:val="nil"/>
          <w:bottom w:val="nil"/>
          <w:right w:val="nil"/>
          <w:between w:val="nil"/>
        </w:pBdr>
        <w:spacing w:after="0" w:line="360" w:lineRule="auto"/>
        <w:ind w:left="851" w:hanging="283"/>
        <w:jc w:val="both"/>
        <w:rPr>
          <w:rFonts w:asciiTheme="minorHAnsi" w:eastAsia="Calibri" w:hAnsiTheme="minorHAnsi" w:cstheme="minorHAnsi"/>
          <w:b/>
          <w:sz w:val="22"/>
          <w:bdr w:val="nil"/>
        </w:rPr>
      </w:pPr>
      <w:r w:rsidRPr="002F28C0">
        <w:rPr>
          <w:rFonts w:asciiTheme="minorHAnsi" w:eastAsia="Calibri" w:hAnsiTheme="minorHAnsi" w:cstheme="minorHAnsi"/>
          <w:b/>
          <w:sz w:val="22"/>
          <w:bdr w:val="nil"/>
        </w:rPr>
        <w:t xml:space="preserve">Uwaga </w:t>
      </w:r>
      <w:r w:rsidR="002D387B">
        <w:rPr>
          <w:rFonts w:asciiTheme="minorHAnsi" w:eastAsia="Calibri" w:hAnsiTheme="minorHAnsi" w:cstheme="minorHAnsi"/>
          <w:b/>
          <w:sz w:val="22"/>
          <w:bdr w:val="nil"/>
        </w:rPr>
        <w:t>do art. 1 pkt 4 lit. b Projektu</w:t>
      </w:r>
      <w:r w:rsidRPr="002F28C0">
        <w:rPr>
          <w:rFonts w:asciiTheme="minorHAnsi" w:eastAsia="Calibri" w:hAnsiTheme="minorHAnsi" w:cstheme="minorHAnsi"/>
          <w:b/>
          <w:sz w:val="22"/>
          <w:bdr w:val="nil"/>
        </w:rPr>
        <w:t>:</w:t>
      </w:r>
    </w:p>
    <w:p w14:paraId="2C3D1E83" w14:textId="77777777" w:rsidR="002D387B" w:rsidRPr="002F28C0" w:rsidRDefault="002D387B" w:rsidP="002D387B">
      <w:pPr>
        <w:pStyle w:val="Akapitzlist"/>
        <w:pBdr>
          <w:top w:val="nil"/>
          <w:left w:val="nil"/>
          <w:bottom w:val="nil"/>
          <w:right w:val="nil"/>
          <w:between w:val="nil"/>
        </w:pBdr>
        <w:spacing w:after="0" w:line="360" w:lineRule="auto"/>
        <w:ind w:left="851"/>
        <w:jc w:val="both"/>
        <w:rPr>
          <w:rFonts w:asciiTheme="minorHAnsi" w:eastAsia="Calibri" w:hAnsiTheme="minorHAnsi" w:cstheme="minorHAnsi"/>
          <w:b/>
          <w:sz w:val="22"/>
          <w:bdr w:val="nil"/>
        </w:rPr>
      </w:pPr>
    </w:p>
    <w:p w14:paraId="2E0E1C86" w14:textId="77777777" w:rsidR="00B90939" w:rsidRPr="002F28C0" w:rsidRDefault="00B90939" w:rsidP="00116BE7">
      <w:pPr>
        <w:pStyle w:val="Akapitzlist"/>
        <w:pBdr>
          <w:top w:val="nil"/>
          <w:left w:val="nil"/>
          <w:bottom w:val="nil"/>
          <w:right w:val="nil"/>
          <w:between w:val="nil"/>
        </w:pBdr>
        <w:spacing w:after="0" w:line="360" w:lineRule="auto"/>
        <w:ind w:left="567"/>
        <w:jc w:val="both"/>
        <w:rPr>
          <w:rFonts w:asciiTheme="minorHAnsi" w:eastAsia="Calibri" w:hAnsiTheme="minorHAnsi" w:cstheme="minorHAnsi"/>
          <w:bCs/>
          <w:sz w:val="22"/>
          <w:u w:val="single"/>
          <w:bdr w:val="nil"/>
        </w:rPr>
      </w:pPr>
      <w:r w:rsidRPr="002F28C0">
        <w:rPr>
          <w:rFonts w:asciiTheme="minorHAnsi" w:eastAsia="Calibri" w:hAnsiTheme="minorHAnsi" w:cstheme="minorHAnsi"/>
          <w:bCs/>
          <w:sz w:val="22"/>
          <w:u w:val="single"/>
          <w:bdr w:val="nil"/>
        </w:rPr>
        <w:t>Proponowane brzmienie:</w:t>
      </w:r>
    </w:p>
    <w:p w14:paraId="6E690E3A" w14:textId="77777777" w:rsidR="00B90939" w:rsidRPr="002F28C0" w:rsidRDefault="00B90939" w:rsidP="00116BE7">
      <w:pPr>
        <w:pStyle w:val="Akapitzlist"/>
        <w:pBdr>
          <w:top w:val="nil"/>
          <w:left w:val="nil"/>
          <w:bottom w:val="nil"/>
          <w:right w:val="nil"/>
          <w:between w:val="nil"/>
        </w:pBdr>
        <w:spacing w:after="0" w:line="360" w:lineRule="auto"/>
        <w:ind w:left="567"/>
        <w:jc w:val="both"/>
        <w:rPr>
          <w:rFonts w:asciiTheme="minorHAnsi" w:eastAsia="Calibri" w:hAnsiTheme="minorHAnsi" w:cstheme="minorHAnsi"/>
          <w:bCs/>
          <w:i/>
          <w:iCs/>
          <w:sz w:val="22"/>
          <w:bdr w:val="nil"/>
        </w:rPr>
      </w:pPr>
      <w:r w:rsidRPr="002F28C0">
        <w:rPr>
          <w:rFonts w:asciiTheme="minorHAnsi" w:eastAsia="Calibri" w:hAnsiTheme="minorHAnsi" w:cstheme="minorHAnsi"/>
          <w:bCs/>
          <w:sz w:val="22"/>
          <w:bdr w:val="nil"/>
        </w:rPr>
        <w:t>„</w:t>
      </w:r>
      <w:r w:rsidRPr="002F28C0">
        <w:rPr>
          <w:rFonts w:asciiTheme="minorHAnsi" w:eastAsia="Calibri" w:hAnsiTheme="minorHAnsi" w:cstheme="minorHAnsi"/>
          <w:bCs/>
          <w:i/>
          <w:iCs/>
          <w:sz w:val="22"/>
          <w:bdr w:val="nil"/>
        </w:rPr>
        <w:t xml:space="preserve">2) w art. 2 w ust. 2 dodaje się pkt 1d) w brzmieniu: </w:t>
      </w:r>
    </w:p>
    <w:p w14:paraId="4F53C732" w14:textId="6E6B53EC" w:rsidR="00B90939" w:rsidRPr="002F28C0" w:rsidRDefault="00B90939" w:rsidP="002D387B">
      <w:pPr>
        <w:pStyle w:val="Akapitzlist"/>
        <w:numPr>
          <w:ilvl w:val="0"/>
          <w:numId w:val="46"/>
        </w:numPr>
        <w:pBdr>
          <w:top w:val="nil"/>
          <w:left w:val="nil"/>
          <w:bottom w:val="nil"/>
          <w:right w:val="nil"/>
          <w:between w:val="nil"/>
        </w:pBdr>
        <w:spacing w:after="0" w:line="360" w:lineRule="auto"/>
        <w:ind w:left="851" w:hanging="218"/>
        <w:jc w:val="both"/>
        <w:rPr>
          <w:rFonts w:asciiTheme="minorHAnsi" w:eastAsia="Calibri" w:hAnsiTheme="minorHAnsi" w:cstheme="minorHAnsi"/>
          <w:bCs/>
          <w:i/>
          <w:iCs/>
          <w:sz w:val="22"/>
          <w:bdr w:val="nil"/>
        </w:rPr>
      </w:pPr>
      <w:r w:rsidRPr="002F28C0">
        <w:rPr>
          <w:rFonts w:asciiTheme="minorHAnsi" w:eastAsia="Calibri" w:hAnsiTheme="minorHAnsi" w:cstheme="minorHAnsi"/>
          <w:bCs/>
          <w:i/>
          <w:iCs/>
          <w:sz w:val="22"/>
          <w:bdr w:val="nil"/>
        </w:rPr>
        <w:t xml:space="preserve">pkt 1 otrzymuje brzmienie: </w:t>
      </w:r>
    </w:p>
    <w:p w14:paraId="5C0DBA61" w14:textId="77777777" w:rsidR="00B90939" w:rsidRPr="002F28C0" w:rsidRDefault="00B90939" w:rsidP="00116BE7">
      <w:pPr>
        <w:pStyle w:val="Akapitzlist"/>
        <w:pBdr>
          <w:top w:val="nil"/>
          <w:left w:val="nil"/>
          <w:bottom w:val="nil"/>
          <w:right w:val="nil"/>
          <w:between w:val="nil"/>
        </w:pBdr>
        <w:spacing w:after="0" w:line="360" w:lineRule="auto"/>
        <w:ind w:left="567"/>
        <w:jc w:val="both"/>
        <w:rPr>
          <w:rFonts w:asciiTheme="minorHAnsi" w:eastAsia="Calibri" w:hAnsiTheme="minorHAnsi" w:cstheme="minorHAnsi"/>
          <w:bCs/>
          <w:i/>
          <w:iCs/>
          <w:sz w:val="22"/>
          <w:bdr w:val="nil"/>
        </w:rPr>
      </w:pPr>
      <w:r w:rsidRPr="002F28C0">
        <w:rPr>
          <w:rFonts w:asciiTheme="minorHAnsi" w:eastAsia="Calibri" w:hAnsiTheme="minorHAnsi" w:cstheme="minorHAnsi"/>
          <w:bCs/>
          <w:i/>
          <w:iCs/>
          <w:sz w:val="22"/>
          <w:bdr w:val="nil"/>
        </w:rPr>
        <w:t xml:space="preserve">„1) beneficjencie rzeczywistym – rozumie się przez to każdą osobę fizyczną sprawującą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lub jest przeprowadzana transakcja okazjonalna, w tym: </w:t>
      </w:r>
    </w:p>
    <w:p w14:paraId="15B406B0" w14:textId="77777777" w:rsidR="00B90939" w:rsidRPr="002F28C0" w:rsidRDefault="00B90939" w:rsidP="00116BE7">
      <w:pPr>
        <w:pStyle w:val="Akapitzlist"/>
        <w:pBdr>
          <w:top w:val="nil"/>
          <w:left w:val="nil"/>
          <w:bottom w:val="nil"/>
          <w:right w:val="nil"/>
          <w:between w:val="nil"/>
        </w:pBdr>
        <w:spacing w:after="0" w:line="360" w:lineRule="auto"/>
        <w:ind w:left="567"/>
        <w:jc w:val="both"/>
        <w:rPr>
          <w:rFonts w:asciiTheme="minorHAnsi" w:eastAsia="Calibri" w:hAnsiTheme="minorHAnsi" w:cstheme="minorHAnsi"/>
          <w:bCs/>
          <w:i/>
          <w:iCs/>
          <w:sz w:val="22"/>
          <w:bdr w:val="nil"/>
        </w:rPr>
      </w:pPr>
      <w:r w:rsidRPr="002F28C0">
        <w:rPr>
          <w:rFonts w:asciiTheme="minorHAnsi" w:eastAsia="Calibri" w:hAnsiTheme="minorHAnsi" w:cstheme="minorHAnsi"/>
          <w:bCs/>
          <w:i/>
          <w:iCs/>
          <w:sz w:val="22"/>
          <w:bdr w:val="nil"/>
        </w:rPr>
        <w:t>a) w przypadku osoby prawnej innej niż spółka, której papiery wartościowe są dopuszczone do obrotu na rynku regulowanym podlegającym wymogom ujawniania informacji wynikającym z przepisów prawa Unii Europejskiej lub odpowiadającym im przepisom prawa państwa trzeciego:</w:t>
      </w:r>
    </w:p>
    <w:p w14:paraId="3671538C" w14:textId="77777777" w:rsidR="00B90939" w:rsidRPr="002F28C0" w:rsidRDefault="00B90939" w:rsidP="002D387B">
      <w:pPr>
        <w:spacing w:line="360" w:lineRule="auto"/>
        <w:ind w:left="1843" w:hanging="397"/>
        <w:jc w:val="both"/>
        <w:rPr>
          <w:rFonts w:asciiTheme="minorHAnsi" w:hAnsiTheme="minorHAnsi" w:cstheme="minorHAnsi"/>
          <w:bCs/>
          <w:i/>
          <w:iCs/>
          <w:sz w:val="22"/>
          <w:szCs w:val="22"/>
        </w:rPr>
      </w:pPr>
      <w:r w:rsidRPr="002F28C0">
        <w:rPr>
          <w:rFonts w:asciiTheme="minorHAnsi" w:hAnsiTheme="minorHAnsi" w:cstheme="minorHAnsi"/>
          <w:bCs/>
          <w:i/>
          <w:iCs/>
          <w:sz w:val="22"/>
          <w:szCs w:val="22"/>
        </w:rPr>
        <w:t>–</w:t>
      </w:r>
      <w:r w:rsidRPr="002F28C0">
        <w:rPr>
          <w:rFonts w:asciiTheme="minorHAnsi" w:hAnsiTheme="minorHAnsi" w:cstheme="minorHAnsi"/>
          <w:bCs/>
          <w:i/>
          <w:iCs/>
          <w:sz w:val="22"/>
          <w:szCs w:val="22"/>
        </w:rPr>
        <w:tab/>
        <w:t>osobę fizyczną będącą udziałowcem lub akcjonariuszem, której przysługuje prawo własności więcej niż 25% ogólnej liczby udziałów lub akcji tej osoby prawnej,</w:t>
      </w:r>
    </w:p>
    <w:p w14:paraId="349EF1E2" w14:textId="607608DE" w:rsidR="00B90939" w:rsidRPr="002F28C0" w:rsidRDefault="00B90939" w:rsidP="002D387B">
      <w:pPr>
        <w:spacing w:line="360" w:lineRule="auto"/>
        <w:ind w:left="1843" w:hanging="397"/>
        <w:jc w:val="both"/>
        <w:rPr>
          <w:rFonts w:asciiTheme="minorHAnsi" w:hAnsiTheme="minorHAnsi" w:cstheme="minorHAnsi"/>
          <w:bCs/>
          <w:i/>
          <w:iCs/>
          <w:sz w:val="22"/>
          <w:szCs w:val="22"/>
        </w:rPr>
      </w:pPr>
      <w:r w:rsidRPr="002F28C0">
        <w:rPr>
          <w:rFonts w:asciiTheme="minorHAnsi" w:hAnsiTheme="minorHAnsi" w:cstheme="minorHAnsi"/>
          <w:bCs/>
          <w:i/>
          <w:iCs/>
          <w:sz w:val="22"/>
          <w:szCs w:val="22"/>
        </w:rPr>
        <w:t>–</w:t>
      </w:r>
      <w:r w:rsidRPr="002F28C0">
        <w:rPr>
          <w:rFonts w:asciiTheme="minorHAnsi" w:hAnsiTheme="minorHAnsi" w:cstheme="minorHAnsi"/>
          <w:bCs/>
          <w:i/>
          <w:iCs/>
          <w:sz w:val="22"/>
          <w:szCs w:val="22"/>
        </w:rPr>
        <w:tab/>
        <w:t xml:space="preserve">osobę fizyczną dysponującą więcej niż 25% ogólnej liczby głosów w organie stanowiącym tej osoby prawnej, także jako zastawnik albo użytkownik, lub na podstawie porozumień </w:t>
      </w:r>
      <w:r w:rsidR="002D387B">
        <w:rPr>
          <w:rFonts w:asciiTheme="minorHAnsi" w:hAnsiTheme="minorHAnsi" w:cstheme="minorHAnsi"/>
          <w:bCs/>
          <w:i/>
          <w:iCs/>
          <w:sz w:val="22"/>
          <w:szCs w:val="22"/>
        </w:rPr>
        <w:br/>
      </w:r>
      <w:r w:rsidRPr="002F28C0">
        <w:rPr>
          <w:rFonts w:asciiTheme="minorHAnsi" w:hAnsiTheme="minorHAnsi" w:cstheme="minorHAnsi"/>
          <w:bCs/>
          <w:i/>
          <w:iCs/>
          <w:sz w:val="22"/>
          <w:szCs w:val="22"/>
        </w:rPr>
        <w:t>z innymi uprawnionymi do głosu,</w:t>
      </w:r>
    </w:p>
    <w:p w14:paraId="50B244A4" w14:textId="2F3B94CE" w:rsidR="00B90939" w:rsidRPr="002F28C0" w:rsidRDefault="00B90939" w:rsidP="002D387B">
      <w:pPr>
        <w:spacing w:line="360" w:lineRule="auto"/>
        <w:ind w:left="1843" w:hanging="397"/>
        <w:jc w:val="both"/>
        <w:rPr>
          <w:rFonts w:asciiTheme="minorHAnsi" w:hAnsiTheme="minorHAnsi" w:cstheme="minorHAnsi"/>
          <w:bCs/>
          <w:i/>
          <w:iCs/>
          <w:sz w:val="22"/>
          <w:szCs w:val="22"/>
        </w:rPr>
      </w:pPr>
      <w:r w:rsidRPr="002F28C0">
        <w:rPr>
          <w:rFonts w:asciiTheme="minorHAnsi" w:hAnsiTheme="minorHAnsi" w:cstheme="minorHAnsi"/>
          <w:bCs/>
          <w:i/>
          <w:iCs/>
          <w:sz w:val="22"/>
          <w:szCs w:val="22"/>
        </w:rPr>
        <w:t>–</w:t>
      </w:r>
      <w:r w:rsidRPr="002F28C0">
        <w:rPr>
          <w:rFonts w:asciiTheme="minorHAnsi" w:hAnsiTheme="minorHAnsi" w:cstheme="minorHAnsi"/>
          <w:bCs/>
          <w:i/>
          <w:iCs/>
          <w:sz w:val="22"/>
          <w:szCs w:val="22"/>
        </w:rPr>
        <w:tab/>
        <w:t xml:space="preserve">osobę fizyczną sprawującą kontrolę nad osobą prawną lub osobami prawnymi, którym łącznie przysługuje prawo własności więcej niż 25% ogólnej liczby udziałów lub akcji, </w:t>
      </w:r>
      <w:r w:rsidR="002D387B">
        <w:rPr>
          <w:rFonts w:asciiTheme="minorHAnsi" w:hAnsiTheme="minorHAnsi" w:cstheme="minorHAnsi"/>
          <w:bCs/>
          <w:i/>
          <w:iCs/>
          <w:sz w:val="22"/>
          <w:szCs w:val="22"/>
        </w:rPr>
        <w:br/>
      </w:r>
      <w:r w:rsidRPr="002F28C0">
        <w:rPr>
          <w:rFonts w:asciiTheme="minorHAnsi" w:hAnsiTheme="minorHAnsi" w:cstheme="minorHAnsi"/>
          <w:bCs/>
          <w:i/>
          <w:iCs/>
          <w:sz w:val="22"/>
          <w:szCs w:val="22"/>
        </w:rPr>
        <w:t xml:space="preserve">lub które łącznie dysponują więcej niż 25% ogólnej liczby głosów w organie stanowiącym tej osoby prawnej, także jako zastawnik albo użytkownik, lub na podstawie porozumień </w:t>
      </w:r>
      <w:r w:rsidR="002D387B">
        <w:rPr>
          <w:rFonts w:asciiTheme="minorHAnsi" w:hAnsiTheme="minorHAnsi" w:cstheme="minorHAnsi"/>
          <w:bCs/>
          <w:i/>
          <w:iCs/>
          <w:sz w:val="22"/>
          <w:szCs w:val="22"/>
        </w:rPr>
        <w:br/>
      </w:r>
      <w:r w:rsidRPr="002F28C0">
        <w:rPr>
          <w:rFonts w:asciiTheme="minorHAnsi" w:hAnsiTheme="minorHAnsi" w:cstheme="minorHAnsi"/>
          <w:bCs/>
          <w:i/>
          <w:iCs/>
          <w:sz w:val="22"/>
          <w:szCs w:val="22"/>
        </w:rPr>
        <w:t>z innymi uprawnionymi do głosu,</w:t>
      </w:r>
    </w:p>
    <w:p w14:paraId="620023BD" w14:textId="5ECF2971" w:rsidR="00B90939" w:rsidRPr="002F28C0" w:rsidRDefault="00B90939" w:rsidP="002D387B">
      <w:pPr>
        <w:spacing w:line="360" w:lineRule="auto"/>
        <w:ind w:left="1843" w:hanging="397"/>
        <w:jc w:val="both"/>
        <w:rPr>
          <w:rFonts w:asciiTheme="minorHAnsi" w:hAnsiTheme="minorHAnsi" w:cstheme="minorHAnsi"/>
          <w:bCs/>
          <w:i/>
          <w:iCs/>
          <w:sz w:val="22"/>
          <w:szCs w:val="22"/>
        </w:rPr>
      </w:pPr>
      <w:r w:rsidRPr="002F28C0">
        <w:rPr>
          <w:rFonts w:asciiTheme="minorHAnsi" w:hAnsiTheme="minorHAnsi" w:cstheme="minorHAnsi"/>
          <w:bCs/>
          <w:i/>
          <w:iCs/>
          <w:sz w:val="22"/>
          <w:szCs w:val="22"/>
        </w:rPr>
        <w:t>–</w:t>
      </w:r>
      <w:r w:rsidRPr="002F28C0">
        <w:rPr>
          <w:rFonts w:asciiTheme="minorHAnsi" w:hAnsiTheme="minorHAnsi" w:cstheme="minorHAnsi"/>
          <w:bCs/>
          <w:i/>
          <w:iCs/>
          <w:sz w:val="22"/>
          <w:szCs w:val="22"/>
        </w:rPr>
        <w:tab/>
        <w:t xml:space="preserve">osobę fizyczną sprawującą kontrolę nad osobą prawną poprzez posiadanie uprawnień, </w:t>
      </w:r>
      <w:r w:rsidR="002D387B">
        <w:rPr>
          <w:rFonts w:asciiTheme="minorHAnsi" w:hAnsiTheme="minorHAnsi" w:cstheme="minorHAnsi"/>
          <w:bCs/>
          <w:i/>
          <w:iCs/>
          <w:sz w:val="22"/>
          <w:szCs w:val="22"/>
        </w:rPr>
        <w:br/>
      </w:r>
      <w:r w:rsidRPr="002F28C0">
        <w:rPr>
          <w:rFonts w:asciiTheme="minorHAnsi" w:hAnsiTheme="minorHAnsi" w:cstheme="minorHAnsi"/>
          <w:bCs/>
          <w:i/>
          <w:iCs/>
          <w:sz w:val="22"/>
          <w:szCs w:val="22"/>
        </w:rPr>
        <w:t>o których mowa w art. 3 ust. 1 pkt 37 ustawy z dnia 29 września 1994 r. o rachunkowości (Dz. U. z 2019 r. poz. 351, z późn. zm.</w:t>
      </w:r>
      <w:r w:rsidRPr="002F28C0">
        <w:rPr>
          <w:rFonts w:asciiTheme="minorHAnsi" w:hAnsiTheme="minorHAnsi" w:cstheme="minorHAnsi"/>
          <w:bCs/>
          <w:i/>
          <w:iCs/>
          <w:sz w:val="22"/>
          <w:szCs w:val="22"/>
          <w:vertAlign w:val="superscript"/>
        </w:rPr>
        <w:footnoteReference w:id="1"/>
      </w:r>
      <w:r w:rsidRPr="002F28C0">
        <w:rPr>
          <w:rFonts w:asciiTheme="minorHAnsi" w:hAnsiTheme="minorHAnsi" w:cstheme="minorHAnsi"/>
          <w:bCs/>
          <w:i/>
          <w:iCs/>
          <w:sz w:val="22"/>
          <w:szCs w:val="22"/>
          <w:vertAlign w:val="superscript"/>
        </w:rPr>
        <w:t>)</w:t>
      </w:r>
      <w:r w:rsidRPr="002F28C0">
        <w:rPr>
          <w:rFonts w:asciiTheme="minorHAnsi" w:hAnsiTheme="minorHAnsi" w:cstheme="minorHAnsi"/>
          <w:bCs/>
          <w:i/>
          <w:iCs/>
          <w:sz w:val="22"/>
          <w:szCs w:val="22"/>
        </w:rPr>
        <w:t>), lub</w:t>
      </w:r>
    </w:p>
    <w:p w14:paraId="3A67F389" w14:textId="76C436C5" w:rsidR="00B90939" w:rsidRPr="002F28C0" w:rsidRDefault="00B90939" w:rsidP="002D387B">
      <w:pPr>
        <w:spacing w:line="360" w:lineRule="auto"/>
        <w:ind w:left="1843" w:hanging="397"/>
        <w:jc w:val="both"/>
        <w:rPr>
          <w:rFonts w:asciiTheme="minorHAnsi" w:hAnsiTheme="minorHAnsi" w:cstheme="minorHAnsi"/>
          <w:bCs/>
          <w:i/>
          <w:iCs/>
          <w:sz w:val="22"/>
          <w:szCs w:val="22"/>
        </w:rPr>
      </w:pPr>
      <w:r w:rsidRPr="002F28C0">
        <w:rPr>
          <w:rFonts w:asciiTheme="minorHAnsi" w:hAnsiTheme="minorHAnsi" w:cstheme="minorHAnsi"/>
          <w:bCs/>
          <w:i/>
          <w:iCs/>
          <w:sz w:val="22"/>
          <w:szCs w:val="22"/>
        </w:rPr>
        <w:t>–</w:t>
      </w:r>
      <w:r w:rsidRPr="002F28C0">
        <w:rPr>
          <w:rFonts w:asciiTheme="minorHAnsi" w:hAnsiTheme="minorHAnsi" w:cstheme="minorHAnsi"/>
          <w:bCs/>
          <w:i/>
          <w:iCs/>
          <w:sz w:val="22"/>
          <w:szCs w:val="22"/>
        </w:rPr>
        <w:tab/>
        <w:t>osobę fizyczną zajmującą wyższe stanowisko kierownicze w przypadku udokumentowanego braku możliwości ustalenia lub wątpliwości co do tożsamości osób fizycznych określonych w tiret pierwsze–czwarte oraz w przypadku niestwierdzenia podejrzeń prania pieniędzy lub finansowania terroryzmu,</w:t>
      </w:r>
    </w:p>
    <w:p w14:paraId="40F69B7F" w14:textId="3C73BABC" w:rsidR="00B90939" w:rsidRPr="002F28C0" w:rsidRDefault="00B90939" w:rsidP="002D387B">
      <w:pPr>
        <w:pStyle w:val="Akapitzlist"/>
        <w:pBdr>
          <w:top w:val="nil"/>
          <w:left w:val="nil"/>
          <w:bottom w:val="nil"/>
          <w:right w:val="nil"/>
          <w:between w:val="nil"/>
        </w:pBdr>
        <w:spacing w:after="0" w:line="360" w:lineRule="auto"/>
        <w:ind w:left="567"/>
        <w:jc w:val="both"/>
        <w:rPr>
          <w:rFonts w:asciiTheme="minorHAnsi" w:hAnsiTheme="minorHAnsi" w:cstheme="minorHAnsi"/>
          <w:bCs/>
          <w:i/>
          <w:iCs/>
          <w:sz w:val="22"/>
        </w:rPr>
      </w:pPr>
      <w:r w:rsidRPr="002F28C0">
        <w:rPr>
          <w:rFonts w:asciiTheme="minorHAnsi" w:hAnsiTheme="minorHAnsi" w:cstheme="minorHAnsi"/>
          <w:bCs/>
          <w:i/>
          <w:iCs/>
          <w:sz w:val="22"/>
        </w:rPr>
        <w:t xml:space="preserve">b) </w:t>
      </w:r>
      <w:r w:rsidR="002D387B">
        <w:rPr>
          <w:rFonts w:asciiTheme="minorHAnsi" w:hAnsiTheme="minorHAnsi" w:cstheme="minorHAnsi"/>
          <w:bCs/>
          <w:i/>
          <w:iCs/>
          <w:sz w:val="22"/>
        </w:rPr>
        <w:t xml:space="preserve">  </w:t>
      </w:r>
      <w:r w:rsidRPr="002F28C0">
        <w:rPr>
          <w:rFonts w:asciiTheme="minorHAnsi" w:hAnsiTheme="minorHAnsi" w:cstheme="minorHAnsi"/>
          <w:bCs/>
          <w:i/>
          <w:iCs/>
          <w:sz w:val="22"/>
        </w:rPr>
        <w:t>w przypadku trustu:</w:t>
      </w:r>
    </w:p>
    <w:p w14:paraId="4FB830FA" w14:textId="77777777" w:rsidR="00B90939" w:rsidRPr="002F28C0" w:rsidRDefault="00B90939" w:rsidP="002D387B">
      <w:pPr>
        <w:spacing w:line="360" w:lineRule="auto"/>
        <w:ind w:left="1843" w:hanging="397"/>
        <w:jc w:val="both"/>
        <w:rPr>
          <w:rFonts w:asciiTheme="minorHAnsi" w:hAnsiTheme="minorHAnsi" w:cstheme="minorHAnsi"/>
          <w:bCs/>
          <w:i/>
          <w:iCs/>
          <w:sz w:val="22"/>
          <w:szCs w:val="22"/>
        </w:rPr>
      </w:pPr>
      <w:r w:rsidRPr="002F28C0">
        <w:rPr>
          <w:rFonts w:asciiTheme="minorHAnsi" w:hAnsiTheme="minorHAnsi" w:cstheme="minorHAnsi"/>
          <w:bCs/>
          <w:i/>
          <w:iCs/>
          <w:sz w:val="22"/>
          <w:szCs w:val="22"/>
        </w:rPr>
        <w:t>–</w:t>
      </w:r>
      <w:r w:rsidRPr="002F28C0">
        <w:rPr>
          <w:rFonts w:asciiTheme="minorHAnsi" w:hAnsiTheme="minorHAnsi" w:cstheme="minorHAnsi"/>
          <w:bCs/>
          <w:i/>
          <w:iCs/>
          <w:sz w:val="22"/>
          <w:szCs w:val="22"/>
        </w:rPr>
        <w:tab/>
        <w:t>założyciela,</w:t>
      </w:r>
    </w:p>
    <w:p w14:paraId="683BB87D" w14:textId="77777777" w:rsidR="00B90939" w:rsidRPr="002F28C0" w:rsidRDefault="00B90939" w:rsidP="002D387B">
      <w:pPr>
        <w:spacing w:line="360" w:lineRule="auto"/>
        <w:ind w:left="1843" w:hanging="397"/>
        <w:jc w:val="both"/>
        <w:rPr>
          <w:rFonts w:asciiTheme="minorHAnsi" w:hAnsiTheme="minorHAnsi" w:cstheme="minorHAnsi"/>
          <w:bCs/>
          <w:i/>
          <w:iCs/>
          <w:sz w:val="22"/>
          <w:szCs w:val="22"/>
        </w:rPr>
      </w:pPr>
      <w:r w:rsidRPr="002F28C0">
        <w:rPr>
          <w:rFonts w:asciiTheme="minorHAnsi" w:hAnsiTheme="minorHAnsi" w:cstheme="minorHAnsi"/>
          <w:bCs/>
          <w:i/>
          <w:iCs/>
          <w:sz w:val="22"/>
          <w:szCs w:val="22"/>
        </w:rPr>
        <w:t>–</w:t>
      </w:r>
      <w:r w:rsidRPr="002F28C0">
        <w:rPr>
          <w:rFonts w:asciiTheme="minorHAnsi" w:hAnsiTheme="minorHAnsi" w:cstheme="minorHAnsi"/>
          <w:bCs/>
          <w:i/>
          <w:iCs/>
          <w:sz w:val="22"/>
          <w:szCs w:val="22"/>
        </w:rPr>
        <w:tab/>
        <w:t>powiernika,</w:t>
      </w:r>
    </w:p>
    <w:p w14:paraId="505691E8" w14:textId="77777777" w:rsidR="00DD1503" w:rsidRDefault="00B90939" w:rsidP="002D387B">
      <w:pPr>
        <w:spacing w:line="360" w:lineRule="auto"/>
        <w:ind w:left="1843" w:hanging="397"/>
        <w:jc w:val="both"/>
        <w:rPr>
          <w:rFonts w:asciiTheme="minorHAnsi" w:hAnsiTheme="minorHAnsi" w:cstheme="minorHAnsi"/>
          <w:bCs/>
          <w:i/>
          <w:iCs/>
          <w:sz w:val="22"/>
          <w:szCs w:val="22"/>
        </w:rPr>
      </w:pPr>
      <w:r w:rsidRPr="002F28C0">
        <w:rPr>
          <w:rFonts w:asciiTheme="minorHAnsi" w:hAnsiTheme="minorHAnsi" w:cstheme="minorHAnsi"/>
          <w:bCs/>
          <w:i/>
          <w:iCs/>
          <w:sz w:val="22"/>
          <w:szCs w:val="22"/>
        </w:rPr>
        <w:t>–</w:t>
      </w:r>
      <w:r w:rsidRPr="002F28C0">
        <w:rPr>
          <w:rFonts w:asciiTheme="minorHAnsi" w:hAnsiTheme="minorHAnsi" w:cstheme="minorHAnsi"/>
          <w:bCs/>
          <w:i/>
          <w:iCs/>
          <w:sz w:val="22"/>
          <w:szCs w:val="22"/>
        </w:rPr>
        <w:tab/>
        <w:t>nadzorcę, jeżeli został ustanowiony,</w:t>
      </w:r>
    </w:p>
    <w:p w14:paraId="6117807B" w14:textId="242852B1" w:rsidR="00B90939" w:rsidRPr="002F28C0" w:rsidRDefault="00B90939" w:rsidP="002D387B">
      <w:pPr>
        <w:spacing w:line="360" w:lineRule="auto"/>
        <w:ind w:left="1843" w:hanging="397"/>
        <w:jc w:val="both"/>
        <w:rPr>
          <w:rFonts w:asciiTheme="minorHAnsi" w:hAnsiTheme="minorHAnsi" w:cstheme="minorHAnsi"/>
          <w:bCs/>
          <w:i/>
          <w:iCs/>
          <w:sz w:val="22"/>
          <w:szCs w:val="22"/>
        </w:rPr>
      </w:pPr>
      <w:r w:rsidRPr="002F28C0">
        <w:rPr>
          <w:rFonts w:asciiTheme="minorHAnsi" w:hAnsiTheme="minorHAnsi" w:cstheme="minorHAnsi"/>
          <w:bCs/>
          <w:i/>
          <w:iCs/>
          <w:sz w:val="22"/>
          <w:szCs w:val="22"/>
        </w:rPr>
        <w:t>–</w:t>
      </w:r>
      <w:r w:rsidRPr="002F28C0">
        <w:rPr>
          <w:rFonts w:asciiTheme="minorHAnsi" w:hAnsiTheme="minorHAnsi" w:cstheme="minorHAnsi"/>
          <w:bCs/>
          <w:i/>
          <w:iCs/>
          <w:sz w:val="22"/>
          <w:szCs w:val="22"/>
        </w:rPr>
        <w:tab/>
        <w:t>beneficjenta lub – w przypadku gdy osoby fizyczne czerpiące korzyści z danego trustu nie zostały jeszcze określone – grupę osób, w których głównym interesie powstał lub działa trust,</w:t>
      </w:r>
    </w:p>
    <w:p w14:paraId="5DA8E0CC" w14:textId="77777777" w:rsidR="00B90939" w:rsidRPr="002F28C0" w:rsidRDefault="00B90939" w:rsidP="002D387B">
      <w:pPr>
        <w:spacing w:line="360" w:lineRule="auto"/>
        <w:ind w:left="1843" w:hanging="397"/>
        <w:jc w:val="both"/>
        <w:rPr>
          <w:rFonts w:asciiTheme="minorHAnsi" w:hAnsiTheme="minorHAnsi" w:cstheme="minorHAnsi"/>
          <w:bCs/>
          <w:i/>
          <w:iCs/>
          <w:sz w:val="22"/>
          <w:szCs w:val="22"/>
        </w:rPr>
      </w:pPr>
      <w:r w:rsidRPr="002F28C0">
        <w:rPr>
          <w:rFonts w:asciiTheme="minorHAnsi" w:hAnsiTheme="minorHAnsi" w:cstheme="minorHAnsi"/>
          <w:bCs/>
          <w:i/>
          <w:iCs/>
          <w:sz w:val="22"/>
          <w:szCs w:val="22"/>
        </w:rPr>
        <w:t>–</w:t>
      </w:r>
      <w:r w:rsidRPr="002F28C0">
        <w:rPr>
          <w:rFonts w:asciiTheme="minorHAnsi" w:hAnsiTheme="minorHAnsi" w:cstheme="minorHAnsi"/>
          <w:bCs/>
          <w:i/>
          <w:iCs/>
          <w:sz w:val="22"/>
          <w:szCs w:val="22"/>
        </w:rPr>
        <w:tab/>
        <w:t>inną osobę sprawującą kontrolę nad trustem,</w:t>
      </w:r>
    </w:p>
    <w:p w14:paraId="32C4E473" w14:textId="257E01FD" w:rsidR="00B90939" w:rsidRPr="002F28C0" w:rsidRDefault="00B90939" w:rsidP="002D387B">
      <w:pPr>
        <w:spacing w:line="360" w:lineRule="auto"/>
        <w:ind w:left="1843" w:hanging="397"/>
        <w:jc w:val="both"/>
        <w:rPr>
          <w:rFonts w:asciiTheme="minorHAnsi" w:hAnsiTheme="minorHAnsi" w:cstheme="minorHAnsi"/>
          <w:bCs/>
          <w:i/>
          <w:iCs/>
          <w:sz w:val="22"/>
          <w:szCs w:val="22"/>
        </w:rPr>
      </w:pPr>
      <w:r w:rsidRPr="002F28C0">
        <w:rPr>
          <w:rFonts w:asciiTheme="minorHAnsi" w:hAnsiTheme="minorHAnsi" w:cstheme="minorHAnsi"/>
          <w:bCs/>
          <w:i/>
          <w:iCs/>
          <w:sz w:val="22"/>
          <w:szCs w:val="22"/>
        </w:rPr>
        <w:t>–</w:t>
      </w:r>
      <w:r w:rsidRPr="002F28C0">
        <w:rPr>
          <w:rFonts w:asciiTheme="minorHAnsi" w:hAnsiTheme="minorHAnsi" w:cstheme="minorHAnsi"/>
          <w:bCs/>
          <w:i/>
          <w:iCs/>
          <w:sz w:val="22"/>
          <w:szCs w:val="22"/>
        </w:rPr>
        <w:tab/>
        <w:t xml:space="preserve">inną osobę fizyczną o uprawnieniach lub obowiązkach równoważnych do określonych </w:t>
      </w:r>
      <w:r w:rsidR="002D387B">
        <w:rPr>
          <w:rFonts w:asciiTheme="minorHAnsi" w:hAnsiTheme="minorHAnsi" w:cstheme="minorHAnsi"/>
          <w:bCs/>
          <w:i/>
          <w:iCs/>
          <w:sz w:val="22"/>
          <w:szCs w:val="22"/>
        </w:rPr>
        <w:br/>
      </w:r>
      <w:r w:rsidRPr="002F28C0">
        <w:rPr>
          <w:rFonts w:asciiTheme="minorHAnsi" w:hAnsiTheme="minorHAnsi" w:cstheme="minorHAnsi"/>
          <w:bCs/>
          <w:i/>
          <w:iCs/>
          <w:sz w:val="22"/>
          <w:szCs w:val="22"/>
        </w:rPr>
        <w:t>w tiret pierwsze–piąte,</w:t>
      </w:r>
    </w:p>
    <w:p w14:paraId="467CF0A9" w14:textId="30FFEFF5" w:rsidR="00B90939" w:rsidRPr="002F28C0" w:rsidRDefault="002D387B" w:rsidP="002D387B">
      <w:pPr>
        <w:pStyle w:val="Akapitzlist"/>
        <w:pBdr>
          <w:top w:val="nil"/>
          <w:left w:val="nil"/>
          <w:bottom w:val="nil"/>
          <w:right w:val="nil"/>
          <w:between w:val="nil"/>
        </w:pBdr>
        <w:spacing w:after="0" w:line="360" w:lineRule="auto"/>
        <w:ind w:left="851" w:hanging="284"/>
        <w:jc w:val="both"/>
        <w:rPr>
          <w:rFonts w:asciiTheme="minorHAnsi" w:eastAsia="Calibri" w:hAnsiTheme="minorHAnsi" w:cstheme="minorHAnsi"/>
          <w:bCs/>
          <w:i/>
          <w:iCs/>
          <w:sz w:val="22"/>
          <w:bdr w:val="nil"/>
        </w:rPr>
      </w:pPr>
      <w:r>
        <w:rPr>
          <w:rFonts w:asciiTheme="minorHAnsi" w:eastAsia="Times New Roman" w:hAnsiTheme="minorHAnsi" w:cstheme="minorHAnsi"/>
          <w:i/>
          <w:iCs/>
          <w:sz w:val="22"/>
          <w:lang w:eastAsia="pl-PL"/>
        </w:rPr>
        <w:t xml:space="preserve">c) </w:t>
      </w:r>
      <w:r w:rsidR="00B90939" w:rsidRPr="002F28C0">
        <w:rPr>
          <w:rFonts w:asciiTheme="minorHAnsi" w:eastAsia="Times New Roman" w:hAnsiTheme="minorHAnsi" w:cstheme="minorHAnsi"/>
          <w:i/>
          <w:iCs/>
          <w:sz w:val="22"/>
          <w:lang w:eastAsia="pl-PL"/>
        </w:rPr>
        <w:t>w przypadku osoby fizycznej prowadzącej działalność gospodarcz</w:t>
      </w:r>
      <w:r>
        <w:rPr>
          <w:rFonts w:asciiTheme="minorHAnsi" w:eastAsia="Times New Roman" w:hAnsiTheme="minorHAnsi" w:cstheme="minorHAnsi"/>
          <w:i/>
          <w:iCs/>
          <w:sz w:val="22"/>
          <w:lang w:eastAsia="pl-PL"/>
        </w:rPr>
        <w:t xml:space="preserve">ą, wobec której nie stwierdzono </w:t>
      </w:r>
      <w:r w:rsidR="00B90939" w:rsidRPr="002F28C0">
        <w:rPr>
          <w:rFonts w:asciiTheme="minorHAnsi" w:eastAsia="Times New Roman" w:hAnsiTheme="minorHAnsi" w:cstheme="minorHAnsi"/>
          <w:i/>
          <w:iCs/>
          <w:sz w:val="22"/>
          <w:lang w:eastAsia="pl-PL"/>
        </w:rPr>
        <w:t>przesłanek lub okoliczności mogących wskazywać na fakt sprawowania kontroli nad nią przez inną osobę fizyczną lub osoby fizyczne, przyjmuje się, że taka osoba fizyczna jest jednocześnie beneficjentem rzeczywistym;”</w:t>
      </w:r>
    </w:p>
    <w:p w14:paraId="422957EA" w14:textId="77777777" w:rsidR="00B90939" w:rsidRPr="002F28C0" w:rsidRDefault="00B90939" w:rsidP="002D387B">
      <w:pPr>
        <w:pStyle w:val="Akapitzlist"/>
        <w:pBdr>
          <w:top w:val="nil"/>
          <w:left w:val="nil"/>
          <w:bottom w:val="nil"/>
          <w:right w:val="nil"/>
          <w:between w:val="nil"/>
        </w:pBdr>
        <w:spacing w:after="0" w:line="360" w:lineRule="auto"/>
        <w:ind w:left="851" w:hanging="284"/>
        <w:jc w:val="both"/>
        <w:rPr>
          <w:rFonts w:asciiTheme="minorHAnsi" w:eastAsia="Calibri" w:hAnsiTheme="minorHAnsi" w:cstheme="minorHAnsi"/>
          <w:bCs/>
          <w:i/>
          <w:iCs/>
          <w:sz w:val="22"/>
          <w:bdr w:val="nil"/>
        </w:rPr>
      </w:pPr>
      <w:r w:rsidRPr="002F28C0">
        <w:rPr>
          <w:rFonts w:asciiTheme="minorHAnsi" w:eastAsia="Calibri" w:hAnsiTheme="minorHAnsi" w:cstheme="minorHAnsi"/>
          <w:bCs/>
          <w:i/>
          <w:iCs/>
          <w:sz w:val="22"/>
          <w:bdr w:val="nil"/>
        </w:rPr>
        <w:t>d)</w:t>
      </w:r>
      <w:r w:rsidRPr="002F28C0">
        <w:rPr>
          <w:rFonts w:asciiTheme="minorHAnsi" w:eastAsia="Calibri" w:hAnsiTheme="minorHAnsi" w:cstheme="minorHAnsi"/>
          <w:bCs/>
          <w:i/>
          <w:iCs/>
          <w:sz w:val="22"/>
          <w:bdr w:val="nil"/>
        </w:rPr>
        <w:tab/>
        <w:t>w przypadku spółki, której papiery wartościowe są dopuszczone do obrotu na rynku regulowanym podlegającym wymogom ujawniania informacji wynikającym z przepisów prawa Unii Europejskiej lub odpowiadającym im przepisom prawa państwa trzeciego lub spółki od niej zależnej, przyjmuje się, że beneficjent rzeczywisty jest znany; wymagane jest podanie ISIN lub rynku regulowanego, na którym papiery spółki są dopuszczone do obrotu;”</w:t>
      </w:r>
    </w:p>
    <w:p w14:paraId="471E81A7" w14:textId="77777777" w:rsidR="00B90939" w:rsidRPr="002F28C0" w:rsidRDefault="00B90939" w:rsidP="00116BE7">
      <w:pPr>
        <w:pStyle w:val="Akapitzlist"/>
        <w:pBdr>
          <w:top w:val="nil"/>
          <w:left w:val="nil"/>
          <w:bottom w:val="nil"/>
          <w:right w:val="nil"/>
          <w:between w:val="nil"/>
        </w:pBdr>
        <w:spacing w:after="0" w:line="360" w:lineRule="auto"/>
        <w:ind w:left="567"/>
        <w:jc w:val="both"/>
        <w:rPr>
          <w:rFonts w:asciiTheme="minorHAnsi" w:eastAsia="Calibri" w:hAnsiTheme="minorHAnsi" w:cstheme="minorHAnsi"/>
          <w:bCs/>
          <w:sz w:val="22"/>
          <w:bdr w:val="nil"/>
        </w:rPr>
      </w:pPr>
    </w:p>
    <w:p w14:paraId="56CEB434" w14:textId="001AC190" w:rsidR="00B90939" w:rsidRPr="002F28C0" w:rsidRDefault="00B90939" w:rsidP="00116BE7">
      <w:pPr>
        <w:pStyle w:val="Akapitzlist"/>
        <w:pBdr>
          <w:top w:val="nil"/>
          <w:left w:val="nil"/>
          <w:bottom w:val="nil"/>
          <w:right w:val="nil"/>
          <w:between w:val="nil"/>
        </w:pBdr>
        <w:spacing w:after="0" w:line="360" w:lineRule="auto"/>
        <w:ind w:left="567"/>
        <w:jc w:val="both"/>
        <w:rPr>
          <w:rFonts w:asciiTheme="minorHAnsi" w:eastAsia="Calibri" w:hAnsiTheme="minorHAnsi" w:cstheme="minorHAnsi"/>
          <w:bCs/>
          <w:sz w:val="22"/>
          <w:u w:val="single"/>
          <w:bdr w:val="nil"/>
        </w:rPr>
      </w:pPr>
      <w:r w:rsidRPr="002F28C0">
        <w:rPr>
          <w:rFonts w:asciiTheme="minorHAnsi" w:eastAsia="Calibri" w:hAnsiTheme="minorHAnsi" w:cstheme="minorHAnsi"/>
          <w:bCs/>
          <w:sz w:val="22"/>
          <w:u w:val="single"/>
          <w:bdr w:val="nil"/>
        </w:rPr>
        <w:t>Uzasadnienie:</w:t>
      </w:r>
    </w:p>
    <w:p w14:paraId="301CAF60" w14:textId="1D8071C1" w:rsidR="00B90939" w:rsidRPr="002F28C0" w:rsidRDefault="00B90939" w:rsidP="00116BE7">
      <w:pPr>
        <w:pStyle w:val="Akapitzlist"/>
        <w:pBdr>
          <w:top w:val="nil"/>
          <w:left w:val="nil"/>
          <w:bottom w:val="nil"/>
          <w:right w:val="nil"/>
          <w:between w:val="nil"/>
        </w:pBdr>
        <w:spacing w:after="0" w:line="360" w:lineRule="auto"/>
        <w:ind w:left="567"/>
        <w:jc w:val="both"/>
        <w:rPr>
          <w:rFonts w:asciiTheme="minorHAnsi" w:eastAsia="Calibri" w:hAnsiTheme="minorHAnsi" w:cstheme="minorHAnsi"/>
          <w:bCs/>
          <w:sz w:val="22"/>
          <w:bdr w:val="nil"/>
        </w:rPr>
      </w:pPr>
      <w:r w:rsidRPr="002F28C0">
        <w:rPr>
          <w:rFonts w:asciiTheme="minorHAnsi" w:eastAsia="Calibri" w:hAnsiTheme="minorHAnsi" w:cstheme="minorHAnsi"/>
          <w:bCs/>
          <w:sz w:val="22"/>
          <w:bdr w:val="nil"/>
        </w:rPr>
        <w:t xml:space="preserve">Rekomenduje się doprecyzowanie definicji beneficjenta rzeczywistego w zakresie spółki, której papiery wartościowe są dopuszczone do obrotu na rynku regulowanym podlegającym wymogom ujawniania informacji wynikającym z przepisów prawa Unii Europejskiej lub odpowiadającym im przepisom prawa państwa trzeciego. </w:t>
      </w:r>
      <w:r w:rsidRPr="002F28C0">
        <w:rPr>
          <w:rFonts w:asciiTheme="minorHAnsi" w:eastAsia="Calibri" w:hAnsiTheme="minorHAnsi" w:cstheme="minorHAnsi"/>
          <w:b/>
          <w:sz w:val="22"/>
          <w:u w:val="single"/>
          <w:bdr w:val="nil"/>
        </w:rPr>
        <w:t>W obecnym brzmieniu zapis budzi wątpliwości interpretacyjne w zakresie prawidłowego stosowania Ustawy, gdyż nie wynika z niego jasno wyłączenie obowiązku ustalania beneficjenta w stosunku do spółek notowanych.</w:t>
      </w:r>
      <w:r w:rsidRPr="002F28C0">
        <w:rPr>
          <w:rFonts w:asciiTheme="minorHAnsi" w:eastAsia="Calibri" w:hAnsiTheme="minorHAnsi" w:cstheme="minorHAnsi"/>
          <w:bCs/>
          <w:sz w:val="22"/>
          <w:bdr w:val="nil"/>
        </w:rPr>
        <w:t xml:space="preserve"> Z jednej strony spółki giełdowe odmawiają podania swoich beneficjentów rzeczywistych, wskazując ww. zapis Ustawy, z drugiej strony instytucje obowiązane wymagają od spółek giełdowych przekazania informacji o beneficjencie rzeczywistym, zwłaszcza, że dotychczas dana wymagana - obywatelstwo beneficjenta rzeczywistego było trudne do ustalenia w wiarygodnych źródłach informacji, na co wskazuje również uzasadnienie do projektu ustawy. Wyłączenie spółek giełdowych z obowiązku rejestracji w Centralnym Rejestrze Beneficjentów Rzeczywistych również jest przesłanką wskazującą, że beneficjent rzeczywisty nie wymaga ustalenia </w:t>
      </w:r>
      <w:r w:rsidR="002D387B">
        <w:rPr>
          <w:rFonts w:asciiTheme="minorHAnsi" w:eastAsia="Calibri" w:hAnsiTheme="minorHAnsi" w:cstheme="minorHAnsi"/>
          <w:bCs/>
          <w:sz w:val="22"/>
          <w:bdr w:val="nil"/>
        </w:rPr>
        <w:br/>
      </w:r>
      <w:r w:rsidRPr="002F28C0">
        <w:rPr>
          <w:rFonts w:asciiTheme="minorHAnsi" w:eastAsia="Calibri" w:hAnsiTheme="minorHAnsi" w:cstheme="minorHAnsi"/>
          <w:bCs/>
          <w:sz w:val="22"/>
          <w:bdr w:val="nil"/>
        </w:rPr>
        <w:t>i oceny ryzyka ML/FT.</w:t>
      </w:r>
    </w:p>
    <w:p w14:paraId="747CD6A5" w14:textId="77777777" w:rsidR="00B90939" w:rsidRPr="002F28C0" w:rsidRDefault="00B90939" w:rsidP="00116BE7">
      <w:pPr>
        <w:pStyle w:val="Akapitzlist"/>
        <w:pBdr>
          <w:top w:val="nil"/>
          <w:left w:val="nil"/>
          <w:bottom w:val="nil"/>
          <w:right w:val="nil"/>
          <w:between w:val="nil"/>
        </w:pBdr>
        <w:spacing w:after="0" w:line="360" w:lineRule="auto"/>
        <w:ind w:left="567"/>
        <w:jc w:val="both"/>
        <w:rPr>
          <w:rFonts w:asciiTheme="minorHAnsi" w:eastAsia="Calibri" w:hAnsiTheme="minorHAnsi" w:cstheme="minorHAnsi"/>
          <w:bCs/>
          <w:sz w:val="22"/>
          <w:bdr w:val="nil"/>
        </w:rPr>
      </w:pPr>
    </w:p>
    <w:p w14:paraId="5780D58F" w14:textId="4D8ED0DD" w:rsidR="00B90939" w:rsidRPr="002F28C0" w:rsidRDefault="00B90939" w:rsidP="00116BE7">
      <w:pPr>
        <w:pStyle w:val="Akapitzlist"/>
        <w:pBdr>
          <w:top w:val="nil"/>
          <w:left w:val="nil"/>
          <w:bottom w:val="nil"/>
          <w:right w:val="nil"/>
          <w:between w:val="nil"/>
        </w:pBdr>
        <w:spacing w:after="0" w:line="360" w:lineRule="auto"/>
        <w:ind w:left="567"/>
        <w:jc w:val="both"/>
        <w:rPr>
          <w:rFonts w:asciiTheme="minorHAnsi" w:eastAsia="Calibri" w:hAnsiTheme="minorHAnsi" w:cstheme="minorHAnsi"/>
          <w:bCs/>
          <w:sz w:val="22"/>
          <w:bdr w:val="nil"/>
        </w:rPr>
      </w:pPr>
      <w:r w:rsidRPr="002F28C0">
        <w:rPr>
          <w:rFonts w:asciiTheme="minorHAnsi" w:eastAsia="Calibri" w:hAnsiTheme="minorHAnsi" w:cstheme="minorHAnsi"/>
          <w:bCs/>
          <w:sz w:val="22"/>
          <w:bdr w:val="nil"/>
        </w:rPr>
        <w:t>Dodatkowo należy wskazać, że w większości przypadków spółek zagranicznych wpisywani są członkowie zarządu spółki, w związku z trudnościami w ustaleniu informacji o beneficjencie rzeczywistym akcjonariatu zagranicznego. W świetle proponowanego art. 50 ust. 2 w pkt 11 dotyczącego zapisów wewnętrznej procedury instytucji obowiązanej w brzmieniu: „11) zasad dokumentowania utrudnień stwierdzonych w związku z weryfikacją tożsamości beneficjenta rzeczywistego oraz czynności podejmowanych w związku z identyfikacją jako beneficjenta rzeczywistego osoby zajmującej wyższe stanowisko kierownicze.”, taki tryb postępowania – wpisywanie członków zarządu może powodować zastrzeżenia Regulatora.</w:t>
      </w:r>
    </w:p>
    <w:p w14:paraId="048DA712" w14:textId="74586EF2" w:rsidR="00B90939" w:rsidRPr="002F28C0" w:rsidRDefault="00B90939" w:rsidP="00116BE7">
      <w:pPr>
        <w:pStyle w:val="Akapitzlist"/>
        <w:pBdr>
          <w:top w:val="nil"/>
          <w:left w:val="nil"/>
          <w:bottom w:val="nil"/>
          <w:right w:val="nil"/>
          <w:between w:val="nil"/>
        </w:pBdr>
        <w:spacing w:after="0" w:line="360" w:lineRule="auto"/>
        <w:ind w:left="567"/>
        <w:jc w:val="both"/>
        <w:rPr>
          <w:rFonts w:asciiTheme="minorHAnsi" w:eastAsia="Calibri" w:hAnsiTheme="minorHAnsi" w:cstheme="minorHAnsi"/>
          <w:bCs/>
          <w:sz w:val="22"/>
          <w:bdr w:val="nil"/>
        </w:rPr>
      </w:pPr>
      <w:r w:rsidRPr="002F28C0">
        <w:rPr>
          <w:rFonts w:asciiTheme="minorHAnsi" w:eastAsia="Calibri" w:hAnsiTheme="minorHAnsi" w:cstheme="minorHAnsi"/>
          <w:bCs/>
          <w:sz w:val="22"/>
          <w:bdr w:val="nil"/>
        </w:rPr>
        <w:t xml:space="preserve">W związku z powyższym, wnosimy o zapis, że dla spółki, której papiery wartościowe są dopuszczone do obrotu na rynku regulowanym podlegającym wymogom ujawniania informacji wynikającym </w:t>
      </w:r>
      <w:r w:rsidR="002D387B">
        <w:rPr>
          <w:rFonts w:asciiTheme="minorHAnsi" w:eastAsia="Calibri" w:hAnsiTheme="minorHAnsi" w:cstheme="minorHAnsi"/>
          <w:bCs/>
          <w:sz w:val="22"/>
          <w:bdr w:val="nil"/>
        </w:rPr>
        <w:br/>
      </w:r>
      <w:r w:rsidRPr="002F28C0">
        <w:rPr>
          <w:rFonts w:asciiTheme="minorHAnsi" w:eastAsia="Calibri" w:hAnsiTheme="minorHAnsi" w:cstheme="minorHAnsi"/>
          <w:bCs/>
          <w:sz w:val="22"/>
          <w:bdr w:val="nil"/>
        </w:rPr>
        <w:t xml:space="preserve">z przepisów prawa Unii Europejskiej lub odpowiadającym im przepisom prawa państwa trzeciego wymagane jest podanie ISIN lub rynku regulowanego, na którym papiery spółki są dopuszczone do obrotu. </w:t>
      </w:r>
    </w:p>
    <w:p w14:paraId="58A1D500" w14:textId="77777777" w:rsidR="00B90939" w:rsidRPr="002F28C0" w:rsidRDefault="00B90939" w:rsidP="00116BE7">
      <w:pPr>
        <w:pStyle w:val="Akapitzlist"/>
        <w:pBdr>
          <w:top w:val="nil"/>
          <w:left w:val="nil"/>
          <w:bottom w:val="nil"/>
          <w:right w:val="nil"/>
          <w:between w:val="nil"/>
        </w:pBdr>
        <w:spacing w:after="0" w:line="360" w:lineRule="auto"/>
        <w:ind w:left="567"/>
        <w:jc w:val="both"/>
        <w:rPr>
          <w:rFonts w:asciiTheme="minorHAnsi" w:eastAsia="Calibri" w:hAnsiTheme="minorHAnsi" w:cstheme="minorHAnsi"/>
          <w:bCs/>
          <w:sz w:val="22"/>
          <w:bdr w:val="nil"/>
        </w:rPr>
      </w:pPr>
    </w:p>
    <w:p w14:paraId="494F0207" w14:textId="68B26600" w:rsidR="00B90939" w:rsidRPr="002F28C0" w:rsidRDefault="00B90939" w:rsidP="00116BE7">
      <w:pPr>
        <w:pStyle w:val="Akapitzlist"/>
        <w:pBdr>
          <w:top w:val="nil"/>
          <w:left w:val="nil"/>
          <w:bottom w:val="nil"/>
          <w:right w:val="nil"/>
          <w:between w:val="nil"/>
        </w:pBdr>
        <w:spacing w:after="0" w:line="360" w:lineRule="auto"/>
        <w:ind w:left="567"/>
        <w:jc w:val="both"/>
        <w:rPr>
          <w:rFonts w:asciiTheme="minorHAnsi" w:eastAsia="Calibri" w:hAnsiTheme="minorHAnsi" w:cstheme="minorHAnsi"/>
          <w:bCs/>
          <w:sz w:val="22"/>
          <w:bdr w:val="nil"/>
        </w:rPr>
      </w:pPr>
      <w:r w:rsidRPr="002F28C0">
        <w:rPr>
          <w:rFonts w:asciiTheme="minorHAnsi" w:eastAsia="Calibri" w:hAnsiTheme="minorHAnsi" w:cstheme="minorHAnsi"/>
          <w:bCs/>
          <w:sz w:val="22"/>
          <w:bdr w:val="nil"/>
        </w:rPr>
        <w:t>Ponadto należy wskazać, iż zgodnie z rekomendacjami FATF nie tylko spółki bezpośrednio notowane na rynku regulowany powinny być wyłączone z obowiązku ustalania względem nich beneficjenta rzeczywistego, a również spółki zależne od takich spółek – strona 60 dokumentu FATF Recommendations (Updated June 2019), tytuł „Interpretative notes to recommendation 10” punkt C, przedostatni akapit:</w:t>
      </w:r>
    </w:p>
    <w:p w14:paraId="1F000357" w14:textId="77777777" w:rsidR="00B90939" w:rsidRPr="002F28C0" w:rsidRDefault="00B90939" w:rsidP="00116BE7">
      <w:pPr>
        <w:pStyle w:val="Akapitzlist"/>
        <w:pBdr>
          <w:top w:val="nil"/>
          <w:left w:val="nil"/>
          <w:bottom w:val="nil"/>
          <w:right w:val="nil"/>
          <w:between w:val="nil"/>
        </w:pBdr>
        <w:spacing w:after="0" w:line="360" w:lineRule="auto"/>
        <w:ind w:left="567"/>
        <w:jc w:val="both"/>
        <w:rPr>
          <w:rFonts w:asciiTheme="minorHAnsi" w:eastAsia="Calibri" w:hAnsiTheme="minorHAnsi" w:cstheme="minorHAnsi"/>
          <w:bCs/>
          <w:sz w:val="22"/>
          <w:bdr w:val="nil"/>
        </w:rPr>
      </w:pPr>
    </w:p>
    <w:p w14:paraId="770DB1FD" w14:textId="7FA51DCA" w:rsidR="00B90939" w:rsidRPr="002F28C0" w:rsidRDefault="00B90939" w:rsidP="00116BE7">
      <w:pPr>
        <w:pStyle w:val="Akapitzlist"/>
        <w:pBdr>
          <w:top w:val="nil"/>
          <w:left w:val="nil"/>
          <w:bottom w:val="nil"/>
          <w:right w:val="nil"/>
          <w:between w:val="nil"/>
        </w:pBdr>
        <w:spacing w:after="0" w:line="360" w:lineRule="auto"/>
        <w:ind w:left="567"/>
        <w:jc w:val="both"/>
        <w:rPr>
          <w:rFonts w:asciiTheme="minorHAnsi" w:eastAsia="Calibri" w:hAnsiTheme="minorHAnsi" w:cstheme="minorHAnsi"/>
          <w:bCs/>
          <w:sz w:val="22"/>
          <w:bdr w:val="nil"/>
          <w:lang w:val="en-US"/>
        </w:rPr>
      </w:pPr>
      <w:r w:rsidRPr="002F28C0">
        <w:rPr>
          <w:rFonts w:asciiTheme="minorHAnsi" w:eastAsia="Calibri" w:hAnsiTheme="minorHAnsi" w:cstheme="minorHAnsi"/>
          <w:bCs/>
          <w:sz w:val="22"/>
          <w:bdr w:val="nil"/>
          <w:lang w:val="en-US"/>
        </w:rPr>
        <w:t>“</w:t>
      </w:r>
      <w:r w:rsidRPr="002F28C0">
        <w:rPr>
          <w:rFonts w:asciiTheme="minorHAnsi" w:eastAsia="Calibri" w:hAnsiTheme="minorHAnsi" w:cstheme="minorHAnsi"/>
          <w:bCs/>
          <w:i/>
          <w:iCs/>
          <w:sz w:val="22"/>
          <w:bdr w:val="nil"/>
          <w:lang w:val="en-US"/>
        </w:rPr>
        <w:t xml:space="preserve">Where the customer or the owner of the controlling interest is a company listed on a stock exchange and subject to disclosure requirements (either by stock exchange rules or through law or enforceable means) which impose requirements to ensure adequate transparency of beneficial ownership, </w:t>
      </w:r>
      <w:r w:rsidR="002D387B">
        <w:rPr>
          <w:rFonts w:asciiTheme="minorHAnsi" w:eastAsia="Calibri" w:hAnsiTheme="minorHAnsi" w:cstheme="minorHAnsi"/>
          <w:bCs/>
          <w:i/>
          <w:iCs/>
          <w:sz w:val="22"/>
          <w:bdr w:val="nil"/>
          <w:lang w:val="en-US"/>
        </w:rPr>
        <w:br/>
      </w:r>
      <w:r w:rsidRPr="002F28C0">
        <w:rPr>
          <w:rFonts w:asciiTheme="minorHAnsi" w:eastAsia="Calibri" w:hAnsiTheme="minorHAnsi" w:cstheme="minorHAnsi"/>
          <w:bCs/>
          <w:i/>
          <w:iCs/>
          <w:sz w:val="22"/>
          <w:bdr w:val="nil"/>
          <w:lang w:val="en-US"/>
        </w:rPr>
        <w:t>or is a majority-owned subsidiary of such a company, it is not necessary to identify and verify the identity of any shareholder or beneficial owner of such companies.</w:t>
      </w:r>
      <w:r w:rsidRPr="002F28C0">
        <w:rPr>
          <w:rFonts w:asciiTheme="minorHAnsi" w:eastAsia="Calibri" w:hAnsiTheme="minorHAnsi" w:cstheme="minorHAnsi"/>
          <w:bCs/>
          <w:sz w:val="22"/>
          <w:bdr w:val="nil"/>
          <w:lang w:val="en-US"/>
        </w:rPr>
        <w:t>”</w:t>
      </w:r>
    </w:p>
    <w:p w14:paraId="5E461D8E" w14:textId="77777777" w:rsidR="00B90939" w:rsidRPr="002F28C0" w:rsidRDefault="00B90939" w:rsidP="00116BE7">
      <w:pPr>
        <w:pStyle w:val="Akapitzlist"/>
        <w:pBdr>
          <w:top w:val="nil"/>
          <w:left w:val="nil"/>
          <w:bottom w:val="nil"/>
          <w:right w:val="nil"/>
          <w:between w:val="nil"/>
        </w:pBdr>
        <w:spacing w:after="0" w:line="360" w:lineRule="auto"/>
        <w:ind w:left="567"/>
        <w:jc w:val="both"/>
        <w:rPr>
          <w:rFonts w:asciiTheme="minorHAnsi" w:eastAsia="Calibri" w:hAnsiTheme="minorHAnsi" w:cstheme="minorHAnsi"/>
          <w:bCs/>
          <w:sz w:val="22"/>
          <w:bdr w:val="nil"/>
          <w:lang w:val="en-US"/>
        </w:rPr>
      </w:pPr>
    </w:p>
    <w:p w14:paraId="637222E1" w14:textId="7C74D387" w:rsidR="00B90939" w:rsidRPr="002F28C0" w:rsidRDefault="00B90939" w:rsidP="00116BE7">
      <w:pPr>
        <w:pStyle w:val="Akapitzlist"/>
        <w:pBdr>
          <w:top w:val="nil"/>
          <w:left w:val="nil"/>
          <w:bottom w:val="nil"/>
          <w:right w:val="nil"/>
          <w:between w:val="nil"/>
        </w:pBdr>
        <w:spacing w:after="0" w:line="360" w:lineRule="auto"/>
        <w:ind w:left="567"/>
        <w:jc w:val="both"/>
        <w:rPr>
          <w:rFonts w:asciiTheme="minorHAnsi" w:eastAsia="Calibri" w:hAnsiTheme="minorHAnsi" w:cstheme="minorHAnsi"/>
          <w:bCs/>
          <w:sz w:val="22"/>
          <w:bdr w:val="nil"/>
        </w:rPr>
      </w:pPr>
      <w:r w:rsidRPr="002F28C0">
        <w:rPr>
          <w:rFonts w:asciiTheme="minorHAnsi" w:eastAsia="Calibri" w:hAnsiTheme="minorHAnsi" w:cstheme="minorHAnsi"/>
          <w:bCs/>
          <w:sz w:val="22"/>
          <w:bdr w:val="nil"/>
        </w:rPr>
        <w:t>W stosunku do spółek zależnych występują te same przyczyny braku zasadności ustalania beneficjentów rzeczywistych, jak w stosunku do spółek bezpośrednio notowanych na rynku regulowanym.</w:t>
      </w:r>
    </w:p>
    <w:p w14:paraId="31EF5547" w14:textId="77777777" w:rsidR="005304D9" w:rsidRPr="002F28C0" w:rsidRDefault="005304D9" w:rsidP="00116BE7">
      <w:pPr>
        <w:spacing w:line="360" w:lineRule="auto"/>
        <w:ind w:left="567"/>
        <w:jc w:val="both"/>
        <w:rPr>
          <w:rFonts w:asciiTheme="minorHAnsi" w:eastAsia="Georgia" w:hAnsiTheme="minorHAnsi" w:cstheme="minorHAnsi"/>
          <w:color w:val="000000"/>
          <w:sz w:val="22"/>
          <w:szCs w:val="22"/>
        </w:rPr>
      </w:pPr>
    </w:p>
    <w:p w14:paraId="7DA5E225" w14:textId="77777777" w:rsidR="005304D9" w:rsidRPr="002F28C0" w:rsidRDefault="005304D9" w:rsidP="00116BE7">
      <w:pPr>
        <w:tabs>
          <w:tab w:val="right" w:pos="10206"/>
        </w:tabs>
        <w:spacing w:line="360" w:lineRule="auto"/>
        <w:ind w:left="567" w:right="56"/>
        <w:jc w:val="both"/>
        <w:rPr>
          <w:rFonts w:asciiTheme="minorHAnsi" w:eastAsia="Calibri" w:hAnsiTheme="minorHAnsi" w:cstheme="minorHAnsi"/>
          <w:b/>
          <w:sz w:val="22"/>
          <w:szCs w:val="22"/>
          <w:bdr w:val="nil"/>
        </w:rPr>
      </w:pPr>
    </w:p>
    <w:p w14:paraId="7B653342" w14:textId="7F430D73" w:rsidR="001D2B69" w:rsidRPr="002D387B" w:rsidRDefault="0000002B" w:rsidP="00116BE7">
      <w:pPr>
        <w:tabs>
          <w:tab w:val="right" w:pos="10206"/>
        </w:tabs>
        <w:spacing w:line="360" w:lineRule="auto"/>
        <w:ind w:left="567" w:right="56"/>
        <w:jc w:val="both"/>
        <w:rPr>
          <w:rFonts w:asciiTheme="minorHAnsi" w:eastAsia="Calibri" w:hAnsiTheme="minorHAnsi" w:cstheme="minorHAnsi"/>
          <w:b/>
          <w:i/>
          <w:sz w:val="22"/>
          <w:szCs w:val="22"/>
          <w:bdr w:val="nil"/>
        </w:rPr>
      </w:pPr>
      <w:r w:rsidRPr="002D387B">
        <w:rPr>
          <w:rFonts w:asciiTheme="minorHAnsi" w:eastAsia="Calibri" w:hAnsiTheme="minorHAnsi" w:cstheme="minorHAnsi"/>
          <w:b/>
          <w:i/>
          <w:sz w:val="22"/>
          <w:szCs w:val="22"/>
          <w:bdr w:val="nil"/>
        </w:rPr>
        <w:t>Konfederacja Lewiatan</w:t>
      </w:r>
      <w:r w:rsidR="002D387B" w:rsidRPr="002D387B">
        <w:rPr>
          <w:rFonts w:asciiTheme="minorHAnsi" w:eastAsia="Calibri" w:hAnsiTheme="minorHAnsi" w:cstheme="minorHAnsi"/>
          <w:b/>
          <w:i/>
          <w:sz w:val="22"/>
          <w:szCs w:val="22"/>
          <w:bdr w:val="nil"/>
        </w:rPr>
        <w:t>, KL/61/40/AZ/2021</w:t>
      </w:r>
    </w:p>
    <w:sectPr w:rsidR="001D2B69" w:rsidRPr="002D387B" w:rsidSect="006C3D1D">
      <w:headerReference w:type="default" r:id="rId9"/>
      <w:footerReference w:type="default" r:id="rId10"/>
      <w:headerReference w:type="first" r:id="rId11"/>
      <w:footerReference w:type="first" r:id="rId12"/>
      <w:pgSz w:w="11906" w:h="16838" w:code="9"/>
      <w:pgMar w:top="851" w:right="992" w:bottom="1134" w:left="1134" w:header="0"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86D54" w14:textId="77777777" w:rsidR="0004747E" w:rsidRDefault="0004747E">
      <w:r>
        <w:separator/>
      </w:r>
    </w:p>
  </w:endnote>
  <w:endnote w:type="continuationSeparator" w:id="0">
    <w:p w14:paraId="69D50AA7" w14:textId="77777777" w:rsidR="0004747E" w:rsidRDefault="0004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7C032" w14:textId="77777777" w:rsidR="00912E45" w:rsidRPr="007D18EE" w:rsidRDefault="007D741A" w:rsidP="00912E45">
    <w:pPr>
      <w:pStyle w:val="Stopka"/>
      <w:jc w:val="right"/>
      <w:rPr>
        <w:rFonts w:ascii="Calibri" w:hAnsi="Calibri"/>
        <w:sz w:val="20"/>
        <w:szCs w:val="20"/>
      </w:rPr>
    </w:pPr>
    <w:r w:rsidRPr="007D18EE">
      <w:rPr>
        <w:rFonts w:ascii="Arial" w:hAnsi="Arial" w:cs="Arial"/>
        <w:noProof/>
        <w:sz w:val="14"/>
        <w:szCs w:val="14"/>
      </w:rPr>
      <w:drawing>
        <wp:inline distT="0" distB="0" distL="0" distR="0" wp14:anchorId="4F017CD9" wp14:editId="071F68E1">
          <wp:extent cx="1162050" cy="200025"/>
          <wp:effectExtent l="0" t="0" r="0" b="9525"/>
          <wp:docPr id="2" name="Obraz 1" desc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00025"/>
                  </a:xfrm>
                  <a:prstGeom prst="rect">
                    <a:avLst/>
                  </a:prstGeom>
                  <a:noFill/>
                  <a:ln>
                    <a:noFill/>
                  </a:ln>
                </pic:spPr>
              </pic:pic>
            </a:graphicData>
          </a:graphic>
        </wp:inline>
      </w:drawing>
    </w:r>
    <w:r w:rsidRPr="007D18EE">
      <w:rPr>
        <w:rFonts w:ascii="Arial" w:hAnsi="Arial" w:cs="Arial"/>
        <w:noProof/>
        <w:sz w:val="14"/>
        <w:szCs w:val="14"/>
      </w:rPr>
      <w:drawing>
        <wp:inline distT="0" distB="0" distL="0" distR="0" wp14:anchorId="5B0728B9" wp14:editId="3CB228C2">
          <wp:extent cx="5915025" cy="80962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5025" cy="809625"/>
                  </a:xfrm>
                  <a:prstGeom prst="rect">
                    <a:avLst/>
                  </a:prstGeom>
                  <a:noFill/>
                  <a:ln>
                    <a:noFill/>
                  </a:ln>
                </pic:spPr>
              </pic:pic>
            </a:graphicData>
          </a:graphic>
        </wp:inline>
      </w:drawing>
    </w:r>
  </w:p>
  <w:p w14:paraId="31751322" w14:textId="77777777" w:rsidR="00525BE4" w:rsidRPr="008D5B7E" w:rsidRDefault="00525BE4" w:rsidP="008D5B7E">
    <w:pPr>
      <w:pStyle w:val="Stopk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F11DC" w14:textId="16581BC9" w:rsidR="002F28C0" w:rsidRDefault="002F28C0" w:rsidP="002F28C0">
    <w:pPr>
      <w:pStyle w:val="Stopka"/>
      <w:tabs>
        <w:tab w:val="clear" w:pos="4536"/>
        <w:tab w:val="clear" w:pos="9072"/>
        <w:tab w:val="left" w:pos="4110"/>
      </w:tabs>
      <w:jc w:val="right"/>
    </w:pPr>
    <w:r>
      <w:tab/>
    </w:r>
    <w:r w:rsidRPr="007D18EE">
      <w:rPr>
        <w:rFonts w:ascii="Arial" w:hAnsi="Arial" w:cs="Arial"/>
        <w:noProof/>
        <w:sz w:val="14"/>
        <w:szCs w:val="14"/>
      </w:rPr>
      <w:drawing>
        <wp:inline distT="0" distB="0" distL="0" distR="0" wp14:anchorId="4D2EAAC9" wp14:editId="125AC6C6">
          <wp:extent cx="1162050" cy="200025"/>
          <wp:effectExtent l="0" t="0" r="0" b="9525"/>
          <wp:docPr id="6" name="Obraz 1" desc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00025"/>
                  </a:xfrm>
                  <a:prstGeom prst="rect">
                    <a:avLst/>
                  </a:prstGeom>
                  <a:noFill/>
                  <a:ln>
                    <a:noFill/>
                  </a:ln>
                </pic:spPr>
              </pic:pic>
            </a:graphicData>
          </a:graphic>
        </wp:inline>
      </w:drawing>
    </w:r>
    <w:r w:rsidRPr="007D18EE">
      <w:rPr>
        <w:rFonts w:ascii="Arial" w:hAnsi="Arial" w:cs="Arial"/>
        <w:noProof/>
        <w:sz w:val="14"/>
        <w:szCs w:val="14"/>
      </w:rPr>
      <w:drawing>
        <wp:inline distT="0" distB="0" distL="0" distR="0" wp14:anchorId="13097F2A" wp14:editId="6E601F2F">
          <wp:extent cx="5915025" cy="809625"/>
          <wp:effectExtent l="0" t="0" r="9525" b="9525"/>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5025" cy="809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3DC60" w14:textId="77777777" w:rsidR="0004747E" w:rsidRDefault="0004747E">
      <w:r>
        <w:separator/>
      </w:r>
    </w:p>
  </w:footnote>
  <w:footnote w:type="continuationSeparator" w:id="0">
    <w:p w14:paraId="49BBD188" w14:textId="77777777" w:rsidR="0004747E" w:rsidRDefault="0004747E">
      <w:r>
        <w:continuationSeparator/>
      </w:r>
    </w:p>
  </w:footnote>
  <w:footnote w:id="1">
    <w:p w14:paraId="4C0E8D7B" w14:textId="77777777" w:rsidR="00B90939" w:rsidRDefault="00B90939" w:rsidP="00B90939">
      <w:pPr>
        <w:pStyle w:val="ODNONIKtreodnonika"/>
      </w:pPr>
      <w:r>
        <w:rPr>
          <w:rStyle w:val="Odwoanieprzypisudolnego"/>
        </w:rPr>
        <w:footnoteRef/>
      </w:r>
      <w:r w:rsidRPr="00445380">
        <w:rPr>
          <w:rStyle w:val="IGindeksgrny"/>
        </w:rPr>
        <w:t>)</w:t>
      </w:r>
      <w:r>
        <w:t xml:space="preserve"> </w:t>
      </w:r>
      <w:r>
        <w:tab/>
        <w:t>Zmiany tekstu jednolitego wymienionej ustawy</w:t>
      </w:r>
      <w:r w:rsidRPr="00E1284A">
        <w:t xml:space="preserve"> zostały ogłoszone w </w:t>
      </w:r>
      <w:r w:rsidRPr="008D2CF5">
        <w:t>Dz</w:t>
      </w:r>
      <w:r>
        <w:t>. U. z 2019 r. poz.</w:t>
      </w:r>
      <w:r w:rsidRPr="0003273C">
        <w:t xml:space="preserve"> 1495, 1571, 1655 i 1680 oraz z 2020 r. poz. 568, 2122 i 2123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A2B93" w14:textId="77777777" w:rsidR="00BB0F9A" w:rsidRDefault="008D5B7E" w:rsidP="008D5B7E">
    <w:pPr>
      <w:pStyle w:val="Nagwek"/>
      <w:tabs>
        <w:tab w:val="clear" w:pos="4536"/>
        <w:tab w:val="clear" w:pos="9072"/>
        <w:tab w:val="right" w:pos="10686"/>
      </w:tabs>
      <w:ind w:right="-140" w:hanging="142"/>
      <w:jc w:val="center"/>
    </w:pPr>
    <w:r>
      <w:t xml:space="preserve">                                                                                                                                            </w:t>
    </w:r>
  </w:p>
  <w:p w14:paraId="03E69EBE" w14:textId="4A812756" w:rsidR="008D5B7E" w:rsidRDefault="008D5B7E" w:rsidP="00711C38">
    <w:pPr>
      <w:pStyle w:val="Nagwek"/>
      <w:tabs>
        <w:tab w:val="clear" w:pos="4536"/>
        <w:tab w:val="clear" w:pos="9072"/>
        <w:tab w:val="right" w:pos="10686"/>
      </w:tabs>
      <w:ind w:right="-140" w:hanging="142"/>
    </w:pPr>
  </w:p>
  <w:p w14:paraId="4164878F" w14:textId="57CEF39E" w:rsidR="00635012" w:rsidRDefault="002F28C0" w:rsidP="00711C38">
    <w:pPr>
      <w:pStyle w:val="Nagwek"/>
      <w:tabs>
        <w:tab w:val="clear" w:pos="4536"/>
        <w:tab w:val="clear" w:pos="9072"/>
        <w:tab w:val="right" w:pos="10686"/>
      </w:tabs>
      <w:ind w:right="-140" w:hanging="142"/>
    </w:pPr>
    <w:r w:rsidRPr="00E71B7C">
      <w:rPr>
        <w:noProof/>
      </w:rPr>
      <w:drawing>
        <wp:anchor distT="0" distB="0" distL="114300" distR="114300" simplePos="0" relativeHeight="251660288" behindDoc="0" locked="0" layoutInCell="1" allowOverlap="1" wp14:anchorId="4D68ECAD" wp14:editId="4E6D395C">
          <wp:simplePos x="0" y="0"/>
          <wp:positionH relativeFrom="column">
            <wp:posOffset>346710</wp:posOffset>
          </wp:positionH>
          <wp:positionV relativeFrom="paragraph">
            <wp:posOffset>20955</wp:posOffset>
          </wp:positionV>
          <wp:extent cx="714375" cy="933450"/>
          <wp:effectExtent l="0" t="0" r="0" b="0"/>
          <wp:wrapTopAndBottom/>
          <wp:docPr id="3" name="Obraz 13" descr="Papier_Lewiatan_1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Papier_Lewiatan_10_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933450"/>
                  </a:xfrm>
                  <a:prstGeom prst="rect">
                    <a:avLst/>
                  </a:prstGeom>
                  <a:noFill/>
                  <a:ln>
                    <a:noFill/>
                  </a:ln>
                </pic:spPr>
              </pic:pic>
            </a:graphicData>
          </a:graphic>
        </wp:anchor>
      </w:drawing>
    </w:r>
  </w:p>
  <w:tbl>
    <w:tblPr>
      <w:tblW w:w="9639" w:type="dxa"/>
      <w:tblInd w:w="426" w:type="dxa"/>
      <w:tblBorders>
        <w:bottom w:val="single" w:sz="8" w:space="0" w:color="00B0F0"/>
      </w:tblBorders>
      <w:tblLook w:val="04A0" w:firstRow="1" w:lastRow="0" w:firstColumn="1" w:lastColumn="0" w:noHBand="0" w:noVBand="1"/>
    </w:tblPr>
    <w:tblGrid>
      <w:gridCol w:w="3618"/>
      <w:gridCol w:w="6021"/>
    </w:tblGrid>
    <w:tr w:rsidR="008D5B7E" w14:paraId="0D925A80" w14:textId="77777777" w:rsidTr="007D18EE">
      <w:tc>
        <w:tcPr>
          <w:tcW w:w="3618" w:type="dxa"/>
          <w:tcBorders>
            <w:bottom w:val="nil"/>
          </w:tcBorders>
          <w:shd w:val="clear" w:color="auto" w:fill="auto"/>
        </w:tcPr>
        <w:p w14:paraId="48B15D0E" w14:textId="77777777" w:rsidR="008D5B7E" w:rsidRDefault="008D5B7E" w:rsidP="007D18EE">
          <w:pPr>
            <w:pStyle w:val="Nagwek"/>
            <w:tabs>
              <w:tab w:val="clear" w:pos="4536"/>
              <w:tab w:val="clear" w:pos="9072"/>
              <w:tab w:val="right" w:pos="10686"/>
            </w:tabs>
            <w:ind w:right="-140"/>
          </w:pPr>
        </w:p>
      </w:tc>
      <w:tc>
        <w:tcPr>
          <w:tcW w:w="6021" w:type="dxa"/>
          <w:tcBorders>
            <w:bottom w:val="nil"/>
          </w:tcBorders>
          <w:shd w:val="clear" w:color="auto" w:fill="auto"/>
        </w:tcPr>
        <w:p w14:paraId="574BAF56" w14:textId="77777777" w:rsidR="008D5B7E" w:rsidRDefault="008D5B7E" w:rsidP="007D18EE">
          <w:pPr>
            <w:pStyle w:val="Nagwek"/>
            <w:tabs>
              <w:tab w:val="clear" w:pos="4536"/>
              <w:tab w:val="clear" w:pos="9072"/>
              <w:tab w:val="right" w:pos="10686"/>
            </w:tabs>
            <w:ind w:right="-140"/>
            <w:jc w:val="right"/>
          </w:pPr>
        </w:p>
      </w:tc>
    </w:tr>
  </w:tbl>
  <w:p w14:paraId="32F90B8E" w14:textId="77777777" w:rsidR="002F28C0" w:rsidRPr="00C80C61" w:rsidRDefault="002F28C0" w:rsidP="00711C38">
    <w:pPr>
      <w:pStyle w:val="Nagwek"/>
      <w:tabs>
        <w:tab w:val="clear" w:pos="4536"/>
        <w:tab w:val="clear" w:pos="9072"/>
        <w:tab w:val="right" w:pos="10686"/>
      </w:tabs>
      <w:ind w:right="-140" w:hanging="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B3FC5" w14:textId="77777777" w:rsidR="002C2187" w:rsidRDefault="002C2187">
    <w:pPr>
      <w:pStyle w:val="Nagwek"/>
      <w:rPr>
        <w:noProof/>
      </w:rPr>
    </w:pPr>
  </w:p>
  <w:p w14:paraId="46AA1E71" w14:textId="77777777" w:rsidR="002C2187" w:rsidRDefault="002C2187">
    <w:pPr>
      <w:pStyle w:val="Nagwek"/>
      <w:rPr>
        <w:noProof/>
      </w:rPr>
    </w:pPr>
  </w:p>
  <w:p w14:paraId="075E9F89" w14:textId="77777777" w:rsidR="002C2187" w:rsidRDefault="002C2187">
    <w:pPr>
      <w:pStyle w:val="Nagwek"/>
      <w:rPr>
        <w:noProof/>
      </w:rPr>
    </w:pPr>
  </w:p>
  <w:p w14:paraId="541AED03" w14:textId="77777777" w:rsidR="002C2187" w:rsidRDefault="002C2187">
    <w:pPr>
      <w:pStyle w:val="Nagwek"/>
    </w:pPr>
    <w:r>
      <w:rPr>
        <w:noProof/>
      </w:rPr>
      <w:t xml:space="preserve">         </w:t>
    </w:r>
    <w:r w:rsidRPr="00E71B7C">
      <w:rPr>
        <w:noProof/>
      </w:rPr>
      <w:drawing>
        <wp:inline distT="0" distB="0" distL="0" distR="0" wp14:anchorId="19D2755E" wp14:editId="39ED574A">
          <wp:extent cx="714375" cy="933450"/>
          <wp:effectExtent l="0" t="0" r="9525" b="0"/>
          <wp:docPr id="4" name="Obraz 13" descr="Papier_Lewiatan_1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Papier_Lewiatan_10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D2D"/>
    <w:multiLevelType w:val="hybridMultilevel"/>
    <w:tmpl w:val="10A4ACE4"/>
    <w:lvl w:ilvl="0" w:tplc="F9EEB2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4E57A06"/>
    <w:multiLevelType w:val="hybridMultilevel"/>
    <w:tmpl w:val="4B8A6EB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2C671F"/>
    <w:multiLevelType w:val="hybridMultilevel"/>
    <w:tmpl w:val="C62AE2A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8CB0296"/>
    <w:multiLevelType w:val="hybridMultilevel"/>
    <w:tmpl w:val="0A3E559E"/>
    <w:lvl w:ilvl="0" w:tplc="FE883C12">
      <w:start w:val="1"/>
      <w:numFmt w:val="lowerLetter"/>
      <w:lvlText w:val="%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D800E58"/>
    <w:multiLevelType w:val="hybridMultilevel"/>
    <w:tmpl w:val="275EC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9E77C0"/>
    <w:multiLevelType w:val="hybridMultilevel"/>
    <w:tmpl w:val="A7448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57258"/>
    <w:multiLevelType w:val="hybridMultilevel"/>
    <w:tmpl w:val="E02C96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D34DD"/>
    <w:multiLevelType w:val="hybridMultilevel"/>
    <w:tmpl w:val="8B6AE17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3D755FB"/>
    <w:multiLevelType w:val="hybridMultilevel"/>
    <w:tmpl w:val="92903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673148"/>
    <w:multiLevelType w:val="hybridMultilevel"/>
    <w:tmpl w:val="BC6612D8"/>
    <w:lvl w:ilvl="0" w:tplc="0415000B">
      <w:start w:val="1"/>
      <w:numFmt w:val="bullet"/>
      <w:lvlText w:val=""/>
      <w:lvlJc w:val="left"/>
      <w:pPr>
        <w:ind w:left="770" w:hanging="360"/>
      </w:pPr>
      <w:rPr>
        <w:rFonts w:ascii="Wingdings" w:hAnsi="Wingdings" w:cs="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cs="Wingdings" w:hint="default"/>
      </w:rPr>
    </w:lvl>
    <w:lvl w:ilvl="3" w:tplc="04150001" w:tentative="1">
      <w:start w:val="1"/>
      <w:numFmt w:val="bullet"/>
      <w:lvlText w:val=""/>
      <w:lvlJc w:val="left"/>
      <w:pPr>
        <w:ind w:left="2930" w:hanging="360"/>
      </w:pPr>
      <w:rPr>
        <w:rFonts w:ascii="Symbol" w:hAnsi="Symbol" w:cs="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cs="Wingdings" w:hint="default"/>
      </w:rPr>
    </w:lvl>
    <w:lvl w:ilvl="6" w:tplc="04150001" w:tentative="1">
      <w:start w:val="1"/>
      <w:numFmt w:val="bullet"/>
      <w:lvlText w:val=""/>
      <w:lvlJc w:val="left"/>
      <w:pPr>
        <w:ind w:left="5090" w:hanging="360"/>
      </w:pPr>
      <w:rPr>
        <w:rFonts w:ascii="Symbol" w:hAnsi="Symbol" w:cs="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cs="Wingdings" w:hint="default"/>
      </w:rPr>
    </w:lvl>
  </w:abstractNum>
  <w:abstractNum w:abstractNumId="10" w15:restartNumberingAfterBreak="0">
    <w:nsid w:val="16AF7CD0"/>
    <w:multiLevelType w:val="hybridMultilevel"/>
    <w:tmpl w:val="24FAF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0E1C53"/>
    <w:multiLevelType w:val="hybridMultilevel"/>
    <w:tmpl w:val="9E4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F0139"/>
    <w:multiLevelType w:val="hybridMultilevel"/>
    <w:tmpl w:val="D1181098"/>
    <w:lvl w:ilvl="0" w:tplc="01AA40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6DF7117"/>
    <w:multiLevelType w:val="hybridMultilevel"/>
    <w:tmpl w:val="0AFA8B0C"/>
    <w:lvl w:ilvl="0" w:tplc="E19E08C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76330"/>
    <w:multiLevelType w:val="hybridMultilevel"/>
    <w:tmpl w:val="6DCCB53E"/>
    <w:lvl w:ilvl="0" w:tplc="3E2EC01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E0B05C2"/>
    <w:multiLevelType w:val="hybridMultilevel"/>
    <w:tmpl w:val="1AD83DC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0B84934"/>
    <w:multiLevelType w:val="hybridMultilevel"/>
    <w:tmpl w:val="1A5CC4E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B8B150E"/>
    <w:multiLevelType w:val="hybridMultilevel"/>
    <w:tmpl w:val="C25E3AA8"/>
    <w:lvl w:ilvl="0" w:tplc="0415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43A2D"/>
    <w:multiLevelType w:val="hybridMultilevel"/>
    <w:tmpl w:val="394EC7EA"/>
    <w:lvl w:ilvl="0" w:tplc="B3B81CE2">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9" w15:restartNumberingAfterBreak="0">
    <w:nsid w:val="4363643A"/>
    <w:multiLevelType w:val="hybridMultilevel"/>
    <w:tmpl w:val="C6F2D7B0"/>
    <w:lvl w:ilvl="0" w:tplc="3C841F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407045A"/>
    <w:multiLevelType w:val="hybridMultilevel"/>
    <w:tmpl w:val="946EC32C"/>
    <w:lvl w:ilvl="0" w:tplc="084EDC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F0BB4"/>
    <w:multiLevelType w:val="hybridMultilevel"/>
    <w:tmpl w:val="58506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F4276B"/>
    <w:multiLevelType w:val="hybridMultilevel"/>
    <w:tmpl w:val="C83A0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C337B3"/>
    <w:multiLevelType w:val="hybridMultilevel"/>
    <w:tmpl w:val="10DA01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6B641D7"/>
    <w:multiLevelType w:val="multilevel"/>
    <w:tmpl w:val="3B709E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631BAE"/>
    <w:multiLevelType w:val="hybridMultilevel"/>
    <w:tmpl w:val="3C3A1130"/>
    <w:lvl w:ilvl="0" w:tplc="B3B81C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9DC0C56"/>
    <w:multiLevelType w:val="hybridMultilevel"/>
    <w:tmpl w:val="23EC5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8F5905"/>
    <w:multiLevelType w:val="hybridMultilevel"/>
    <w:tmpl w:val="BB4A7C62"/>
    <w:lvl w:ilvl="0" w:tplc="46C44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2E5B41"/>
    <w:multiLevelType w:val="hybridMultilevel"/>
    <w:tmpl w:val="BF7A25EC"/>
    <w:lvl w:ilvl="0" w:tplc="B3E27AB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63631795"/>
    <w:multiLevelType w:val="hybridMultilevel"/>
    <w:tmpl w:val="376C906A"/>
    <w:lvl w:ilvl="0" w:tplc="332469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65C91519"/>
    <w:multiLevelType w:val="hybridMultilevel"/>
    <w:tmpl w:val="88D0126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99A7D73"/>
    <w:multiLevelType w:val="hybridMultilevel"/>
    <w:tmpl w:val="DEDAD6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9A822CB"/>
    <w:multiLevelType w:val="hybridMultilevel"/>
    <w:tmpl w:val="02109450"/>
    <w:lvl w:ilvl="0" w:tplc="496E7B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69178D"/>
    <w:multiLevelType w:val="multilevel"/>
    <w:tmpl w:val="8DFEB84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722E48"/>
    <w:multiLevelType w:val="hybridMultilevel"/>
    <w:tmpl w:val="973429F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6F7938B9"/>
    <w:multiLevelType w:val="hybridMultilevel"/>
    <w:tmpl w:val="AE64A288"/>
    <w:lvl w:ilvl="0" w:tplc="B3B81CE2">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6" w15:restartNumberingAfterBreak="0">
    <w:nsid w:val="72F20E24"/>
    <w:multiLevelType w:val="hybridMultilevel"/>
    <w:tmpl w:val="336C0B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35140F3"/>
    <w:multiLevelType w:val="hybridMultilevel"/>
    <w:tmpl w:val="56BCF7A2"/>
    <w:lvl w:ilvl="0" w:tplc="B0682E4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73E32E81"/>
    <w:multiLevelType w:val="hybridMultilevel"/>
    <w:tmpl w:val="A998D63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74E12B7C"/>
    <w:multiLevelType w:val="hybridMultilevel"/>
    <w:tmpl w:val="88549F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D85B1B"/>
    <w:multiLevelType w:val="hybridMultilevel"/>
    <w:tmpl w:val="2C3C7B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AE35A2"/>
    <w:multiLevelType w:val="hybridMultilevel"/>
    <w:tmpl w:val="63F2C9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D9E6DAE"/>
    <w:multiLevelType w:val="hybridMultilevel"/>
    <w:tmpl w:val="0DEA3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DCB29BF"/>
    <w:multiLevelType w:val="hybridMultilevel"/>
    <w:tmpl w:val="721ABB62"/>
    <w:lvl w:ilvl="0" w:tplc="3E661A5E">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E151F0"/>
    <w:multiLevelType w:val="hybridMultilevel"/>
    <w:tmpl w:val="DAB4E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D31EC0"/>
    <w:multiLevelType w:val="hybridMultilevel"/>
    <w:tmpl w:val="D98451B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7"/>
  </w:num>
  <w:num w:numId="2">
    <w:abstractNumId w:val="20"/>
  </w:num>
  <w:num w:numId="3">
    <w:abstractNumId w:val="7"/>
  </w:num>
  <w:num w:numId="4">
    <w:abstractNumId w:val="39"/>
  </w:num>
  <w:num w:numId="5">
    <w:abstractNumId w:val="11"/>
  </w:num>
  <w:num w:numId="6">
    <w:abstractNumId w:val="34"/>
  </w:num>
  <w:num w:numId="7">
    <w:abstractNumId w:val="30"/>
  </w:num>
  <w:num w:numId="8">
    <w:abstractNumId w:val="2"/>
  </w:num>
  <w:num w:numId="9">
    <w:abstractNumId w:val="45"/>
  </w:num>
  <w:num w:numId="10">
    <w:abstractNumId w:val="15"/>
  </w:num>
  <w:num w:numId="11">
    <w:abstractNumId w:val="0"/>
  </w:num>
  <w:num w:numId="12">
    <w:abstractNumId w:val="3"/>
  </w:num>
  <w:num w:numId="13">
    <w:abstractNumId w:val="38"/>
  </w:num>
  <w:num w:numId="14">
    <w:abstractNumId w:val="6"/>
  </w:num>
  <w:num w:numId="15">
    <w:abstractNumId w:val="19"/>
  </w:num>
  <w:num w:numId="16">
    <w:abstractNumId w:val="28"/>
  </w:num>
  <w:num w:numId="17">
    <w:abstractNumId w:val="4"/>
  </w:num>
  <w:num w:numId="18">
    <w:abstractNumId w:val="22"/>
  </w:num>
  <w:num w:numId="19">
    <w:abstractNumId w:val="29"/>
  </w:num>
  <w:num w:numId="20">
    <w:abstractNumId w:val="18"/>
  </w:num>
  <w:num w:numId="21">
    <w:abstractNumId w:val="27"/>
  </w:num>
  <w:num w:numId="22">
    <w:abstractNumId w:val="25"/>
  </w:num>
  <w:num w:numId="23">
    <w:abstractNumId w:val="35"/>
  </w:num>
  <w:num w:numId="24">
    <w:abstractNumId w:val="14"/>
  </w:num>
  <w:num w:numId="25">
    <w:abstractNumId w:val="44"/>
  </w:num>
  <w:num w:numId="26">
    <w:abstractNumId w:val="26"/>
  </w:num>
  <w:num w:numId="27">
    <w:abstractNumId w:val="23"/>
  </w:num>
  <w:num w:numId="28">
    <w:abstractNumId w:val="40"/>
  </w:num>
  <w:num w:numId="29">
    <w:abstractNumId w:val="33"/>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6"/>
  </w:num>
  <w:num w:numId="34">
    <w:abstractNumId w:val="21"/>
  </w:num>
  <w:num w:numId="35">
    <w:abstractNumId w:val="36"/>
  </w:num>
  <w:num w:numId="36">
    <w:abstractNumId w:val="32"/>
  </w:num>
  <w:num w:numId="37">
    <w:abstractNumId w:val="9"/>
  </w:num>
  <w:num w:numId="38">
    <w:abstractNumId w:val="42"/>
  </w:num>
  <w:num w:numId="39">
    <w:abstractNumId w:val="13"/>
  </w:num>
  <w:num w:numId="40">
    <w:abstractNumId w:val="8"/>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43"/>
  </w:num>
  <w:num w:numId="45">
    <w:abstractNumId w:val="2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o:colormru v:ext="edit" colors="#5b5b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9D"/>
    <w:rsid w:val="0000002B"/>
    <w:rsid w:val="00002540"/>
    <w:rsid w:val="00004409"/>
    <w:rsid w:val="00010DA8"/>
    <w:rsid w:val="00010EFB"/>
    <w:rsid w:val="000430F5"/>
    <w:rsid w:val="00044AE9"/>
    <w:rsid w:val="0004747E"/>
    <w:rsid w:val="000562D7"/>
    <w:rsid w:val="00070402"/>
    <w:rsid w:val="000704B0"/>
    <w:rsid w:val="00080BB8"/>
    <w:rsid w:val="00081524"/>
    <w:rsid w:val="00093629"/>
    <w:rsid w:val="000B5368"/>
    <w:rsid w:val="000B5F17"/>
    <w:rsid w:val="000C5695"/>
    <w:rsid w:val="000D75F0"/>
    <w:rsid w:val="000F6BE6"/>
    <w:rsid w:val="001106AA"/>
    <w:rsid w:val="001121AF"/>
    <w:rsid w:val="00112453"/>
    <w:rsid w:val="00116BE7"/>
    <w:rsid w:val="00126755"/>
    <w:rsid w:val="0013087A"/>
    <w:rsid w:val="001547D9"/>
    <w:rsid w:val="00156D35"/>
    <w:rsid w:val="001730AD"/>
    <w:rsid w:val="00174F74"/>
    <w:rsid w:val="00186DA3"/>
    <w:rsid w:val="00190835"/>
    <w:rsid w:val="001956B2"/>
    <w:rsid w:val="001B22A6"/>
    <w:rsid w:val="001B2703"/>
    <w:rsid w:val="001B5468"/>
    <w:rsid w:val="001B6D27"/>
    <w:rsid w:val="001C0A05"/>
    <w:rsid w:val="001D21E4"/>
    <w:rsid w:val="001D2B69"/>
    <w:rsid w:val="001D720D"/>
    <w:rsid w:val="001F0FAE"/>
    <w:rsid w:val="001F5BFC"/>
    <w:rsid w:val="001F7A28"/>
    <w:rsid w:val="00201FE4"/>
    <w:rsid w:val="00203791"/>
    <w:rsid w:val="00211BB0"/>
    <w:rsid w:val="002145B9"/>
    <w:rsid w:val="002201F6"/>
    <w:rsid w:val="0024789C"/>
    <w:rsid w:val="00265EC1"/>
    <w:rsid w:val="00272F60"/>
    <w:rsid w:val="0027569E"/>
    <w:rsid w:val="00283C3A"/>
    <w:rsid w:val="00284B3F"/>
    <w:rsid w:val="002860E6"/>
    <w:rsid w:val="002A0FC7"/>
    <w:rsid w:val="002A4DD7"/>
    <w:rsid w:val="002B4C3E"/>
    <w:rsid w:val="002B50A7"/>
    <w:rsid w:val="002B7CB9"/>
    <w:rsid w:val="002C2187"/>
    <w:rsid w:val="002D387B"/>
    <w:rsid w:val="002E1190"/>
    <w:rsid w:val="002F28C0"/>
    <w:rsid w:val="002F4D32"/>
    <w:rsid w:val="002F71B1"/>
    <w:rsid w:val="00301A58"/>
    <w:rsid w:val="00302E98"/>
    <w:rsid w:val="00304DD3"/>
    <w:rsid w:val="00307120"/>
    <w:rsid w:val="0031132F"/>
    <w:rsid w:val="003166D1"/>
    <w:rsid w:val="0033172F"/>
    <w:rsid w:val="0033233D"/>
    <w:rsid w:val="00345484"/>
    <w:rsid w:val="00371866"/>
    <w:rsid w:val="00377539"/>
    <w:rsid w:val="00387BCD"/>
    <w:rsid w:val="00392B53"/>
    <w:rsid w:val="00395098"/>
    <w:rsid w:val="003976DB"/>
    <w:rsid w:val="003A42AC"/>
    <w:rsid w:val="003B4634"/>
    <w:rsid w:val="003B4FEC"/>
    <w:rsid w:val="003C0432"/>
    <w:rsid w:val="003D4279"/>
    <w:rsid w:val="00400DA5"/>
    <w:rsid w:val="00402008"/>
    <w:rsid w:val="00403ADA"/>
    <w:rsid w:val="0040511A"/>
    <w:rsid w:val="00415D32"/>
    <w:rsid w:val="00420740"/>
    <w:rsid w:val="00421F00"/>
    <w:rsid w:val="00433728"/>
    <w:rsid w:val="00452146"/>
    <w:rsid w:val="0045234E"/>
    <w:rsid w:val="00461AFE"/>
    <w:rsid w:val="00467024"/>
    <w:rsid w:val="00477521"/>
    <w:rsid w:val="00477611"/>
    <w:rsid w:val="00494536"/>
    <w:rsid w:val="004B4F79"/>
    <w:rsid w:val="004C201A"/>
    <w:rsid w:val="004C3CC2"/>
    <w:rsid w:val="004C603E"/>
    <w:rsid w:val="004C664F"/>
    <w:rsid w:val="004C7814"/>
    <w:rsid w:val="004D4AB6"/>
    <w:rsid w:val="004D4C87"/>
    <w:rsid w:val="004E409C"/>
    <w:rsid w:val="005072D4"/>
    <w:rsid w:val="0051065D"/>
    <w:rsid w:val="00511AF9"/>
    <w:rsid w:val="005127B1"/>
    <w:rsid w:val="0051332F"/>
    <w:rsid w:val="00522DFF"/>
    <w:rsid w:val="005232C6"/>
    <w:rsid w:val="00524470"/>
    <w:rsid w:val="00525BE4"/>
    <w:rsid w:val="0052673B"/>
    <w:rsid w:val="00526807"/>
    <w:rsid w:val="005304D9"/>
    <w:rsid w:val="00532959"/>
    <w:rsid w:val="005339B0"/>
    <w:rsid w:val="00534EDB"/>
    <w:rsid w:val="0055384D"/>
    <w:rsid w:val="00561DB4"/>
    <w:rsid w:val="0057613C"/>
    <w:rsid w:val="00576998"/>
    <w:rsid w:val="005B227A"/>
    <w:rsid w:val="005B260C"/>
    <w:rsid w:val="005B6853"/>
    <w:rsid w:val="005C3A68"/>
    <w:rsid w:val="005C6BDF"/>
    <w:rsid w:val="005C73F8"/>
    <w:rsid w:val="005D304E"/>
    <w:rsid w:val="005E1A94"/>
    <w:rsid w:val="005F15A8"/>
    <w:rsid w:val="00605AC1"/>
    <w:rsid w:val="006068BF"/>
    <w:rsid w:val="00607C0A"/>
    <w:rsid w:val="00615BA0"/>
    <w:rsid w:val="00615F60"/>
    <w:rsid w:val="00620E36"/>
    <w:rsid w:val="006255E5"/>
    <w:rsid w:val="00635012"/>
    <w:rsid w:val="0063609B"/>
    <w:rsid w:val="0064415A"/>
    <w:rsid w:val="006557CA"/>
    <w:rsid w:val="00660BBC"/>
    <w:rsid w:val="00667230"/>
    <w:rsid w:val="00671EAA"/>
    <w:rsid w:val="00674386"/>
    <w:rsid w:val="00674724"/>
    <w:rsid w:val="00680E6C"/>
    <w:rsid w:val="006A5356"/>
    <w:rsid w:val="006A7776"/>
    <w:rsid w:val="006C3D1D"/>
    <w:rsid w:val="006C455A"/>
    <w:rsid w:val="006D2C4D"/>
    <w:rsid w:val="006D625F"/>
    <w:rsid w:val="006D7144"/>
    <w:rsid w:val="006F5225"/>
    <w:rsid w:val="00704EC3"/>
    <w:rsid w:val="00711C38"/>
    <w:rsid w:val="00715CF2"/>
    <w:rsid w:val="0072064C"/>
    <w:rsid w:val="007223CB"/>
    <w:rsid w:val="00723D50"/>
    <w:rsid w:val="007255C5"/>
    <w:rsid w:val="00725E89"/>
    <w:rsid w:val="007278A8"/>
    <w:rsid w:val="00733A12"/>
    <w:rsid w:val="00734DF2"/>
    <w:rsid w:val="007357CB"/>
    <w:rsid w:val="00735A00"/>
    <w:rsid w:val="00744B56"/>
    <w:rsid w:val="007568CA"/>
    <w:rsid w:val="007642C8"/>
    <w:rsid w:val="00766AF2"/>
    <w:rsid w:val="00776141"/>
    <w:rsid w:val="00780D2A"/>
    <w:rsid w:val="00782406"/>
    <w:rsid w:val="00785750"/>
    <w:rsid w:val="00796C06"/>
    <w:rsid w:val="007976F0"/>
    <w:rsid w:val="007A4B44"/>
    <w:rsid w:val="007B51AA"/>
    <w:rsid w:val="007B536A"/>
    <w:rsid w:val="007C1B9C"/>
    <w:rsid w:val="007D0861"/>
    <w:rsid w:val="007D18EE"/>
    <w:rsid w:val="007D741A"/>
    <w:rsid w:val="007D7E84"/>
    <w:rsid w:val="007F352E"/>
    <w:rsid w:val="007F5546"/>
    <w:rsid w:val="007F6AF1"/>
    <w:rsid w:val="007F75E9"/>
    <w:rsid w:val="0081645A"/>
    <w:rsid w:val="00821B14"/>
    <w:rsid w:val="00825321"/>
    <w:rsid w:val="00831A3E"/>
    <w:rsid w:val="0085182A"/>
    <w:rsid w:val="008525ED"/>
    <w:rsid w:val="00860E1B"/>
    <w:rsid w:val="008705DC"/>
    <w:rsid w:val="0087586D"/>
    <w:rsid w:val="008823A8"/>
    <w:rsid w:val="008939BB"/>
    <w:rsid w:val="008A0C75"/>
    <w:rsid w:val="008A1ECC"/>
    <w:rsid w:val="008B7DF5"/>
    <w:rsid w:val="008C0685"/>
    <w:rsid w:val="008C0B13"/>
    <w:rsid w:val="008D3D3C"/>
    <w:rsid w:val="008D5B7E"/>
    <w:rsid w:val="008E577F"/>
    <w:rsid w:val="008E5882"/>
    <w:rsid w:val="00906BDC"/>
    <w:rsid w:val="0091044D"/>
    <w:rsid w:val="009113DD"/>
    <w:rsid w:val="00912E45"/>
    <w:rsid w:val="00924557"/>
    <w:rsid w:val="00943A21"/>
    <w:rsid w:val="00945EC2"/>
    <w:rsid w:val="00946BD5"/>
    <w:rsid w:val="009472D2"/>
    <w:rsid w:val="009826F2"/>
    <w:rsid w:val="0099223C"/>
    <w:rsid w:val="009939F3"/>
    <w:rsid w:val="009956E6"/>
    <w:rsid w:val="00997A7C"/>
    <w:rsid w:val="009A32FC"/>
    <w:rsid w:val="009B62EF"/>
    <w:rsid w:val="009C4405"/>
    <w:rsid w:val="009D31F7"/>
    <w:rsid w:val="009E28EF"/>
    <w:rsid w:val="009E3C98"/>
    <w:rsid w:val="009E5170"/>
    <w:rsid w:val="009E6CBE"/>
    <w:rsid w:val="009F251A"/>
    <w:rsid w:val="009F47B7"/>
    <w:rsid w:val="00A041F3"/>
    <w:rsid w:val="00A10854"/>
    <w:rsid w:val="00A20E9C"/>
    <w:rsid w:val="00A27F31"/>
    <w:rsid w:val="00A34FAD"/>
    <w:rsid w:val="00A4457C"/>
    <w:rsid w:val="00A5207F"/>
    <w:rsid w:val="00A55263"/>
    <w:rsid w:val="00A60B5E"/>
    <w:rsid w:val="00A64762"/>
    <w:rsid w:val="00A67CF3"/>
    <w:rsid w:val="00A67D4C"/>
    <w:rsid w:val="00A7505C"/>
    <w:rsid w:val="00AA7BC9"/>
    <w:rsid w:val="00AB1BAB"/>
    <w:rsid w:val="00AB1C86"/>
    <w:rsid w:val="00AB262F"/>
    <w:rsid w:val="00AC04C6"/>
    <w:rsid w:val="00AE10CD"/>
    <w:rsid w:val="00AF2218"/>
    <w:rsid w:val="00AF2657"/>
    <w:rsid w:val="00B009EE"/>
    <w:rsid w:val="00B00A0A"/>
    <w:rsid w:val="00B01457"/>
    <w:rsid w:val="00B02B18"/>
    <w:rsid w:val="00B0495A"/>
    <w:rsid w:val="00B241F1"/>
    <w:rsid w:val="00B34879"/>
    <w:rsid w:val="00B603AD"/>
    <w:rsid w:val="00B61C15"/>
    <w:rsid w:val="00B7657B"/>
    <w:rsid w:val="00B90939"/>
    <w:rsid w:val="00BA1920"/>
    <w:rsid w:val="00BB0F9A"/>
    <w:rsid w:val="00BB7989"/>
    <w:rsid w:val="00BD1F26"/>
    <w:rsid w:val="00BD2E9C"/>
    <w:rsid w:val="00BE5800"/>
    <w:rsid w:val="00BF17BD"/>
    <w:rsid w:val="00BF1F0D"/>
    <w:rsid w:val="00BF455E"/>
    <w:rsid w:val="00BF7127"/>
    <w:rsid w:val="00C00BA9"/>
    <w:rsid w:val="00C15CA1"/>
    <w:rsid w:val="00C207ED"/>
    <w:rsid w:val="00C2436D"/>
    <w:rsid w:val="00C31EFB"/>
    <w:rsid w:val="00C34257"/>
    <w:rsid w:val="00C4451E"/>
    <w:rsid w:val="00C62CB4"/>
    <w:rsid w:val="00C63F11"/>
    <w:rsid w:val="00C6643B"/>
    <w:rsid w:val="00C66601"/>
    <w:rsid w:val="00C80388"/>
    <w:rsid w:val="00C80C61"/>
    <w:rsid w:val="00C876F4"/>
    <w:rsid w:val="00C877CF"/>
    <w:rsid w:val="00C94526"/>
    <w:rsid w:val="00CC112E"/>
    <w:rsid w:val="00CC2823"/>
    <w:rsid w:val="00CC61C1"/>
    <w:rsid w:val="00CD2FF0"/>
    <w:rsid w:val="00CE4C13"/>
    <w:rsid w:val="00D05BDB"/>
    <w:rsid w:val="00D06CDF"/>
    <w:rsid w:val="00D07241"/>
    <w:rsid w:val="00D11DC7"/>
    <w:rsid w:val="00D14E1D"/>
    <w:rsid w:val="00D22CE3"/>
    <w:rsid w:val="00D31D20"/>
    <w:rsid w:val="00D46AEE"/>
    <w:rsid w:val="00D54530"/>
    <w:rsid w:val="00D61B83"/>
    <w:rsid w:val="00D87A82"/>
    <w:rsid w:val="00D922B2"/>
    <w:rsid w:val="00DB0BB8"/>
    <w:rsid w:val="00DB43C1"/>
    <w:rsid w:val="00DB77F1"/>
    <w:rsid w:val="00DC0322"/>
    <w:rsid w:val="00DD1503"/>
    <w:rsid w:val="00DE7F9D"/>
    <w:rsid w:val="00DF5BA7"/>
    <w:rsid w:val="00E14B58"/>
    <w:rsid w:val="00E16B32"/>
    <w:rsid w:val="00E25242"/>
    <w:rsid w:val="00E27053"/>
    <w:rsid w:val="00E310DA"/>
    <w:rsid w:val="00E312DA"/>
    <w:rsid w:val="00E31CB7"/>
    <w:rsid w:val="00E32776"/>
    <w:rsid w:val="00E33455"/>
    <w:rsid w:val="00E33919"/>
    <w:rsid w:val="00E6206A"/>
    <w:rsid w:val="00E65A39"/>
    <w:rsid w:val="00E81687"/>
    <w:rsid w:val="00E826C1"/>
    <w:rsid w:val="00E917ED"/>
    <w:rsid w:val="00E96837"/>
    <w:rsid w:val="00EA156C"/>
    <w:rsid w:val="00EA5441"/>
    <w:rsid w:val="00EB2581"/>
    <w:rsid w:val="00EB6B35"/>
    <w:rsid w:val="00EB6E37"/>
    <w:rsid w:val="00EC16B1"/>
    <w:rsid w:val="00EC2E7E"/>
    <w:rsid w:val="00EC3A35"/>
    <w:rsid w:val="00EC5C05"/>
    <w:rsid w:val="00EC66AB"/>
    <w:rsid w:val="00EE4BF7"/>
    <w:rsid w:val="00EE789E"/>
    <w:rsid w:val="00F04ACC"/>
    <w:rsid w:val="00F122B2"/>
    <w:rsid w:val="00F16137"/>
    <w:rsid w:val="00F32DCD"/>
    <w:rsid w:val="00F3746F"/>
    <w:rsid w:val="00F43735"/>
    <w:rsid w:val="00F53F66"/>
    <w:rsid w:val="00F62EC1"/>
    <w:rsid w:val="00F64C11"/>
    <w:rsid w:val="00F6621D"/>
    <w:rsid w:val="00F66E1A"/>
    <w:rsid w:val="00F73C88"/>
    <w:rsid w:val="00F827DE"/>
    <w:rsid w:val="00F83352"/>
    <w:rsid w:val="00F84BC1"/>
    <w:rsid w:val="00F94DEC"/>
    <w:rsid w:val="00F95ED7"/>
    <w:rsid w:val="00FA3343"/>
    <w:rsid w:val="00FA48F6"/>
    <w:rsid w:val="00FB1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5b5b5e"/>
    </o:shapedefaults>
    <o:shapelayout v:ext="edit">
      <o:idmap v:ext="edit" data="1"/>
    </o:shapelayout>
  </w:shapeDefaults>
  <w:decimalSymbol w:val=","/>
  <w:listSeparator w:val=";"/>
  <w14:docId w14:val="1B182C06"/>
  <w15:docId w15:val="{EE606EF6-B225-4BC9-8F57-D6B98B72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6B35"/>
    <w:rPr>
      <w:sz w:val="24"/>
      <w:szCs w:val="24"/>
    </w:rPr>
  </w:style>
  <w:style w:type="paragraph" w:styleId="Nagwek1">
    <w:name w:val="heading 1"/>
    <w:basedOn w:val="Normalny"/>
    <w:next w:val="Normalny"/>
    <w:qFormat/>
    <w:rsid w:val="006F5225"/>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semiHidden/>
    <w:unhideWhenUsed/>
    <w:qFormat/>
    <w:rsid w:val="0051065D"/>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525ED"/>
    <w:pPr>
      <w:tabs>
        <w:tab w:val="center" w:pos="4536"/>
        <w:tab w:val="right" w:pos="9072"/>
      </w:tabs>
    </w:pPr>
  </w:style>
  <w:style w:type="paragraph" w:styleId="Stopka">
    <w:name w:val="footer"/>
    <w:basedOn w:val="Normalny"/>
    <w:link w:val="StopkaZnak"/>
    <w:uiPriority w:val="99"/>
    <w:rsid w:val="008525ED"/>
    <w:pPr>
      <w:tabs>
        <w:tab w:val="center" w:pos="4536"/>
        <w:tab w:val="right" w:pos="9072"/>
      </w:tabs>
    </w:pPr>
  </w:style>
  <w:style w:type="character" w:styleId="Numerstrony">
    <w:name w:val="page number"/>
    <w:basedOn w:val="Domylnaczcionkaakapitu"/>
    <w:rsid w:val="00E27053"/>
  </w:style>
  <w:style w:type="paragraph" w:styleId="Tekstdymka">
    <w:name w:val="Balloon Text"/>
    <w:basedOn w:val="Normalny"/>
    <w:semiHidden/>
    <w:rsid w:val="00A27F31"/>
    <w:rPr>
      <w:rFonts w:ascii="Tahoma" w:hAnsi="Tahoma" w:cs="Tahoma"/>
      <w:sz w:val="16"/>
      <w:szCs w:val="16"/>
    </w:rPr>
  </w:style>
  <w:style w:type="paragraph" w:styleId="NormalnyWeb">
    <w:name w:val="Normal (Web)"/>
    <w:basedOn w:val="Normalny"/>
    <w:rsid w:val="0033233D"/>
    <w:pPr>
      <w:spacing w:after="210" w:line="210" w:lineRule="atLeast"/>
      <w:jc w:val="both"/>
    </w:pPr>
    <w:rPr>
      <w:sz w:val="17"/>
      <w:szCs w:val="17"/>
    </w:rPr>
  </w:style>
  <w:style w:type="table" w:styleId="Tabela-Siatka">
    <w:name w:val="Table Grid"/>
    <w:basedOn w:val="Standardowy"/>
    <w:rsid w:val="0052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912E45"/>
    <w:rPr>
      <w:sz w:val="24"/>
      <w:szCs w:val="24"/>
    </w:rPr>
  </w:style>
  <w:style w:type="paragraph" w:styleId="Tekstprzypisudolnego">
    <w:name w:val="footnote text"/>
    <w:basedOn w:val="Normalny"/>
    <w:link w:val="TekstprzypisudolnegoZnak"/>
    <w:uiPriority w:val="99"/>
    <w:unhideWhenUsed/>
    <w:rsid w:val="002A4DD7"/>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2A4DD7"/>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2A4DD7"/>
    <w:rPr>
      <w:vertAlign w:val="superscript"/>
    </w:rPr>
  </w:style>
  <w:style w:type="paragraph" w:customStyle="1" w:styleId="Tre">
    <w:name w:val="Treść"/>
    <w:rsid w:val="002A4DD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styleId="Hipercze">
    <w:name w:val="Hyperlink"/>
    <w:basedOn w:val="Domylnaczcionkaakapitu"/>
    <w:uiPriority w:val="99"/>
    <w:unhideWhenUsed/>
    <w:rsid w:val="002C2187"/>
    <w:rPr>
      <w:color w:val="0000FF"/>
      <w:u w:val="single"/>
    </w:rPr>
  </w:style>
  <w:style w:type="paragraph" w:styleId="Akapitzlist">
    <w:name w:val="List Paragraph"/>
    <w:basedOn w:val="Normalny"/>
    <w:uiPriority w:val="34"/>
    <w:qFormat/>
    <w:rsid w:val="00467024"/>
    <w:pPr>
      <w:spacing w:after="200" w:line="276" w:lineRule="auto"/>
      <w:ind w:left="720"/>
      <w:contextualSpacing/>
    </w:pPr>
    <w:rPr>
      <w:rFonts w:eastAsiaTheme="minorHAnsi" w:cstheme="minorBidi"/>
      <w:szCs w:val="22"/>
      <w:lang w:eastAsia="en-US"/>
    </w:rPr>
  </w:style>
  <w:style w:type="paragraph" w:styleId="Lista-kontynuacja">
    <w:name w:val="List Continue"/>
    <w:basedOn w:val="Normalny"/>
    <w:uiPriority w:val="99"/>
    <w:unhideWhenUsed/>
    <w:rsid w:val="00467024"/>
    <w:pPr>
      <w:spacing w:after="120" w:line="276" w:lineRule="auto"/>
      <w:ind w:left="283"/>
      <w:contextualSpacing/>
    </w:pPr>
    <w:rPr>
      <w:rFonts w:eastAsiaTheme="minorHAnsi" w:cstheme="minorBidi"/>
      <w:szCs w:val="22"/>
      <w:lang w:eastAsia="en-US"/>
    </w:rPr>
  </w:style>
  <w:style w:type="paragraph" w:styleId="Tekstpodstawowy">
    <w:name w:val="Body Text"/>
    <w:basedOn w:val="Normalny"/>
    <w:link w:val="TekstpodstawowyZnak"/>
    <w:uiPriority w:val="99"/>
    <w:unhideWhenUsed/>
    <w:rsid w:val="00467024"/>
    <w:pPr>
      <w:spacing w:after="120" w:line="276" w:lineRule="auto"/>
    </w:pPr>
    <w:rPr>
      <w:rFonts w:eastAsiaTheme="minorHAnsi" w:cstheme="minorBidi"/>
      <w:szCs w:val="22"/>
      <w:lang w:eastAsia="en-US"/>
    </w:rPr>
  </w:style>
  <w:style w:type="character" w:customStyle="1" w:styleId="TekstpodstawowyZnak">
    <w:name w:val="Tekst podstawowy Znak"/>
    <w:basedOn w:val="Domylnaczcionkaakapitu"/>
    <w:link w:val="Tekstpodstawowy"/>
    <w:uiPriority w:val="99"/>
    <w:rsid w:val="00467024"/>
    <w:rPr>
      <w:rFonts w:eastAsiaTheme="minorHAnsi" w:cstheme="minorBidi"/>
      <w:sz w:val="24"/>
      <w:szCs w:val="22"/>
      <w:lang w:eastAsia="en-US"/>
    </w:rPr>
  </w:style>
  <w:style w:type="paragraph" w:customStyle="1" w:styleId="Default">
    <w:name w:val="Default"/>
    <w:basedOn w:val="Normalny"/>
    <w:rsid w:val="00C6643B"/>
    <w:pPr>
      <w:autoSpaceDE w:val="0"/>
      <w:autoSpaceDN w:val="0"/>
    </w:pPr>
    <w:rPr>
      <w:rFonts w:eastAsiaTheme="minorHAnsi"/>
      <w:color w:val="000000"/>
    </w:rPr>
  </w:style>
  <w:style w:type="character" w:customStyle="1" w:styleId="Nagwek3Znak">
    <w:name w:val="Nagłówek 3 Znak"/>
    <w:basedOn w:val="Domylnaczcionkaakapitu"/>
    <w:link w:val="Nagwek3"/>
    <w:semiHidden/>
    <w:rsid w:val="0051065D"/>
    <w:rPr>
      <w:rFonts w:asciiTheme="majorHAnsi" w:eastAsiaTheme="majorEastAsia" w:hAnsiTheme="majorHAnsi" w:cstheme="majorBidi"/>
      <w:color w:val="1F4D78" w:themeColor="accent1" w:themeShade="7F"/>
      <w:sz w:val="24"/>
      <w:szCs w:val="24"/>
    </w:rPr>
  </w:style>
  <w:style w:type="paragraph" w:customStyle="1" w:styleId="PKTpunkt">
    <w:name w:val="PKT – punkt"/>
    <w:uiPriority w:val="13"/>
    <w:qFormat/>
    <w:rsid w:val="0040511A"/>
    <w:pPr>
      <w:spacing w:line="360" w:lineRule="auto"/>
      <w:ind w:left="510" w:hanging="510"/>
      <w:jc w:val="both"/>
    </w:pPr>
    <w:rPr>
      <w:rFonts w:ascii="Times" w:eastAsiaTheme="minorEastAsia" w:hAnsi="Times" w:cs="Arial"/>
      <w:bCs/>
      <w:sz w:val="24"/>
    </w:rPr>
  </w:style>
  <w:style w:type="paragraph" w:customStyle="1" w:styleId="MDDPakapit">
    <w:name w:val="MDDP akapit"/>
    <w:basedOn w:val="Normalny"/>
    <w:link w:val="MDDPakapitZnak"/>
    <w:uiPriority w:val="99"/>
    <w:rsid w:val="00C66601"/>
    <w:pPr>
      <w:spacing w:before="120" w:after="120" w:line="260" w:lineRule="exact"/>
      <w:jc w:val="both"/>
    </w:pPr>
    <w:rPr>
      <w:rFonts w:ascii="Verdana" w:hAnsi="Verdana"/>
      <w:sz w:val="18"/>
      <w:szCs w:val="18"/>
    </w:rPr>
  </w:style>
  <w:style w:type="character" w:customStyle="1" w:styleId="MDDPakapitZnak">
    <w:name w:val="MDDP akapit Znak"/>
    <w:link w:val="MDDPakapit"/>
    <w:uiPriority w:val="99"/>
    <w:locked/>
    <w:rsid w:val="00C66601"/>
    <w:rPr>
      <w:rFonts w:ascii="Verdana" w:hAnsi="Verdana"/>
      <w:sz w:val="18"/>
      <w:szCs w:val="18"/>
    </w:rPr>
  </w:style>
  <w:style w:type="paragraph" w:styleId="Tekstprzypisukocowego">
    <w:name w:val="endnote text"/>
    <w:basedOn w:val="Normalny"/>
    <w:link w:val="TekstprzypisukocowegoZnak"/>
    <w:semiHidden/>
    <w:unhideWhenUsed/>
    <w:rsid w:val="0085182A"/>
    <w:rPr>
      <w:sz w:val="20"/>
      <w:szCs w:val="20"/>
    </w:rPr>
  </w:style>
  <w:style w:type="character" w:customStyle="1" w:styleId="TekstprzypisukocowegoZnak">
    <w:name w:val="Tekst przypisu końcowego Znak"/>
    <w:basedOn w:val="Domylnaczcionkaakapitu"/>
    <w:link w:val="Tekstprzypisukocowego"/>
    <w:semiHidden/>
    <w:rsid w:val="0085182A"/>
  </w:style>
  <w:style w:type="character" w:styleId="Odwoanieprzypisukocowego">
    <w:name w:val="endnote reference"/>
    <w:basedOn w:val="Domylnaczcionkaakapitu"/>
    <w:semiHidden/>
    <w:unhideWhenUsed/>
    <w:rsid w:val="0085182A"/>
    <w:rPr>
      <w:vertAlign w:val="superscript"/>
    </w:rPr>
  </w:style>
  <w:style w:type="character" w:customStyle="1" w:styleId="UnresolvedMention">
    <w:name w:val="Unresolved Mention"/>
    <w:basedOn w:val="Domylnaczcionkaakapitu"/>
    <w:uiPriority w:val="99"/>
    <w:semiHidden/>
    <w:unhideWhenUsed/>
    <w:rsid w:val="00081524"/>
    <w:rPr>
      <w:color w:val="605E5C"/>
      <w:shd w:val="clear" w:color="auto" w:fill="E1DFDD"/>
    </w:rPr>
  </w:style>
  <w:style w:type="character" w:styleId="Odwoaniedokomentarza">
    <w:name w:val="annotation reference"/>
    <w:basedOn w:val="Domylnaczcionkaakapitu"/>
    <w:uiPriority w:val="99"/>
    <w:semiHidden/>
    <w:unhideWhenUsed/>
    <w:qFormat/>
    <w:rsid w:val="004C603E"/>
    <w:rPr>
      <w:sz w:val="16"/>
      <w:szCs w:val="16"/>
    </w:rPr>
  </w:style>
  <w:style w:type="paragraph" w:styleId="Tekstkomentarza">
    <w:name w:val="annotation text"/>
    <w:basedOn w:val="Normalny"/>
    <w:link w:val="TekstkomentarzaZnak"/>
    <w:uiPriority w:val="99"/>
    <w:semiHidden/>
    <w:unhideWhenUsed/>
    <w:rsid w:val="004C603E"/>
    <w:rPr>
      <w:rFonts w:eastAsiaTheme="minorHAnsi"/>
      <w:sz w:val="20"/>
      <w:szCs w:val="20"/>
    </w:rPr>
  </w:style>
  <w:style w:type="character" w:customStyle="1" w:styleId="TekstkomentarzaZnak">
    <w:name w:val="Tekst komentarza Znak"/>
    <w:basedOn w:val="Domylnaczcionkaakapitu"/>
    <w:link w:val="Tekstkomentarza"/>
    <w:uiPriority w:val="99"/>
    <w:semiHidden/>
    <w:rsid w:val="004C603E"/>
    <w:rPr>
      <w:rFonts w:eastAsiaTheme="minorHAnsi"/>
    </w:rPr>
  </w:style>
  <w:style w:type="paragraph" w:customStyle="1" w:styleId="ODNONIKtreodnonika">
    <w:name w:val="ODNOŚNIK – treść odnośnika"/>
    <w:uiPriority w:val="19"/>
    <w:qFormat/>
    <w:rsid w:val="00B90939"/>
    <w:pPr>
      <w:ind w:left="284" w:hanging="284"/>
      <w:jc w:val="both"/>
    </w:pPr>
    <w:rPr>
      <w:rFonts w:cs="Arial"/>
    </w:rPr>
  </w:style>
  <w:style w:type="character" w:customStyle="1" w:styleId="IGindeksgrny">
    <w:name w:val="_IG_ – indeks górny"/>
    <w:basedOn w:val="Domylnaczcionkaakapitu"/>
    <w:uiPriority w:val="2"/>
    <w:qFormat/>
    <w:rsid w:val="00B90939"/>
    <w:rPr>
      <w:b w:val="0"/>
      <w:i w:val="0"/>
      <w:vanish w:val="0"/>
      <w:spacing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318">
      <w:bodyDiv w:val="1"/>
      <w:marLeft w:val="0"/>
      <w:marRight w:val="0"/>
      <w:marTop w:val="0"/>
      <w:marBottom w:val="0"/>
      <w:divBdr>
        <w:top w:val="none" w:sz="0" w:space="0" w:color="auto"/>
        <w:left w:val="none" w:sz="0" w:space="0" w:color="auto"/>
        <w:bottom w:val="none" w:sz="0" w:space="0" w:color="auto"/>
        <w:right w:val="none" w:sz="0" w:space="0" w:color="auto"/>
      </w:divBdr>
    </w:div>
    <w:div w:id="77094686">
      <w:bodyDiv w:val="1"/>
      <w:marLeft w:val="0"/>
      <w:marRight w:val="0"/>
      <w:marTop w:val="0"/>
      <w:marBottom w:val="0"/>
      <w:divBdr>
        <w:top w:val="none" w:sz="0" w:space="0" w:color="auto"/>
        <w:left w:val="none" w:sz="0" w:space="0" w:color="auto"/>
        <w:bottom w:val="none" w:sz="0" w:space="0" w:color="auto"/>
        <w:right w:val="none" w:sz="0" w:space="0" w:color="auto"/>
      </w:divBdr>
    </w:div>
    <w:div w:id="155809231">
      <w:bodyDiv w:val="1"/>
      <w:marLeft w:val="0"/>
      <w:marRight w:val="0"/>
      <w:marTop w:val="0"/>
      <w:marBottom w:val="0"/>
      <w:divBdr>
        <w:top w:val="none" w:sz="0" w:space="0" w:color="auto"/>
        <w:left w:val="none" w:sz="0" w:space="0" w:color="auto"/>
        <w:bottom w:val="none" w:sz="0" w:space="0" w:color="auto"/>
        <w:right w:val="none" w:sz="0" w:space="0" w:color="auto"/>
      </w:divBdr>
    </w:div>
    <w:div w:id="206065794">
      <w:bodyDiv w:val="1"/>
      <w:marLeft w:val="0"/>
      <w:marRight w:val="0"/>
      <w:marTop w:val="0"/>
      <w:marBottom w:val="0"/>
      <w:divBdr>
        <w:top w:val="none" w:sz="0" w:space="0" w:color="auto"/>
        <w:left w:val="none" w:sz="0" w:space="0" w:color="auto"/>
        <w:bottom w:val="none" w:sz="0" w:space="0" w:color="auto"/>
        <w:right w:val="none" w:sz="0" w:space="0" w:color="auto"/>
      </w:divBdr>
    </w:div>
    <w:div w:id="305821417">
      <w:bodyDiv w:val="1"/>
      <w:marLeft w:val="0"/>
      <w:marRight w:val="0"/>
      <w:marTop w:val="0"/>
      <w:marBottom w:val="0"/>
      <w:divBdr>
        <w:top w:val="none" w:sz="0" w:space="0" w:color="auto"/>
        <w:left w:val="none" w:sz="0" w:space="0" w:color="auto"/>
        <w:bottom w:val="none" w:sz="0" w:space="0" w:color="auto"/>
        <w:right w:val="none" w:sz="0" w:space="0" w:color="auto"/>
      </w:divBdr>
    </w:div>
    <w:div w:id="366637545">
      <w:bodyDiv w:val="1"/>
      <w:marLeft w:val="0"/>
      <w:marRight w:val="0"/>
      <w:marTop w:val="0"/>
      <w:marBottom w:val="0"/>
      <w:divBdr>
        <w:top w:val="none" w:sz="0" w:space="0" w:color="auto"/>
        <w:left w:val="none" w:sz="0" w:space="0" w:color="auto"/>
        <w:bottom w:val="none" w:sz="0" w:space="0" w:color="auto"/>
        <w:right w:val="none" w:sz="0" w:space="0" w:color="auto"/>
      </w:divBdr>
    </w:div>
    <w:div w:id="695808598">
      <w:bodyDiv w:val="1"/>
      <w:marLeft w:val="0"/>
      <w:marRight w:val="0"/>
      <w:marTop w:val="0"/>
      <w:marBottom w:val="0"/>
      <w:divBdr>
        <w:top w:val="none" w:sz="0" w:space="0" w:color="auto"/>
        <w:left w:val="none" w:sz="0" w:space="0" w:color="auto"/>
        <w:bottom w:val="none" w:sz="0" w:space="0" w:color="auto"/>
        <w:right w:val="none" w:sz="0" w:space="0" w:color="auto"/>
      </w:divBdr>
    </w:div>
    <w:div w:id="1042629723">
      <w:bodyDiv w:val="1"/>
      <w:marLeft w:val="0"/>
      <w:marRight w:val="0"/>
      <w:marTop w:val="0"/>
      <w:marBottom w:val="0"/>
      <w:divBdr>
        <w:top w:val="none" w:sz="0" w:space="0" w:color="auto"/>
        <w:left w:val="none" w:sz="0" w:space="0" w:color="auto"/>
        <w:bottom w:val="none" w:sz="0" w:space="0" w:color="auto"/>
        <w:right w:val="none" w:sz="0" w:space="0" w:color="auto"/>
      </w:divBdr>
      <w:divsChild>
        <w:div w:id="2027360415">
          <w:marLeft w:val="0"/>
          <w:marRight w:val="0"/>
          <w:marTop w:val="0"/>
          <w:marBottom w:val="0"/>
          <w:divBdr>
            <w:top w:val="none" w:sz="0" w:space="0" w:color="auto"/>
            <w:left w:val="none" w:sz="0" w:space="0" w:color="auto"/>
            <w:bottom w:val="none" w:sz="0" w:space="0" w:color="auto"/>
            <w:right w:val="none" w:sz="0" w:space="0" w:color="auto"/>
          </w:divBdr>
          <w:divsChild>
            <w:div w:id="1283607647">
              <w:marLeft w:val="0"/>
              <w:marRight w:val="0"/>
              <w:marTop w:val="0"/>
              <w:marBottom w:val="0"/>
              <w:divBdr>
                <w:top w:val="none" w:sz="0" w:space="0" w:color="auto"/>
                <w:left w:val="none" w:sz="0" w:space="0" w:color="auto"/>
                <w:bottom w:val="none" w:sz="0" w:space="0" w:color="auto"/>
                <w:right w:val="none" w:sz="0" w:space="0" w:color="auto"/>
              </w:divBdr>
              <w:divsChild>
                <w:div w:id="12125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860">
      <w:bodyDiv w:val="1"/>
      <w:marLeft w:val="0"/>
      <w:marRight w:val="0"/>
      <w:marTop w:val="0"/>
      <w:marBottom w:val="0"/>
      <w:divBdr>
        <w:top w:val="none" w:sz="0" w:space="0" w:color="auto"/>
        <w:left w:val="none" w:sz="0" w:space="0" w:color="auto"/>
        <w:bottom w:val="none" w:sz="0" w:space="0" w:color="auto"/>
        <w:right w:val="none" w:sz="0" w:space="0" w:color="auto"/>
      </w:divBdr>
      <w:divsChild>
        <w:div w:id="134374172">
          <w:marLeft w:val="0"/>
          <w:marRight w:val="0"/>
          <w:marTop w:val="0"/>
          <w:marBottom w:val="0"/>
          <w:divBdr>
            <w:top w:val="none" w:sz="0" w:space="0" w:color="auto"/>
            <w:left w:val="none" w:sz="0" w:space="0" w:color="auto"/>
            <w:bottom w:val="none" w:sz="0" w:space="0" w:color="auto"/>
            <w:right w:val="none" w:sz="0" w:space="0" w:color="auto"/>
          </w:divBdr>
          <w:divsChild>
            <w:div w:id="1174607043">
              <w:marLeft w:val="0"/>
              <w:marRight w:val="0"/>
              <w:marTop w:val="0"/>
              <w:marBottom w:val="0"/>
              <w:divBdr>
                <w:top w:val="none" w:sz="0" w:space="0" w:color="auto"/>
                <w:left w:val="none" w:sz="0" w:space="0" w:color="auto"/>
                <w:bottom w:val="none" w:sz="0" w:space="0" w:color="auto"/>
                <w:right w:val="none" w:sz="0" w:space="0" w:color="auto"/>
              </w:divBdr>
              <w:divsChild>
                <w:div w:id="20923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8913">
      <w:bodyDiv w:val="1"/>
      <w:marLeft w:val="0"/>
      <w:marRight w:val="0"/>
      <w:marTop w:val="0"/>
      <w:marBottom w:val="0"/>
      <w:divBdr>
        <w:top w:val="none" w:sz="0" w:space="0" w:color="auto"/>
        <w:left w:val="none" w:sz="0" w:space="0" w:color="auto"/>
        <w:bottom w:val="none" w:sz="0" w:space="0" w:color="auto"/>
        <w:right w:val="none" w:sz="0" w:space="0" w:color="auto"/>
      </w:divBdr>
    </w:div>
    <w:div w:id="1390886152">
      <w:bodyDiv w:val="1"/>
      <w:marLeft w:val="0"/>
      <w:marRight w:val="0"/>
      <w:marTop w:val="0"/>
      <w:marBottom w:val="0"/>
      <w:divBdr>
        <w:top w:val="none" w:sz="0" w:space="0" w:color="auto"/>
        <w:left w:val="none" w:sz="0" w:space="0" w:color="auto"/>
        <w:bottom w:val="none" w:sz="0" w:space="0" w:color="auto"/>
        <w:right w:val="none" w:sz="0" w:space="0" w:color="auto"/>
      </w:divBdr>
    </w:div>
    <w:div w:id="1515729080">
      <w:bodyDiv w:val="1"/>
      <w:marLeft w:val="0"/>
      <w:marRight w:val="0"/>
      <w:marTop w:val="0"/>
      <w:marBottom w:val="0"/>
      <w:divBdr>
        <w:top w:val="none" w:sz="0" w:space="0" w:color="auto"/>
        <w:left w:val="none" w:sz="0" w:space="0" w:color="auto"/>
        <w:bottom w:val="none" w:sz="0" w:space="0" w:color="auto"/>
        <w:right w:val="none" w:sz="0" w:space="0" w:color="auto"/>
      </w:divBdr>
    </w:div>
    <w:div w:id="1560744186">
      <w:bodyDiv w:val="1"/>
      <w:marLeft w:val="0"/>
      <w:marRight w:val="0"/>
      <w:marTop w:val="0"/>
      <w:marBottom w:val="0"/>
      <w:divBdr>
        <w:top w:val="none" w:sz="0" w:space="0" w:color="auto"/>
        <w:left w:val="none" w:sz="0" w:space="0" w:color="auto"/>
        <w:bottom w:val="none" w:sz="0" w:space="0" w:color="auto"/>
        <w:right w:val="none" w:sz="0" w:space="0" w:color="auto"/>
      </w:divBdr>
    </w:div>
    <w:div w:id="1691567679">
      <w:bodyDiv w:val="1"/>
      <w:marLeft w:val="0"/>
      <w:marRight w:val="0"/>
      <w:marTop w:val="0"/>
      <w:marBottom w:val="0"/>
      <w:divBdr>
        <w:top w:val="none" w:sz="0" w:space="0" w:color="auto"/>
        <w:left w:val="none" w:sz="0" w:space="0" w:color="auto"/>
        <w:bottom w:val="none" w:sz="0" w:space="0" w:color="auto"/>
        <w:right w:val="none" w:sz="0" w:space="0" w:color="auto"/>
      </w:divBdr>
    </w:div>
    <w:div w:id="1766612705">
      <w:bodyDiv w:val="1"/>
      <w:marLeft w:val="0"/>
      <w:marRight w:val="0"/>
      <w:marTop w:val="0"/>
      <w:marBottom w:val="0"/>
      <w:divBdr>
        <w:top w:val="none" w:sz="0" w:space="0" w:color="auto"/>
        <w:left w:val="none" w:sz="0" w:space="0" w:color="auto"/>
        <w:bottom w:val="none" w:sz="0" w:space="0" w:color="auto"/>
        <w:right w:val="none" w:sz="0" w:space="0" w:color="auto"/>
      </w:divBdr>
    </w:div>
    <w:div w:id="1773237762">
      <w:bodyDiv w:val="1"/>
      <w:marLeft w:val="0"/>
      <w:marRight w:val="0"/>
      <w:marTop w:val="0"/>
      <w:marBottom w:val="0"/>
      <w:divBdr>
        <w:top w:val="none" w:sz="0" w:space="0" w:color="auto"/>
        <w:left w:val="none" w:sz="0" w:space="0" w:color="auto"/>
        <w:bottom w:val="none" w:sz="0" w:space="0" w:color="auto"/>
        <w:right w:val="none" w:sz="0" w:space="0" w:color="auto"/>
      </w:divBdr>
    </w:div>
    <w:div w:id="1854764338">
      <w:bodyDiv w:val="1"/>
      <w:marLeft w:val="0"/>
      <w:marRight w:val="0"/>
      <w:marTop w:val="0"/>
      <w:marBottom w:val="0"/>
      <w:divBdr>
        <w:top w:val="none" w:sz="0" w:space="0" w:color="auto"/>
        <w:left w:val="none" w:sz="0" w:space="0" w:color="auto"/>
        <w:bottom w:val="none" w:sz="0" w:space="0" w:color="auto"/>
        <w:right w:val="none" w:sz="0" w:space="0" w:color="auto"/>
      </w:divBdr>
    </w:div>
    <w:div w:id="2106345100">
      <w:bodyDiv w:val="1"/>
      <w:marLeft w:val="0"/>
      <w:marRight w:val="0"/>
      <w:marTop w:val="0"/>
      <w:marBottom w:val="0"/>
      <w:divBdr>
        <w:top w:val="none" w:sz="0" w:space="0" w:color="auto"/>
        <w:left w:val="none" w:sz="0" w:space="0" w:color="auto"/>
        <w:bottom w:val="none" w:sz="0" w:space="0" w:color="auto"/>
        <w:right w:val="none" w:sz="0" w:space="0" w:color="auto"/>
      </w:divBdr>
      <w:divsChild>
        <w:div w:id="1975284887">
          <w:marLeft w:val="0"/>
          <w:marRight w:val="0"/>
          <w:marTop w:val="0"/>
          <w:marBottom w:val="0"/>
          <w:divBdr>
            <w:top w:val="none" w:sz="0" w:space="0" w:color="auto"/>
            <w:left w:val="none" w:sz="0" w:space="0" w:color="auto"/>
            <w:bottom w:val="none" w:sz="0" w:space="0" w:color="auto"/>
            <w:right w:val="none" w:sz="0" w:space="0" w:color="auto"/>
          </w:divBdr>
        </w:div>
        <w:div w:id="27072016">
          <w:marLeft w:val="0"/>
          <w:marRight w:val="0"/>
          <w:marTop w:val="0"/>
          <w:marBottom w:val="0"/>
          <w:divBdr>
            <w:top w:val="none" w:sz="0" w:space="0" w:color="auto"/>
            <w:left w:val="none" w:sz="0" w:space="0" w:color="auto"/>
            <w:bottom w:val="none" w:sz="0" w:space="0" w:color="auto"/>
            <w:right w:val="none" w:sz="0" w:space="0" w:color="auto"/>
          </w:divBdr>
        </w:div>
      </w:divsChild>
    </w:div>
    <w:div w:id="212049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967D3-85CD-4499-A91F-C6E3C599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4704</Words>
  <Characters>31792</Characters>
  <Application>Microsoft Office Word</Application>
  <DocSecurity>0</DocSecurity>
  <Lines>264</Lines>
  <Paragraphs>72</Paragraphs>
  <ScaleCrop>false</ScaleCrop>
  <HeadingPairs>
    <vt:vector size="2" baseType="variant">
      <vt:variant>
        <vt:lpstr>Tytuł</vt:lpstr>
      </vt:variant>
      <vt:variant>
        <vt:i4>1</vt:i4>
      </vt:variant>
    </vt:vector>
  </HeadingPairs>
  <TitlesOfParts>
    <vt:vector size="1" baseType="lpstr">
      <vt:lpstr>Warszawa</vt:lpstr>
    </vt:vector>
  </TitlesOfParts>
  <Company>n/a</Company>
  <LinksUpToDate>false</LinksUpToDate>
  <CharactersWithSpaces>36424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dc:title>
  <dc:creator>Monika Jaczewska</dc:creator>
  <cp:lastModifiedBy>Weronika Remiszewska</cp:lastModifiedBy>
  <cp:revision>5</cp:revision>
  <cp:lastPrinted>2021-02-09T15:10:00Z</cp:lastPrinted>
  <dcterms:created xsi:type="dcterms:W3CDTF">2021-02-09T14:50:00Z</dcterms:created>
  <dcterms:modified xsi:type="dcterms:W3CDTF">2021-02-09T15:10:00Z</dcterms:modified>
</cp:coreProperties>
</file>