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jc w:val="center"/>
        <w:tblLook w:val="04A0" w:firstRow="1" w:lastRow="0" w:firstColumn="1" w:lastColumn="0" w:noHBand="0" w:noVBand="1"/>
      </w:tblPr>
      <w:tblGrid>
        <w:gridCol w:w="986"/>
        <w:gridCol w:w="2070"/>
        <w:gridCol w:w="2758"/>
        <w:gridCol w:w="8180"/>
      </w:tblGrid>
      <w:tr w:rsidR="001B077F" w:rsidRPr="001B077F" w14:paraId="01E82F02" w14:textId="77777777" w:rsidTr="004102BD">
        <w:trPr>
          <w:trHeight w:val="592"/>
          <w:jc w:val="center"/>
        </w:trPr>
        <w:tc>
          <w:tcPr>
            <w:tcW w:w="13994" w:type="dxa"/>
            <w:gridSpan w:val="4"/>
            <w:vAlign w:val="center"/>
          </w:tcPr>
          <w:p w14:paraId="2F704A89" w14:textId="49B1F1C1" w:rsidR="00C63F1E" w:rsidRPr="001B077F" w:rsidRDefault="00C63F1E" w:rsidP="004A28E0">
            <w:pPr>
              <w:jc w:val="center"/>
              <w:rPr>
                <w:rFonts w:ascii="Times New Roman" w:hAnsi="Times New Roman" w:cs="Times New Roman"/>
                <w:b/>
                <w:bCs/>
                <w:sz w:val="20"/>
              </w:rPr>
            </w:pPr>
            <w:r w:rsidRPr="001B077F">
              <w:rPr>
                <w:rFonts w:ascii="Times New Roman" w:hAnsi="Times New Roman" w:cs="Times New Roman"/>
                <w:b/>
                <w:sz w:val="28"/>
                <w:lang w:eastAsia="pl-PL"/>
              </w:rPr>
              <w:t xml:space="preserve">Uwagi do </w:t>
            </w:r>
            <w:r w:rsidRPr="001B077F">
              <w:rPr>
                <w:rFonts w:ascii="Times New Roman" w:hAnsi="Times New Roman" w:cs="Times New Roman"/>
                <w:b/>
                <w:i/>
                <w:sz w:val="28"/>
                <w:lang w:eastAsia="pl-PL"/>
              </w:rPr>
              <w:t xml:space="preserve">projektu </w:t>
            </w:r>
            <w:r w:rsidR="00F53B30" w:rsidRPr="001B077F">
              <w:rPr>
                <w:rFonts w:ascii="Times New Roman" w:hAnsi="Times New Roman" w:cs="Times New Roman"/>
                <w:b/>
                <w:i/>
                <w:sz w:val="28"/>
                <w:lang w:eastAsia="pl-PL"/>
              </w:rPr>
              <w:t xml:space="preserve">ustawy o zmianie ustawy </w:t>
            </w:r>
            <w:r w:rsidR="00867D34" w:rsidRPr="001B077F">
              <w:rPr>
                <w:rFonts w:ascii="Times New Roman" w:hAnsi="Times New Roman" w:cs="Times New Roman"/>
                <w:b/>
                <w:i/>
                <w:sz w:val="28"/>
                <w:lang w:eastAsia="pl-PL"/>
              </w:rPr>
              <w:t xml:space="preserve">– Kodeks pracy oraz ustawy o wychowaniu w trzeźwości i przeciwdziałaniu alkoholizmowi </w:t>
            </w:r>
            <w:r w:rsidR="00F53B30" w:rsidRPr="001B077F">
              <w:rPr>
                <w:rFonts w:ascii="Times New Roman" w:hAnsi="Times New Roman" w:cs="Times New Roman"/>
                <w:b/>
                <w:i/>
                <w:sz w:val="28"/>
                <w:lang w:eastAsia="pl-PL"/>
              </w:rPr>
              <w:t>(UD</w:t>
            </w:r>
            <w:r w:rsidR="0040281C" w:rsidRPr="001B077F">
              <w:rPr>
                <w:rFonts w:ascii="Times New Roman" w:hAnsi="Times New Roman" w:cs="Times New Roman"/>
                <w:b/>
                <w:i/>
                <w:sz w:val="28"/>
                <w:lang w:eastAsia="pl-PL"/>
              </w:rPr>
              <w:t>211</w:t>
            </w:r>
            <w:r w:rsidR="00F53B30" w:rsidRPr="001B077F">
              <w:rPr>
                <w:rFonts w:ascii="Times New Roman" w:hAnsi="Times New Roman" w:cs="Times New Roman"/>
                <w:b/>
                <w:i/>
                <w:sz w:val="28"/>
                <w:lang w:eastAsia="pl-PL"/>
              </w:rPr>
              <w:t>)</w:t>
            </w:r>
          </w:p>
        </w:tc>
      </w:tr>
      <w:tr w:rsidR="001B077F" w:rsidRPr="001B077F" w14:paraId="49E661A1" w14:textId="77777777" w:rsidTr="00570123">
        <w:trPr>
          <w:trHeight w:val="592"/>
          <w:jc w:val="center"/>
        </w:trPr>
        <w:tc>
          <w:tcPr>
            <w:tcW w:w="986" w:type="dxa"/>
            <w:vAlign w:val="center"/>
          </w:tcPr>
          <w:p w14:paraId="43600CE9" w14:textId="77777777" w:rsidR="004A28E0" w:rsidRPr="001B077F" w:rsidRDefault="004A28E0" w:rsidP="004A28E0">
            <w:pPr>
              <w:jc w:val="center"/>
              <w:rPr>
                <w:rFonts w:ascii="Times New Roman" w:hAnsi="Times New Roman" w:cs="Times New Roman"/>
                <w:sz w:val="20"/>
              </w:rPr>
            </w:pPr>
            <w:r w:rsidRPr="001B077F">
              <w:rPr>
                <w:rFonts w:ascii="Times New Roman" w:hAnsi="Times New Roman" w:cs="Times New Roman"/>
                <w:b/>
                <w:sz w:val="20"/>
              </w:rPr>
              <w:t>Lp</w:t>
            </w:r>
            <w:r w:rsidRPr="001B077F">
              <w:rPr>
                <w:rFonts w:ascii="Times New Roman" w:hAnsi="Times New Roman" w:cs="Times New Roman"/>
                <w:sz w:val="20"/>
              </w:rPr>
              <w:t>.</w:t>
            </w:r>
          </w:p>
        </w:tc>
        <w:tc>
          <w:tcPr>
            <w:tcW w:w="2070" w:type="dxa"/>
            <w:vAlign w:val="center"/>
          </w:tcPr>
          <w:p w14:paraId="56DC0E6D" w14:textId="77777777" w:rsidR="006C42B2" w:rsidRPr="001B077F" w:rsidRDefault="004A28E0" w:rsidP="00141978">
            <w:pPr>
              <w:spacing w:after="60"/>
              <w:jc w:val="center"/>
              <w:rPr>
                <w:rFonts w:ascii="Times New Roman" w:hAnsi="Times New Roman" w:cs="Times New Roman"/>
                <w:b/>
                <w:bCs/>
                <w:sz w:val="20"/>
              </w:rPr>
            </w:pPr>
            <w:r w:rsidRPr="001B077F">
              <w:rPr>
                <w:rFonts w:ascii="Times New Roman" w:hAnsi="Times New Roman" w:cs="Times New Roman"/>
                <w:b/>
                <w:bCs/>
                <w:sz w:val="20"/>
              </w:rPr>
              <w:t>Jednostka redakcyjna, której uwaga dotyczy</w:t>
            </w:r>
            <w:r w:rsidR="006C42B2" w:rsidRPr="001B077F">
              <w:rPr>
                <w:rFonts w:ascii="Times New Roman" w:hAnsi="Times New Roman" w:cs="Times New Roman"/>
                <w:b/>
                <w:bCs/>
                <w:sz w:val="20"/>
              </w:rPr>
              <w:t xml:space="preserve">/ </w:t>
            </w:r>
          </w:p>
          <w:p w14:paraId="53225CE3" w14:textId="77777777" w:rsidR="004A28E0" w:rsidRPr="001B077F" w:rsidRDefault="006C42B2" w:rsidP="00141978">
            <w:pPr>
              <w:spacing w:after="60"/>
              <w:jc w:val="center"/>
              <w:rPr>
                <w:rFonts w:ascii="Times New Roman" w:hAnsi="Times New Roman" w:cs="Times New Roman"/>
                <w:b/>
                <w:bCs/>
                <w:sz w:val="20"/>
              </w:rPr>
            </w:pPr>
            <w:r w:rsidRPr="001B077F">
              <w:rPr>
                <w:rFonts w:ascii="Times New Roman" w:hAnsi="Times New Roman" w:cs="Times New Roman"/>
                <w:b/>
                <w:bCs/>
                <w:sz w:val="20"/>
              </w:rPr>
              <w:t>pkt Uzasadnienia/</w:t>
            </w:r>
          </w:p>
          <w:p w14:paraId="685262E1" w14:textId="77777777" w:rsidR="006C42B2" w:rsidRPr="001B077F" w:rsidRDefault="006C42B2" w:rsidP="00141978">
            <w:pPr>
              <w:spacing w:after="60"/>
              <w:jc w:val="center"/>
              <w:rPr>
                <w:rFonts w:ascii="Times New Roman" w:hAnsi="Times New Roman" w:cs="Times New Roman"/>
                <w:b/>
                <w:bCs/>
                <w:sz w:val="20"/>
              </w:rPr>
            </w:pPr>
            <w:r w:rsidRPr="001B077F">
              <w:rPr>
                <w:rFonts w:ascii="Times New Roman" w:hAnsi="Times New Roman" w:cs="Times New Roman"/>
                <w:b/>
                <w:bCs/>
                <w:sz w:val="20"/>
              </w:rPr>
              <w:t>pkt OSR</w:t>
            </w:r>
          </w:p>
        </w:tc>
        <w:tc>
          <w:tcPr>
            <w:tcW w:w="2758" w:type="dxa"/>
            <w:vAlign w:val="center"/>
          </w:tcPr>
          <w:p w14:paraId="3BA83997" w14:textId="77777777" w:rsidR="004A28E0" w:rsidRPr="001B077F" w:rsidRDefault="004A28E0" w:rsidP="004A28E0">
            <w:pPr>
              <w:jc w:val="center"/>
              <w:rPr>
                <w:rFonts w:ascii="Times New Roman" w:hAnsi="Times New Roman" w:cs="Times New Roman"/>
                <w:sz w:val="20"/>
              </w:rPr>
            </w:pPr>
            <w:r w:rsidRPr="001B077F">
              <w:rPr>
                <w:rFonts w:ascii="Times New Roman" w:hAnsi="Times New Roman" w:cs="Times New Roman"/>
                <w:b/>
                <w:bCs/>
                <w:sz w:val="20"/>
              </w:rPr>
              <w:t>Podmiot zgłaszający</w:t>
            </w:r>
          </w:p>
        </w:tc>
        <w:tc>
          <w:tcPr>
            <w:tcW w:w="8180" w:type="dxa"/>
            <w:vAlign w:val="center"/>
          </w:tcPr>
          <w:p w14:paraId="3FB62641" w14:textId="1AAB41CB" w:rsidR="004A28E0" w:rsidRPr="001B077F" w:rsidRDefault="00141978" w:rsidP="004A28E0">
            <w:pPr>
              <w:jc w:val="center"/>
              <w:rPr>
                <w:rFonts w:ascii="Times New Roman" w:hAnsi="Times New Roman" w:cs="Times New Roman"/>
                <w:sz w:val="20"/>
              </w:rPr>
            </w:pPr>
            <w:r w:rsidRPr="001B077F">
              <w:rPr>
                <w:rFonts w:ascii="Times New Roman" w:hAnsi="Times New Roman" w:cs="Times New Roman"/>
                <w:b/>
                <w:bCs/>
                <w:sz w:val="20"/>
              </w:rPr>
              <w:t>U</w:t>
            </w:r>
            <w:r w:rsidR="004A28E0" w:rsidRPr="001B077F">
              <w:rPr>
                <w:rFonts w:ascii="Times New Roman" w:hAnsi="Times New Roman" w:cs="Times New Roman"/>
                <w:b/>
                <w:bCs/>
                <w:sz w:val="20"/>
              </w:rPr>
              <w:t>waga</w:t>
            </w:r>
            <w:r w:rsidRPr="001B077F">
              <w:rPr>
                <w:rFonts w:ascii="Times New Roman" w:hAnsi="Times New Roman" w:cs="Times New Roman"/>
                <w:b/>
                <w:bCs/>
                <w:sz w:val="20"/>
              </w:rPr>
              <w:t>/ Propozycja zmian zapisu</w:t>
            </w:r>
          </w:p>
        </w:tc>
      </w:tr>
      <w:tr w:rsidR="001B077F" w:rsidRPr="001B077F" w14:paraId="006689C0" w14:textId="77777777" w:rsidTr="00C33C1C">
        <w:trPr>
          <w:trHeight w:val="592"/>
          <w:jc w:val="center"/>
        </w:trPr>
        <w:tc>
          <w:tcPr>
            <w:tcW w:w="986" w:type="dxa"/>
          </w:tcPr>
          <w:p w14:paraId="69F5801F" w14:textId="77777777" w:rsidR="00E07721" w:rsidRPr="001B077F" w:rsidRDefault="00E07721" w:rsidP="00C33C1C">
            <w:pPr>
              <w:pStyle w:val="Akapitzlist"/>
              <w:numPr>
                <w:ilvl w:val="0"/>
                <w:numId w:val="11"/>
              </w:numPr>
              <w:jc w:val="center"/>
              <w:rPr>
                <w:rFonts w:ascii="Times New Roman" w:hAnsi="Times New Roman" w:cs="Times New Roman"/>
                <w:b/>
                <w:sz w:val="20"/>
              </w:rPr>
            </w:pPr>
          </w:p>
        </w:tc>
        <w:tc>
          <w:tcPr>
            <w:tcW w:w="2070" w:type="dxa"/>
          </w:tcPr>
          <w:p w14:paraId="08B5069C" w14:textId="77777777" w:rsidR="00E07721" w:rsidRPr="001B077F" w:rsidRDefault="00E07721" w:rsidP="00C33C1C">
            <w:pPr>
              <w:jc w:val="center"/>
              <w:rPr>
                <w:rFonts w:ascii="Times New Roman" w:hAnsi="Times New Roman" w:cs="Times New Roman"/>
                <w:sz w:val="20"/>
              </w:rPr>
            </w:pPr>
            <w:r w:rsidRPr="001B077F">
              <w:rPr>
                <w:rFonts w:ascii="Times New Roman" w:hAnsi="Times New Roman" w:cs="Times New Roman"/>
                <w:sz w:val="20"/>
              </w:rPr>
              <w:t>art. 1 pkt  1</w:t>
            </w:r>
          </w:p>
          <w:p w14:paraId="0A4111C3" w14:textId="72AF30B5" w:rsidR="00E07721" w:rsidRPr="001B077F" w:rsidRDefault="00E07721" w:rsidP="00C33C1C">
            <w:pPr>
              <w:spacing w:after="60"/>
              <w:jc w:val="center"/>
              <w:rPr>
                <w:rFonts w:ascii="Times New Roman" w:hAnsi="Times New Roman" w:cs="Times New Roman"/>
                <w:b/>
                <w:bCs/>
                <w:sz w:val="20"/>
              </w:rPr>
            </w:pPr>
            <w:r w:rsidRPr="001B077F">
              <w:rPr>
                <w:rFonts w:ascii="Times New Roman" w:hAnsi="Times New Roman" w:cs="Times New Roman"/>
                <w:sz w:val="20"/>
              </w:rPr>
              <w:t xml:space="preserve">art. 22(1c) § </w:t>
            </w:r>
            <w:r w:rsidR="00FB02CC" w:rsidRPr="001B077F">
              <w:rPr>
                <w:rFonts w:ascii="Times New Roman" w:hAnsi="Times New Roman" w:cs="Times New Roman"/>
                <w:sz w:val="20"/>
              </w:rPr>
              <w:t>1</w:t>
            </w:r>
            <w:r w:rsidRPr="001B077F">
              <w:rPr>
                <w:rFonts w:ascii="Times New Roman" w:hAnsi="Times New Roman" w:cs="Times New Roman"/>
                <w:sz w:val="20"/>
              </w:rPr>
              <w:t xml:space="preserve"> KP</w:t>
            </w:r>
          </w:p>
        </w:tc>
        <w:tc>
          <w:tcPr>
            <w:tcW w:w="2758" w:type="dxa"/>
          </w:tcPr>
          <w:p w14:paraId="7D5319E9" w14:textId="6FE361A1" w:rsidR="00E07721" w:rsidRPr="001B077F" w:rsidRDefault="00C33C1C" w:rsidP="00C33C1C">
            <w:pPr>
              <w:jc w:val="center"/>
              <w:rPr>
                <w:rFonts w:ascii="Times New Roman" w:hAnsi="Times New Roman" w:cs="Times New Roman"/>
                <w:b/>
                <w:bCs/>
                <w:sz w:val="20"/>
              </w:rPr>
            </w:pPr>
            <w:r w:rsidRPr="001B077F">
              <w:rPr>
                <w:rFonts w:ascii="Times New Roman" w:hAnsi="Times New Roman" w:cs="Times New Roman"/>
                <w:sz w:val="20"/>
              </w:rPr>
              <w:t>Konfederacja Lewiatan</w:t>
            </w:r>
          </w:p>
        </w:tc>
        <w:tc>
          <w:tcPr>
            <w:tcW w:w="8180" w:type="dxa"/>
            <w:vAlign w:val="center"/>
          </w:tcPr>
          <w:p w14:paraId="4D09D834" w14:textId="77777777" w:rsidR="00FB02CC" w:rsidRPr="001B077F" w:rsidRDefault="00FB02CC" w:rsidP="00FB02CC">
            <w:pPr>
              <w:rPr>
                <w:rFonts w:ascii="Times New Roman" w:hAnsi="Times New Roman" w:cs="Times New Roman"/>
                <w:sz w:val="20"/>
              </w:rPr>
            </w:pPr>
            <w:r w:rsidRPr="001B077F">
              <w:rPr>
                <w:rFonts w:ascii="Times New Roman" w:hAnsi="Times New Roman" w:cs="Times New Roman"/>
                <w:sz w:val="20"/>
              </w:rPr>
              <w:t>Proponuje się nadać następujące brzmienie art. 22(1c) § 1:</w:t>
            </w:r>
          </w:p>
          <w:p w14:paraId="20A703CD" w14:textId="4DF1B717" w:rsidR="00E07721" w:rsidRPr="001B077F" w:rsidRDefault="00FB02CC" w:rsidP="00FB02CC">
            <w:pPr>
              <w:rPr>
                <w:rFonts w:ascii="Times New Roman" w:hAnsi="Times New Roman" w:cs="Times New Roman"/>
                <w:sz w:val="20"/>
              </w:rPr>
            </w:pPr>
            <w:r w:rsidRPr="001B077F">
              <w:rPr>
                <w:rFonts w:ascii="Times New Roman" w:hAnsi="Times New Roman" w:cs="Times New Roman"/>
                <w:sz w:val="20"/>
              </w:rPr>
              <w:tab/>
            </w:r>
          </w:p>
          <w:p w14:paraId="43C53BB4" w14:textId="77777777" w:rsidR="00FB02CC" w:rsidRPr="001B077F" w:rsidRDefault="00FB02CC" w:rsidP="004A28E0">
            <w:pPr>
              <w:jc w:val="center"/>
              <w:rPr>
                <w:rFonts w:ascii="Times New Roman" w:hAnsi="Times New Roman" w:cs="Times New Roman"/>
                <w:sz w:val="20"/>
              </w:rPr>
            </w:pPr>
          </w:p>
          <w:p w14:paraId="79839446" w14:textId="77777777" w:rsidR="00E07721" w:rsidRPr="001B077F" w:rsidRDefault="00E07721" w:rsidP="00176BD2">
            <w:pPr>
              <w:jc w:val="both"/>
              <w:rPr>
                <w:rFonts w:ascii="Times New Roman" w:hAnsi="Times New Roman" w:cs="Times New Roman"/>
                <w:sz w:val="20"/>
              </w:rPr>
            </w:pPr>
            <w:r w:rsidRPr="001B077F">
              <w:rPr>
                <w:rFonts w:ascii="Times New Roman" w:hAnsi="Times New Roman" w:cs="Times New Roman"/>
                <w:strike/>
                <w:sz w:val="20"/>
              </w:rPr>
              <w:t>Jeżeli jest to niezbędne do</w:t>
            </w:r>
            <w:r w:rsidRPr="001B077F">
              <w:rPr>
                <w:rFonts w:ascii="Times New Roman" w:hAnsi="Times New Roman" w:cs="Times New Roman"/>
                <w:sz w:val="20"/>
              </w:rPr>
              <w:t xml:space="preserve"> </w:t>
            </w:r>
            <w:r w:rsidR="00FB02CC" w:rsidRPr="001B077F">
              <w:rPr>
                <w:rFonts w:ascii="Times New Roman" w:hAnsi="Times New Roman" w:cs="Times New Roman"/>
                <w:sz w:val="20"/>
              </w:rPr>
              <w:t xml:space="preserve">W celu </w:t>
            </w:r>
            <w:r w:rsidRPr="001B077F">
              <w:rPr>
                <w:rFonts w:ascii="Times New Roman" w:hAnsi="Times New Roman" w:cs="Times New Roman"/>
                <w:sz w:val="20"/>
              </w:rPr>
              <w:t xml:space="preserve">zapewnienia ochrony życia i zdrowia pracowników lub innych osób lub ochrony mienia </w:t>
            </w:r>
            <w:r w:rsidRPr="001B077F">
              <w:rPr>
                <w:rFonts w:ascii="Times New Roman" w:hAnsi="Times New Roman" w:cs="Times New Roman"/>
                <w:strike/>
                <w:sz w:val="20"/>
              </w:rPr>
              <w:t>pracodawcy</w:t>
            </w:r>
            <w:r w:rsidRPr="001B077F">
              <w:rPr>
                <w:rFonts w:ascii="Times New Roman" w:hAnsi="Times New Roman" w:cs="Times New Roman"/>
                <w:sz w:val="20"/>
              </w:rPr>
              <w:t>, pracodawca może wprowadzić kontrolę trzeźwości pracowników.</w:t>
            </w:r>
          </w:p>
          <w:p w14:paraId="68EB48DE" w14:textId="77777777" w:rsidR="00FB02CC" w:rsidRPr="001B077F" w:rsidRDefault="00FB02CC" w:rsidP="004A28E0">
            <w:pPr>
              <w:jc w:val="center"/>
              <w:rPr>
                <w:rFonts w:ascii="Times New Roman" w:hAnsi="Times New Roman" w:cs="Times New Roman"/>
                <w:sz w:val="20"/>
              </w:rPr>
            </w:pPr>
          </w:p>
          <w:p w14:paraId="40C7B405" w14:textId="77777777" w:rsidR="00FB02CC" w:rsidRPr="001B077F" w:rsidRDefault="00FB02CC" w:rsidP="00FB02CC">
            <w:pPr>
              <w:jc w:val="both"/>
              <w:rPr>
                <w:rFonts w:ascii="Times New Roman" w:hAnsi="Times New Roman" w:cs="Times New Roman"/>
                <w:sz w:val="20"/>
              </w:rPr>
            </w:pPr>
            <w:r w:rsidRPr="001B077F">
              <w:rPr>
                <w:rFonts w:ascii="Times New Roman" w:hAnsi="Times New Roman" w:cs="Times New Roman"/>
                <w:sz w:val="20"/>
              </w:rPr>
              <w:t>Uzasadnienie:</w:t>
            </w:r>
          </w:p>
          <w:p w14:paraId="750D3AF6" w14:textId="1D9290FD" w:rsidR="002251CD" w:rsidRPr="001B077F" w:rsidRDefault="00637B33" w:rsidP="00FB02CC">
            <w:pPr>
              <w:jc w:val="both"/>
              <w:rPr>
                <w:rFonts w:ascii="Times New Roman" w:hAnsi="Times New Roman" w:cs="Times New Roman"/>
                <w:sz w:val="20"/>
              </w:rPr>
            </w:pPr>
            <w:r w:rsidRPr="001B077F">
              <w:rPr>
                <w:rFonts w:ascii="Times New Roman" w:hAnsi="Times New Roman" w:cs="Times New Roman"/>
                <w:sz w:val="20"/>
              </w:rPr>
              <w:t>Zmiana redakcji przepisu jest konieczna z uwagi na zbytnie jego zawężenie do sytuacji, w której pracodawca celu nie może osiągnąć innymi metodami. Będąc odpowiedzialnym za stan bezpieczeństwa w zakładzie pracy pracodawca stosuje szereg czynności o charakterze organizacyjnym i nadzorczym, aby to bezpieczeństwo zapewnić. Bez wątpienia jedną z metod jest nadzór nad pracownikami, ale z racji postulatu, aby kontrolą objąć nie tylko pracowników celu tego nie da się w pełni zrealizować. Stąd też nie wydaje się być zasadnym dodatkowe podkreślanie przesłanki niezbędności.</w:t>
            </w:r>
          </w:p>
          <w:p w14:paraId="30393427" w14:textId="77777777" w:rsidR="00637B33" w:rsidRPr="001B077F" w:rsidRDefault="00637B33" w:rsidP="00FB02CC">
            <w:pPr>
              <w:jc w:val="both"/>
              <w:rPr>
                <w:rFonts w:ascii="Times New Roman" w:hAnsi="Times New Roman" w:cs="Times New Roman"/>
                <w:sz w:val="20"/>
              </w:rPr>
            </w:pPr>
          </w:p>
          <w:p w14:paraId="535F6FED" w14:textId="7D0E7C44" w:rsidR="002251CD" w:rsidRPr="001B077F" w:rsidRDefault="002251CD" w:rsidP="00FB02CC">
            <w:pPr>
              <w:jc w:val="both"/>
              <w:rPr>
                <w:rFonts w:ascii="Times New Roman" w:hAnsi="Times New Roman" w:cs="Times New Roman"/>
                <w:sz w:val="20"/>
              </w:rPr>
            </w:pPr>
            <w:r w:rsidRPr="001B077F">
              <w:rPr>
                <w:rFonts w:ascii="Times New Roman" w:hAnsi="Times New Roman" w:cs="Times New Roman"/>
                <w:sz w:val="20"/>
              </w:rPr>
              <w:t xml:space="preserve">Dodatkowo nie należy ograniczać zakresu zastosowania przepisu do mienia pracodawcy. </w:t>
            </w:r>
          </w:p>
          <w:p w14:paraId="2FC23D0E" w14:textId="49AD21C5" w:rsidR="001B716D" w:rsidRPr="001B077F" w:rsidRDefault="001B716D" w:rsidP="00FB02CC">
            <w:pPr>
              <w:jc w:val="both"/>
              <w:rPr>
                <w:rFonts w:ascii="Times New Roman" w:hAnsi="Times New Roman" w:cs="Times New Roman"/>
                <w:sz w:val="20"/>
              </w:rPr>
            </w:pPr>
          </w:p>
          <w:p w14:paraId="671D7DCC" w14:textId="0107D480" w:rsidR="001B716D" w:rsidRPr="001B077F" w:rsidRDefault="001B716D" w:rsidP="001B716D">
            <w:pPr>
              <w:pStyle w:val="Akapitzlist"/>
              <w:numPr>
                <w:ilvl w:val="0"/>
                <w:numId w:val="12"/>
              </w:numPr>
              <w:rPr>
                <w:rFonts w:ascii="Times New Roman" w:hAnsi="Times New Roman" w:cs="Times New Roman"/>
                <w:sz w:val="20"/>
              </w:rPr>
            </w:pPr>
            <w:r w:rsidRPr="001B077F">
              <w:rPr>
                <w:rFonts w:ascii="Times New Roman" w:hAnsi="Times New Roman" w:cs="Times New Roman"/>
                <w:sz w:val="20"/>
              </w:rPr>
              <w:t xml:space="preserve">odniesienie wyłącznie do mienia pracodawcy. Przesłanka została zawężona wyłącznie do ochrony mienia pracodawcy, a powinno być stosowane rozwiązanie jak przy monitoringu, tj. ochrony mienia w ogólności. </w:t>
            </w:r>
          </w:p>
          <w:p w14:paraId="716FE0B6" w14:textId="535B3F25" w:rsidR="001B716D" w:rsidRPr="001B077F" w:rsidRDefault="001B716D" w:rsidP="001B716D">
            <w:pPr>
              <w:pStyle w:val="Akapitzlist"/>
              <w:numPr>
                <w:ilvl w:val="0"/>
                <w:numId w:val="12"/>
              </w:numPr>
              <w:rPr>
                <w:rFonts w:ascii="Times New Roman" w:hAnsi="Times New Roman" w:cs="Times New Roman"/>
                <w:sz w:val="20"/>
              </w:rPr>
            </w:pPr>
            <w:r w:rsidRPr="001B077F">
              <w:rPr>
                <w:rFonts w:ascii="Times New Roman" w:hAnsi="Times New Roman" w:cs="Times New Roman"/>
                <w:sz w:val="20"/>
              </w:rPr>
              <w:t xml:space="preserve">szkody przez pracownika mogą zostać wyrządzone także w mieniu niebędącym mieniem pracodawcy, a znajdującym się na terenie pracodawcy, pod pieczą pracodawcy, powierzonym pracodawcy, np.: pomieszczenia biurowe nie zawsze są mieniem pracodawcy; firmy transportowe przewożą towary, który nie jest mieniem pracodawcy. </w:t>
            </w:r>
          </w:p>
          <w:p w14:paraId="6C0C8BA5" w14:textId="619EC43D" w:rsidR="001B716D" w:rsidRPr="001B077F" w:rsidRDefault="001B716D" w:rsidP="001B716D">
            <w:pPr>
              <w:pStyle w:val="Akapitzlist"/>
              <w:numPr>
                <w:ilvl w:val="0"/>
                <w:numId w:val="12"/>
              </w:numPr>
              <w:rPr>
                <w:rFonts w:ascii="Times New Roman" w:hAnsi="Times New Roman" w:cs="Times New Roman"/>
                <w:sz w:val="20"/>
              </w:rPr>
            </w:pPr>
            <w:r w:rsidRPr="001B077F">
              <w:rPr>
                <w:rFonts w:ascii="Times New Roman" w:hAnsi="Times New Roman" w:cs="Times New Roman"/>
                <w:sz w:val="20"/>
              </w:rPr>
              <w:t xml:space="preserve">pracodawca ponosi odpowiedzialność za zniszczone przez jego pracownika (podwładnego/osoby, której polecono wykonanie czynności) mienie należące do innych osób (np. art. 120 </w:t>
            </w:r>
            <w:proofErr w:type="spellStart"/>
            <w:r w:rsidRPr="001B077F">
              <w:rPr>
                <w:rFonts w:ascii="Times New Roman" w:hAnsi="Times New Roman" w:cs="Times New Roman"/>
                <w:sz w:val="20"/>
              </w:rPr>
              <w:t>k.p</w:t>
            </w:r>
            <w:proofErr w:type="spellEnd"/>
            <w:r w:rsidRPr="001B077F">
              <w:rPr>
                <w:rFonts w:ascii="Times New Roman" w:hAnsi="Times New Roman" w:cs="Times New Roman"/>
                <w:sz w:val="20"/>
              </w:rPr>
              <w:t>. oraz art. 429 i 430 k.c.)</w:t>
            </w:r>
          </w:p>
          <w:p w14:paraId="11F55AAF" w14:textId="02F284E9" w:rsidR="001B716D" w:rsidRPr="001B077F" w:rsidRDefault="001B716D" w:rsidP="001B716D">
            <w:pPr>
              <w:pStyle w:val="Akapitzlist"/>
              <w:numPr>
                <w:ilvl w:val="0"/>
                <w:numId w:val="12"/>
              </w:numPr>
              <w:jc w:val="both"/>
              <w:rPr>
                <w:rFonts w:ascii="Times New Roman" w:hAnsi="Times New Roman" w:cs="Times New Roman"/>
                <w:sz w:val="20"/>
              </w:rPr>
            </w:pPr>
            <w:r w:rsidRPr="001B077F">
              <w:rPr>
                <w:rFonts w:ascii="Times New Roman" w:hAnsi="Times New Roman" w:cs="Times New Roman"/>
                <w:sz w:val="20"/>
              </w:rPr>
              <w:t xml:space="preserve">z uzasadnienia na str. 3 i 6 wynika, że ustawodawca dostrzegł potrzebę ochrony mienia pracodawcy, z uwagi na grożące straty finansowe. Nie dostrzeżono, że pracodawca jest </w:t>
            </w:r>
            <w:r w:rsidRPr="001B077F">
              <w:rPr>
                <w:rFonts w:ascii="Times New Roman" w:hAnsi="Times New Roman" w:cs="Times New Roman"/>
                <w:sz w:val="20"/>
              </w:rPr>
              <w:lastRenderedPageBreak/>
              <w:t>odpowiedzialny również za szkody wyrządzone przez pracownika osobom trzecim, w tym na mieniu osób trzecich i z tego tytułu również grożą mu straty finansowe.</w:t>
            </w:r>
          </w:p>
          <w:p w14:paraId="7816090F" w14:textId="5339C973" w:rsidR="00FB02CC" w:rsidRPr="001B077F" w:rsidRDefault="00FB02CC" w:rsidP="00FB02CC">
            <w:pPr>
              <w:jc w:val="both"/>
              <w:rPr>
                <w:rFonts w:ascii="Times New Roman" w:hAnsi="Times New Roman" w:cs="Times New Roman"/>
                <w:sz w:val="20"/>
              </w:rPr>
            </w:pPr>
          </w:p>
        </w:tc>
      </w:tr>
      <w:tr w:rsidR="001B077F" w:rsidRPr="001B077F" w14:paraId="0DEADF53" w14:textId="77777777" w:rsidTr="00570123">
        <w:trPr>
          <w:trHeight w:val="592"/>
          <w:jc w:val="center"/>
        </w:trPr>
        <w:tc>
          <w:tcPr>
            <w:tcW w:w="986" w:type="dxa"/>
            <w:vAlign w:val="center"/>
          </w:tcPr>
          <w:p w14:paraId="7652E128" w14:textId="77777777" w:rsidR="00D64E16" w:rsidRPr="001B077F" w:rsidRDefault="00D64E16" w:rsidP="00E07721">
            <w:pPr>
              <w:pStyle w:val="Akapitzlist"/>
              <w:numPr>
                <w:ilvl w:val="0"/>
                <w:numId w:val="11"/>
              </w:numPr>
              <w:jc w:val="center"/>
              <w:rPr>
                <w:rFonts w:ascii="Times New Roman" w:hAnsi="Times New Roman" w:cs="Times New Roman"/>
                <w:b/>
                <w:sz w:val="20"/>
              </w:rPr>
            </w:pPr>
          </w:p>
        </w:tc>
        <w:tc>
          <w:tcPr>
            <w:tcW w:w="2070" w:type="dxa"/>
            <w:vAlign w:val="center"/>
          </w:tcPr>
          <w:p w14:paraId="5352C50D" w14:textId="77777777" w:rsidR="00D64E16" w:rsidRPr="001B077F" w:rsidRDefault="00D64E16" w:rsidP="00D64E16">
            <w:pPr>
              <w:jc w:val="center"/>
              <w:rPr>
                <w:rFonts w:ascii="Times New Roman" w:hAnsi="Times New Roman" w:cs="Times New Roman"/>
                <w:sz w:val="20"/>
              </w:rPr>
            </w:pPr>
            <w:r w:rsidRPr="001B077F">
              <w:rPr>
                <w:rFonts w:ascii="Times New Roman" w:hAnsi="Times New Roman" w:cs="Times New Roman"/>
                <w:sz w:val="20"/>
              </w:rPr>
              <w:t>art. 1 pkt  1</w:t>
            </w:r>
          </w:p>
          <w:p w14:paraId="6FEBC9E3" w14:textId="77777777" w:rsidR="00D64E16" w:rsidRPr="001B077F" w:rsidRDefault="00D64E16" w:rsidP="00D64E16">
            <w:pPr>
              <w:jc w:val="center"/>
              <w:rPr>
                <w:rFonts w:ascii="Times New Roman" w:hAnsi="Times New Roman" w:cs="Times New Roman"/>
                <w:sz w:val="20"/>
              </w:rPr>
            </w:pPr>
            <w:r w:rsidRPr="001B077F">
              <w:rPr>
                <w:rFonts w:ascii="Times New Roman" w:hAnsi="Times New Roman" w:cs="Times New Roman"/>
                <w:sz w:val="20"/>
              </w:rPr>
              <w:t>art. 22(1c) § 2 KP</w:t>
            </w:r>
          </w:p>
          <w:p w14:paraId="603ED81B" w14:textId="25ABCB5D" w:rsidR="00D64E16" w:rsidRPr="001B077F" w:rsidRDefault="00D64E16" w:rsidP="00D64E16">
            <w:pPr>
              <w:jc w:val="center"/>
              <w:rPr>
                <w:rFonts w:ascii="Times New Roman" w:hAnsi="Times New Roman" w:cs="Times New Roman"/>
                <w:sz w:val="20"/>
              </w:rPr>
            </w:pPr>
            <w:r w:rsidRPr="001B077F">
              <w:rPr>
                <w:rFonts w:ascii="Times New Roman" w:hAnsi="Times New Roman" w:cs="Times New Roman"/>
                <w:sz w:val="20"/>
              </w:rPr>
              <w:t>Kontrola trzeźwości, o której mowa w § 1, nie może naruszać godności oraz innych dóbr osobistych pracownika.</w:t>
            </w:r>
          </w:p>
          <w:p w14:paraId="6494A76D" w14:textId="43AD08FE" w:rsidR="00D64E16" w:rsidRPr="001B077F" w:rsidRDefault="00D64E16" w:rsidP="00D64E16">
            <w:pPr>
              <w:jc w:val="center"/>
              <w:rPr>
                <w:rFonts w:ascii="Times New Roman" w:hAnsi="Times New Roman" w:cs="Times New Roman"/>
                <w:sz w:val="20"/>
              </w:rPr>
            </w:pPr>
          </w:p>
        </w:tc>
        <w:tc>
          <w:tcPr>
            <w:tcW w:w="2758" w:type="dxa"/>
            <w:vAlign w:val="center"/>
          </w:tcPr>
          <w:p w14:paraId="35E7F004" w14:textId="476D5521" w:rsidR="00D64E16" w:rsidRPr="001B077F" w:rsidRDefault="00C33C1C" w:rsidP="004A28E0">
            <w:pPr>
              <w:jc w:val="center"/>
              <w:rPr>
                <w:rFonts w:ascii="Times New Roman" w:hAnsi="Times New Roman" w:cs="Times New Roman"/>
                <w:b/>
                <w:bCs/>
                <w:sz w:val="20"/>
              </w:rPr>
            </w:pPr>
            <w:r w:rsidRPr="001B077F">
              <w:rPr>
                <w:rFonts w:ascii="Times New Roman" w:hAnsi="Times New Roman" w:cs="Times New Roman"/>
                <w:sz w:val="20"/>
              </w:rPr>
              <w:t>Konfederacja Lewiatan</w:t>
            </w:r>
          </w:p>
        </w:tc>
        <w:tc>
          <w:tcPr>
            <w:tcW w:w="8180" w:type="dxa"/>
            <w:vAlign w:val="center"/>
          </w:tcPr>
          <w:p w14:paraId="1DEFA71E" w14:textId="4FFB576F" w:rsidR="00D64E16" w:rsidRPr="001B077F" w:rsidRDefault="00904715" w:rsidP="001B716D">
            <w:pPr>
              <w:rPr>
                <w:rFonts w:ascii="Times New Roman" w:hAnsi="Times New Roman" w:cs="Times New Roman"/>
                <w:sz w:val="20"/>
              </w:rPr>
            </w:pPr>
            <w:r w:rsidRPr="001B077F">
              <w:rPr>
                <w:rFonts w:ascii="Times New Roman" w:hAnsi="Times New Roman" w:cs="Times New Roman"/>
                <w:sz w:val="20"/>
              </w:rPr>
              <w:t>Generalną</w:t>
            </w:r>
            <w:r w:rsidR="00D64E16" w:rsidRPr="001B077F">
              <w:rPr>
                <w:rFonts w:ascii="Times New Roman" w:hAnsi="Times New Roman" w:cs="Times New Roman"/>
                <w:sz w:val="20"/>
              </w:rPr>
              <w:t xml:space="preserve"> </w:t>
            </w:r>
            <w:r w:rsidRPr="001B077F">
              <w:rPr>
                <w:rFonts w:ascii="Times New Roman" w:hAnsi="Times New Roman" w:cs="Times New Roman"/>
                <w:sz w:val="20"/>
              </w:rPr>
              <w:t>zasadę</w:t>
            </w:r>
            <w:r w:rsidR="00D64E16" w:rsidRPr="001B077F">
              <w:rPr>
                <w:rFonts w:ascii="Times New Roman" w:hAnsi="Times New Roman" w:cs="Times New Roman"/>
                <w:sz w:val="20"/>
              </w:rPr>
              <w:t xml:space="preserve"> poszanowania godności </w:t>
            </w:r>
            <w:r w:rsidRPr="001B077F">
              <w:rPr>
                <w:rFonts w:ascii="Times New Roman" w:hAnsi="Times New Roman" w:cs="Times New Roman"/>
                <w:sz w:val="20"/>
              </w:rPr>
              <w:t>pracownika wyrażono w</w:t>
            </w:r>
            <w:r w:rsidR="00D64E16" w:rsidRPr="001B077F">
              <w:rPr>
                <w:rFonts w:ascii="Times New Roman" w:hAnsi="Times New Roman" w:cs="Times New Roman"/>
                <w:sz w:val="20"/>
              </w:rPr>
              <w:t xml:space="preserve">  ar</w:t>
            </w:r>
            <w:r w:rsidRPr="001B077F">
              <w:rPr>
                <w:rFonts w:ascii="Times New Roman" w:hAnsi="Times New Roman" w:cs="Times New Roman"/>
                <w:sz w:val="20"/>
              </w:rPr>
              <w:t>t</w:t>
            </w:r>
            <w:r w:rsidR="00D64E16" w:rsidRPr="001B077F">
              <w:rPr>
                <w:rFonts w:ascii="Times New Roman" w:hAnsi="Times New Roman" w:cs="Times New Roman"/>
                <w:sz w:val="20"/>
              </w:rPr>
              <w:t xml:space="preserve">. </w:t>
            </w:r>
            <w:r w:rsidRPr="001B077F">
              <w:rPr>
                <w:rFonts w:ascii="Times New Roman" w:hAnsi="Times New Roman" w:cs="Times New Roman"/>
                <w:sz w:val="20"/>
              </w:rPr>
              <w:t xml:space="preserve">11(1) </w:t>
            </w:r>
            <w:proofErr w:type="spellStart"/>
            <w:r w:rsidRPr="001B077F">
              <w:rPr>
                <w:rFonts w:ascii="Times New Roman" w:hAnsi="Times New Roman" w:cs="Times New Roman"/>
                <w:sz w:val="20"/>
              </w:rPr>
              <w:t>k.p</w:t>
            </w:r>
            <w:proofErr w:type="spellEnd"/>
            <w:r w:rsidRPr="001B077F">
              <w:rPr>
                <w:rFonts w:ascii="Times New Roman" w:hAnsi="Times New Roman" w:cs="Times New Roman"/>
                <w:sz w:val="20"/>
              </w:rPr>
              <w:t xml:space="preserve">. Brak jest uzasadnienia dla powtarzania tej zasady po raz kolejny w </w:t>
            </w:r>
            <w:proofErr w:type="spellStart"/>
            <w:r w:rsidRPr="001B077F">
              <w:rPr>
                <w:rFonts w:ascii="Times New Roman" w:hAnsi="Times New Roman" w:cs="Times New Roman"/>
                <w:sz w:val="20"/>
              </w:rPr>
              <w:t>k.p</w:t>
            </w:r>
            <w:proofErr w:type="spellEnd"/>
            <w:r w:rsidRPr="001B077F">
              <w:rPr>
                <w:rFonts w:ascii="Times New Roman" w:hAnsi="Times New Roman" w:cs="Times New Roman"/>
                <w:sz w:val="20"/>
              </w:rPr>
              <w:t xml:space="preserve">. </w:t>
            </w:r>
          </w:p>
        </w:tc>
      </w:tr>
      <w:tr w:rsidR="001B077F" w:rsidRPr="001B077F" w14:paraId="526A0AC0" w14:textId="77777777" w:rsidTr="00C33C1C">
        <w:trPr>
          <w:trHeight w:val="592"/>
          <w:jc w:val="center"/>
        </w:trPr>
        <w:tc>
          <w:tcPr>
            <w:tcW w:w="986" w:type="dxa"/>
          </w:tcPr>
          <w:p w14:paraId="3C763B80" w14:textId="77777777" w:rsidR="00570123" w:rsidRPr="001B077F" w:rsidRDefault="00570123" w:rsidP="00570123">
            <w:pPr>
              <w:pStyle w:val="Akapitzlist"/>
              <w:numPr>
                <w:ilvl w:val="0"/>
                <w:numId w:val="11"/>
              </w:numPr>
              <w:jc w:val="center"/>
              <w:rPr>
                <w:rFonts w:ascii="Times New Roman" w:hAnsi="Times New Roman" w:cs="Times New Roman"/>
                <w:b/>
                <w:sz w:val="20"/>
              </w:rPr>
            </w:pPr>
          </w:p>
        </w:tc>
        <w:tc>
          <w:tcPr>
            <w:tcW w:w="2070" w:type="dxa"/>
          </w:tcPr>
          <w:p w14:paraId="15FC4346" w14:textId="77777777" w:rsidR="00570123" w:rsidRPr="001B077F" w:rsidRDefault="00570123" w:rsidP="00C33C1C">
            <w:pPr>
              <w:jc w:val="cente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w:t>
            </w:r>
          </w:p>
          <w:p w14:paraId="1ED57E29" w14:textId="09AD82F7" w:rsidR="00570123" w:rsidRPr="001B077F" w:rsidRDefault="00570123" w:rsidP="00C33C1C">
            <w:pPr>
              <w:jc w:val="center"/>
              <w:rPr>
                <w:rFonts w:ascii="Times New Roman" w:hAnsi="Times New Roman" w:cs="Times New Roman"/>
                <w:sz w:val="20"/>
                <w:lang w:val="de-DE"/>
              </w:rPr>
            </w:pPr>
            <w:r w:rsidRPr="001B077F">
              <w:rPr>
                <w:rFonts w:ascii="Times New Roman" w:hAnsi="Times New Roman" w:cs="Times New Roman"/>
                <w:sz w:val="20"/>
                <w:lang w:val="de-DE"/>
              </w:rPr>
              <w:t>art. 22(1c) § 4 KP</w:t>
            </w:r>
          </w:p>
        </w:tc>
        <w:tc>
          <w:tcPr>
            <w:tcW w:w="2758" w:type="dxa"/>
          </w:tcPr>
          <w:p w14:paraId="7F55AA81" w14:textId="6085E97D" w:rsidR="00570123" w:rsidRPr="001B077F" w:rsidRDefault="00570123" w:rsidP="00C33C1C">
            <w:pPr>
              <w:jc w:val="center"/>
              <w:rPr>
                <w:rFonts w:ascii="Times New Roman" w:hAnsi="Times New Roman" w:cs="Times New Roman"/>
                <w:b/>
                <w:bCs/>
                <w:sz w:val="20"/>
              </w:rPr>
            </w:pPr>
            <w:r w:rsidRPr="001B077F">
              <w:rPr>
                <w:rFonts w:ascii="Times New Roman" w:hAnsi="Times New Roman" w:cs="Times New Roman"/>
                <w:sz w:val="20"/>
              </w:rPr>
              <w:t>Konfederacja Lewiatan</w:t>
            </w:r>
          </w:p>
        </w:tc>
        <w:tc>
          <w:tcPr>
            <w:tcW w:w="8180" w:type="dxa"/>
          </w:tcPr>
          <w:p w14:paraId="0C5B3D40" w14:textId="77777777" w:rsidR="00570123" w:rsidRPr="001B077F" w:rsidRDefault="00570123" w:rsidP="00570123">
            <w:pPr>
              <w:ind w:left="720"/>
              <w:jc w:val="both"/>
              <w:rPr>
                <w:rFonts w:asciiTheme="majorBidi" w:eastAsia="Calibri" w:hAnsiTheme="majorBidi" w:cstheme="majorBidi"/>
                <w:sz w:val="20"/>
                <w:szCs w:val="20"/>
                <w:lang w:eastAsia="pl-PL"/>
              </w:rPr>
            </w:pPr>
          </w:p>
          <w:p w14:paraId="234975C0" w14:textId="77777777" w:rsidR="00570123" w:rsidRPr="001B077F" w:rsidRDefault="00570123" w:rsidP="00570123">
            <w:pPr>
              <w:numPr>
                <w:ilvl w:val="0"/>
                <w:numId w:val="14"/>
              </w:numPr>
              <w:jc w:val="both"/>
              <w:rPr>
                <w:rFonts w:asciiTheme="majorBidi" w:eastAsia="Times New Roman" w:hAnsiTheme="majorBidi" w:cstheme="majorBidi"/>
                <w:sz w:val="20"/>
                <w:szCs w:val="20"/>
                <w:lang w:eastAsia="pl-PL"/>
              </w:rPr>
            </w:pPr>
            <w:r w:rsidRPr="001B077F">
              <w:rPr>
                <w:rFonts w:asciiTheme="majorBidi" w:eastAsia="Times New Roman" w:hAnsiTheme="majorBidi" w:cstheme="majorBidi"/>
                <w:sz w:val="20"/>
                <w:szCs w:val="20"/>
                <w:lang w:eastAsia="pl-PL"/>
              </w:rPr>
              <w:t>po stronie pracodawców pojawia się szereg wątpliwości w zakresie stwierdzenia obecności alkoholu a stanu po użyciu alkoholu, uprawnień, obowiązków w  tym zakresie.</w:t>
            </w:r>
          </w:p>
          <w:p w14:paraId="543714C0" w14:textId="77777777" w:rsidR="00570123" w:rsidRPr="001B077F" w:rsidRDefault="00570123" w:rsidP="00570123">
            <w:pPr>
              <w:numPr>
                <w:ilvl w:val="0"/>
                <w:numId w:val="14"/>
              </w:numPr>
              <w:jc w:val="both"/>
              <w:rPr>
                <w:rFonts w:asciiTheme="majorBidi" w:eastAsia="Times New Roman" w:hAnsiTheme="majorBidi" w:cstheme="majorBidi"/>
                <w:sz w:val="20"/>
                <w:szCs w:val="20"/>
                <w:lang w:eastAsia="pl-PL"/>
              </w:rPr>
            </w:pPr>
            <w:r w:rsidRPr="001B077F">
              <w:rPr>
                <w:rFonts w:asciiTheme="majorBidi" w:eastAsia="Times New Roman" w:hAnsiTheme="majorBidi" w:cstheme="majorBidi"/>
                <w:sz w:val="20"/>
                <w:szCs w:val="20"/>
                <w:lang w:eastAsia="pl-PL"/>
              </w:rPr>
              <w:t xml:space="preserve">istnieje niespójność między: tekstem projektu ustawy a tekstem jej uzasadnienia oraz tekstem rozporządzenia. </w:t>
            </w:r>
          </w:p>
          <w:p w14:paraId="6023E6F6" w14:textId="77777777" w:rsidR="00570123" w:rsidRPr="001B077F" w:rsidRDefault="00570123" w:rsidP="00570123">
            <w:pPr>
              <w:numPr>
                <w:ilvl w:val="0"/>
                <w:numId w:val="14"/>
              </w:numPr>
              <w:jc w:val="both"/>
              <w:rPr>
                <w:rFonts w:asciiTheme="majorBidi" w:eastAsia="Times New Roman" w:hAnsiTheme="majorBidi" w:cstheme="majorBidi"/>
                <w:sz w:val="20"/>
                <w:szCs w:val="20"/>
                <w:u w:val="single"/>
                <w:lang w:eastAsia="pl-PL"/>
              </w:rPr>
            </w:pPr>
            <w:r w:rsidRPr="001B077F">
              <w:rPr>
                <w:rFonts w:asciiTheme="majorBidi" w:eastAsia="Times New Roman" w:hAnsiTheme="majorBidi" w:cstheme="majorBidi"/>
                <w:sz w:val="20"/>
                <w:szCs w:val="20"/>
                <w:lang w:eastAsia="pl-PL"/>
              </w:rPr>
              <w:t>z jednej strony założeniem ustawodawcy jest, aby badanie przeprowadzane przez pracodawcę miało dotyczyć jedynie obecności alkoholu (przy użyciu urządzenia, które nie wskazuje stężenia alkoholu w wydychanym powietrzu - str. 6 uzasadnienia), z drugiej strony zastosowania sankcji, o której mowa w projektowanym art. 22</w:t>
            </w:r>
            <w:r w:rsidRPr="001B077F">
              <w:rPr>
                <w:rFonts w:asciiTheme="majorBidi" w:eastAsia="Times New Roman" w:hAnsiTheme="majorBidi" w:cstheme="majorBidi"/>
                <w:sz w:val="20"/>
                <w:szCs w:val="20"/>
                <w:vertAlign w:val="superscript"/>
                <w:lang w:eastAsia="pl-PL"/>
              </w:rPr>
              <w:t>1d</w:t>
            </w:r>
            <w:r w:rsidRPr="001B077F">
              <w:rPr>
                <w:rFonts w:asciiTheme="majorBidi" w:eastAsia="Times New Roman" w:hAnsiTheme="majorBidi" w:cstheme="majorBidi"/>
                <w:sz w:val="20"/>
                <w:szCs w:val="20"/>
                <w:lang w:eastAsia="pl-PL"/>
              </w:rPr>
              <w:t xml:space="preserve"> w postaci niedopuszczenia pracownika do pracy wymagane jest aby kontrola prewencyjna wykazała obecność alkoholu w organizmie pracownika, </w:t>
            </w:r>
            <w:r w:rsidRPr="001B077F">
              <w:rPr>
                <w:rFonts w:asciiTheme="majorBidi" w:eastAsia="Times New Roman" w:hAnsiTheme="majorBidi" w:cstheme="majorBidi"/>
                <w:sz w:val="20"/>
                <w:szCs w:val="20"/>
                <w:u w:val="single"/>
                <w:lang w:eastAsia="pl-PL"/>
              </w:rPr>
              <w:t xml:space="preserve">wskazującą na stan po użyciu alkoholu.  </w:t>
            </w:r>
          </w:p>
          <w:p w14:paraId="5C6043B5" w14:textId="77777777" w:rsidR="00570123" w:rsidRPr="001B077F" w:rsidRDefault="00570123" w:rsidP="00570123">
            <w:pPr>
              <w:ind w:left="360"/>
              <w:jc w:val="both"/>
              <w:rPr>
                <w:rFonts w:asciiTheme="majorBidi" w:eastAsia="Times New Roman" w:hAnsiTheme="majorBidi" w:cstheme="majorBidi"/>
                <w:sz w:val="20"/>
                <w:szCs w:val="20"/>
                <w:lang w:eastAsia="pl-PL"/>
              </w:rPr>
            </w:pPr>
          </w:p>
          <w:p w14:paraId="74125682" w14:textId="77777777" w:rsidR="00570123" w:rsidRPr="001B077F" w:rsidRDefault="00570123" w:rsidP="00570123">
            <w:pPr>
              <w:numPr>
                <w:ilvl w:val="1"/>
                <w:numId w:val="15"/>
              </w:numPr>
              <w:jc w:val="both"/>
              <w:rPr>
                <w:rFonts w:asciiTheme="majorBidi" w:eastAsia="Times New Roman" w:hAnsiTheme="majorBidi" w:cstheme="majorBidi"/>
                <w:sz w:val="20"/>
                <w:szCs w:val="20"/>
                <w:lang w:eastAsia="pl-PL"/>
              </w:rPr>
            </w:pPr>
            <w:r w:rsidRPr="001B077F">
              <w:rPr>
                <w:rFonts w:asciiTheme="majorBidi" w:eastAsia="Times New Roman" w:hAnsiTheme="majorBidi" w:cstheme="majorBidi"/>
                <w:sz w:val="20"/>
                <w:szCs w:val="20"/>
                <w:lang w:eastAsia="pl-PL"/>
              </w:rPr>
              <w:t xml:space="preserve">Niespójność w tekście uzasadnienia (str. 6): </w:t>
            </w:r>
            <w:r w:rsidRPr="001B077F">
              <w:rPr>
                <w:rFonts w:asciiTheme="majorBidi" w:eastAsia="Times New Roman" w:hAnsiTheme="majorBidi" w:cstheme="majorBidi"/>
                <w:i/>
                <w:iCs/>
                <w:sz w:val="20"/>
                <w:szCs w:val="20"/>
                <w:lang w:eastAsia="pl-PL"/>
              </w:rPr>
              <w:t xml:space="preserve">przewidziano możliwość przeprowadzania przez pracodawcę badania na obecność alkoholu lub środków działających podobnie do alkoholu, </w:t>
            </w:r>
            <w:r w:rsidRPr="001B077F">
              <w:rPr>
                <w:rFonts w:asciiTheme="majorBidi" w:eastAsia="Times New Roman" w:hAnsiTheme="majorBidi" w:cstheme="majorBidi"/>
                <w:i/>
                <w:iCs/>
                <w:sz w:val="20"/>
                <w:szCs w:val="20"/>
                <w:u w:val="single"/>
                <w:lang w:eastAsia="pl-PL"/>
              </w:rPr>
              <w:t>nie zaś ich zawartość</w:t>
            </w:r>
            <w:r w:rsidRPr="001B077F">
              <w:rPr>
                <w:rFonts w:asciiTheme="majorBidi" w:eastAsia="Times New Roman" w:hAnsiTheme="majorBidi" w:cstheme="majorBidi"/>
                <w:i/>
                <w:iCs/>
                <w:sz w:val="20"/>
                <w:szCs w:val="20"/>
                <w:lang w:eastAsia="pl-PL"/>
              </w:rPr>
              <w:t xml:space="preserve"> w organizmie pracownika. (…) oznaczenie stężenia środka działającego podobnie do alkoholu w organizmie jest możliwe jedynie za pomocą badania laboratoryjnego. Wobec tego pracodawca, w toku przeprowadzanej kontroli na obecność środków działających podobnie do alkoholu, nie będzie miał takiej możliwości. </w:t>
            </w:r>
          </w:p>
          <w:p w14:paraId="7E8DBEAC" w14:textId="77777777" w:rsidR="00570123" w:rsidRPr="001B077F" w:rsidRDefault="00570123" w:rsidP="00570123">
            <w:pPr>
              <w:ind w:left="360"/>
              <w:jc w:val="both"/>
              <w:rPr>
                <w:rFonts w:asciiTheme="majorBidi" w:eastAsia="Times New Roman" w:hAnsiTheme="majorBidi" w:cstheme="majorBidi"/>
                <w:sz w:val="20"/>
                <w:szCs w:val="20"/>
                <w:lang w:eastAsia="pl-PL"/>
              </w:rPr>
            </w:pPr>
          </w:p>
          <w:p w14:paraId="1ED8B9A8" w14:textId="77777777" w:rsidR="00570123" w:rsidRPr="001B077F" w:rsidRDefault="00570123" w:rsidP="00570123">
            <w:pPr>
              <w:numPr>
                <w:ilvl w:val="1"/>
                <w:numId w:val="15"/>
              </w:numPr>
              <w:jc w:val="both"/>
              <w:rPr>
                <w:rFonts w:asciiTheme="majorBidi" w:eastAsia="Times New Roman" w:hAnsiTheme="majorBidi" w:cstheme="majorBidi"/>
                <w:sz w:val="20"/>
                <w:szCs w:val="20"/>
                <w:lang w:eastAsia="pl-PL"/>
              </w:rPr>
            </w:pPr>
            <w:r w:rsidRPr="001B077F">
              <w:rPr>
                <w:rFonts w:asciiTheme="majorBidi" w:eastAsia="Times New Roman" w:hAnsiTheme="majorBidi" w:cstheme="majorBidi"/>
                <w:sz w:val="20"/>
                <w:szCs w:val="20"/>
                <w:lang w:eastAsia="pl-PL"/>
              </w:rPr>
              <w:t>Z kolei na str. 11 uzasadnienia:</w:t>
            </w:r>
            <w:r w:rsidRPr="001B077F">
              <w:rPr>
                <w:rFonts w:asciiTheme="majorBidi" w:eastAsia="Times New Roman" w:hAnsiTheme="majorBidi" w:cstheme="majorBidi"/>
                <w:i/>
                <w:iCs/>
                <w:sz w:val="20"/>
                <w:szCs w:val="20"/>
                <w:lang w:eastAsia="pl-PL"/>
              </w:rPr>
              <w:t xml:space="preserve"> Zgodnie z projektowanym art. 22</w:t>
            </w:r>
            <w:r w:rsidRPr="001B077F">
              <w:rPr>
                <w:rFonts w:asciiTheme="majorBidi" w:eastAsia="Times New Roman" w:hAnsiTheme="majorBidi" w:cstheme="majorBidi"/>
                <w:i/>
                <w:iCs/>
                <w:sz w:val="20"/>
                <w:szCs w:val="20"/>
                <w:vertAlign w:val="superscript"/>
                <w:lang w:eastAsia="pl-PL"/>
              </w:rPr>
              <w:t>1d</w:t>
            </w:r>
            <w:r w:rsidRPr="001B077F">
              <w:rPr>
                <w:rFonts w:asciiTheme="majorBidi" w:eastAsia="Times New Roman" w:hAnsiTheme="majorBidi" w:cstheme="majorBidi"/>
                <w:i/>
                <w:iCs/>
                <w:sz w:val="20"/>
                <w:szCs w:val="20"/>
                <w:lang w:eastAsia="pl-PL"/>
              </w:rPr>
              <w:t xml:space="preserve"> </w:t>
            </w:r>
            <w:proofErr w:type="spellStart"/>
            <w:r w:rsidRPr="001B077F">
              <w:rPr>
                <w:rFonts w:asciiTheme="majorBidi" w:eastAsia="Times New Roman" w:hAnsiTheme="majorBidi" w:cstheme="majorBidi"/>
                <w:i/>
                <w:iCs/>
                <w:sz w:val="20"/>
                <w:szCs w:val="20"/>
                <w:lang w:eastAsia="pl-PL"/>
              </w:rPr>
              <w:t>k.p</w:t>
            </w:r>
            <w:proofErr w:type="spellEnd"/>
            <w:r w:rsidRPr="001B077F">
              <w:rPr>
                <w:rFonts w:asciiTheme="majorBidi" w:eastAsia="Times New Roman" w:hAnsiTheme="majorBidi" w:cstheme="majorBidi"/>
                <w:i/>
                <w:iCs/>
                <w:sz w:val="20"/>
                <w:szCs w:val="20"/>
                <w:lang w:eastAsia="pl-PL"/>
              </w:rPr>
              <w:t xml:space="preserve">. pracodawca nie dopuszcza do wykonywania pracy pracownika, jeżeli przeprowadzona przez pracodawcę kontrola trzeźwości wykaże obecność alkoholu w organizmie pracownika, </w:t>
            </w:r>
            <w:r w:rsidRPr="001B077F">
              <w:rPr>
                <w:rFonts w:asciiTheme="majorBidi" w:eastAsia="Times New Roman" w:hAnsiTheme="majorBidi" w:cstheme="majorBidi"/>
                <w:i/>
                <w:iCs/>
                <w:sz w:val="20"/>
                <w:szCs w:val="20"/>
                <w:u w:val="single"/>
                <w:lang w:eastAsia="pl-PL"/>
              </w:rPr>
              <w:t>wskazującą na stan po użyciu alkoholu</w:t>
            </w:r>
            <w:r w:rsidRPr="001B077F">
              <w:rPr>
                <w:rFonts w:asciiTheme="majorBidi" w:eastAsia="Times New Roman" w:hAnsiTheme="majorBidi" w:cstheme="majorBidi"/>
                <w:i/>
                <w:iCs/>
                <w:sz w:val="20"/>
                <w:szCs w:val="20"/>
                <w:lang w:eastAsia="pl-PL"/>
              </w:rPr>
              <w:t xml:space="preserve"> – w rozumieniu art. 46 ust. 2 ustawy z dnia 26 października 1982 r. o wychowaniu w trzeźwości i przeciwdziałaniu alkoholizmowi.  </w:t>
            </w:r>
            <w:r w:rsidRPr="001B077F">
              <w:rPr>
                <w:rFonts w:asciiTheme="majorBidi" w:eastAsia="Times New Roman" w:hAnsiTheme="majorBidi" w:cstheme="majorBidi"/>
                <w:i/>
                <w:iCs/>
                <w:sz w:val="20"/>
                <w:szCs w:val="20"/>
                <w:lang w:eastAsia="pl-PL"/>
              </w:rPr>
              <w:sym w:font="Wingdings" w:char="F0E0"/>
            </w:r>
            <w:r w:rsidRPr="001B077F">
              <w:rPr>
                <w:rFonts w:asciiTheme="majorBidi" w:eastAsia="Times New Roman" w:hAnsiTheme="majorBidi" w:cstheme="majorBidi"/>
                <w:i/>
                <w:iCs/>
                <w:sz w:val="20"/>
                <w:szCs w:val="20"/>
                <w:lang w:eastAsia="pl-PL"/>
              </w:rPr>
              <w:t xml:space="preserve"> </w:t>
            </w:r>
            <w:r w:rsidRPr="001B077F">
              <w:rPr>
                <w:rFonts w:asciiTheme="majorBidi" w:eastAsia="Times New Roman" w:hAnsiTheme="majorBidi" w:cstheme="majorBidi"/>
                <w:sz w:val="20"/>
                <w:szCs w:val="20"/>
                <w:lang w:eastAsia="pl-PL"/>
              </w:rPr>
              <w:t xml:space="preserve">aby stwierdzić tą przesłankę </w:t>
            </w:r>
            <w:r w:rsidRPr="001B077F">
              <w:rPr>
                <w:rFonts w:asciiTheme="majorBidi" w:eastAsia="Times New Roman" w:hAnsiTheme="majorBidi" w:cstheme="majorBidi"/>
                <w:sz w:val="20"/>
                <w:szCs w:val="20"/>
                <w:lang w:eastAsia="pl-PL"/>
              </w:rPr>
              <w:lastRenderedPageBreak/>
              <w:t>konieczny jest wynik badania w postaci konkretnego wskazania stężenia alkoholu w wydychanym powietrzu.</w:t>
            </w:r>
            <w:r w:rsidRPr="001B077F">
              <w:rPr>
                <w:rFonts w:asciiTheme="majorBidi" w:eastAsia="Times New Roman" w:hAnsiTheme="majorBidi" w:cstheme="majorBidi"/>
                <w:i/>
                <w:iCs/>
                <w:sz w:val="20"/>
                <w:szCs w:val="20"/>
                <w:lang w:eastAsia="pl-PL"/>
              </w:rPr>
              <w:t xml:space="preserve"> </w:t>
            </w:r>
          </w:p>
          <w:p w14:paraId="7B572E88" w14:textId="77777777" w:rsidR="00570123" w:rsidRPr="001B077F" w:rsidRDefault="00570123" w:rsidP="00570123">
            <w:pPr>
              <w:ind w:left="720"/>
              <w:rPr>
                <w:rFonts w:asciiTheme="majorBidi" w:eastAsia="Times New Roman" w:hAnsiTheme="majorBidi" w:cstheme="majorBidi"/>
                <w:sz w:val="20"/>
                <w:szCs w:val="20"/>
                <w:lang w:eastAsia="pl-PL"/>
              </w:rPr>
            </w:pPr>
          </w:p>
          <w:p w14:paraId="3015F617" w14:textId="1D7E28D3" w:rsidR="00630026" w:rsidRPr="001B077F" w:rsidRDefault="00630026" w:rsidP="00570123">
            <w:pPr>
              <w:numPr>
                <w:ilvl w:val="1"/>
                <w:numId w:val="15"/>
              </w:numPr>
              <w:jc w:val="both"/>
              <w:rPr>
                <w:rFonts w:asciiTheme="majorBidi" w:eastAsia="Times New Roman" w:hAnsiTheme="majorBidi" w:cstheme="majorBidi"/>
                <w:i/>
                <w:iCs/>
                <w:sz w:val="20"/>
                <w:szCs w:val="20"/>
                <w:lang w:eastAsia="pl-PL"/>
              </w:rPr>
            </w:pPr>
            <w:r w:rsidRPr="001B077F">
              <w:rPr>
                <w:rFonts w:asciiTheme="majorBidi" w:eastAsia="Times New Roman" w:hAnsiTheme="majorBidi" w:cstheme="majorBidi"/>
                <w:sz w:val="20"/>
                <w:szCs w:val="20"/>
                <w:lang w:eastAsia="pl-PL"/>
              </w:rPr>
              <w:t xml:space="preserve"> art. 22(1d) §2 stanowi natomiast, iż </w:t>
            </w:r>
            <w:r w:rsidRPr="001B077F">
              <w:rPr>
                <w:rFonts w:asciiTheme="majorBidi" w:eastAsia="Times New Roman" w:hAnsiTheme="majorBidi" w:cstheme="majorBidi"/>
                <w:i/>
                <w:iCs/>
                <w:sz w:val="20"/>
                <w:szCs w:val="20"/>
                <w:lang w:eastAsia="pl-PL"/>
              </w:rPr>
              <w:t xml:space="preserve">Okres niedopuszczenia pracownika do wykonywania pracy jest okresem usprawiedliwionej nieobecności w pracy, za który – w przypadku uzyskania </w:t>
            </w:r>
            <w:r w:rsidRPr="001B077F">
              <w:rPr>
                <w:rFonts w:asciiTheme="majorBidi" w:eastAsia="Times New Roman" w:hAnsiTheme="majorBidi" w:cstheme="majorBidi"/>
                <w:b/>
                <w:bCs/>
                <w:i/>
                <w:iCs/>
                <w:sz w:val="20"/>
                <w:szCs w:val="20"/>
                <w:lang w:eastAsia="pl-PL"/>
              </w:rPr>
              <w:t>wyniku badania stwierdzającego brak alkoholu w organizmie pracownika</w:t>
            </w:r>
            <w:r w:rsidRPr="001B077F">
              <w:rPr>
                <w:rFonts w:asciiTheme="majorBidi" w:eastAsia="Times New Roman" w:hAnsiTheme="majorBidi" w:cstheme="majorBidi"/>
                <w:i/>
                <w:iCs/>
                <w:sz w:val="20"/>
                <w:szCs w:val="20"/>
                <w:lang w:eastAsia="pl-PL"/>
              </w:rPr>
              <w:t xml:space="preserve"> – pracownik zachowuje prawo do wynagrodzenia.</w:t>
            </w:r>
            <w:r w:rsidR="0062392C" w:rsidRPr="001B077F">
              <w:rPr>
                <w:rFonts w:asciiTheme="majorBidi" w:eastAsia="Times New Roman" w:hAnsiTheme="majorBidi" w:cstheme="majorBidi"/>
                <w:i/>
                <w:iCs/>
                <w:sz w:val="20"/>
                <w:szCs w:val="20"/>
                <w:lang w:eastAsia="pl-PL"/>
              </w:rPr>
              <w:t xml:space="preserve">- </w:t>
            </w:r>
            <w:r w:rsidR="0062392C" w:rsidRPr="001B077F">
              <w:rPr>
                <w:rFonts w:asciiTheme="majorBidi" w:eastAsia="Times New Roman" w:hAnsiTheme="majorBidi" w:cstheme="majorBidi"/>
                <w:sz w:val="20"/>
                <w:szCs w:val="20"/>
                <w:lang w:eastAsia="pl-PL"/>
              </w:rPr>
              <w:t xml:space="preserve">co w przypadku stwierdzenia alkoholu, ale nie stanu po użyciu alkoholu. </w:t>
            </w:r>
          </w:p>
          <w:p w14:paraId="4ED1972F" w14:textId="77777777" w:rsidR="00630026" w:rsidRPr="001B077F" w:rsidRDefault="00630026" w:rsidP="00630026">
            <w:pPr>
              <w:ind w:left="1440"/>
              <w:jc w:val="both"/>
              <w:rPr>
                <w:rFonts w:asciiTheme="majorBidi" w:eastAsia="Times New Roman" w:hAnsiTheme="majorBidi" w:cstheme="majorBidi"/>
                <w:i/>
                <w:iCs/>
                <w:sz w:val="20"/>
                <w:szCs w:val="20"/>
                <w:lang w:eastAsia="pl-PL"/>
              </w:rPr>
            </w:pPr>
          </w:p>
          <w:p w14:paraId="5AA102B4" w14:textId="18CA27BA" w:rsidR="00570123" w:rsidRPr="001B077F" w:rsidRDefault="00570123" w:rsidP="00570123">
            <w:pPr>
              <w:numPr>
                <w:ilvl w:val="1"/>
                <w:numId w:val="15"/>
              </w:numPr>
              <w:jc w:val="both"/>
              <w:rPr>
                <w:rFonts w:asciiTheme="majorBidi" w:eastAsia="Times New Roman" w:hAnsiTheme="majorBidi" w:cstheme="majorBidi"/>
                <w:i/>
                <w:iCs/>
                <w:sz w:val="20"/>
                <w:szCs w:val="20"/>
                <w:lang w:eastAsia="pl-PL"/>
              </w:rPr>
            </w:pPr>
            <w:r w:rsidRPr="001B077F">
              <w:rPr>
                <w:rFonts w:asciiTheme="majorBidi" w:eastAsia="Times New Roman" w:hAnsiTheme="majorBidi" w:cstheme="majorBidi"/>
                <w:sz w:val="20"/>
                <w:szCs w:val="20"/>
                <w:lang w:eastAsia="pl-PL"/>
              </w:rPr>
              <w:t>Dodatkowo zgodnie z projektowanym art. 22</w:t>
            </w:r>
            <w:r w:rsidRPr="001B077F">
              <w:rPr>
                <w:rFonts w:asciiTheme="majorBidi" w:eastAsia="Times New Roman" w:hAnsiTheme="majorBidi" w:cstheme="majorBidi"/>
                <w:sz w:val="20"/>
                <w:szCs w:val="20"/>
                <w:vertAlign w:val="superscript"/>
                <w:lang w:eastAsia="pl-PL"/>
              </w:rPr>
              <w:t xml:space="preserve">1d </w:t>
            </w:r>
            <w:r w:rsidRPr="001B077F">
              <w:rPr>
                <w:rFonts w:asciiTheme="majorBidi" w:eastAsia="Times New Roman" w:hAnsiTheme="majorBidi" w:cstheme="majorBidi"/>
                <w:sz w:val="20"/>
                <w:szCs w:val="20"/>
                <w:lang w:eastAsia="pl-PL"/>
              </w:rPr>
              <w:t xml:space="preserve">§2 pracodawca ma obowiązek przekazać pracownikowi do wiadomości okoliczności stanowiące podstawę niedopuszczenia pracownika do wykonywania pracy </w:t>
            </w:r>
            <w:r w:rsidRPr="001B077F">
              <w:rPr>
                <w:rFonts w:asciiTheme="majorBidi" w:eastAsia="Times New Roman" w:hAnsiTheme="majorBidi" w:cstheme="majorBidi"/>
                <w:sz w:val="20"/>
                <w:szCs w:val="20"/>
                <w:lang w:eastAsia="pl-PL"/>
              </w:rPr>
              <w:sym w:font="Wingdings" w:char="F0E0"/>
            </w:r>
            <w:r w:rsidRPr="001B077F">
              <w:rPr>
                <w:rFonts w:asciiTheme="majorBidi" w:eastAsia="Times New Roman" w:hAnsiTheme="majorBidi" w:cstheme="majorBidi"/>
                <w:i/>
                <w:iCs/>
                <w:sz w:val="20"/>
                <w:szCs w:val="20"/>
                <w:lang w:eastAsia="pl-PL"/>
              </w:rPr>
              <w:t xml:space="preserve"> </w:t>
            </w:r>
            <w:r w:rsidRPr="001B077F">
              <w:rPr>
                <w:rFonts w:asciiTheme="majorBidi" w:eastAsia="Times New Roman" w:hAnsiTheme="majorBidi" w:cstheme="majorBidi"/>
                <w:sz w:val="20"/>
                <w:szCs w:val="20"/>
                <w:u w:val="single"/>
                <w:lang w:eastAsia="pl-PL"/>
              </w:rPr>
              <w:t>brak informacji czy chodzi również o wynik badania</w:t>
            </w:r>
            <w:r w:rsidRPr="001B077F">
              <w:rPr>
                <w:rFonts w:asciiTheme="majorBidi" w:eastAsia="Times New Roman" w:hAnsiTheme="majorBidi" w:cstheme="majorBidi"/>
                <w:sz w:val="20"/>
                <w:szCs w:val="20"/>
                <w:lang w:eastAsia="pl-PL"/>
              </w:rPr>
              <w:t xml:space="preserve">? Należy rozumieć, że tak aby udowodnić pracownikowi, dlaczego nie jest dopuszczony do pracy. Istotne jest by również pracodawca mógł przeprowadzić badanie pozwalające na uzyskanie wyniku. </w:t>
            </w:r>
          </w:p>
          <w:p w14:paraId="0EF2A846" w14:textId="77777777" w:rsidR="00630026" w:rsidRPr="001B077F" w:rsidRDefault="00630026" w:rsidP="00630026">
            <w:pPr>
              <w:jc w:val="both"/>
              <w:rPr>
                <w:rFonts w:asciiTheme="majorBidi" w:eastAsia="Times New Roman" w:hAnsiTheme="majorBidi" w:cstheme="majorBidi"/>
                <w:sz w:val="20"/>
                <w:szCs w:val="20"/>
                <w:lang w:eastAsia="pl-PL"/>
              </w:rPr>
            </w:pPr>
          </w:p>
          <w:p w14:paraId="147B1F3C" w14:textId="2BE54DED" w:rsidR="00570123" w:rsidRPr="001B077F" w:rsidRDefault="00630026" w:rsidP="00630026">
            <w:pPr>
              <w:jc w:val="both"/>
              <w:rPr>
                <w:rFonts w:asciiTheme="majorBidi" w:eastAsia="Times New Roman" w:hAnsiTheme="majorBidi" w:cstheme="majorBidi"/>
                <w:sz w:val="20"/>
                <w:szCs w:val="20"/>
                <w:lang w:eastAsia="pl-PL"/>
              </w:rPr>
            </w:pPr>
            <w:r w:rsidRPr="001B077F">
              <w:rPr>
                <w:rFonts w:asciiTheme="majorBidi" w:eastAsia="Times New Roman" w:hAnsiTheme="majorBidi" w:cstheme="majorBidi"/>
                <w:sz w:val="20"/>
                <w:szCs w:val="20"/>
                <w:lang w:eastAsia="pl-PL"/>
              </w:rPr>
              <w:t xml:space="preserve">Uważamy, iż w każdym przypadku pracodawca powinien  mieć możliwość stwierdzenia stężenia alkoholu / środków, a nie tylko ich obecności. </w:t>
            </w:r>
            <w:r w:rsidR="00570123" w:rsidRPr="001B077F">
              <w:rPr>
                <w:rFonts w:ascii="Times New Roman" w:hAnsi="Times New Roman" w:cs="Times New Roman"/>
                <w:sz w:val="20"/>
              </w:rPr>
              <w:t>Powyższe uwagi</w:t>
            </w:r>
            <w:r w:rsidRPr="001B077F">
              <w:rPr>
                <w:rFonts w:ascii="Times New Roman" w:hAnsi="Times New Roman" w:cs="Times New Roman"/>
                <w:sz w:val="20"/>
              </w:rPr>
              <w:t xml:space="preserve"> </w:t>
            </w:r>
            <w:r w:rsidR="00570123" w:rsidRPr="001B077F">
              <w:rPr>
                <w:rFonts w:ascii="Times New Roman" w:hAnsi="Times New Roman" w:cs="Times New Roman"/>
                <w:sz w:val="20"/>
              </w:rPr>
              <w:t xml:space="preserve"> </w:t>
            </w:r>
            <w:r w:rsidRPr="001B077F">
              <w:rPr>
                <w:rFonts w:ascii="Times New Roman" w:hAnsi="Times New Roman" w:cs="Times New Roman"/>
                <w:sz w:val="20"/>
              </w:rPr>
              <w:t xml:space="preserve">w zakresie wyciągania konsekwencji spożycia alkoholu w miejscu pracy  </w:t>
            </w:r>
            <w:r w:rsidR="00570123" w:rsidRPr="001B077F">
              <w:rPr>
                <w:rFonts w:ascii="Times New Roman" w:hAnsi="Times New Roman" w:cs="Times New Roman"/>
                <w:sz w:val="20"/>
              </w:rPr>
              <w:t>należy rozpatrywać w kontekście uwag do art. 22(1</w:t>
            </w:r>
            <w:r w:rsidRPr="001B077F">
              <w:rPr>
                <w:rFonts w:ascii="Times New Roman" w:hAnsi="Times New Roman" w:cs="Times New Roman"/>
                <w:sz w:val="20"/>
              </w:rPr>
              <w:t>d</w:t>
            </w:r>
            <w:r w:rsidR="00570123" w:rsidRPr="001B077F">
              <w:rPr>
                <w:rFonts w:ascii="Times New Roman" w:hAnsi="Times New Roman" w:cs="Times New Roman"/>
                <w:sz w:val="20"/>
              </w:rPr>
              <w:t>) § 1 KP.</w:t>
            </w:r>
          </w:p>
        </w:tc>
      </w:tr>
      <w:tr w:rsidR="001B077F" w:rsidRPr="001B077F" w14:paraId="76A49D09" w14:textId="77777777" w:rsidTr="00C33C1C">
        <w:trPr>
          <w:trHeight w:val="2111"/>
          <w:jc w:val="center"/>
        </w:trPr>
        <w:tc>
          <w:tcPr>
            <w:tcW w:w="986" w:type="dxa"/>
          </w:tcPr>
          <w:p w14:paraId="263C4B69" w14:textId="77777777" w:rsidR="00570123" w:rsidRPr="001B077F" w:rsidRDefault="00570123" w:rsidP="00570123">
            <w:pPr>
              <w:pStyle w:val="Akapitzlist"/>
              <w:numPr>
                <w:ilvl w:val="0"/>
                <w:numId w:val="11"/>
              </w:numPr>
              <w:spacing w:before="120"/>
              <w:ind w:right="-534"/>
              <w:jc w:val="center"/>
              <w:rPr>
                <w:rFonts w:ascii="Times New Roman" w:hAnsi="Times New Roman" w:cs="Times New Roman"/>
                <w:b/>
                <w:sz w:val="20"/>
              </w:rPr>
            </w:pPr>
          </w:p>
        </w:tc>
        <w:tc>
          <w:tcPr>
            <w:tcW w:w="2070" w:type="dxa"/>
          </w:tcPr>
          <w:p w14:paraId="75D7DC73" w14:textId="49C93E1D" w:rsidR="00570123" w:rsidRPr="001B077F" w:rsidRDefault="00570123" w:rsidP="00C33C1C">
            <w:pPr>
              <w:jc w:val="cente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w:t>
            </w:r>
          </w:p>
          <w:p w14:paraId="7225C087" w14:textId="28F2A218" w:rsidR="00570123" w:rsidRPr="001B077F" w:rsidRDefault="00570123" w:rsidP="00C33C1C">
            <w:pPr>
              <w:jc w:val="center"/>
              <w:rPr>
                <w:rFonts w:ascii="Times New Roman" w:hAnsi="Times New Roman" w:cs="Times New Roman"/>
                <w:sz w:val="20"/>
                <w:lang w:val="de-DE"/>
              </w:rPr>
            </w:pPr>
            <w:r w:rsidRPr="001B077F">
              <w:rPr>
                <w:rFonts w:ascii="Times New Roman" w:hAnsi="Times New Roman" w:cs="Times New Roman"/>
                <w:sz w:val="20"/>
                <w:lang w:val="de-DE"/>
              </w:rPr>
              <w:t>art. 22(1c) § 5-7 KP</w:t>
            </w:r>
          </w:p>
        </w:tc>
        <w:tc>
          <w:tcPr>
            <w:tcW w:w="2758" w:type="dxa"/>
          </w:tcPr>
          <w:p w14:paraId="2D57DC87" w14:textId="6ADC1877" w:rsidR="00570123" w:rsidRPr="001B077F" w:rsidRDefault="00570123" w:rsidP="00C33C1C">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3DD23EF8" w14:textId="769472F7" w:rsidR="00570123" w:rsidRPr="001B077F" w:rsidRDefault="00570123" w:rsidP="00570123">
            <w:pPr>
              <w:jc w:val="both"/>
              <w:rPr>
                <w:rFonts w:ascii="Times New Roman" w:hAnsi="Times New Roman" w:cs="Times New Roman"/>
                <w:sz w:val="20"/>
              </w:rPr>
            </w:pPr>
            <w:r w:rsidRPr="001B077F">
              <w:rPr>
                <w:rFonts w:ascii="Times New Roman" w:hAnsi="Times New Roman" w:cs="Times New Roman"/>
                <w:sz w:val="20"/>
              </w:rPr>
              <w:t xml:space="preserve">Postulat wydłużenia okresu przechowywania informacji wskazującej na obecność alkoholu w organizmie pracownika. </w:t>
            </w:r>
          </w:p>
          <w:p w14:paraId="69988AAC" w14:textId="77777777" w:rsidR="00570123" w:rsidRPr="001B077F" w:rsidRDefault="00570123" w:rsidP="00570123">
            <w:pPr>
              <w:jc w:val="both"/>
              <w:rPr>
                <w:rFonts w:ascii="Times New Roman" w:hAnsi="Times New Roman" w:cs="Times New Roman"/>
                <w:sz w:val="20"/>
              </w:rPr>
            </w:pPr>
          </w:p>
          <w:p w14:paraId="1A879AF9" w14:textId="45C6758D" w:rsidR="00570123" w:rsidRPr="001B077F" w:rsidRDefault="00570123" w:rsidP="00570123">
            <w:pPr>
              <w:jc w:val="both"/>
              <w:rPr>
                <w:rFonts w:ascii="Times New Roman" w:hAnsi="Times New Roman" w:cs="Times New Roman"/>
                <w:sz w:val="20"/>
              </w:rPr>
            </w:pPr>
            <w:r w:rsidRPr="001B077F">
              <w:rPr>
                <w:rFonts w:ascii="Times New Roman" w:hAnsi="Times New Roman" w:cs="Times New Roman"/>
                <w:sz w:val="20"/>
              </w:rPr>
              <w:t xml:space="preserve">Podstawowy okres przechowywania informacji wskazującej na obecność alkoholu w organizmie pracownika w aktach osobowych pracownika został określony na 6 miesięcy. Poza przypadkiem przedłużenia w sytuacji zastosowania kary, projektodawca przewiduje przedłużenie okresu przechowywania w przypadku kiedy informacja </w:t>
            </w:r>
            <w:r w:rsidRPr="001B077F">
              <w:rPr>
                <w:rFonts w:ascii="Times New Roman" w:hAnsi="Times New Roman" w:cs="Times New Roman"/>
                <w:i/>
                <w:iCs/>
                <w:sz w:val="20"/>
                <w:u w:val="single"/>
              </w:rPr>
              <w:t>może</w:t>
            </w:r>
            <w:r w:rsidRPr="001B077F">
              <w:rPr>
                <w:rFonts w:ascii="Times New Roman" w:hAnsi="Times New Roman" w:cs="Times New Roman"/>
                <w:i/>
                <w:iCs/>
                <w:sz w:val="20"/>
              </w:rPr>
              <w:t xml:space="preserve"> stanowić lub stanowi dowód w postępowaniu</w:t>
            </w:r>
            <w:r w:rsidRPr="001B077F">
              <w:rPr>
                <w:rFonts w:ascii="Times New Roman" w:hAnsi="Times New Roman" w:cs="Times New Roman"/>
                <w:sz w:val="20"/>
              </w:rPr>
              <w:t xml:space="preserve"> w § 7. </w:t>
            </w:r>
          </w:p>
          <w:p w14:paraId="43223F07" w14:textId="77777777" w:rsidR="00570123" w:rsidRPr="001B077F" w:rsidRDefault="00570123" w:rsidP="00570123">
            <w:pPr>
              <w:jc w:val="both"/>
              <w:rPr>
                <w:rFonts w:ascii="Times New Roman" w:hAnsi="Times New Roman" w:cs="Times New Roman"/>
                <w:sz w:val="20"/>
              </w:rPr>
            </w:pPr>
          </w:p>
          <w:p w14:paraId="17A0AC00" w14:textId="0CEDE585" w:rsidR="00570123" w:rsidRPr="001B077F" w:rsidRDefault="00570123" w:rsidP="00570123">
            <w:pPr>
              <w:jc w:val="both"/>
              <w:rPr>
                <w:rFonts w:ascii="Times New Roman" w:hAnsi="Times New Roman" w:cs="Times New Roman"/>
                <w:sz w:val="20"/>
              </w:rPr>
            </w:pPr>
            <w:r w:rsidRPr="001B077F">
              <w:rPr>
                <w:rFonts w:ascii="Times New Roman" w:hAnsi="Times New Roman" w:cs="Times New Roman"/>
                <w:sz w:val="20"/>
              </w:rPr>
              <w:t>Biorąc pod uwagę 3-letni okres przedawnienia roszczeń ze stosunku pracy, a informacja może stanowić dowód w postępowaniu, np. w zakresie niedopuszczenia pracownika do wykonywania pracy bez zachowania prawa do wynagrodzenia</w:t>
            </w:r>
            <w:r w:rsidRPr="001B077F">
              <w:rPr>
                <w:rFonts w:ascii="Times New Roman" w:hAnsi="Times New Roman" w:cs="Times New Roman"/>
                <w:b/>
                <w:bCs/>
                <w:sz w:val="20"/>
              </w:rPr>
              <w:t xml:space="preserve">, pracodawca powinien celem zabezpieczenia dowodów przechowywać te informacje, co najmniej, do czasu przedawnienia ewentualnych roszczeń z tego tytułu. </w:t>
            </w:r>
            <w:r w:rsidR="00616726" w:rsidRPr="00616726">
              <w:rPr>
                <w:rFonts w:ascii="Times New Roman" w:hAnsi="Times New Roman" w:cs="Times New Roman"/>
                <w:bCs/>
                <w:sz w:val="20"/>
              </w:rPr>
              <w:t xml:space="preserve"> </w:t>
            </w:r>
            <w:r w:rsidR="00616726">
              <w:rPr>
                <w:rFonts w:ascii="Times New Roman" w:hAnsi="Times New Roman" w:cs="Times New Roman"/>
                <w:bCs/>
                <w:sz w:val="20"/>
              </w:rPr>
              <w:t>W</w:t>
            </w:r>
            <w:r w:rsidR="00616726" w:rsidRPr="00616726">
              <w:rPr>
                <w:rFonts w:ascii="Times New Roman" w:hAnsi="Times New Roman" w:cs="Times New Roman"/>
                <w:bCs/>
                <w:sz w:val="20"/>
              </w:rPr>
              <w:t xml:space="preserve">yniki z badań mogą mieć znaczenie przy rozpatrywaniu roszczeń z tytułu dyskryminacji czy </w:t>
            </w:r>
            <w:proofErr w:type="spellStart"/>
            <w:r w:rsidR="00616726" w:rsidRPr="00616726">
              <w:rPr>
                <w:rFonts w:ascii="Times New Roman" w:hAnsi="Times New Roman" w:cs="Times New Roman"/>
                <w:bCs/>
                <w:sz w:val="20"/>
              </w:rPr>
              <w:t>mobbingu</w:t>
            </w:r>
            <w:proofErr w:type="spellEnd"/>
            <w:r w:rsidR="00616726" w:rsidRPr="00616726">
              <w:rPr>
                <w:rFonts w:ascii="Times New Roman" w:hAnsi="Times New Roman" w:cs="Times New Roman"/>
                <w:bCs/>
                <w:sz w:val="20"/>
              </w:rPr>
              <w:t>, które pracownik może podnosić na każdym etapie zatrudnienia i po zakończeniu</w:t>
            </w:r>
            <w:r w:rsidR="00616726" w:rsidRPr="00616726">
              <w:rPr>
                <w:rFonts w:ascii="Times New Roman" w:hAnsi="Times New Roman" w:cs="Times New Roman"/>
                <w:b/>
                <w:bCs/>
                <w:sz w:val="20"/>
              </w:rPr>
              <w:t>.</w:t>
            </w:r>
            <w:r w:rsidR="00616726">
              <w:rPr>
                <w:rFonts w:ascii="Times New Roman" w:hAnsi="Times New Roman" w:cs="Times New Roman"/>
                <w:b/>
                <w:bCs/>
                <w:sz w:val="20"/>
              </w:rPr>
              <w:t xml:space="preserve"> </w:t>
            </w:r>
            <w:r w:rsidR="00F75A10" w:rsidRPr="001B077F">
              <w:rPr>
                <w:rFonts w:ascii="Times New Roman" w:hAnsi="Times New Roman" w:cs="Times New Roman"/>
                <w:sz w:val="20"/>
              </w:rPr>
              <w:t>Należy mieć jednak na uwadze, iż</w:t>
            </w:r>
            <w:r w:rsidR="00F75A10" w:rsidRPr="001B077F">
              <w:rPr>
                <w:rFonts w:ascii="Times New Roman" w:hAnsi="Times New Roman" w:cs="Times New Roman"/>
                <w:b/>
                <w:bCs/>
                <w:sz w:val="20"/>
              </w:rPr>
              <w:t xml:space="preserve"> </w:t>
            </w:r>
            <w:r w:rsidR="00F75A10" w:rsidRPr="001B077F">
              <w:rPr>
                <w:rFonts w:ascii="Times New Roman" w:hAnsi="Times New Roman" w:cs="Times New Roman"/>
                <w:sz w:val="20"/>
              </w:rPr>
              <w:t>w</w:t>
            </w:r>
            <w:r w:rsidRPr="001B077F">
              <w:rPr>
                <w:rFonts w:ascii="Times New Roman" w:hAnsi="Times New Roman" w:cs="Times New Roman"/>
                <w:sz w:val="20"/>
              </w:rPr>
              <w:t xml:space="preserve"> przypadku, w którym obecność alkoholu w organizmie pracownika będzie przyczyną rozwiązania umowy o pracę informacja wskazująca na obecność alkoholu/środka działającego podobnie będzie zawarta w treści oświadczenia pracodawcy, które podobnie jak całość akt osobowych pracodawca ma obowiązek przechowywać przez okres 10-ciu lat od zakończenia stosunku pracy.  </w:t>
            </w:r>
          </w:p>
          <w:p w14:paraId="1EEB339F" w14:textId="77777777" w:rsidR="00570123" w:rsidRPr="001B077F" w:rsidRDefault="00570123" w:rsidP="00570123">
            <w:pPr>
              <w:jc w:val="both"/>
              <w:rPr>
                <w:rFonts w:ascii="Times New Roman" w:hAnsi="Times New Roman" w:cs="Times New Roman"/>
                <w:sz w:val="20"/>
              </w:rPr>
            </w:pPr>
          </w:p>
          <w:p w14:paraId="5917B6ED" w14:textId="77777777" w:rsidR="00570123" w:rsidRPr="001B077F" w:rsidRDefault="00570123" w:rsidP="00570123">
            <w:pPr>
              <w:rPr>
                <w:rFonts w:ascii="Times New Roman" w:hAnsi="Times New Roman" w:cs="Times New Roman"/>
                <w:sz w:val="20"/>
              </w:rPr>
            </w:pPr>
          </w:p>
          <w:p w14:paraId="1EB3E6A9" w14:textId="40280E2A" w:rsidR="00570123" w:rsidRPr="001B077F" w:rsidRDefault="00570123" w:rsidP="00570123">
            <w:pPr>
              <w:jc w:val="both"/>
              <w:rPr>
                <w:rFonts w:ascii="Times New Roman" w:hAnsi="Times New Roman" w:cs="Times New Roman"/>
                <w:sz w:val="20"/>
              </w:rPr>
            </w:pPr>
          </w:p>
        </w:tc>
      </w:tr>
      <w:tr w:rsidR="001B077F" w:rsidRPr="001B077F" w14:paraId="769A93D3" w14:textId="77777777" w:rsidTr="00570123">
        <w:trPr>
          <w:trHeight w:val="2111"/>
          <w:jc w:val="center"/>
        </w:trPr>
        <w:tc>
          <w:tcPr>
            <w:tcW w:w="986" w:type="dxa"/>
          </w:tcPr>
          <w:p w14:paraId="761E9C5E" w14:textId="261F41F0" w:rsidR="00570123" w:rsidRPr="001B077F" w:rsidRDefault="00570123" w:rsidP="00570123">
            <w:pPr>
              <w:pStyle w:val="Akapitzlist"/>
              <w:numPr>
                <w:ilvl w:val="0"/>
                <w:numId w:val="11"/>
              </w:numPr>
              <w:spacing w:before="120"/>
              <w:ind w:right="-534"/>
              <w:jc w:val="center"/>
              <w:rPr>
                <w:rFonts w:ascii="Times New Roman" w:hAnsi="Times New Roman" w:cs="Times New Roman"/>
                <w:b/>
                <w:sz w:val="20"/>
              </w:rPr>
            </w:pPr>
            <w:r w:rsidRPr="001B077F">
              <w:rPr>
                <w:rFonts w:ascii="Times New Roman" w:hAnsi="Times New Roman" w:cs="Times New Roman"/>
                <w:b/>
                <w:sz w:val="20"/>
              </w:rPr>
              <w:lastRenderedPageBreak/>
              <w:t>,</w:t>
            </w:r>
          </w:p>
        </w:tc>
        <w:tc>
          <w:tcPr>
            <w:tcW w:w="2070" w:type="dxa"/>
            <w:vAlign w:val="center"/>
          </w:tcPr>
          <w:p w14:paraId="18316556" w14:textId="77777777" w:rsidR="00570123" w:rsidRPr="001B077F" w:rsidRDefault="00570123" w:rsidP="00570123">
            <w:pPr>
              <w:jc w:val="center"/>
              <w:rPr>
                <w:rFonts w:ascii="Times New Roman" w:hAnsi="Times New Roman" w:cs="Times New Roman"/>
                <w:sz w:val="20"/>
              </w:rPr>
            </w:pPr>
            <w:r w:rsidRPr="001B077F">
              <w:rPr>
                <w:rFonts w:ascii="Times New Roman" w:hAnsi="Times New Roman" w:cs="Times New Roman"/>
                <w:sz w:val="20"/>
              </w:rPr>
              <w:t xml:space="preserve">art. 1 pkt  1 </w:t>
            </w:r>
          </w:p>
          <w:p w14:paraId="0F61B192" w14:textId="3A096338" w:rsidR="00570123" w:rsidRPr="001B077F" w:rsidRDefault="00570123" w:rsidP="00570123">
            <w:pPr>
              <w:jc w:val="center"/>
              <w:rPr>
                <w:rFonts w:ascii="Times New Roman" w:hAnsi="Times New Roman" w:cs="Times New Roman"/>
                <w:sz w:val="20"/>
              </w:rPr>
            </w:pPr>
            <w:r w:rsidRPr="001B077F">
              <w:rPr>
                <w:rFonts w:ascii="Times New Roman" w:hAnsi="Times New Roman" w:cs="Times New Roman"/>
                <w:sz w:val="20"/>
              </w:rPr>
              <w:t>art. 22(1c) § 5 KP</w:t>
            </w:r>
          </w:p>
        </w:tc>
        <w:tc>
          <w:tcPr>
            <w:tcW w:w="2758" w:type="dxa"/>
            <w:vAlign w:val="center"/>
          </w:tcPr>
          <w:p w14:paraId="31E5E56A" w14:textId="1530200E" w:rsidR="00570123" w:rsidRPr="001B077F" w:rsidRDefault="00570123" w:rsidP="00570123">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5B9ECFE6" w14:textId="218807EB" w:rsidR="00570123" w:rsidRPr="001B077F" w:rsidRDefault="00570123" w:rsidP="00570123">
            <w:pPr>
              <w:jc w:val="both"/>
              <w:rPr>
                <w:rFonts w:ascii="Times New Roman" w:hAnsi="Times New Roman" w:cs="Times New Roman"/>
                <w:sz w:val="20"/>
              </w:rPr>
            </w:pPr>
            <w:r w:rsidRPr="001B077F">
              <w:rPr>
                <w:rFonts w:ascii="Times New Roman" w:hAnsi="Times New Roman" w:cs="Times New Roman"/>
                <w:sz w:val="20"/>
              </w:rPr>
              <w:t>Wskazujemy na konieczność ustalenia odrębnej części akt osobowych pracownika</w:t>
            </w:r>
            <w:r w:rsidR="00DA508C" w:rsidRPr="001B077F">
              <w:rPr>
                <w:rFonts w:ascii="Times New Roman" w:hAnsi="Times New Roman" w:cs="Times New Roman"/>
                <w:sz w:val="20"/>
              </w:rPr>
              <w:t>, a nawet przechowywania</w:t>
            </w:r>
            <w:r w:rsidR="0062392C" w:rsidRPr="001B077F">
              <w:rPr>
                <w:rFonts w:ascii="Times New Roman" w:hAnsi="Times New Roman" w:cs="Times New Roman"/>
                <w:sz w:val="20"/>
              </w:rPr>
              <w:t xml:space="preserve"> ich poza aktami osobowymi</w:t>
            </w:r>
            <w:r w:rsidR="00DA508C" w:rsidRPr="001B077F">
              <w:rPr>
                <w:rFonts w:ascii="Times New Roman" w:hAnsi="Times New Roman" w:cs="Times New Roman"/>
                <w:sz w:val="20"/>
              </w:rPr>
              <w:t xml:space="preserve"> ze uwzględniając uwagę w  pkt f).</w:t>
            </w:r>
          </w:p>
        </w:tc>
      </w:tr>
      <w:tr w:rsidR="001B077F" w:rsidRPr="001B077F" w14:paraId="36765876" w14:textId="77777777" w:rsidTr="00C33C1C">
        <w:trPr>
          <w:jc w:val="center"/>
        </w:trPr>
        <w:tc>
          <w:tcPr>
            <w:tcW w:w="986" w:type="dxa"/>
          </w:tcPr>
          <w:p w14:paraId="24295297" w14:textId="77777777" w:rsidR="00570123" w:rsidRPr="001B077F" w:rsidRDefault="00570123" w:rsidP="00570123">
            <w:pPr>
              <w:pStyle w:val="Akapitzlist"/>
              <w:numPr>
                <w:ilvl w:val="0"/>
                <w:numId w:val="11"/>
              </w:numPr>
              <w:spacing w:before="120"/>
              <w:ind w:right="-534"/>
              <w:jc w:val="center"/>
              <w:rPr>
                <w:rFonts w:ascii="Times New Roman" w:hAnsi="Times New Roman" w:cs="Times New Roman"/>
                <w:b/>
                <w:sz w:val="20"/>
              </w:rPr>
            </w:pPr>
          </w:p>
        </w:tc>
        <w:tc>
          <w:tcPr>
            <w:tcW w:w="2070" w:type="dxa"/>
          </w:tcPr>
          <w:p w14:paraId="5F703525" w14:textId="59097354" w:rsidR="00570123" w:rsidRPr="001B077F" w:rsidRDefault="00570123" w:rsidP="00C33C1C">
            <w:pPr>
              <w:jc w:val="cente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w:t>
            </w:r>
          </w:p>
          <w:p w14:paraId="6052291F" w14:textId="2E35C26A" w:rsidR="00570123" w:rsidRPr="001B077F" w:rsidRDefault="00570123" w:rsidP="00C33C1C">
            <w:pPr>
              <w:jc w:val="center"/>
              <w:rPr>
                <w:rFonts w:ascii="Times New Roman" w:hAnsi="Times New Roman" w:cs="Times New Roman"/>
                <w:sz w:val="20"/>
                <w:lang w:val="de-DE"/>
              </w:rPr>
            </w:pPr>
            <w:r w:rsidRPr="001B077F">
              <w:rPr>
                <w:rFonts w:ascii="Times New Roman" w:hAnsi="Times New Roman" w:cs="Times New Roman"/>
                <w:sz w:val="20"/>
                <w:lang w:val="de-DE"/>
              </w:rPr>
              <w:t>art. 22(1c) § 9 KP</w:t>
            </w:r>
          </w:p>
        </w:tc>
        <w:tc>
          <w:tcPr>
            <w:tcW w:w="2758" w:type="dxa"/>
          </w:tcPr>
          <w:p w14:paraId="4B0061ED" w14:textId="150FC616" w:rsidR="00570123" w:rsidRPr="001B077F" w:rsidRDefault="00570123" w:rsidP="00C33C1C">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30B454E4" w14:textId="274F39B6" w:rsidR="00570123" w:rsidRPr="001B077F" w:rsidRDefault="00570123" w:rsidP="00570123">
            <w:pPr>
              <w:jc w:val="both"/>
              <w:rPr>
                <w:rFonts w:ascii="Times New Roman" w:hAnsi="Times New Roman" w:cs="Times New Roman"/>
                <w:sz w:val="20"/>
              </w:rPr>
            </w:pPr>
            <w:r w:rsidRPr="001B077F">
              <w:rPr>
                <w:rFonts w:ascii="Times New Roman" w:hAnsi="Times New Roman" w:cs="Times New Roman"/>
                <w:sz w:val="20"/>
              </w:rPr>
              <w:t xml:space="preserve">Uwaga dotycząca </w:t>
            </w:r>
            <w:r w:rsidR="00DA508C" w:rsidRPr="001B077F">
              <w:rPr>
                <w:rFonts w:ascii="Times New Roman" w:hAnsi="Times New Roman" w:cs="Times New Roman"/>
                <w:sz w:val="20"/>
              </w:rPr>
              <w:t>upoważnienia</w:t>
            </w:r>
            <w:r w:rsidRPr="001B077F">
              <w:rPr>
                <w:rFonts w:ascii="Times New Roman" w:hAnsi="Times New Roman" w:cs="Times New Roman"/>
                <w:sz w:val="20"/>
              </w:rPr>
              <w:t xml:space="preserve"> do przetwarzania informacji, tj. projektowanego art. 22(1c) § 9 KP. </w:t>
            </w:r>
          </w:p>
          <w:p w14:paraId="7D81A6ED" w14:textId="77777777" w:rsidR="00570123" w:rsidRPr="001B077F" w:rsidRDefault="00570123" w:rsidP="00570123">
            <w:pPr>
              <w:jc w:val="both"/>
              <w:rPr>
                <w:rFonts w:ascii="Times New Roman" w:hAnsi="Times New Roman" w:cs="Times New Roman"/>
                <w:sz w:val="20"/>
              </w:rPr>
            </w:pPr>
          </w:p>
          <w:p w14:paraId="04121EEE" w14:textId="552E6C52" w:rsidR="00570123" w:rsidRPr="001B077F" w:rsidRDefault="00570123" w:rsidP="00570123">
            <w:pPr>
              <w:jc w:val="both"/>
              <w:rPr>
                <w:rFonts w:ascii="Times New Roman" w:hAnsi="Times New Roman" w:cs="Times New Roman"/>
                <w:sz w:val="20"/>
              </w:rPr>
            </w:pPr>
            <w:r w:rsidRPr="001B077F">
              <w:rPr>
                <w:rFonts w:ascii="Times New Roman" w:hAnsi="Times New Roman" w:cs="Times New Roman"/>
                <w:sz w:val="20"/>
              </w:rPr>
              <w:t xml:space="preserve">Projektodawca ustala, że informacja wskazująca na obecność alkoholu w organizmie pracownika ma być przechowywana w aktach osobowych pracownika (§ 5), do których dostęp mają pracownicy danego zakładu pracy (np. kadry, przełożeni itp.) bądź też często zewnętrzne podmioty prowadzące sprawy z zakresu kadr i płac. </w:t>
            </w:r>
          </w:p>
          <w:p w14:paraId="48AA282D" w14:textId="77777777" w:rsidR="00570123" w:rsidRPr="001B077F" w:rsidRDefault="00570123" w:rsidP="00570123">
            <w:pPr>
              <w:jc w:val="both"/>
              <w:rPr>
                <w:rFonts w:ascii="Times New Roman" w:hAnsi="Times New Roman" w:cs="Times New Roman"/>
                <w:sz w:val="20"/>
              </w:rPr>
            </w:pPr>
          </w:p>
          <w:p w14:paraId="1FC1CAE9" w14:textId="65C99E98" w:rsidR="00570123" w:rsidRPr="001B077F" w:rsidRDefault="00570123" w:rsidP="00570123">
            <w:pPr>
              <w:jc w:val="both"/>
              <w:rPr>
                <w:rFonts w:ascii="Times New Roman" w:hAnsi="Times New Roman" w:cs="Times New Roman"/>
                <w:sz w:val="20"/>
              </w:rPr>
            </w:pPr>
            <w:r w:rsidRPr="001B077F">
              <w:rPr>
                <w:rFonts w:ascii="Times New Roman" w:hAnsi="Times New Roman" w:cs="Times New Roman"/>
                <w:sz w:val="20"/>
              </w:rPr>
              <w:t xml:space="preserve">W projektowanym przepisie zostanie nałożony obowiązek dodatkowego </w:t>
            </w:r>
            <w:r w:rsidRPr="001B077F">
              <w:rPr>
                <w:rFonts w:ascii="Times New Roman" w:hAnsi="Times New Roman" w:cs="Times New Roman"/>
                <w:sz w:val="20"/>
                <w:u w:val="single"/>
              </w:rPr>
              <w:t>pisemnego</w:t>
            </w:r>
            <w:r w:rsidRPr="001B077F">
              <w:rPr>
                <w:rFonts w:ascii="Times New Roman" w:hAnsi="Times New Roman" w:cs="Times New Roman"/>
                <w:sz w:val="20"/>
              </w:rPr>
              <w:t xml:space="preserve"> upoważnienia do przetwarzania takich danych, co w praktyce spowoduje obowiązek wystawienia dodatkowych pisemnych upoważnień wszystkim osobom, które będą miały jakikolwiek dostęp do dokumentacji pracowniczej pracowników. </w:t>
            </w:r>
          </w:p>
          <w:p w14:paraId="02D60E8E" w14:textId="77777777" w:rsidR="00570123" w:rsidRPr="001B077F" w:rsidRDefault="00570123" w:rsidP="00570123">
            <w:pPr>
              <w:jc w:val="both"/>
              <w:rPr>
                <w:rFonts w:ascii="Times New Roman" w:hAnsi="Times New Roman" w:cs="Times New Roman"/>
                <w:sz w:val="20"/>
              </w:rPr>
            </w:pPr>
          </w:p>
          <w:p w14:paraId="7E640B36" w14:textId="77777777" w:rsidR="00DA508C" w:rsidRPr="001B077F" w:rsidRDefault="00DA508C" w:rsidP="00570123">
            <w:pPr>
              <w:jc w:val="both"/>
              <w:rPr>
                <w:rFonts w:ascii="Times New Roman" w:hAnsi="Times New Roman" w:cs="Times New Roman"/>
                <w:sz w:val="20"/>
              </w:rPr>
            </w:pPr>
          </w:p>
          <w:p w14:paraId="68B9AEDE" w14:textId="45297A6E" w:rsidR="00570123" w:rsidRPr="001B077F" w:rsidRDefault="00570123" w:rsidP="00570123">
            <w:pPr>
              <w:jc w:val="both"/>
              <w:rPr>
                <w:rFonts w:ascii="Times New Roman" w:hAnsi="Times New Roman" w:cs="Times New Roman"/>
                <w:sz w:val="20"/>
              </w:rPr>
            </w:pPr>
            <w:r w:rsidRPr="001B077F">
              <w:rPr>
                <w:rFonts w:ascii="Times New Roman" w:hAnsi="Times New Roman" w:cs="Times New Roman"/>
                <w:sz w:val="20"/>
              </w:rPr>
              <w:t>Postulujemy o określenie innego sposobu przechowywania informacji</w:t>
            </w:r>
            <w:r w:rsidR="00DA508C" w:rsidRPr="001B077F">
              <w:rPr>
                <w:rFonts w:ascii="Times New Roman" w:hAnsi="Times New Roman" w:cs="Times New Roman"/>
                <w:sz w:val="20"/>
              </w:rPr>
              <w:t xml:space="preserve"> nt. spożycia alkoholu niż akta osobowe oraz ujednolicenia upoważnień wydawanych na podstawie art. 22(1b) </w:t>
            </w:r>
            <w:proofErr w:type="spellStart"/>
            <w:r w:rsidR="00DA508C" w:rsidRPr="001B077F">
              <w:rPr>
                <w:rFonts w:ascii="Times New Roman" w:hAnsi="Times New Roman" w:cs="Times New Roman"/>
                <w:sz w:val="20"/>
              </w:rPr>
              <w:t>Kp</w:t>
            </w:r>
            <w:proofErr w:type="spellEnd"/>
            <w:r w:rsidR="00DA508C" w:rsidRPr="001B077F">
              <w:rPr>
                <w:rFonts w:ascii="Times New Roman" w:hAnsi="Times New Roman" w:cs="Times New Roman"/>
                <w:sz w:val="20"/>
              </w:rPr>
              <w:t xml:space="preserve">, art. 8 ustawy o ZFŚS i projektowanego przepisu. </w:t>
            </w:r>
          </w:p>
        </w:tc>
      </w:tr>
      <w:tr w:rsidR="001B077F" w:rsidRPr="001B077F" w14:paraId="7CA00852" w14:textId="77777777" w:rsidTr="00570123">
        <w:trPr>
          <w:jc w:val="center"/>
        </w:trPr>
        <w:tc>
          <w:tcPr>
            <w:tcW w:w="986" w:type="dxa"/>
          </w:tcPr>
          <w:p w14:paraId="7C247A40" w14:textId="77777777" w:rsidR="00570123" w:rsidRPr="001B077F" w:rsidRDefault="00570123" w:rsidP="00570123">
            <w:pPr>
              <w:pStyle w:val="Akapitzlist"/>
              <w:numPr>
                <w:ilvl w:val="0"/>
                <w:numId w:val="11"/>
              </w:numPr>
              <w:spacing w:before="120"/>
              <w:ind w:right="-534"/>
              <w:jc w:val="center"/>
              <w:rPr>
                <w:rFonts w:ascii="Times New Roman" w:hAnsi="Times New Roman" w:cs="Times New Roman"/>
                <w:b/>
                <w:sz w:val="20"/>
              </w:rPr>
            </w:pPr>
          </w:p>
        </w:tc>
        <w:tc>
          <w:tcPr>
            <w:tcW w:w="2070" w:type="dxa"/>
            <w:vAlign w:val="center"/>
          </w:tcPr>
          <w:p w14:paraId="0EEE86FF" w14:textId="77777777" w:rsidR="00570123" w:rsidRPr="001B077F" w:rsidRDefault="00570123" w:rsidP="00570123">
            <w:pPr>
              <w:jc w:val="cente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 </w:t>
            </w:r>
          </w:p>
          <w:p w14:paraId="1E72DB4B" w14:textId="02123100" w:rsidR="00570123" w:rsidRPr="001B077F" w:rsidRDefault="00570123" w:rsidP="00570123">
            <w:pPr>
              <w:jc w:val="center"/>
              <w:rPr>
                <w:rFonts w:ascii="Times New Roman" w:hAnsi="Times New Roman" w:cs="Times New Roman"/>
                <w:sz w:val="20"/>
                <w:lang w:val="de-DE"/>
              </w:rPr>
            </w:pPr>
            <w:r w:rsidRPr="001B077F">
              <w:rPr>
                <w:rFonts w:ascii="Times New Roman" w:hAnsi="Times New Roman" w:cs="Times New Roman"/>
                <w:sz w:val="20"/>
                <w:lang w:val="de-DE"/>
              </w:rPr>
              <w:t>art. 22(1c) § 10 KP</w:t>
            </w:r>
          </w:p>
        </w:tc>
        <w:tc>
          <w:tcPr>
            <w:tcW w:w="2758" w:type="dxa"/>
            <w:vAlign w:val="center"/>
          </w:tcPr>
          <w:p w14:paraId="37539168" w14:textId="5D05F7A3" w:rsidR="00570123" w:rsidRPr="001B077F" w:rsidRDefault="00570123" w:rsidP="00570123">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2A4B44E2" w14:textId="77777777" w:rsidR="00570123" w:rsidRPr="001B077F" w:rsidRDefault="00570123" w:rsidP="00570123">
            <w:pPr>
              <w:jc w:val="both"/>
              <w:rPr>
                <w:rFonts w:ascii="Times New Roman" w:hAnsi="Times New Roman" w:cs="Times New Roman"/>
                <w:sz w:val="20"/>
              </w:rPr>
            </w:pPr>
          </w:p>
          <w:p w14:paraId="564086FA" w14:textId="69E8418F" w:rsidR="00570123" w:rsidRPr="001B077F" w:rsidRDefault="00570123" w:rsidP="00570123">
            <w:pPr>
              <w:ind w:left="597" w:hanging="284"/>
              <w:jc w:val="both"/>
              <w:rPr>
                <w:rFonts w:ascii="Times New Roman" w:hAnsi="Times New Roman" w:cs="Times New Roman"/>
                <w:sz w:val="20"/>
              </w:rPr>
            </w:pPr>
            <w:r w:rsidRPr="001B077F">
              <w:rPr>
                <w:rFonts w:ascii="Times New Roman" w:hAnsi="Times New Roman" w:cs="Times New Roman"/>
                <w:sz w:val="20"/>
              </w:rPr>
              <w:t>1)  Zmiana regulaminu pracy w przypadku gdy funkcjonuje kilka związków zawodowych i przedstawią one wspólne negatywne stanowisko będzie niemożliwa. W konsekwencji, pracodawcy którym nie uda się zmienić układu zbiorowe</w:t>
            </w:r>
            <w:r w:rsidR="008D5217" w:rsidRPr="001B077F">
              <w:rPr>
                <w:rFonts w:ascii="Times New Roman" w:hAnsi="Times New Roman" w:cs="Times New Roman"/>
                <w:sz w:val="20"/>
              </w:rPr>
              <w:t>go</w:t>
            </w:r>
            <w:r w:rsidRPr="001B077F">
              <w:rPr>
                <w:rFonts w:ascii="Times New Roman" w:hAnsi="Times New Roman" w:cs="Times New Roman"/>
                <w:sz w:val="20"/>
              </w:rPr>
              <w:t xml:space="preserve">, regulaminu pracy, w praktyce </w:t>
            </w:r>
            <w:r w:rsidRPr="001B077F">
              <w:rPr>
                <w:rFonts w:ascii="Times New Roman" w:hAnsi="Times New Roman" w:cs="Times New Roman"/>
                <w:sz w:val="20"/>
              </w:rPr>
              <w:lastRenderedPageBreak/>
              <w:t>nie będą mogli korzystać z tych przepisów pomimo wykonywania przez pracowników zadań np. w transporcie</w:t>
            </w:r>
            <w:r w:rsidR="00B01408" w:rsidRPr="001B077F">
              <w:rPr>
                <w:rFonts w:ascii="Times New Roman" w:hAnsi="Times New Roman" w:cs="Times New Roman"/>
                <w:sz w:val="20"/>
              </w:rPr>
              <w:t xml:space="preserve"> czy </w:t>
            </w:r>
            <w:r w:rsidRPr="001B077F">
              <w:rPr>
                <w:rFonts w:ascii="Times New Roman" w:hAnsi="Times New Roman" w:cs="Times New Roman"/>
                <w:sz w:val="20"/>
              </w:rPr>
              <w:t>budownictwie</w:t>
            </w:r>
            <w:r w:rsidR="00B01408" w:rsidRPr="001B077F">
              <w:rPr>
                <w:rFonts w:ascii="Times New Roman" w:hAnsi="Times New Roman" w:cs="Times New Roman"/>
                <w:sz w:val="20"/>
              </w:rPr>
              <w:t>.</w:t>
            </w:r>
          </w:p>
          <w:p w14:paraId="0486FCDD" w14:textId="77777777" w:rsidR="00570123" w:rsidRPr="001B077F" w:rsidRDefault="00570123" w:rsidP="00570123">
            <w:pPr>
              <w:ind w:left="597" w:hanging="284"/>
              <w:jc w:val="both"/>
              <w:rPr>
                <w:rFonts w:ascii="Times New Roman" w:hAnsi="Times New Roman" w:cs="Times New Roman"/>
                <w:sz w:val="20"/>
              </w:rPr>
            </w:pPr>
          </w:p>
          <w:p w14:paraId="499F6E2C" w14:textId="47A1B7D4" w:rsidR="00570123" w:rsidRPr="001B077F" w:rsidRDefault="00570123" w:rsidP="00570123">
            <w:pPr>
              <w:ind w:left="597" w:hanging="284"/>
              <w:jc w:val="both"/>
              <w:rPr>
                <w:rFonts w:ascii="Times New Roman" w:hAnsi="Times New Roman" w:cs="Times New Roman"/>
                <w:i/>
                <w:iCs/>
                <w:sz w:val="20"/>
              </w:rPr>
            </w:pPr>
            <w:r w:rsidRPr="001B077F">
              <w:rPr>
                <w:rFonts w:ascii="Times New Roman" w:hAnsi="Times New Roman" w:cs="Times New Roman"/>
                <w:sz w:val="20"/>
              </w:rPr>
              <w:t xml:space="preserve">     Dlatego proponuje się,  aby dodać zdanie drugie, na wzór art. 3 ust. 4 </w:t>
            </w:r>
            <w:r w:rsidRPr="001B077F">
              <w:rPr>
                <w:rFonts w:ascii="Times New Roman" w:hAnsi="Times New Roman" w:cs="Times New Roman"/>
                <w:i/>
                <w:iCs/>
                <w:sz w:val="20"/>
              </w:rPr>
              <w:t>ustawy z dnia 13 marca 2003 r. o szczególnych zasadach rozwiązywania z pracownikami stosunków pracy z przyczyn niedotyczących pracowników.</w:t>
            </w:r>
          </w:p>
          <w:p w14:paraId="22161C7B" w14:textId="454F53B4" w:rsidR="00570123" w:rsidRPr="001B077F" w:rsidRDefault="00570123" w:rsidP="00570123">
            <w:pPr>
              <w:ind w:left="597" w:hanging="284"/>
              <w:jc w:val="both"/>
              <w:rPr>
                <w:rFonts w:ascii="Times New Roman" w:hAnsi="Times New Roman" w:cs="Times New Roman"/>
                <w:i/>
                <w:iCs/>
                <w:sz w:val="20"/>
              </w:rPr>
            </w:pPr>
          </w:p>
          <w:p w14:paraId="0F4B0300" w14:textId="0201CCFA" w:rsidR="00570123" w:rsidRPr="001B077F" w:rsidRDefault="00570123" w:rsidP="00570123">
            <w:pPr>
              <w:ind w:left="360"/>
              <w:jc w:val="both"/>
              <w:rPr>
                <w:rFonts w:ascii="Times New Roman" w:hAnsi="Times New Roman" w:cs="Times New Roman"/>
                <w:sz w:val="20"/>
              </w:rPr>
            </w:pPr>
            <w:r w:rsidRPr="001B077F">
              <w:rPr>
                <w:rFonts w:ascii="Times New Roman" w:hAnsi="Times New Roman" w:cs="Times New Roman"/>
                <w:i/>
                <w:iCs/>
                <w:sz w:val="20"/>
              </w:rPr>
              <w:t xml:space="preserve">2)  </w:t>
            </w:r>
            <w:r w:rsidRPr="001B077F">
              <w:rPr>
                <w:rFonts w:ascii="Times New Roman" w:hAnsi="Times New Roman" w:cs="Times New Roman"/>
                <w:sz w:val="20"/>
              </w:rPr>
              <w:t xml:space="preserve">Ze względu na newralgiczny obszar regulacji wskazane jest doprecyzowanie w przepisie, iż kontrola może polegać na działaniu, w szczególności, prewencyjnym lub wyrywkowym. </w:t>
            </w:r>
          </w:p>
          <w:p w14:paraId="00AA7187" w14:textId="25D206E9" w:rsidR="00570123" w:rsidRPr="001B077F" w:rsidRDefault="00570123" w:rsidP="00570123">
            <w:pPr>
              <w:ind w:left="739"/>
              <w:jc w:val="both"/>
              <w:rPr>
                <w:rFonts w:ascii="Times New Roman" w:hAnsi="Times New Roman" w:cs="Times New Roman"/>
                <w:i/>
                <w:iCs/>
                <w:sz w:val="20"/>
              </w:rPr>
            </w:pPr>
          </w:p>
          <w:p w14:paraId="055FDB56" w14:textId="77777777" w:rsidR="00570123" w:rsidRPr="001B077F" w:rsidRDefault="00570123" w:rsidP="00570123">
            <w:pPr>
              <w:ind w:left="739"/>
              <w:jc w:val="both"/>
              <w:rPr>
                <w:rFonts w:ascii="Times New Roman" w:hAnsi="Times New Roman" w:cs="Times New Roman"/>
                <w:i/>
                <w:iCs/>
                <w:sz w:val="20"/>
              </w:rPr>
            </w:pPr>
          </w:p>
          <w:p w14:paraId="04525731" w14:textId="77777777" w:rsidR="00570123" w:rsidRPr="001B077F" w:rsidRDefault="00570123" w:rsidP="00570123">
            <w:pPr>
              <w:rPr>
                <w:rFonts w:ascii="Times New Roman" w:hAnsi="Times New Roman" w:cs="Times New Roman"/>
                <w:sz w:val="20"/>
              </w:rPr>
            </w:pPr>
          </w:p>
          <w:p w14:paraId="65E7B808" w14:textId="4E457C59" w:rsidR="00570123" w:rsidRPr="001B077F" w:rsidRDefault="00570123" w:rsidP="00570123">
            <w:pPr>
              <w:ind w:left="708"/>
              <w:jc w:val="both"/>
              <w:rPr>
                <w:rFonts w:ascii="Times New Roman" w:hAnsi="Times New Roman" w:cs="Times New Roman"/>
                <w:sz w:val="20"/>
              </w:rPr>
            </w:pPr>
            <w:r w:rsidRPr="001B077F">
              <w:rPr>
                <w:rFonts w:ascii="Times New Roman" w:hAnsi="Times New Roman" w:cs="Times New Roman"/>
                <w:sz w:val="20"/>
              </w:rPr>
              <w:t xml:space="preserve">§ 10. Grupę lub grupy pracowników objęte kontrolą trzeźwości, metodę kontroli, w tym oraz sposób jej przeprowadzenia,  w tym  prewencyjną lub wyrywkową, ustala się w układzie zbiorowym pracy lub w regulaminie pracy albo w obwieszczeniu, jeżeli pracodawca nie jest objęty układem zbiorowym pracy lub nie jest obowiązany do ustalenia regulaminu pracy. Jeżeli nie jest możliwe wprowadzenie wskazanych ustaleń w </w:t>
            </w:r>
            <w:r w:rsidR="00630026" w:rsidRPr="001B077F">
              <w:rPr>
                <w:rFonts w:ascii="Times New Roman" w:hAnsi="Times New Roman" w:cs="Times New Roman"/>
                <w:sz w:val="20"/>
              </w:rPr>
              <w:t xml:space="preserve">układzie zbiorowym lub w </w:t>
            </w:r>
            <w:r w:rsidRPr="001B077F">
              <w:rPr>
                <w:rFonts w:ascii="Times New Roman" w:hAnsi="Times New Roman" w:cs="Times New Roman"/>
                <w:sz w:val="20"/>
              </w:rPr>
              <w:t>regulaminie pracy w terminie 30 dni od przedstawienia przez pracodawcę propozycji zakładowym organizacjom związkowym, ustalenia te pracodawca zawiera w odrębnym regulaminie, uwzględniając, w miarę możliwości, propozycje przedstawione w ramach konsultacji przez zakładowe organizacje związkowe.</w:t>
            </w:r>
          </w:p>
          <w:p w14:paraId="1BFE0F5C" w14:textId="5157A46A" w:rsidR="00570123" w:rsidRPr="001B077F" w:rsidRDefault="00570123" w:rsidP="00570123">
            <w:pPr>
              <w:jc w:val="both"/>
              <w:rPr>
                <w:rFonts w:ascii="Times New Roman" w:hAnsi="Times New Roman" w:cs="Times New Roman"/>
                <w:sz w:val="20"/>
              </w:rPr>
            </w:pPr>
          </w:p>
        </w:tc>
      </w:tr>
      <w:tr w:rsidR="001B077F" w:rsidRPr="001B077F" w14:paraId="3E576047" w14:textId="77777777" w:rsidTr="00570123">
        <w:trPr>
          <w:jc w:val="center"/>
        </w:trPr>
        <w:tc>
          <w:tcPr>
            <w:tcW w:w="986" w:type="dxa"/>
          </w:tcPr>
          <w:p w14:paraId="24DC410C" w14:textId="77777777" w:rsidR="00570123" w:rsidRPr="001B077F" w:rsidRDefault="00570123" w:rsidP="00570123">
            <w:pPr>
              <w:pStyle w:val="Akapitzlist"/>
              <w:numPr>
                <w:ilvl w:val="0"/>
                <w:numId w:val="11"/>
              </w:numPr>
              <w:spacing w:before="120"/>
              <w:ind w:right="-534"/>
              <w:jc w:val="center"/>
              <w:rPr>
                <w:rFonts w:ascii="Times New Roman" w:hAnsi="Times New Roman" w:cs="Times New Roman"/>
                <w:b/>
                <w:sz w:val="20"/>
              </w:rPr>
            </w:pPr>
          </w:p>
        </w:tc>
        <w:tc>
          <w:tcPr>
            <w:tcW w:w="2070" w:type="dxa"/>
            <w:vAlign w:val="center"/>
          </w:tcPr>
          <w:p w14:paraId="28487984" w14:textId="77777777" w:rsidR="00570123" w:rsidRPr="001B077F" w:rsidRDefault="00570123" w:rsidP="00570123">
            <w:pPr>
              <w:jc w:val="cente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 </w:t>
            </w:r>
          </w:p>
          <w:p w14:paraId="30B82A53" w14:textId="0C9E1997" w:rsidR="00570123" w:rsidRPr="001B077F" w:rsidRDefault="00570123" w:rsidP="00570123">
            <w:pPr>
              <w:jc w:val="center"/>
              <w:rPr>
                <w:rFonts w:ascii="Times New Roman" w:hAnsi="Times New Roman" w:cs="Times New Roman"/>
                <w:sz w:val="20"/>
                <w:lang w:val="de-DE"/>
              </w:rPr>
            </w:pPr>
            <w:r w:rsidRPr="001B077F">
              <w:rPr>
                <w:rFonts w:ascii="Times New Roman" w:hAnsi="Times New Roman" w:cs="Times New Roman"/>
                <w:sz w:val="20"/>
                <w:lang w:val="de-DE"/>
              </w:rPr>
              <w:t>art. 22(1c) § 12 KP</w:t>
            </w:r>
          </w:p>
        </w:tc>
        <w:tc>
          <w:tcPr>
            <w:tcW w:w="2758" w:type="dxa"/>
            <w:vAlign w:val="center"/>
          </w:tcPr>
          <w:p w14:paraId="243C7823" w14:textId="56970F04" w:rsidR="00570123" w:rsidRPr="001B077F" w:rsidRDefault="00570123" w:rsidP="00570123">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3ED9A338" w14:textId="4BE55E5C" w:rsidR="00570123" w:rsidRPr="001B077F" w:rsidRDefault="00570123" w:rsidP="00570123">
            <w:pPr>
              <w:jc w:val="both"/>
              <w:rPr>
                <w:rFonts w:ascii="Times New Roman" w:hAnsi="Times New Roman" w:cs="Times New Roman"/>
                <w:sz w:val="20"/>
              </w:rPr>
            </w:pPr>
            <w:r w:rsidRPr="001B077F">
              <w:rPr>
                <w:rFonts w:ascii="Times New Roman" w:hAnsi="Times New Roman" w:cs="Times New Roman"/>
                <w:sz w:val="20"/>
              </w:rPr>
              <w:t xml:space="preserve">Przekazanie informacji w formie pisemnej jest zbędnym formalizmem. W zupełności wystarczy przekazanie elektroniczne. Istotą jest to, by pracownikowi zasady te zostały przekazane w taki sposób, by mógł się z nimi zapoznać. </w:t>
            </w:r>
            <w:r w:rsidR="00240DA0" w:rsidRPr="00240DA0">
              <w:rPr>
                <w:rFonts w:ascii="Times New Roman" w:hAnsi="Times New Roman" w:cs="Times New Roman"/>
                <w:sz w:val="20"/>
              </w:rPr>
              <w:t>Pracodawca powinien mieć możliwość elastycznego podejścia do obowiązku informacyjnego, zwłaszcza wówczas gdy zatrudnia parę tysięcy pracowników</w:t>
            </w:r>
            <w:r w:rsidR="00240DA0">
              <w:rPr>
                <w:rFonts w:ascii="Times New Roman" w:hAnsi="Times New Roman" w:cs="Times New Roman"/>
                <w:sz w:val="20"/>
              </w:rPr>
              <w:t xml:space="preserve">  a jego działalność ma charakter rozprosozny</w:t>
            </w:r>
            <w:bookmarkStart w:id="0" w:name="_GoBack"/>
            <w:bookmarkEnd w:id="0"/>
            <w:r w:rsidR="00240DA0" w:rsidRPr="00240DA0">
              <w:rPr>
                <w:rFonts w:ascii="Times New Roman" w:hAnsi="Times New Roman" w:cs="Times New Roman"/>
                <w:sz w:val="20"/>
              </w:rPr>
              <w:t xml:space="preserve">. </w:t>
            </w:r>
            <w:r w:rsidRPr="001B077F">
              <w:rPr>
                <w:rFonts w:ascii="Times New Roman" w:hAnsi="Times New Roman" w:cs="Times New Roman"/>
                <w:sz w:val="20"/>
              </w:rPr>
              <w:t xml:space="preserve">W przypadku firm zatrudniających kilkanaście tysięcy pracowników oznacza to drukowanie kilkunastu tysięcy kilkunastostronicowych dokumentów. Postulujemy o zmianę formy pisemnej  </w:t>
            </w:r>
            <w:r w:rsidRPr="001B077F">
              <w:rPr>
                <w:rFonts w:ascii="Times New Roman" w:hAnsi="Times New Roman" w:cs="Times New Roman"/>
                <w:b/>
                <w:bCs/>
                <w:i/>
                <w:iCs/>
                <w:sz w:val="20"/>
              </w:rPr>
              <w:t>na piśmie lub elektronicznie</w:t>
            </w:r>
            <w:r w:rsidRPr="001B077F">
              <w:rPr>
                <w:rFonts w:ascii="Times New Roman" w:hAnsi="Times New Roman" w:cs="Times New Roman"/>
                <w:sz w:val="20"/>
              </w:rPr>
              <w:t>.</w:t>
            </w:r>
          </w:p>
        </w:tc>
      </w:tr>
      <w:tr w:rsidR="001B077F" w:rsidRPr="001B077F" w14:paraId="28ED817C" w14:textId="77777777" w:rsidTr="00C33C1C">
        <w:trPr>
          <w:jc w:val="center"/>
        </w:trPr>
        <w:tc>
          <w:tcPr>
            <w:tcW w:w="986" w:type="dxa"/>
          </w:tcPr>
          <w:p w14:paraId="14278386" w14:textId="77777777" w:rsidR="00B01408" w:rsidRPr="001B077F" w:rsidRDefault="00B01408" w:rsidP="00B01408">
            <w:pPr>
              <w:pStyle w:val="Akapitzlist"/>
              <w:numPr>
                <w:ilvl w:val="0"/>
                <w:numId w:val="11"/>
              </w:numPr>
              <w:spacing w:before="120"/>
              <w:ind w:right="-534"/>
              <w:jc w:val="center"/>
              <w:rPr>
                <w:rFonts w:ascii="Times New Roman" w:hAnsi="Times New Roman" w:cs="Times New Roman"/>
                <w:b/>
                <w:sz w:val="20"/>
              </w:rPr>
            </w:pPr>
          </w:p>
        </w:tc>
        <w:tc>
          <w:tcPr>
            <w:tcW w:w="2070" w:type="dxa"/>
          </w:tcPr>
          <w:p w14:paraId="4E6EC88E" w14:textId="1961D3DD" w:rsidR="00B01408" w:rsidRPr="001B077F" w:rsidRDefault="00B01408" w:rsidP="00C33C1C">
            <w:pPr>
              <w:jc w:val="center"/>
              <w:rPr>
                <w:rFonts w:ascii="Times New Roman" w:hAnsi="Times New Roman" w:cs="Times New Roman"/>
                <w:sz w:val="20"/>
              </w:rPr>
            </w:pPr>
            <w:r w:rsidRPr="001B077F">
              <w:rPr>
                <w:rFonts w:ascii="Times New Roman" w:hAnsi="Times New Roman" w:cs="Times New Roman"/>
                <w:sz w:val="20"/>
              </w:rPr>
              <w:t>art. 1 pkt  1</w:t>
            </w:r>
          </w:p>
          <w:p w14:paraId="4AED5710" w14:textId="0B10C0BD" w:rsidR="00B01408" w:rsidRPr="001B077F" w:rsidRDefault="00B01408" w:rsidP="00C33C1C">
            <w:pPr>
              <w:jc w:val="center"/>
              <w:rPr>
                <w:rFonts w:ascii="Times New Roman" w:hAnsi="Times New Roman" w:cs="Times New Roman"/>
                <w:sz w:val="20"/>
              </w:rPr>
            </w:pPr>
            <w:r w:rsidRPr="001B077F">
              <w:rPr>
                <w:rFonts w:ascii="Times New Roman" w:hAnsi="Times New Roman" w:cs="Times New Roman"/>
                <w:sz w:val="20"/>
              </w:rPr>
              <w:t>art. 22(1d) KP</w:t>
            </w:r>
          </w:p>
        </w:tc>
        <w:tc>
          <w:tcPr>
            <w:tcW w:w="2758" w:type="dxa"/>
          </w:tcPr>
          <w:p w14:paraId="0E31E12C" w14:textId="0E637A91" w:rsidR="00B01408" w:rsidRPr="001B077F" w:rsidRDefault="00C33C1C" w:rsidP="00C33C1C">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1CBEBB46" w14:textId="28447340" w:rsidR="00B01408" w:rsidRPr="001B077F" w:rsidRDefault="00B01408" w:rsidP="00FB1D03">
            <w:pPr>
              <w:jc w:val="both"/>
              <w:rPr>
                <w:rFonts w:asciiTheme="majorBidi" w:hAnsiTheme="majorBidi" w:cstheme="majorBidi"/>
                <w:sz w:val="20"/>
                <w:szCs w:val="20"/>
              </w:rPr>
            </w:pPr>
            <w:r w:rsidRPr="001B077F">
              <w:rPr>
                <w:rFonts w:asciiTheme="majorBidi" w:hAnsiTheme="majorBidi" w:cstheme="majorBidi"/>
                <w:sz w:val="20"/>
                <w:szCs w:val="20"/>
              </w:rPr>
              <w:t>Postulujemy o przyznanie uprawnienia pracodawcom</w:t>
            </w:r>
            <w:r w:rsidR="0062392C" w:rsidRPr="001B077F">
              <w:rPr>
                <w:rFonts w:asciiTheme="majorBidi" w:hAnsiTheme="majorBidi" w:cstheme="majorBidi"/>
                <w:sz w:val="20"/>
                <w:szCs w:val="20"/>
              </w:rPr>
              <w:t>,</w:t>
            </w:r>
            <w:r w:rsidRPr="001B077F">
              <w:rPr>
                <w:rFonts w:asciiTheme="majorBidi" w:hAnsiTheme="majorBidi" w:cstheme="majorBidi"/>
                <w:sz w:val="20"/>
                <w:szCs w:val="20"/>
              </w:rPr>
              <w:t xml:space="preserve"> wprowadzan</w:t>
            </w:r>
            <w:r w:rsidR="0062392C" w:rsidRPr="001B077F">
              <w:rPr>
                <w:rFonts w:asciiTheme="majorBidi" w:hAnsiTheme="majorBidi" w:cstheme="majorBidi"/>
                <w:sz w:val="20"/>
                <w:szCs w:val="20"/>
              </w:rPr>
              <w:t>ego</w:t>
            </w:r>
            <w:r w:rsidRPr="001B077F">
              <w:rPr>
                <w:rFonts w:asciiTheme="majorBidi" w:hAnsiTheme="majorBidi" w:cstheme="majorBidi"/>
                <w:sz w:val="20"/>
                <w:szCs w:val="20"/>
              </w:rPr>
              <w:t xml:space="preserve"> w aktach wewnątrzzakładowych</w:t>
            </w:r>
            <w:r w:rsidR="0062392C" w:rsidRPr="001B077F">
              <w:rPr>
                <w:rFonts w:asciiTheme="majorBidi" w:hAnsiTheme="majorBidi" w:cstheme="majorBidi"/>
                <w:sz w:val="20"/>
                <w:szCs w:val="20"/>
              </w:rPr>
              <w:t>,</w:t>
            </w:r>
            <w:r w:rsidRPr="001B077F">
              <w:rPr>
                <w:rFonts w:asciiTheme="majorBidi" w:hAnsiTheme="majorBidi" w:cstheme="majorBidi"/>
                <w:sz w:val="20"/>
                <w:szCs w:val="20"/>
              </w:rPr>
              <w:t xml:space="preserve"> prawa do niedopuszczania do pracy pracowników, u których stwierdzono obecność alkoholu.</w:t>
            </w:r>
            <w:r w:rsidR="00FB1D03" w:rsidRPr="001B077F">
              <w:rPr>
                <w:rFonts w:asciiTheme="majorBidi" w:hAnsiTheme="majorBidi" w:cstheme="majorBidi"/>
                <w:sz w:val="20"/>
                <w:szCs w:val="20"/>
              </w:rPr>
              <w:t xml:space="preserve"> W wielu zakładach pracy już obecnie zakaz spożywania alkoholu lub bycia pod wpływem alkoholu  jest powszechnie rozumiany w ten sposób, że ma charakter całkowity, tj. że obejmuje jakąkolwiek,  nawet minimalną, zawartość alkoholu  w organizmie pracownika (powyżej 0,0 promila). </w:t>
            </w:r>
          </w:p>
          <w:p w14:paraId="7009F7E1" w14:textId="49777796" w:rsidR="00FB1D03" w:rsidRPr="001B077F" w:rsidRDefault="00FB1D03" w:rsidP="00FB1D03">
            <w:pPr>
              <w:jc w:val="both"/>
              <w:rPr>
                <w:rFonts w:asciiTheme="majorBidi" w:hAnsiTheme="majorBidi" w:cstheme="majorBidi"/>
                <w:sz w:val="20"/>
                <w:szCs w:val="20"/>
              </w:rPr>
            </w:pPr>
          </w:p>
          <w:p w14:paraId="39B01E97" w14:textId="2F9B36F6" w:rsidR="00FB1D03" w:rsidRPr="001B077F" w:rsidRDefault="00FB1D03" w:rsidP="00FB1D03">
            <w:pPr>
              <w:jc w:val="both"/>
              <w:rPr>
                <w:rFonts w:asciiTheme="majorBidi" w:hAnsiTheme="majorBidi" w:cstheme="majorBidi"/>
                <w:sz w:val="20"/>
                <w:szCs w:val="20"/>
              </w:rPr>
            </w:pPr>
            <w:r w:rsidRPr="001B077F">
              <w:rPr>
                <w:rFonts w:asciiTheme="majorBidi" w:hAnsiTheme="majorBidi" w:cstheme="majorBidi"/>
                <w:sz w:val="20"/>
                <w:szCs w:val="20"/>
              </w:rPr>
              <w:t xml:space="preserve">W praktyce badanie pracowników zazwyczaj </w:t>
            </w:r>
            <w:r w:rsidR="00F75A10" w:rsidRPr="001B077F">
              <w:rPr>
                <w:rFonts w:asciiTheme="majorBidi" w:hAnsiTheme="majorBidi" w:cstheme="majorBidi"/>
                <w:sz w:val="20"/>
                <w:szCs w:val="20"/>
              </w:rPr>
              <w:t xml:space="preserve">było </w:t>
            </w:r>
            <w:r w:rsidRPr="001B077F">
              <w:rPr>
                <w:rFonts w:asciiTheme="majorBidi" w:hAnsiTheme="majorBidi" w:cstheme="majorBidi"/>
                <w:sz w:val="20"/>
                <w:szCs w:val="20"/>
              </w:rPr>
              <w:t>dwukrotnie powtarzane, ponieważ stężenie alkoholu może mieć tendencję wzrostową lub spadkową i to jest konieczne, aby ustalić w jakim okresie pracownik spożywał alkohol</w:t>
            </w:r>
            <w:r w:rsidR="00F75A10" w:rsidRPr="001B077F">
              <w:rPr>
                <w:rFonts w:asciiTheme="majorBidi" w:hAnsiTheme="majorBidi" w:cstheme="majorBidi"/>
                <w:sz w:val="20"/>
                <w:szCs w:val="20"/>
              </w:rPr>
              <w:t>. Przykładowo</w:t>
            </w:r>
            <w:r w:rsidRPr="001B077F">
              <w:rPr>
                <w:rFonts w:asciiTheme="majorBidi" w:hAnsiTheme="majorBidi" w:cstheme="majorBidi"/>
                <w:sz w:val="20"/>
                <w:szCs w:val="20"/>
              </w:rPr>
              <w:t xml:space="preserve"> zgodnie z danymi podawanymi przez Instytut </w:t>
            </w:r>
            <w:r w:rsidRPr="001B077F">
              <w:rPr>
                <w:rFonts w:asciiTheme="majorBidi" w:hAnsiTheme="majorBidi" w:cstheme="majorBidi"/>
                <w:sz w:val="20"/>
                <w:szCs w:val="20"/>
              </w:rPr>
              <w:lastRenderedPageBreak/>
              <w:t xml:space="preserve">Ekspertyz Sądowych im. Prof. Dra Jana </w:t>
            </w:r>
            <w:proofErr w:type="spellStart"/>
            <w:r w:rsidRPr="001B077F">
              <w:rPr>
                <w:rFonts w:asciiTheme="majorBidi" w:hAnsiTheme="majorBidi" w:cstheme="majorBidi"/>
                <w:sz w:val="20"/>
                <w:szCs w:val="20"/>
              </w:rPr>
              <w:t>Sejna</w:t>
            </w:r>
            <w:proofErr w:type="spellEnd"/>
            <w:r w:rsidRPr="001B077F">
              <w:rPr>
                <w:rFonts w:asciiTheme="majorBidi" w:hAnsiTheme="majorBidi" w:cstheme="majorBidi"/>
                <w:sz w:val="20"/>
                <w:szCs w:val="20"/>
              </w:rPr>
              <w:t xml:space="preserve"> w Krakowie (wg publikacji autorstwa Dariusza </w:t>
            </w:r>
            <w:proofErr w:type="spellStart"/>
            <w:r w:rsidRPr="001B077F">
              <w:rPr>
                <w:rFonts w:asciiTheme="majorBidi" w:hAnsiTheme="majorBidi" w:cstheme="majorBidi"/>
                <w:sz w:val="20"/>
                <w:szCs w:val="20"/>
              </w:rPr>
              <w:t>Zuby</w:t>
            </w:r>
            <w:proofErr w:type="spellEnd"/>
            <w:r w:rsidRPr="001B077F">
              <w:rPr>
                <w:rFonts w:asciiTheme="majorBidi" w:hAnsiTheme="majorBidi" w:cstheme="majorBidi"/>
                <w:sz w:val="20"/>
                <w:szCs w:val="20"/>
              </w:rPr>
              <w:t xml:space="preserve"> „Ekspertyza alkohologiczna”), szybkość eliminacji alkoholu z organizmu to najczęściej 0,15 ‰ na godzinę (pomiędzy 0,05 ‰ a 0,3 ‰ na godzinę). </w:t>
            </w:r>
          </w:p>
          <w:p w14:paraId="2BEF82C3" w14:textId="1E782A97" w:rsidR="00B01408" w:rsidRPr="001B077F" w:rsidRDefault="00B01408" w:rsidP="00B01408">
            <w:pPr>
              <w:jc w:val="both"/>
              <w:rPr>
                <w:rFonts w:ascii="Times New Roman" w:hAnsi="Times New Roman" w:cs="Times New Roman"/>
                <w:sz w:val="20"/>
              </w:rPr>
            </w:pPr>
          </w:p>
          <w:p w14:paraId="4D20FB35" w14:textId="10EBCB6B" w:rsidR="00B01408" w:rsidRPr="001B077F" w:rsidRDefault="00B01408" w:rsidP="00B01408">
            <w:pPr>
              <w:jc w:val="both"/>
              <w:rPr>
                <w:rFonts w:ascii="Times New Roman" w:hAnsi="Times New Roman" w:cs="Times New Roman"/>
                <w:sz w:val="20"/>
              </w:rPr>
            </w:pPr>
            <w:r w:rsidRPr="001B077F">
              <w:rPr>
                <w:rFonts w:ascii="Times New Roman" w:hAnsi="Times New Roman" w:cs="Times New Roman"/>
                <w:sz w:val="20"/>
              </w:rPr>
              <w:t xml:space="preserve">Obecnie propozycja przepisu zakłada niedopuszczenie do wykonywania pracy przez pracownika, jeżeli kontrola trzeźwości wykaże obecność alkoholu w organizmie pracownika, wskazującą na stan po użyciu alkoholu –albo zachodzi uzasadnione podejrzenie, że stawił się on do pracy w stanie po użyciu alkoholu lub spożywał alkohol w czasie pracy. </w:t>
            </w:r>
          </w:p>
          <w:p w14:paraId="055204E3" w14:textId="77777777" w:rsidR="00B01408" w:rsidRPr="001B077F" w:rsidRDefault="00B01408" w:rsidP="00B01408">
            <w:pPr>
              <w:rPr>
                <w:rFonts w:ascii="Times New Roman" w:hAnsi="Times New Roman" w:cs="Times New Roman"/>
                <w:sz w:val="20"/>
              </w:rPr>
            </w:pPr>
            <w:r w:rsidRPr="001B077F">
              <w:rPr>
                <w:rFonts w:ascii="Times New Roman" w:hAnsi="Times New Roman" w:cs="Times New Roman"/>
                <w:sz w:val="20"/>
              </w:rPr>
              <w:t>Stan po użyciu alkoholu zachodzi, gdy zawartość alkoholu w organizmie wynosi lub prowadzi do:</w:t>
            </w:r>
          </w:p>
          <w:p w14:paraId="369229C5" w14:textId="77777777" w:rsidR="00B01408" w:rsidRPr="001B077F" w:rsidRDefault="00B01408" w:rsidP="00B01408">
            <w:pPr>
              <w:rPr>
                <w:rFonts w:ascii="Times New Roman" w:hAnsi="Times New Roman" w:cs="Times New Roman"/>
                <w:sz w:val="20"/>
              </w:rPr>
            </w:pPr>
            <w:r w:rsidRPr="001B077F">
              <w:rPr>
                <w:rFonts w:ascii="Times New Roman" w:hAnsi="Times New Roman" w:cs="Times New Roman"/>
                <w:sz w:val="20"/>
              </w:rPr>
              <w:t>1)</w:t>
            </w:r>
            <w:r w:rsidRPr="001B077F">
              <w:rPr>
                <w:rFonts w:ascii="Times New Roman" w:hAnsi="Times New Roman" w:cs="Times New Roman"/>
                <w:sz w:val="20"/>
              </w:rPr>
              <w:tab/>
              <w:t>stężenia we krwi od 0,2‰ do 0,5‰ alkoholu albo</w:t>
            </w:r>
          </w:p>
          <w:p w14:paraId="205931FA" w14:textId="77777777" w:rsidR="00B01408" w:rsidRPr="001B077F" w:rsidRDefault="00B01408" w:rsidP="00B01408">
            <w:pPr>
              <w:jc w:val="both"/>
              <w:rPr>
                <w:rFonts w:ascii="Times New Roman" w:hAnsi="Times New Roman" w:cs="Times New Roman"/>
                <w:sz w:val="20"/>
              </w:rPr>
            </w:pPr>
            <w:r w:rsidRPr="001B077F">
              <w:rPr>
                <w:rFonts w:ascii="Times New Roman" w:hAnsi="Times New Roman" w:cs="Times New Roman"/>
                <w:sz w:val="20"/>
              </w:rPr>
              <w:t>2)</w:t>
            </w:r>
            <w:r w:rsidRPr="001B077F">
              <w:rPr>
                <w:rFonts w:ascii="Times New Roman" w:hAnsi="Times New Roman" w:cs="Times New Roman"/>
                <w:sz w:val="20"/>
              </w:rPr>
              <w:tab/>
              <w:t>obecności w wydychanym powietrzu od 0,1 mg do 0,25 mg alkoholu w 1 dm3.</w:t>
            </w:r>
          </w:p>
          <w:p w14:paraId="18DEFB45" w14:textId="77777777" w:rsidR="00B01408" w:rsidRPr="001B077F" w:rsidRDefault="00B01408" w:rsidP="00B01408">
            <w:pPr>
              <w:jc w:val="both"/>
              <w:rPr>
                <w:rFonts w:ascii="Times New Roman" w:hAnsi="Times New Roman" w:cs="Times New Roman"/>
                <w:sz w:val="20"/>
              </w:rPr>
            </w:pPr>
          </w:p>
          <w:p w14:paraId="17B9484B" w14:textId="458C8664" w:rsidR="00FB1D03" w:rsidRPr="001B077F" w:rsidRDefault="00B01408" w:rsidP="00FB1D03">
            <w:pPr>
              <w:jc w:val="both"/>
              <w:rPr>
                <w:rFonts w:ascii="Times New Roman" w:hAnsi="Times New Roman" w:cs="Times New Roman"/>
                <w:sz w:val="20"/>
              </w:rPr>
            </w:pPr>
            <w:r w:rsidRPr="001B077F">
              <w:rPr>
                <w:rFonts w:ascii="Times New Roman" w:hAnsi="Times New Roman" w:cs="Times New Roman"/>
                <w:sz w:val="20"/>
              </w:rPr>
              <w:t>Duża część pracodawców, mając na uwadze  prace wymagające w szczególności  sprawności psychofizycznej, oczekuje prawa do niedopuszczania do pracy pracowników, u których stwierdzono obecność alkoholu</w:t>
            </w:r>
            <w:r w:rsidR="00FB1D03" w:rsidRPr="001B077F">
              <w:rPr>
                <w:rFonts w:ascii="Times New Roman" w:hAnsi="Times New Roman" w:cs="Times New Roman"/>
                <w:sz w:val="20"/>
              </w:rPr>
              <w:t xml:space="preserve">, </w:t>
            </w:r>
            <w:r w:rsidR="00F75A10" w:rsidRPr="001B077F">
              <w:rPr>
                <w:rFonts w:ascii="Times New Roman" w:hAnsi="Times New Roman" w:cs="Times New Roman"/>
                <w:sz w:val="20"/>
              </w:rPr>
              <w:t xml:space="preserve">wg. </w:t>
            </w:r>
            <w:r w:rsidR="00FB1D03" w:rsidRPr="001B077F">
              <w:rPr>
                <w:rFonts w:ascii="Times New Roman" w:hAnsi="Times New Roman" w:cs="Times New Roman"/>
                <w:sz w:val="20"/>
              </w:rPr>
              <w:t>zasad</w:t>
            </w:r>
            <w:r w:rsidR="00F75A10" w:rsidRPr="001B077F">
              <w:rPr>
                <w:rFonts w:ascii="Times New Roman" w:hAnsi="Times New Roman" w:cs="Times New Roman"/>
                <w:sz w:val="20"/>
              </w:rPr>
              <w:t>y</w:t>
            </w:r>
            <w:r w:rsidR="00FB1D03" w:rsidRPr="001B077F">
              <w:rPr>
                <w:rFonts w:ascii="Times New Roman" w:hAnsi="Times New Roman" w:cs="Times New Roman"/>
                <w:sz w:val="20"/>
              </w:rPr>
              <w:t xml:space="preserve"> „zero tolerancji”. W takim przypadku wystarczające do odsunięcia od pracy pracownika powinno być stwierdzenie jakiejkolwiek obecności alkoholu we krwi</w:t>
            </w:r>
            <w:r w:rsidR="00F75A10" w:rsidRPr="001B077F">
              <w:rPr>
                <w:rFonts w:ascii="Times New Roman" w:hAnsi="Times New Roman" w:cs="Times New Roman"/>
                <w:sz w:val="20"/>
              </w:rPr>
              <w:t xml:space="preserve">, co wynikałoby z przepisów wewnątrzzakładowych. </w:t>
            </w:r>
          </w:p>
          <w:p w14:paraId="5C929D29" w14:textId="77777777" w:rsidR="00FB1D03" w:rsidRPr="001B077F" w:rsidRDefault="00FB1D03" w:rsidP="00FB1D03">
            <w:pPr>
              <w:ind w:left="597" w:hanging="597"/>
              <w:jc w:val="both"/>
              <w:rPr>
                <w:rFonts w:ascii="Times New Roman" w:hAnsi="Times New Roman" w:cs="Times New Roman"/>
                <w:sz w:val="20"/>
              </w:rPr>
            </w:pPr>
          </w:p>
          <w:p w14:paraId="55FCC41C" w14:textId="77777777" w:rsidR="00FB1D03" w:rsidRPr="001B077F" w:rsidRDefault="00FB1D03" w:rsidP="00F75A10">
            <w:pPr>
              <w:jc w:val="both"/>
              <w:rPr>
                <w:rFonts w:ascii="Times New Roman" w:hAnsi="Times New Roman" w:cs="Times New Roman"/>
                <w:sz w:val="20"/>
              </w:rPr>
            </w:pPr>
          </w:p>
          <w:p w14:paraId="45AC6A07" w14:textId="7F4E62A9" w:rsidR="00B01408" w:rsidRPr="001B077F" w:rsidRDefault="00FB1D03" w:rsidP="00FB1D03">
            <w:pPr>
              <w:jc w:val="both"/>
              <w:rPr>
                <w:rFonts w:ascii="Times New Roman" w:hAnsi="Times New Roman" w:cs="Times New Roman"/>
                <w:sz w:val="20"/>
              </w:rPr>
            </w:pPr>
            <w:r w:rsidRPr="001B077F">
              <w:rPr>
                <w:rFonts w:ascii="Times New Roman" w:hAnsi="Times New Roman" w:cs="Times New Roman"/>
                <w:sz w:val="20"/>
              </w:rPr>
              <w:t>W każdym przypadku pracodawca powinien  mieć możliwość stwierdzenia stężenia alkoholu / środków, a nie tylko ich obecności.</w:t>
            </w:r>
          </w:p>
          <w:p w14:paraId="145A845D" w14:textId="77777777" w:rsidR="00B01408" w:rsidRPr="001B077F" w:rsidRDefault="00B01408" w:rsidP="00B01408">
            <w:pPr>
              <w:jc w:val="both"/>
              <w:rPr>
                <w:rFonts w:ascii="Times New Roman" w:hAnsi="Times New Roman" w:cs="Times New Roman"/>
                <w:sz w:val="20"/>
              </w:rPr>
            </w:pPr>
          </w:p>
          <w:p w14:paraId="68CF6D39" w14:textId="77777777" w:rsidR="00B01408" w:rsidRPr="001B077F" w:rsidRDefault="00B01408" w:rsidP="00B01408">
            <w:pPr>
              <w:jc w:val="both"/>
              <w:rPr>
                <w:rFonts w:ascii="Times New Roman" w:hAnsi="Times New Roman" w:cs="Times New Roman"/>
                <w:sz w:val="20"/>
              </w:rPr>
            </w:pPr>
          </w:p>
          <w:p w14:paraId="2A981F17" w14:textId="77777777" w:rsidR="00B01408" w:rsidRPr="001B077F" w:rsidRDefault="00B01408" w:rsidP="00B01408">
            <w:pPr>
              <w:jc w:val="both"/>
              <w:rPr>
                <w:rFonts w:ascii="Times New Roman" w:hAnsi="Times New Roman" w:cs="Times New Roman"/>
                <w:sz w:val="20"/>
              </w:rPr>
            </w:pPr>
          </w:p>
        </w:tc>
      </w:tr>
      <w:tr w:rsidR="001B077F" w:rsidRPr="001B077F" w14:paraId="6D4897CE" w14:textId="77777777" w:rsidTr="00570123">
        <w:trPr>
          <w:jc w:val="center"/>
        </w:trPr>
        <w:tc>
          <w:tcPr>
            <w:tcW w:w="986" w:type="dxa"/>
          </w:tcPr>
          <w:p w14:paraId="03613EBF" w14:textId="77777777" w:rsidR="00B01408" w:rsidRPr="001B077F" w:rsidRDefault="00B01408" w:rsidP="00B01408">
            <w:pPr>
              <w:pStyle w:val="Akapitzlist"/>
              <w:numPr>
                <w:ilvl w:val="0"/>
                <w:numId w:val="11"/>
              </w:numPr>
              <w:spacing w:before="120"/>
              <w:ind w:right="-534"/>
              <w:jc w:val="center"/>
              <w:rPr>
                <w:rFonts w:ascii="Times New Roman" w:hAnsi="Times New Roman" w:cs="Times New Roman"/>
                <w:b/>
                <w:sz w:val="20"/>
              </w:rPr>
            </w:pPr>
          </w:p>
        </w:tc>
        <w:tc>
          <w:tcPr>
            <w:tcW w:w="2070" w:type="dxa"/>
            <w:vAlign w:val="center"/>
          </w:tcPr>
          <w:p w14:paraId="4A2CF3F3" w14:textId="77777777" w:rsidR="00B01408" w:rsidRPr="001B077F" w:rsidRDefault="00B01408" w:rsidP="00B01408">
            <w:pPr>
              <w:jc w:val="cente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 </w:t>
            </w:r>
          </w:p>
          <w:p w14:paraId="44B0D5DE" w14:textId="07F48207" w:rsidR="00B01408" w:rsidRPr="001B077F" w:rsidRDefault="00B01408" w:rsidP="00B01408">
            <w:pPr>
              <w:jc w:val="center"/>
              <w:rPr>
                <w:rFonts w:ascii="Times New Roman" w:hAnsi="Times New Roman" w:cs="Times New Roman"/>
                <w:sz w:val="20"/>
                <w:lang w:val="de-DE"/>
              </w:rPr>
            </w:pPr>
            <w:r w:rsidRPr="001B077F">
              <w:rPr>
                <w:rFonts w:ascii="Times New Roman" w:hAnsi="Times New Roman" w:cs="Times New Roman"/>
                <w:sz w:val="20"/>
                <w:lang w:val="de-DE"/>
              </w:rPr>
              <w:t>art. 22(1d) § 1 KP</w:t>
            </w:r>
          </w:p>
        </w:tc>
        <w:tc>
          <w:tcPr>
            <w:tcW w:w="2758" w:type="dxa"/>
            <w:vAlign w:val="center"/>
          </w:tcPr>
          <w:p w14:paraId="4F096D21" w14:textId="210B91EE" w:rsidR="00B01408" w:rsidRPr="001B077F" w:rsidRDefault="00B01408" w:rsidP="00B01408">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397A8DAD" w14:textId="77777777" w:rsidR="008D5217" w:rsidRPr="001B077F" w:rsidRDefault="00B01408" w:rsidP="00B01408">
            <w:pPr>
              <w:jc w:val="both"/>
              <w:rPr>
                <w:rFonts w:ascii="Times New Roman" w:hAnsi="Times New Roman" w:cs="Times New Roman"/>
                <w:i/>
                <w:iCs/>
                <w:sz w:val="20"/>
              </w:rPr>
            </w:pPr>
            <w:r w:rsidRPr="001B077F">
              <w:rPr>
                <w:rFonts w:ascii="Times New Roman" w:hAnsi="Times New Roman" w:cs="Times New Roman"/>
                <w:sz w:val="20"/>
              </w:rPr>
              <w:t xml:space="preserve">Postulujemy o zmianę brzmienia przepisu poprzez „Pracodawca nie dopuszcza </w:t>
            </w:r>
            <w:r w:rsidRPr="001B077F">
              <w:rPr>
                <w:rFonts w:ascii="Times New Roman" w:hAnsi="Times New Roman" w:cs="Times New Roman"/>
                <w:b/>
                <w:bCs/>
                <w:i/>
                <w:iCs/>
                <w:sz w:val="20"/>
              </w:rPr>
              <w:t>lub odsuwa od wykonywania pracy</w:t>
            </w:r>
            <w:r w:rsidRPr="001B077F">
              <w:rPr>
                <w:rFonts w:ascii="Times New Roman" w:hAnsi="Times New Roman" w:cs="Times New Roman"/>
                <w:sz w:val="20"/>
              </w:rPr>
              <w:t xml:space="preserve"> (…)”.</w:t>
            </w:r>
            <w:r w:rsidRPr="001B077F">
              <w:rPr>
                <w:rFonts w:ascii="Times New Roman" w:hAnsi="Times New Roman" w:cs="Times New Roman"/>
                <w:i/>
                <w:iCs/>
                <w:sz w:val="20"/>
              </w:rPr>
              <w:t xml:space="preserve"> </w:t>
            </w:r>
          </w:p>
          <w:p w14:paraId="37AC6FC5" w14:textId="1641D6DA" w:rsidR="00B01408" w:rsidRPr="001B077F" w:rsidRDefault="00B01408" w:rsidP="00B01408">
            <w:pPr>
              <w:jc w:val="both"/>
              <w:rPr>
                <w:rFonts w:ascii="Times New Roman" w:hAnsi="Times New Roman" w:cs="Times New Roman"/>
                <w:sz w:val="20"/>
              </w:rPr>
            </w:pPr>
            <w:r w:rsidRPr="001B077F">
              <w:rPr>
                <w:rFonts w:ascii="Times New Roman" w:hAnsi="Times New Roman" w:cs="Times New Roman"/>
                <w:sz w:val="20"/>
              </w:rPr>
              <w:t>Kwestia</w:t>
            </w:r>
            <w:r w:rsidR="00637B33" w:rsidRPr="001B077F">
              <w:rPr>
                <w:rFonts w:ascii="Times New Roman" w:hAnsi="Times New Roman" w:cs="Times New Roman"/>
                <w:sz w:val="20"/>
              </w:rPr>
              <w:t xml:space="preserve"> obecności alkoholu  w </w:t>
            </w:r>
            <w:proofErr w:type="spellStart"/>
            <w:r w:rsidR="00637B33" w:rsidRPr="001B077F">
              <w:rPr>
                <w:rFonts w:ascii="Times New Roman" w:hAnsi="Times New Roman" w:cs="Times New Roman"/>
                <w:sz w:val="20"/>
              </w:rPr>
              <w:t>organiźmie</w:t>
            </w:r>
            <w:proofErr w:type="spellEnd"/>
            <w:r w:rsidR="00637B33" w:rsidRPr="001B077F">
              <w:rPr>
                <w:rFonts w:ascii="Times New Roman" w:hAnsi="Times New Roman" w:cs="Times New Roman"/>
                <w:sz w:val="20"/>
              </w:rPr>
              <w:t>,</w:t>
            </w:r>
            <w:r w:rsidRPr="001B077F">
              <w:rPr>
                <w:rFonts w:ascii="Times New Roman" w:hAnsi="Times New Roman" w:cs="Times New Roman"/>
                <w:sz w:val="20"/>
              </w:rPr>
              <w:t xml:space="preserve"> stanu po użyciu alkoholu może zostać ujawniona w trakcie wykonywania pracy.</w:t>
            </w:r>
          </w:p>
        </w:tc>
      </w:tr>
      <w:tr w:rsidR="001B077F" w:rsidRPr="001B077F" w14:paraId="34DB07B4" w14:textId="77777777" w:rsidTr="00570123">
        <w:trPr>
          <w:jc w:val="center"/>
        </w:trPr>
        <w:tc>
          <w:tcPr>
            <w:tcW w:w="986" w:type="dxa"/>
          </w:tcPr>
          <w:p w14:paraId="14F49F5E" w14:textId="77777777" w:rsidR="00B01408" w:rsidRPr="001B077F" w:rsidRDefault="00B01408" w:rsidP="00B01408">
            <w:pPr>
              <w:pStyle w:val="Akapitzlist"/>
              <w:numPr>
                <w:ilvl w:val="0"/>
                <w:numId w:val="11"/>
              </w:numPr>
              <w:spacing w:before="120"/>
              <w:ind w:right="-534"/>
              <w:jc w:val="center"/>
              <w:rPr>
                <w:rFonts w:ascii="Times New Roman" w:hAnsi="Times New Roman" w:cs="Times New Roman"/>
                <w:b/>
                <w:sz w:val="20"/>
              </w:rPr>
            </w:pPr>
          </w:p>
        </w:tc>
        <w:tc>
          <w:tcPr>
            <w:tcW w:w="2070" w:type="dxa"/>
            <w:vAlign w:val="center"/>
          </w:tcPr>
          <w:p w14:paraId="19216C64" w14:textId="77777777" w:rsidR="00B01408" w:rsidRPr="001B077F" w:rsidRDefault="00B01408" w:rsidP="00B01408">
            <w:pPr>
              <w:jc w:val="cente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 </w:t>
            </w:r>
          </w:p>
          <w:p w14:paraId="0792916C" w14:textId="20F2AE9C" w:rsidR="00B01408" w:rsidRPr="001B077F" w:rsidRDefault="00B01408" w:rsidP="00B01408">
            <w:pPr>
              <w:jc w:val="center"/>
              <w:rPr>
                <w:rFonts w:ascii="Times New Roman" w:hAnsi="Times New Roman" w:cs="Times New Roman"/>
                <w:sz w:val="20"/>
                <w:lang w:val="de-DE"/>
              </w:rPr>
            </w:pPr>
            <w:r w:rsidRPr="001B077F">
              <w:rPr>
                <w:rFonts w:ascii="Times New Roman" w:hAnsi="Times New Roman" w:cs="Times New Roman"/>
                <w:sz w:val="20"/>
                <w:lang w:val="de-DE"/>
              </w:rPr>
              <w:t>art. 22(1d) § 3 KP</w:t>
            </w:r>
          </w:p>
        </w:tc>
        <w:tc>
          <w:tcPr>
            <w:tcW w:w="2758" w:type="dxa"/>
            <w:vAlign w:val="center"/>
          </w:tcPr>
          <w:p w14:paraId="1CE19F86" w14:textId="2A1E9386" w:rsidR="00B01408" w:rsidRPr="001B077F" w:rsidRDefault="00B01408" w:rsidP="00B01408">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16B18F81" w14:textId="2B78E390" w:rsidR="00B01408" w:rsidRPr="001B077F" w:rsidRDefault="00B01408" w:rsidP="00B01408">
            <w:pPr>
              <w:jc w:val="both"/>
              <w:rPr>
                <w:rFonts w:ascii="TimesNewRomanPSMT" w:hAnsi="TimesNewRomanPSMT" w:cs="TimesNewRomanPSMT"/>
                <w:sz w:val="24"/>
                <w:szCs w:val="24"/>
              </w:rPr>
            </w:pPr>
            <w:r w:rsidRPr="001B077F">
              <w:rPr>
                <w:rFonts w:ascii="Times New Roman" w:hAnsi="Times New Roman" w:cs="Times New Roman"/>
                <w:sz w:val="20"/>
              </w:rPr>
              <w:t>Postulujemy o zmianę brzmienia przepisu poprzez „Na żądanie pracodawcy lub pracownika niedopuszczonego do wykonywania pracy,</w:t>
            </w:r>
            <w:r w:rsidRPr="001B077F">
              <w:rPr>
                <w:rFonts w:ascii="TimesNewRomanPSMT" w:hAnsi="TimesNewRomanPSMT" w:cs="TimesNewRomanPSMT"/>
                <w:sz w:val="24"/>
                <w:szCs w:val="24"/>
              </w:rPr>
              <w:t xml:space="preserve"> </w:t>
            </w:r>
            <w:r w:rsidRPr="001B077F">
              <w:rPr>
                <w:rFonts w:ascii="TimesNewRomanPSMT" w:hAnsi="TimesNewRomanPSMT" w:cs="TimesNewRomanPSMT"/>
                <w:b/>
                <w:bCs/>
                <w:i/>
                <w:iCs/>
                <w:sz w:val="20"/>
                <w:szCs w:val="20"/>
              </w:rPr>
              <w:t>dodatkowe</w:t>
            </w:r>
            <w:r w:rsidRPr="001B077F">
              <w:rPr>
                <w:rFonts w:ascii="TimesNewRomanPSMT" w:hAnsi="TimesNewRomanPSMT" w:cs="TimesNewRomanPSMT"/>
                <w:sz w:val="24"/>
                <w:szCs w:val="24"/>
              </w:rPr>
              <w:t xml:space="preserve"> </w:t>
            </w:r>
            <w:r w:rsidRPr="001B077F">
              <w:rPr>
                <w:rFonts w:ascii="Times New Roman" w:hAnsi="Times New Roman" w:cs="Times New Roman"/>
                <w:sz w:val="20"/>
              </w:rPr>
              <w:t>badanie stanu trzeźwości pracownika przeprowadza uprawniony organ powołany do ochrony porządku publicznego.” Istotą jest to, by pracownicy nie podważali prawa pracodawcy do żądania poddania się przez pracowników badania trzeźwości.</w:t>
            </w:r>
          </w:p>
        </w:tc>
      </w:tr>
      <w:tr w:rsidR="001B077F" w:rsidRPr="001B077F" w14:paraId="608CC759" w14:textId="77777777" w:rsidTr="00570123">
        <w:trPr>
          <w:jc w:val="center"/>
        </w:trPr>
        <w:tc>
          <w:tcPr>
            <w:tcW w:w="986" w:type="dxa"/>
          </w:tcPr>
          <w:p w14:paraId="707E781F" w14:textId="77777777" w:rsidR="00B01408" w:rsidRPr="001B077F" w:rsidRDefault="00B01408" w:rsidP="00B01408">
            <w:pPr>
              <w:pStyle w:val="Akapitzlist"/>
              <w:numPr>
                <w:ilvl w:val="0"/>
                <w:numId w:val="11"/>
              </w:numPr>
              <w:spacing w:before="120"/>
              <w:ind w:right="-534"/>
              <w:jc w:val="center"/>
              <w:rPr>
                <w:rFonts w:ascii="Times New Roman" w:hAnsi="Times New Roman" w:cs="Times New Roman"/>
                <w:b/>
                <w:sz w:val="20"/>
              </w:rPr>
            </w:pPr>
          </w:p>
        </w:tc>
        <w:tc>
          <w:tcPr>
            <w:tcW w:w="2070" w:type="dxa"/>
            <w:vAlign w:val="center"/>
          </w:tcPr>
          <w:p w14:paraId="6FE6AA3A" w14:textId="77777777" w:rsidR="00B01408" w:rsidRPr="001B077F" w:rsidRDefault="00B01408" w:rsidP="00B01408">
            <w:pPr>
              <w:jc w:val="cente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 </w:t>
            </w:r>
          </w:p>
          <w:p w14:paraId="3ED34389" w14:textId="7CE81E7D" w:rsidR="00B01408" w:rsidRPr="001B077F" w:rsidRDefault="00B01408" w:rsidP="00B01408">
            <w:pPr>
              <w:jc w:val="center"/>
              <w:rPr>
                <w:rFonts w:ascii="Times New Roman" w:hAnsi="Times New Roman" w:cs="Times New Roman"/>
                <w:sz w:val="20"/>
                <w:lang w:val="de-DE"/>
              </w:rPr>
            </w:pPr>
            <w:r w:rsidRPr="001B077F">
              <w:rPr>
                <w:rFonts w:ascii="Times New Roman" w:hAnsi="Times New Roman" w:cs="Times New Roman"/>
                <w:sz w:val="20"/>
                <w:lang w:val="de-DE"/>
              </w:rPr>
              <w:t>art. 22(1c) § 6 KP</w:t>
            </w:r>
          </w:p>
        </w:tc>
        <w:tc>
          <w:tcPr>
            <w:tcW w:w="2758" w:type="dxa"/>
            <w:vAlign w:val="center"/>
          </w:tcPr>
          <w:p w14:paraId="49D2A56D" w14:textId="499FAB32" w:rsidR="00B01408" w:rsidRPr="001B077F" w:rsidRDefault="00B01408" w:rsidP="00B01408">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31212B74" w14:textId="180B7281" w:rsidR="00B01408" w:rsidRPr="001B077F" w:rsidRDefault="00B01408" w:rsidP="00B01408">
            <w:pPr>
              <w:jc w:val="both"/>
              <w:rPr>
                <w:rFonts w:ascii="Times New Roman" w:hAnsi="Times New Roman" w:cs="Times New Roman"/>
                <w:sz w:val="20"/>
              </w:rPr>
            </w:pPr>
            <w:r w:rsidRPr="001B077F">
              <w:rPr>
                <w:rFonts w:ascii="Times New Roman" w:hAnsi="Times New Roman" w:cs="Times New Roman"/>
                <w:sz w:val="20"/>
              </w:rPr>
              <w:t xml:space="preserve">Dodanie ust. 2 o brzmieniu: </w:t>
            </w:r>
            <w:r w:rsidRPr="001B077F">
              <w:rPr>
                <w:rFonts w:ascii="Times New Roman" w:hAnsi="Times New Roman" w:cs="Times New Roman"/>
                <w:i/>
                <w:iCs/>
                <w:sz w:val="20"/>
              </w:rPr>
              <w:t>W przypadku uzyskania wyniku badania stwierdzającego alkohol w organizmie pracownika lub spożycie przez pracownika środków działających podobnie do alkoholu, okres niedopuszczenia pracownika do wykonywania pracy jest okresem nieusprawiedliwionej nieobecności w pracy</w:t>
            </w:r>
            <w:r w:rsidRPr="001B077F">
              <w:rPr>
                <w:rFonts w:ascii="Times New Roman" w:hAnsi="Times New Roman" w:cs="Times New Roman"/>
                <w:sz w:val="20"/>
              </w:rPr>
              <w:t>.</w:t>
            </w:r>
          </w:p>
        </w:tc>
      </w:tr>
      <w:tr w:rsidR="001B077F" w:rsidRPr="001B077F" w14:paraId="6CEEE587" w14:textId="77777777" w:rsidTr="00570123">
        <w:trPr>
          <w:jc w:val="center"/>
        </w:trPr>
        <w:tc>
          <w:tcPr>
            <w:tcW w:w="986" w:type="dxa"/>
          </w:tcPr>
          <w:p w14:paraId="276C49C8" w14:textId="77777777" w:rsidR="00B01408" w:rsidRPr="001B077F" w:rsidRDefault="00B01408" w:rsidP="00B01408">
            <w:pPr>
              <w:pStyle w:val="Akapitzlist"/>
              <w:numPr>
                <w:ilvl w:val="0"/>
                <w:numId w:val="11"/>
              </w:numPr>
              <w:spacing w:before="120"/>
              <w:ind w:right="-534"/>
              <w:jc w:val="center"/>
              <w:rPr>
                <w:rFonts w:ascii="Times New Roman" w:hAnsi="Times New Roman" w:cs="Times New Roman"/>
                <w:b/>
                <w:sz w:val="20"/>
              </w:rPr>
            </w:pPr>
          </w:p>
        </w:tc>
        <w:tc>
          <w:tcPr>
            <w:tcW w:w="2070" w:type="dxa"/>
            <w:vAlign w:val="center"/>
          </w:tcPr>
          <w:p w14:paraId="4243DFAA" w14:textId="1223CDB4" w:rsidR="00B01408" w:rsidRPr="001B077F" w:rsidRDefault="00B01408" w:rsidP="00B01408">
            <w:pPr>
              <w:rPr>
                <w:rFonts w:ascii="Times New Roman" w:hAnsi="Times New Roman" w:cs="Times New Roman"/>
                <w:sz w:val="20"/>
                <w:lang w:val="de-DE"/>
              </w:rPr>
            </w:pPr>
            <w:r w:rsidRPr="001B077F">
              <w:rPr>
                <w:rFonts w:ascii="Times New Roman" w:hAnsi="Times New Roman" w:cs="Times New Roman"/>
                <w:sz w:val="20"/>
              </w:rPr>
              <w:t xml:space="preserve">         </w:t>
            </w: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 </w:t>
            </w:r>
          </w:p>
          <w:p w14:paraId="0057334F" w14:textId="27A7AD72" w:rsidR="00B01408" w:rsidRPr="001B077F" w:rsidRDefault="00B01408" w:rsidP="00B01408">
            <w:pPr>
              <w:jc w:val="center"/>
              <w:rPr>
                <w:rFonts w:ascii="Times New Roman" w:hAnsi="Times New Roman" w:cs="Times New Roman"/>
                <w:sz w:val="20"/>
                <w:lang w:val="de-DE"/>
              </w:rPr>
            </w:pPr>
            <w:r w:rsidRPr="001B077F">
              <w:rPr>
                <w:rFonts w:ascii="Times New Roman" w:hAnsi="Times New Roman" w:cs="Times New Roman"/>
                <w:sz w:val="20"/>
                <w:lang w:val="de-DE"/>
              </w:rPr>
              <w:t>art. 22(1d) § 5 KP</w:t>
            </w:r>
          </w:p>
        </w:tc>
        <w:tc>
          <w:tcPr>
            <w:tcW w:w="2758" w:type="dxa"/>
            <w:vAlign w:val="center"/>
          </w:tcPr>
          <w:p w14:paraId="2C581346" w14:textId="58A9EFF3" w:rsidR="00B01408" w:rsidRPr="001B077F" w:rsidRDefault="00C33C1C" w:rsidP="003C1FB9">
            <w:pPr>
              <w:jc w:val="both"/>
              <w:rPr>
                <w:rFonts w:ascii="Times New Roman" w:hAnsi="Times New Roman" w:cs="Times New Roman"/>
                <w:sz w:val="20"/>
              </w:rPr>
            </w:pPr>
            <w:r w:rsidRPr="001B077F">
              <w:rPr>
                <w:rFonts w:ascii="Times New Roman" w:hAnsi="Times New Roman" w:cs="Times New Roman"/>
                <w:sz w:val="20"/>
                <w:lang w:val="de-DE"/>
              </w:rPr>
              <w:t xml:space="preserve">       </w:t>
            </w:r>
            <w:r w:rsidRPr="001B077F">
              <w:rPr>
                <w:rFonts w:ascii="Times New Roman" w:hAnsi="Times New Roman" w:cs="Times New Roman"/>
                <w:sz w:val="20"/>
              </w:rPr>
              <w:t>Konfederacja Lewiatan</w:t>
            </w:r>
          </w:p>
        </w:tc>
        <w:tc>
          <w:tcPr>
            <w:tcW w:w="8180" w:type="dxa"/>
            <w:vAlign w:val="center"/>
          </w:tcPr>
          <w:p w14:paraId="257769AE" w14:textId="2BA55A20" w:rsidR="00B01408" w:rsidRPr="001B077F" w:rsidRDefault="00B01408" w:rsidP="003C1FB9">
            <w:pPr>
              <w:jc w:val="both"/>
              <w:rPr>
                <w:rFonts w:ascii="Times New Roman" w:hAnsi="Times New Roman" w:cs="Times New Roman"/>
                <w:sz w:val="20"/>
              </w:rPr>
            </w:pPr>
            <w:r w:rsidRPr="001B077F">
              <w:rPr>
                <w:rFonts w:ascii="Times New Roman" w:hAnsi="Times New Roman" w:cs="Times New Roman"/>
                <w:sz w:val="20"/>
              </w:rPr>
              <w:t>Wydaje się konieczne uzupełnienie, że badanie takie powinno odbyć się za zgodą pracownika</w:t>
            </w:r>
            <w:r w:rsidR="003C1FB9" w:rsidRPr="001B077F">
              <w:rPr>
                <w:rFonts w:ascii="Times New Roman" w:hAnsi="Times New Roman" w:cs="Times New Roman"/>
                <w:sz w:val="20"/>
              </w:rPr>
              <w:t xml:space="preserve">. W całym nowo projektowanym rozdziale brakuje </w:t>
            </w:r>
            <w:r w:rsidRPr="001B077F">
              <w:rPr>
                <w:rFonts w:ascii="Times New Roman" w:hAnsi="Times New Roman" w:cs="Times New Roman"/>
                <w:sz w:val="20"/>
              </w:rPr>
              <w:t>określeni</w:t>
            </w:r>
            <w:r w:rsidR="003C1FB9" w:rsidRPr="001B077F">
              <w:rPr>
                <w:rFonts w:ascii="Times New Roman" w:hAnsi="Times New Roman" w:cs="Times New Roman"/>
                <w:sz w:val="20"/>
              </w:rPr>
              <w:t>a</w:t>
            </w:r>
            <w:r w:rsidRPr="001B077F">
              <w:rPr>
                <w:rFonts w:ascii="Times New Roman" w:hAnsi="Times New Roman" w:cs="Times New Roman"/>
                <w:sz w:val="20"/>
              </w:rPr>
              <w:t xml:space="preserve"> konsekwencji braku zgody ze strony pracownika</w:t>
            </w:r>
            <w:r w:rsidR="003C1FB9" w:rsidRPr="001B077F">
              <w:rPr>
                <w:rFonts w:ascii="Times New Roman" w:hAnsi="Times New Roman" w:cs="Times New Roman"/>
                <w:sz w:val="20"/>
              </w:rPr>
              <w:t xml:space="preserve"> na przeprowadzenia badań</w:t>
            </w:r>
            <w:r w:rsidRPr="001B077F">
              <w:rPr>
                <w:rFonts w:ascii="Times New Roman" w:hAnsi="Times New Roman" w:cs="Times New Roman"/>
                <w:sz w:val="20"/>
              </w:rPr>
              <w:t>.</w:t>
            </w:r>
          </w:p>
          <w:p w14:paraId="49E83966" w14:textId="18A8F97A" w:rsidR="00B01408" w:rsidRPr="001B077F" w:rsidRDefault="00B01408" w:rsidP="003C1FB9">
            <w:pPr>
              <w:jc w:val="both"/>
              <w:rPr>
                <w:rFonts w:ascii="Times New Roman" w:hAnsi="Times New Roman" w:cs="Times New Roman"/>
                <w:sz w:val="20"/>
              </w:rPr>
            </w:pPr>
            <w:r w:rsidRPr="001B077F">
              <w:rPr>
                <w:rFonts w:ascii="Times New Roman" w:hAnsi="Times New Roman" w:cs="Times New Roman"/>
                <w:sz w:val="20"/>
              </w:rPr>
              <w:t xml:space="preserve"> </w:t>
            </w:r>
          </w:p>
        </w:tc>
      </w:tr>
      <w:tr w:rsidR="001B077F" w:rsidRPr="001B077F" w14:paraId="3A7119D0" w14:textId="77777777" w:rsidTr="00630026">
        <w:trPr>
          <w:jc w:val="center"/>
        </w:trPr>
        <w:tc>
          <w:tcPr>
            <w:tcW w:w="986" w:type="dxa"/>
          </w:tcPr>
          <w:p w14:paraId="465DBAE9" w14:textId="77777777" w:rsidR="00B01408" w:rsidRPr="001B077F" w:rsidRDefault="00B01408" w:rsidP="00B01408">
            <w:pPr>
              <w:pStyle w:val="Akapitzlist"/>
              <w:numPr>
                <w:ilvl w:val="0"/>
                <w:numId w:val="11"/>
              </w:numPr>
              <w:spacing w:before="120"/>
              <w:ind w:right="-534"/>
              <w:jc w:val="center"/>
              <w:rPr>
                <w:rFonts w:ascii="Times New Roman" w:hAnsi="Times New Roman" w:cs="Times New Roman"/>
                <w:b/>
                <w:sz w:val="20"/>
              </w:rPr>
            </w:pPr>
          </w:p>
        </w:tc>
        <w:tc>
          <w:tcPr>
            <w:tcW w:w="2070" w:type="dxa"/>
          </w:tcPr>
          <w:p w14:paraId="3F145C0B" w14:textId="77777777" w:rsidR="00B01408" w:rsidRPr="001B077F" w:rsidRDefault="00B01408" w:rsidP="00630026">
            <w:pP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 </w:t>
            </w:r>
          </w:p>
          <w:p w14:paraId="14D85B95" w14:textId="2F3FA921" w:rsidR="00B01408" w:rsidRPr="001B077F" w:rsidRDefault="00B01408" w:rsidP="00630026">
            <w:pPr>
              <w:rPr>
                <w:rFonts w:ascii="Times New Roman" w:hAnsi="Times New Roman" w:cs="Times New Roman"/>
                <w:sz w:val="20"/>
                <w:lang w:val="de-DE"/>
              </w:rPr>
            </w:pPr>
            <w:r w:rsidRPr="001B077F">
              <w:rPr>
                <w:rFonts w:ascii="Times New Roman" w:hAnsi="Times New Roman" w:cs="Times New Roman"/>
                <w:sz w:val="20"/>
                <w:lang w:val="de-DE"/>
              </w:rPr>
              <w:t>art. 22(1d) § 6 KP</w:t>
            </w:r>
          </w:p>
        </w:tc>
        <w:tc>
          <w:tcPr>
            <w:tcW w:w="2758" w:type="dxa"/>
            <w:vAlign w:val="center"/>
          </w:tcPr>
          <w:p w14:paraId="4B3E1BED" w14:textId="77777777" w:rsidR="00B01408" w:rsidRPr="001B077F" w:rsidRDefault="00B01408" w:rsidP="00B01408">
            <w:pPr>
              <w:jc w:val="center"/>
              <w:rPr>
                <w:rFonts w:ascii="Times New Roman" w:hAnsi="Times New Roman" w:cs="Times New Roman"/>
                <w:sz w:val="20"/>
                <w:lang w:val="de-DE"/>
              </w:rPr>
            </w:pPr>
          </w:p>
        </w:tc>
        <w:tc>
          <w:tcPr>
            <w:tcW w:w="8180" w:type="dxa"/>
            <w:vAlign w:val="center"/>
          </w:tcPr>
          <w:p w14:paraId="20265515" w14:textId="77777777" w:rsidR="00B01408" w:rsidRPr="001B077F" w:rsidRDefault="00B01408" w:rsidP="00B01408">
            <w:pPr>
              <w:rPr>
                <w:rFonts w:ascii="Times New Roman" w:hAnsi="Times New Roman" w:cs="Times New Roman"/>
                <w:sz w:val="20"/>
              </w:rPr>
            </w:pPr>
            <w:r w:rsidRPr="001B077F">
              <w:rPr>
                <w:rFonts w:ascii="Times New Roman" w:hAnsi="Times New Roman" w:cs="Times New Roman"/>
                <w:sz w:val="20"/>
              </w:rPr>
              <w:t xml:space="preserve">Proponujemy zmianę brzmienia tego przepisu z: „§ 6. Okres niedopuszczenia pracownika do wykonywania pracy jest okresem usprawiedliwionej nieobecności w pracy, za który – w przypadku uzyskania wyniku badania stwierdzającego brak alkoholu w organizmie pracownika – pracownik zachowuje prawo do wynagrodzenia” </w:t>
            </w:r>
          </w:p>
          <w:p w14:paraId="434F2809" w14:textId="0D8D5EEE" w:rsidR="00B01408" w:rsidRPr="001B077F" w:rsidRDefault="003C1FB9" w:rsidP="00B01408">
            <w:pPr>
              <w:rPr>
                <w:rFonts w:ascii="Times New Roman" w:hAnsi="Times New Roman" w:cs="Times New Roman"/>
                <w:sz w:val="20"/>
              </w:rPr>
            </w:pPr>
            <w:r w:rsidRPr="001B077F">
              <w:rPr>
                <w:rFonts w:ascii="Times New Roman" w:hAnsi="Times New Roman" w:cs="Times New Roman"/>
                <w:sz w:val="20"/>
              </w:rPr>
              <w:t>n</w:t>
            </w:r>
            <w:r w:rsidR="00B01408" w:rsidRPr="001B077F">
              <w:rPr>
                <w:rFonts w:ascii="Times New Roman" w:hAnsi="Times New Roman" w:cs="Times New Roman"/>
                <w:sz w:val="20"/>
              </w:rPr>
              <w:t>a</w:t>
            </w:r>
          </w:p>
          <w:p w14:paraId="30C21AAB" w14:textId="77777777" w:rsidR="00B01408" w:rsidRPr="001B077F" w:rsidRDefault="00B01408" w:rsidP="00B01408">
            <w:pPr>
              <w:rPr>
                <w:rFonts w:ascii="Times New Roman" w:hAnsi="Times New Roman" w:cs="Times New Roman"/>
                <w:sz w:val="20"/>
              </w:rPr>
            </w:pPr>
            <w:r w:rsidRPr="001B077F">
              <w:rPr>
                <w:rFonts w:ascii="Times New Roman" w:hAnsi="Times New Roman" w:cs="Times New Roman"/>
                <w:sz w:val="20"/>
              </w:rPr>
              <w:t xml:space="preserve"> „§ 6. W przypadku uzyskania wyniku badania stwierdzającego brak alkoholu w organizmie pracownika, okres niedopuszczenia pracownika do wykonywania pracy jest okresem usprawiedliwionej nieobecności w pracy, za który pracownik zachowuje prawo do wynagrodzenia.”.</w:t>
            </w:r>
          </w:p>
          <w:p w14:paraId="29A30F13" w14:textId="77777777" w:rsidR="00B01408" w:rsidRPr="001B077F" w:rsidRDefault="00B01408" w:rsidP="00B01408">
            <w:pPr>
              <w:rPr>
                <w:rFonts w:ascii="Times New Roman" w:hAnsi="Times New Roman" w:cs="Times New Roman"/>
                <w:sz w:val="20"/>
              </w:rPr>
            </w:pPr>
          </w:p>
          <w:p w14:paraId="28C220CD" w14:textId="0DCBED38" w:rsidR="00B01408" w:rsidRPr="001B077F" w:rsidRDefault="00B01408" w:rsidP="00B01408">
            <w:pPr>
              <w:rPr>
                <w:rFonts w:ascii="Times New Roman" w:hAnsi="Times New Roman" w:cs="Times New Roman"/>
                <w:sz w:val="20"/>
              </w:rPr>
            </w:pPr>
            <w:r w:rsidRPr="001B077F">
              <w:rPr>
                <w:rFonts w:ascii="Times New Roman" w:hAnsi="Times New Roman" w:cs="Times New Roman"/>
                <w:sz w:val="20"/>
              </w:rPr>
              <w:t xml:space="preserve"> Taka zmiana brzmienia proponowanego przepisu jednoznacznie dookreśli, iż tylko w przypadku gdy pracownik nie będzie miał stwierdzonego alkoholu w organizmie, okres w jakim pracownik nie został dopuszczony do pracy uznany będzie za usprawiedliwioną nieobecność w pracy, za którą pracownik zachowa prawo do wynagrodzenia. W każdym innym przypadku taka nieobecność jest nieusprawiedliwioną nieobecnością w pracy, za którą nie przysługuje wynagrodzenie. Obecne brzmienie proponowanego przepisu wskazuje, iż każdorazowo nieobecność w pracy jest nieobecnością </w:t>
            </w:r>
            <w:r w:rsidR="0062392C" w:rsidRPr="001B077F">
              <w:rPr>
                <w:rFonts w:ascii="Times New Roman" w:hAnsi="Times New Roman" w:cs="Times New Roman"/>
                <w:sz w:val="20"/>
              </w:rPr>
              <w:t>usprawiedliwioną</w:t>
            </w:r>
            <w:r w:rsidRPr="001B077F">
              <w:rPr>
                <w:rFonts w:ascii="Times New Roman" w:hAnsi="Times New Roman" w:cs="Times New Roman"/>
                <w:sz w:val="20"/>
              </w:rPr>
              <w:t>, ale tylko w  przypadku braku alkoholu w organizmie pracownika powoduje, że pracownik zachowuje prawo do wynagrodzenia;</w:t>
            </w:r>
          </w:p>
        </w:tc>
      </w:tr>
      <w:tr w:rsidR="001B077F" w:rsidRPr="001B077F" w14:paraId="32B5A81D" w14:textId="77777777" w:rsidTr="00570123">
        <w:trPr>
          <w:jc w:val="center"/>
        </w:trPr>
        <w:tc>
          <w:tcPr>
            <w:tcW w:w="986" w:type="dxa"/>
          </w:tcPr>
          <w:p w14:paraId="51C354F0" w14:textId="77777777" w:rsidR="00B01408" w:rsidRPr="001B077F" w:rsidRDefault="00B01408" w:rsidP="00B01408">
            <w:pPr>
              <w:pStyle w:val="Akapitzlist"/>
              <w:numPr>
                <w:ilvl w:val="0"/>
                <w:numId w:val="11"/>
              </w:numPr>
              <w:spacing w:before="120"/>
              <w:ind w:right="-534"/>
              <w:jc w:val="center"/>
              <w:rPr>
                <w:rFonts w:ascii="Times New Roman" w:hAnsi="Times New Roman" w:cs="Times New Roman"/>
                <w:b/>
                <w:sz w:val="20"/>
              </w:rPr>
            </w:pPr>
          </w:p>
        </w:tc>
        <w:tc>
          <w:tcPr>
            <w:tcW w:w="2070" w:type="dxa"/>
            <w:vAlign w:val="center"/>
          </w:tcPr>
          <w:p w14:paraId="2BB199FB" w14:textId="77777777" w:rsidR="00B01408" w:rsidRPr="001B077F" w:rsidRDefault="00B01408" w:rsidP="00B01408">
            <w:pPr>
              <w:jc w:val="cente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 </w:t>
            </w:r>
          </w:p>
          <w:p w14:paraId="4D9E5F24" w14:textId="7416D9E2" w:rsidR="00B01408" w:rsidRPr="001B077F" w:rsidRDefault="00B01408" w:rsidP="00B01408">
            <w:pPr>
              <w:jc w:val="center"/>
              <w:rPr>
                <w:rFonts w:ascii="Times New Roman" w:hAnsi="Times New Roman" w:cs="Times New Roman"/>
                <w:sz w:val="20"/>
                <w:lang w:val="de-DE"/>
              </w:rPr>
            </w:pPr>
            <w:r w:rsidRPr="001B077F">
              <w:rPr>
                <w:rFonts w:ascii="Times New Roman" w:hAnsi="Times New Roman" w:cs="Times New Roman"/>
                <w:sz w:val="20"/>
                <w:lang w:val="de-DE"/>
              </w:rPr>
              <w:t>art. 22(1e) KP</w:t>
            </w:r>
          </w:p>
        </w:tc>
        <w:tc>
          <w:tcPr>
            <w:tcW w:w="2758" w:type="dxa"/>
            <w:vAlign w:val="center"/>
          </w:tcPr>
          <w:p w14:paraId="4FB4CDC1" w14:textId="372E252D" w:rsidR="00B01408" w:rsidRPr="001B077F" w:rsidRDefault="00B01408" w:rsidP="00B01408">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1D66836C" w14:textId="77777777" w:rsidR="00B01408" w:rsidRPr="001B077F" w:rsidRDefault="00B01408" w:rsidP="00B01408">
            <w:pPr>
              <w:jc w:val="both"/>
              <w:rPr>
                <w:rFonts w:ascii="Times New Roman" w:hAnsi="Times New Roman" w:cs="Times New Roman"/>
                <w:sz w:val="20"/>
              </w:rPr>
            </w:pPr>
            <w:r w:rsidRPr="001B077F">
              <w:rPr>
                <w:rFonts w:ascii="Times New Roman" w:hAnsi="Times New Roman" w:cs="Times New Roman"/>
                <w:sz w:val="20"/>
              </w:rPr>
              <w:t>Czym jest środek działający podobnie do alkoholu? Do rozważenia poddajemy odesłanie do pojęć znajdujących się w ustawie o przeciwdziałaniu narkomanii. Środek odurzający/substancja psychotropowa nie działa podobnie do alkoholu, a o ich stwierdzenie w organizmie głównie chodzi.</w:t>
            </w:r>
          </w:p>
          <w:p w14:paraId="443CF50D" w14:textId="77777777" w:rsidR="00630026" w:rsidRPr="001B077F" w:rsidRDefault="00630026" w:rsidP="00B01408">
            <w:pPr>
              <w:jc w:val="both"/>
              <w:rPr>
                <w:rFonts w:ascii="Times New Roman" w:hAnsi="Times New Roman" w:cs="Times New Roman"/>
                <w:sz w:val="20"/>
              </w:rPr>
            </w:pPr>
          </w:p>
          <w:p w14:paraId="6646519C" w14:textId="00CC9A02" w:rsidR="00630026" w:rsidRPr="001B077F" w:rsidRDefault="00630026" w:rsidP="00B01408">
            <w:pPr>
              <w:jc w:val="both"/>
              <w:rPr>
                <w:rFonts w:ascii="Times New Roman" w:hAnsi="Times New Roman" w:cs="Times New Roman"/>
                <w:sz w:val="20"/>
              </w:rPr>
            </w:pPr>
          </w:p>
        </w:tc>
      </w:tr>
      <w:tr w:rsidR="001B077F" w:rsidRPr="001B077F" w14:paraId="5A96F73A" w14:textId="77777777" w:rsidTr="00C33C1C">
        <w:trPr>
          <w:jc w:val="center"/>
        </w:trPr>
        <w:tc>
          <w:tcPr>
            <w:tcW w:w="986" w:type="dxa"/>
          </w:tcPr>
          <w:p w14:paraId="76D41B3A" w14:textId="77777777" w:rsidR="00010811" w:rsidRPr="001B077F" w:rsidRDefault="00010811" w:rsidP="00B01408">
            <w:pPr>
              <w:pStyle w:val="Akapitzlist"/>
              <w:numPr>
                <w:ilvl w:val="0"/>
                <w:numId w:val="11"/>
              </w:numPr>
              <w:spacing w:before="120"/>
              <w:ind w:right="-534"/>
              <w:jc w:val="center"/>
              <w:rPr>
                <w:rFonts w:ascii="Times New Roman" w:hAnsi="Times New Roman" w:cs="Times New Roman"/>
                <w:b/>
                <w:sz w:val="20"/>
              </w:rPr>
            </w:pPr>
          </w:p>
        </w:tc>
        <w:tc>
          <w:tcPr>
            <w:tcW w:w="2070" w:type="dxa"/>
          </w:tcPr>
          <w:p w14:paraId="37867FE6" w14:textId="77777777" w:rsidR="00010811" w:rsidRPr="001B077F" w:rsidRDefault="00010811" w:rsidP="00010811">
            <w:pPr>
              <w:jc w:val="center"/>
              <w:rPr>
                <w:rFonts w:ascii="Times New Roman" w:hAnsi="Times New Roman" w:cs="Times New Roman"/>
                <w:sz w:val="20"/>
                <w:lang w:val="de-DE"/>
              </w:rPr>
            </w:pPr>
            <w:r w:rsidRPr="001B077F">
              <w:rPr>
                <w:rFonts w:ascii="Times New Roman" w:hAnsi="Times New Roman" w:cs="Times New Roman"/>
                <w:sz w:val="20"/>
                <w:lang w:val="de-DE"/>
              </w:rPr>
              <w:t xml:space="preserve">art. 1 </w:t>
            </w:r>
            <w:proofErr w:type="spellStart"/>
            <w:r w:rsidRPr="001B077F">
              <w:rPr>
                <w:rFonts w:ascii="Times New Roman" w:hAnsi="Times New Roman" w:cs="Times New Roman"/>
                <w:sz w:val="20"/>
                <w:lang w:val="de-DE"/>
              </w:rPr>
              <w:t>pkt</w:t>
            </w:r>
            <w:proofErr w:type="spellEnd"/>
            <w:r w:rsidRPr="001B077F">
              <w:rPr>
                <w:rFonts w:ascii="Times New Roman" w:hAnsi="Times New Roman" w:cs="Times New Roman"/>
                <w:sz w:val="20"/>
                <w:lang w:val="de-DE"/>
              </w:rPr>
              <w:t xml:space="preserve">  1 </w:t>
            </w:r>
          </w:p>
          <w:p w14:paraId="42257496" w14:textId="00AE36AF" w:rsidR="00010811" w:rsidRPr="001B077F" w:rsidRDefault="00010811" w:rsidP="00010811">
            <w:pPr>
              <w:jc w:val="center"/>
              <w:rPr>
                <w:rFonts w:ascii="Times New Roman" w:hAnsi="Times New Roman" w:cs="Times New Roman"/>
                <w:sz w:val="20"/>
                <w:lang w:val="de-DE"/>
              </w:rPr>
            </w:pPr>
            <w:r w:rsidRPr="001B077F">
              <w:rPr>
                <w:rFonts w:ascii="Times New Roman" w:hAnsi="Times New Roman" w:cs="Times New Roman"/>
                <w:sz w:val="20"/>
                <w:lang w:val="de-DE"/>
              </w:rPr>
              <w:t>art. 22(1h) KP</w:t>
            </w:r>
          </w:p>
        </w:tc>
        <w:tc>
          <w:tcPr>
            <w:tcW w:w="2758" w:type="dxa"/>
            <w:vAlign w:val="center"/>
          </w:tcPr>
          <w:p w14:paraId="31F6635A" w14:textId="77777777" w:rsidR="00010811" w:rsidRPr="001B077F" w:rsidRDefault="00010811" w:rsidP="00B01408">
            <w:pPr>
              <w:jc w:val="center"/>
              <w:rPr>
                <w:rFonts w:ascii="Times New Roman" w:hAnsi="Times New Roman" w:cs="Times New Roman"/>
                <w:sz w:val="20"/>
                <w:lang w:val="de-DE"/>
              </w:rPr>
            </w:pPr>
          </w:p>
        </w:tc>
        <w:tc>
          <w:tcPr>
            <w:tcW w:w="8180" w:type="dxa"/>
            <w:vAlign w:val="center"/>
          </w:tcPr>
          <w:p w14:paraId="49FEACDA" w14:textId="79AA389B" w:rsidR="00187D34" w:rsidRPr="001B077F" w:rsidRDefault="00187D34" w:rsidP="00187D34">
            <w:pPr>
              <w:jc w:val="both"/>
              <w:rPr>
                <w:rFonts w:ascii="Times New Roman" w:eastAsia="Times New Roman" w:hAnsi="Times New Roman" w:cs="Times New Roman"/>
                <w:sz w:val="20"/>
                <w:szCs w:val="20"/>
              </w:rPr>
            </w:pPr>
            <w:r w:rsidRPr="001B077F">
              <w:rPr>
                <w:rFonts w:ascii="Times New Roman" w:eastAsia="Times New Roman" w:hAnsi="Times New Roman" w:cs="Times New Roman"/>
                <w:sz w:val="20"/>
                <w:szCs w:val="20"/>
              </w:rPr>
              <w:t xml:space="preserve">Zakres podmiotowy tego przepisu jest zbyt wąski. Koresponduje co prawda z art. 304 KP </w:t>
            </w:r>
            <w:r w:rsidR="003015C0" w:rsidRPr="001B077F">
              <w:rPr>
                <w:rFonts w:ascii="Times New Roman" w:eastAsia="Times New Roman" w:hAnsi="Times New Roman" w:cs="Times New Roman"/>
                <w:sz w:val="20"/>
                <w:szCs w:val="20"/>
              </w:rPr>
              <w:t>ale nie obejmuje swoim zakresem</w:t>
            </w:r>
            <w:r w:rsidRPr="001B077F">
              <w:rPr>
                <w:rFonts w:ascii="Times New Roman" w:eastAsia="Times New Roman" w:hAnsi="Times New Roman" w:cs="Times New Roman"/>
                <w:sz w:val="20"/>
                <w:szCs w:val="20"/>
              </w:rPr>
              <w:t xml:space="preserve"> pracowników dostawców usług świadczonych na rzecz pracodawcy na jego terenie lub na innym obszarze na którym on również odpowiada za bezpieczeństwo pracy. Luka dotyczy braku wyraźnego zapisu pozwalającego na zastosowanie tych przepisów również do pracowników świadczących pracę na terenie zakładu pracy na którym będzie wprowadzona kontrola. Należy podkreślić, że odpowiedzialność pracodawcy za stan BHP zgodnie z art.207 KP dotyczy całego zakładu - na podstawie stosunku pracy czy tez umów cywi</w:t>
            </w:r>
            <w:r w:rsidR="003015C0" w:rsidRPr="001B077F">
              <w:rPr>
                <w:rFonts w:ascii="Times New Roman" w:eastAsia="Times New Roman" w:hAnsi="Times New Roman" w:cs="Times New Roman"/>
                <w:sz w:val="20"/>
                <w:szCs w:val="20"/>
              </w:rPr>
              <w:t>lnoprawnych zatrudnionych przez</w:t>
            </w:r>
            <w:r w:rsidRPr="001B077F">
              <w:rPr>
                <w:rFonts w:ascii="Times New Roman" w:eastAsia="Times New Roman" w:hAnsi="Times New Roman" w:cs="Times New Roman"/>
                <w:sz w:val="20"/>
                <w:szCs w:val="20"/>
              </w:rPr>
              <w:t xml:space="preserve"> innych pracodawców.</w:t>
            </w:r>
          </w:p>
          <w:p w14:paraId="4A39F772" w14:textId="77777777" w:rsidR="00187D34" w:rsidRPr="001B077F" w:rsidRDefault="00187D34" w:rsidP="00187D34">
            <w:pPr>
              <w:jc w:val="both"/>
              <w:rPr>
                <w:rFonts w:ascii="Times New Roman" w:eastAsia="Times New Roman" w:hAnsi="Times New Roman" w:cs="Times New Roman"/>
                <w:sz w:val="20"/>
                <w:szCs w:val="20"/>
              </w:rPr>
            </w:pPr>
            <w:r w:rsidRPr="001B077F">
              <w:rPr>
                <w:rFonts w:ascii="Times New Roman" w:eastAsia="Times New Roman" w:hAnsi="Times New Roman" w:cs="Times New Roman"/>
                <w:sz w:val="20"/>
                <w:szCs w:val="20"/>
              </w:rPr>
              <w:t xml:space="preserve">Istotna dla wielu pracodawców jest kontrola osób wjeżdżających na teren zakładu pracy, </w:t>
            </w:r>
          </w:p>
          <w:p w14:paraId="2CD6AF80" w14:textId="77777777" w:rsidR="00187D34" w:rsidRPr="001B077F" w:rsidRDefault="00187D34" w:rsidP="00187D34">
            <w:pPr>
              <w:jc w:val="both"/>
              <w:rPr>
                <w:rFonts w:ascii="Times New Roman" w:eastAsia="Times New Roman" w:hAnsi="Times New Roman" w:cs="Times New Roman"/>
                <w:sz w:val="20"/>
                <w:szCs w:val="20"/>
                <w:u w:val="single"/>
              </w:rPr>
            </w:pPr>
            <w:r w:rsidRPr="001B077F">
              <w:rPr>
                <w:rFonts w:ascii="Times New Roman" w:eastAsia="Times New Roman" w:hAnsi="Times New Roman" w:cs="Times New Roman"/>
                <w:sz w:val="20"/>
                <w:szCs w:val="20"/>
              </w:rPr>
              <w:t>np. kierowców firm transportowych.</w:t>
            </w:r>
            <w:r w:rsidRPr="001B077F">
              <w:rPr>
                <w:rFonts w:ascii="Times New Roman" w:eastAsia="Times New Roman" w:hAnsi="Times New Roman" w:cs="Times New Roman"/>
                <w:sz w:val="20"/>
                <w:szCs w:val="20"/>
                <w:u w:val="single"/>
              </w:rPr>
              <w:t xml:space="preserve"> </w:t>
            </w:r>
          </w:p>
          <w:p w14:paraId="78D22B41" w14:textId="77777777" w:rsidR="00187D34" w:rsidRPr="001B077F" w:rsidRDefault="00187D34" w:rsidP="00187D34">
            <w:pPr>
              <w:jc w:val="both"/>
              <w:rPr>
                <w:rFonts w:ascii="Times New Roman" w:eastAsia="Times New Roman" w:hAnsi="Times New Roman" w:cs="Times New Roman"/>
                <w:sz w:val="20"/>
                <w:szCs w:val="20"/>
              </w:rPr>
            </w:pPr>
            <w:r w:rsidRPr="001B077F">
              <w:rPr>
                <w:rFonts w:ascii="Times New Roman" w:eastAsia="Times New Roman" w:hAnsi="Times New Roman" w:cs="Times New Roman"/>
                <w:sz w:val="20"/>
                <w:szCs w:val="20"/>
              </w:rPr>
              <w:lastRenderedPageBreak/>
              <w:t>Jeżeli będzie możliwość badania zgodnie z powyższym zastrzeżeniem, konieczność uregulowania kto ma wystawić upoważnienie do przetwarzania danych takich osób zatrudnianych przez podmioty trzecie.</w:t>
            </w:r>
          </w:p>
          <w:p w14:paraId="6AB058BE" w14:textId="5F0E7093" w:rsidR="00187D34" w:rsidRPr="001B077F" w:rsidRDefault="00187D34" w:rsidP="00187D34">
            <w:pPr>
              <w:jc w:val="both"/>
              <w:rPr>
                <w:rFonts w:ascii="Times New Roman" w:eastAsia="Times New Roman" w:hAnsi="Times New Roman" w:cs="Times New Roman"/>
                <w:sz w:val="20"/>
                <w:szCs w:val="20"/>
              </w:rPr>
            </w:pPr>
            <w:r w:rsidRPr="001B077F">
              <w:rPr>
                <w:rFonts w:ascii="Times New Roman" w:eastAsia="Times New Roman" w:hAnsi="Times New Roman" w:cs="Times New Roman"/>
                <w:sz w:val="20"/>
                <w:szCs w:val="20"/>
              </w:rPr>
              <w:t xml:space="preserve">Nie została przesądzona sytuacja pracowników tymczasowych: jeżeli uznamy, że zastosowanie do nich znajdą przepisy układu zbiorowego/regulaminu pracy to czy to agencja pracy tymczasowej jako ich pracodawca miałaby wystawić takie upoważnienie osobom które dokonują pomiarów? Czy do ich akt osobowych miałby być włączany dokument zawierający o wyniku badania. Co w sytuacji gdy spór sądowy będzie dotyczył pracodawcy użytkownika a nie agencji pracy tymczasowej (pracodawcy)? Jaki okres przechowania informacji wówczas należało będzie stosować? </w:t>
            </w:r>
          </w:p>
          <w:p w14:paraId="1DDDEF08" w14:textId="77777777" w:rsidR="00187D34" w:rsidRPr="001B077F" w:rsidRDefault="00187D34" w:rsidP="00187D34">
            <w:pPr>
              <w:jc w:val="both"/>
              <w:rPr>
                <w:rFonts w:ascii="Times New Roman" w:hAnsi="Times New Roman" w:cs="Times New Roman"/>
                <w:sz w:val="20"/>
              </w:rPr>
            </w:pPr>
          </w:p>
          <w:p w14:paraId="28F12B1F" w14:textId="7985D233" w:rsidR="00187D34" w:rsidRPr="001B077F" w:rsidRDefault="00187D34" w:rsidP="00187D34">
            <w:pPr>
              <w:jc w:val="both"/>
              <w:rPr>
                <w:rFonts w:ascii="Arial" w:eastAsia="Times New Roman" w:hAnsi="Arial" w:cs="Arial"/>
                <w:sz w:val="20"/>
                <w:szCs w:val="20"/>
              </w:rPr>
            </w:pPr>
            <w:r w:rsidRPr="001B077F">
              <w:rPr>
                <w:rFonts w:ascii="Times New Roman" w:hAnsi="Times New Roman" w:cs="Times New Roman"/>
                <w:sz w:val="20"/>
                <w:szCs w:val="20"/>
              </w:rPr>
              <w:t>Proponujemy zmianę brzmienia tego przepisu z:</w:t>
            </w:r>
          </w:p>
          <w:p w14:paraId="7ECEED76" w14:textId="7106A059" w:rsidR="00187D34" w:rsidRPr="001B077F" w:rsidRDefault="00187D34" w:rsidP="00187D34">
            <w:pPr>
              <w:jc w:val="both"/>
              <w:rPr>
                <w:rFonts w:ascii="Times New Roman" w:eastAsia="Times New Roman" w:hAnsi="Times New Roman" w:cs="Times New Roman"/>
                <w:sz w:val="20"/>
                <w:szCs w:val="20"/>
              </w:rPr>
            </w:pPr>
            <w:r w:rsidRPr="001B077F">
              <w:rPr>
                <w:rFonts w:ascii="Times New Roman" w:eastAsia="Times New Roman" w:hAnsi="Times New Roman" w:cs="Times New Roman"/>
                <w:sz w:val="20"/>
                <w:szCs w:val="20"/>
              </w:rPr>
              <w:t>„Art. 22</w:t>
            </w:r>
            <w:r w:rsidRPr="001B077F">
              <w:rPr>
                <w:rFonts w:ascii="Times New Roman" w:eastAsia="Times New Roman" w:hAnsi="Times New Roman" w:cs="Times New Roman"/>
                <w:sz w:val="20"/>
                <w:szCs w:val="20"/>
                <w:vertAlign w:val="superscript"/>
              </w:rPr>
              <w:t>1h</w:t>
            </w:r>
            <w:r w:rsidRPr="001B077F">
              <w:rPr>
                <w:rFonts w:ascii="Times New Roman" w:eastAsia="Times New Roman" w:hAnsi="Times New Roman" w:cs="Times New Roman"/>
                <w:sz w:val="20"/>
                <w:szCs w:val="20"/>
              </w:rPr>
              <w:t>.</w:t>
            </w:r>
            <w:r w:rsidRPr="001B077F">
              <w:rPr>
                <w:rFonts w:ascii="Times New Roman" w:eastAsia="Times New Roman" w:hAnsi="Times New Roman" w:cs="Times New Roman"/>
                <w:b/>
                <w:sz w:val="20"/>
                <w:szCs w:val="20"/>
              </w:rPr>
              <w:t xml:space="preserve"> </w:t>
            </w:r>
            <w:r w:rsidRPr="001B077F">
              <w:rPr>
                <w:rFonts w:ascii="Times New Roman" w:eastAsia="Times New Roman" w:hAnsi="Times New Roman" w:cs="Times New Roman"/>
                <w:sz w:val="20"/>
                <w:szCs w:val="20"/>
              </w:rPr>
              <w:t>Przepisy art. 22</w:t>
            </w:r>
            <w:r w:rsidRPr="001B077F">
              <w:rPr>
                <w:rFonts w:ascii="Times New Roman" w:eastAsia="Times New Roman" w:hAnsi="Times New Roman" w:cs="Times New Roman"/>
                <w:sz w:val="20"/>
                <w:szCs w:val="20"/>
                <w:vertAlign w:val="superscript"/>
              </w:rPr>
              <w:t>1c</w:t>
            </w:r>
            <w:r w:rsidRPr="001B077F">
              <w:rPr>
                <w:rFonts w:ascii="Times New Roman" w:eastAsia="Times New Roman" w:hAnsi="Times New Roman" w:cs="Times New Roman"/>
                <w:sz w:val="20"/>
                <w:szCs w:val="20"/>
              </w:rPr>
              <w:t>–art. 22</w:t>
            </w:r>
            <w:r w:rsidRPr="001B077F">
              <w:rPr>
                <w:rFonts w:ascii="Times New Roman" w:eastAsia="Times New Roman" w:hAnsi="Times New Roman" w:cs="Times New Roman"/>
                <w:sz w:val="20"/>
                <w:szCs w:val="20"/>
                <w:vertAlign w:val="superscript"/>
              </w:rPr>
              <w:t>1g</w:t>
            </w:r>
            <w:r w:rsidRPr="001B077F">
              <w:rPr>
                <w:rFonts w:ascii="Times New Roman" w:eastAsia="Times New Roman" w:hAnsi="Times New Roman" w:cs="Times New Roman"/>
                <w:sz w:val="20"/>
                <w:szCs w:val="20"/>
              </w:rPr>
              <w:t xml:space="preserve"> stosuje się odpowiednio do pracodawców organizujących pracę wykonywaną przez osoby fizyczne na innej podstawie niż stosunek pracy oraz osoby fizyczne prowadzące na własny rachunek działalność gospodarczą”</w:t>
            </w:r>
          </w:p>
          <w:p w14:paraId="293D08A2" w14:textId="77777777" w:rsidR="00187D34" w:rsidRPr="001B077F" w:rsidRDefault="00187D34" w:rsidP="00187D34">
            <w:pPr>
              <w:jc w:val="both"/>
              <w:rPr>
                <w:rFonts w:ascii="Times New Roman" w:eastAsia="Times New Roman" w:hAnsi="Times New Roman" w:cs="Times New Roman"/>
                <w:sz w:val="20"/>
                <w:szCs w:val="20"/>
              </w:rPr>
            </w:pPr>
          </w:p>
          <w:p w14:paraId="264258A4" w14:textId="2581010D" w:rsidR="00187D34" w:rsidRPr="001B077F" w:rsidRDefault="00187D34" w:rsidP="00187D34">
            <w:pPr>
              <w:jc w:val="both"/>
              <w:rPr>
                <w:rFonts w:ascii="Times New Roman" w:eastAsia="Times New Roman" w:hAnsi="Times New Roman" w:cs="Times New Roman"/>
                <w:sz w:val="20"/>
                <w:szCs w:val="20"/>
              </w:rPr>
            </w:pPr>
            <w:r w:rsidRPr="001B077F">
              <w:rPr>
                <w:rFonts w:ascii="Times New Roman" w:eastAsia="Times New Roman" w:hAnsi="Times New Roman" w:cs="Times New Roman"/>
                <w:sz w:val="20"/>
                <w:szCs w:val="20"/>
              </w:rPr>
              <w:t>na:</w:t>
            </w:r>
          </w:p>
          <w:p w14:paraId="0BB5CE91" w14:textId="2E6F0D45" w:rsidR="00187D34" w:rsidRPr="001B077F" w:rsidRDefault="00187D34" w:rsidP="00187D34">
            <w:pPr>
              <w:jc w:val="both"/>
              <w:rPr>
                <w:rFonts w:ascii="Times New Roman" w:eastAsia="Times New Roman" w:hAnsi="Times New Roman" w:cs="Times New Roman"/>
                <w:sz w:val="20"/>
                <w:szCs w:val="20"/>
              </w:rPr>
            </w:pPr>
            <w:r w:rsidRPr="001B077F">
              <w:rPr>
                <w:rFonts w:ascii="Times New Roman" w:eastAsia="Times New Roman" w:hAnsi="Times New Roman" w:cs="Times New Roman"/>
                <w:sz w:val="20"/>
                <w:szCs w:val="20"/>
              </w:rPr>
              <w:t>„Art. 22</w:t>
            </w:r>
            <w:r w:rsidRPr="001B077F">
              <w:rPr>
                <w:rFonts w:ascii="Times New Roman" w:eastAsia="Times New Roman" w:hAnsi="Times New Roman" w:cs="Times New Roman"/>
                <w:sz w:val="20"/>
                <w:szCs w:val="20"/>
                <w:vertAlign w:val="superscript"/>
              </w:rPr>
              <w:t>1h</w:t>
            </w:r>
            <w:r w:rsidRPr="001B077F">
              <w:rPr>
                <w:rFonts w:ascii="Times New Roman" w:eastAsia="Times New Roman" w:hAnsi="Times New Roman" w:cs="Times New Roman"/>
                <w:sz w:val="20"/>
                <w:szCs w:val="20"/>
              </w:rPr>
              <w:t>.</w:t>
            </w:r>
            <w:r w:rsidRPr="001B077F">
              <w:rPr>
                <w:rFonts w:ascii="Times New Roman" w:eastAsia="Times New Roman" w:hAnsi="Times New Roman" w:cs="Times New Roman"/>
                <w:b/>
                <w:sz w:val="20"/>
                <w:szCs w:val="20"/>
              </w:rPr>
              <w:t xml:space="preserve"> </w:t>
            </w:r>
            <w:r w:rsidRPr="001B077F">
              <w:rPr>
                <w:rFonts w:ascii="Times New Roman" w:eastAsia="Times New Roman" w:hAnsi="Times New Roman" w:cs="Times New Roman"/>
                <w:sz w:val="20"/>
                <w:szCs w:val="20"/>
              </w:rPr>
              <w:t>Przepisy art. 22</w:t>
            </w:r>
            <w:r w:rsidRPr="001B077F">
              <w:rPr>
                <w:rFonts w:ascii="Times New Roman" w:eastAsia="Times New Roman" w:hAnsi="Times New Roman" w:cs="Times New Roman"/>
                <w:sz w:val="20"/>
                <w:szCs w:val="20"/>
                <w:vertAlign w:val="superscript"/>
              </w:rPr>
              <w:t>1c</w:t>
            </w:r>
            <w:r w:rsidRPr="001B077F">
              <w:rPr>
                <w:rFonts w:ascii="Times New Roman" w:eastAsia="Times New Roman" w:hAnsi="Times New Roman" w:cs="Times New Roman"/>
                <w:sz w:val="20"/>
                <w:szCs w:val="20"/>
              </w:rPr>
              <w:t>–art. 22</w:t>
            </w:r>
            <w:r w:rsidRPr="001B077F">
              <w:rPr>
                <w:rFonts w:ascii="Times New Roman" w:eastAsia="Times New Roman" w:hAnsi="Times New Roman" w:cs="Times New Roman"/>
                <w:sz w:val="20"/>
                <w:szCs w:val="20"/>
                <w:vertAlign w:val="superscript"/>
              </w:rPr>
              <w:t>1g</w:t>
            </w:r>
            <w:r w:rsidRPr="001B077F">
              <w:rPr>
                <w:rFonts w:ascii="Times New Roman" w:eastAsia="Times New Roman" w:hAnsi="Times New Roman" w:cs="Times New Roman"/>
                <w:sz w:val="20"/>
                <w:szCs w:val="20"/>
              </w:rPr>
              <w:t xml:space="preserve"> stosuje się odpowiednio do wszystkich osób świadczących pracę na terenie zakładu pracy lub w innym miejscu wyznaczonym przez pracodawcę </w:t>
            </w:r>
            <w:r w:rsidR="00642299" w:rsidRPr="001B077F">
              <w:rPr>
                <w:rFonts w:ascii="Times New Roman" w:eastAsia="Times New Roman" w:hAnsi="Times New Roman" w:cs="Times New Roman"/>
                <w:sz w:val="20"/>
                <w:szCs w:val="20"/>
              </w:rPr>
              <w:t>jak również do pracodawców organizujących pracę wykonywaną przez osoby fizyczne na innej podstawie niż stosunek pracy oraz osoby fizyczne prowadzące na własny rachunek działalność gospodarczą</w:t>
            </w:r>
            <w:r w:rsidRPr="001B077F">
              <w:rPr>
                <w:rFonts w:ascii="Times New Roman" w:eastAsia="Times New Roman" w:hAnsi="Times New Roman" w:cs="Times New Roman"/>
                <w:sz w:val="20"/>
                <w:szCs w:val="20"/>
              </w:rPr>
              <w:t>”</w:t>
            </w:r>
          </w:p>
          <w:p w14:paraId="544E4AC3" w14:textId="77777777" w:rsidR="00010811" w:rsidRPr="001B077F" w:rsidRDefault="00010811" w:rsidP="00B01408">
            <w:pPr>
              <w:jc w:val="both"/>
              <w:rPr>
                <w:rFonts w:ascii="Times New Roman" w:hAnsi="Times New Roman" w:cs="Times New Roman"/>
                <w:sz w:val="20"/>
                <w:szCs w:val="20"/>
              </w:rPr>
            </w:pPr>
          </w:p>
        </w:tc>
      </w:tr>
      <w:tr w:rsidR="001B077F" w:rsidRPr="001B077F" w14:paraId="003D4C3E" w14:textId="77777777" w:rsidTr="00C33C1C">
        <w:trPr>
          <w:jc w:val="center"/>
        </w:trPr>
        <w:tc>
          <w:tcPr>
            <w:tcW w:w="986" w:type="dxa"/>
          </w:tcPr>
          <w:p w14:paraId="1EEBA5CE" w14:textId="77777777" w:rsidR="00010811" w:rsidRPr="001B077F" w:rsidRDefault="00010811" w:rsidP="00B01408">
            <w:pPr>
              <w:pStyle w:val="Akapitzlist"/>
              <w:numPr>
                <w:ilvl w:val="0"/>
                <w:numId w:val="11"/>
              </w:numPr>
              <w:spacing w:before="120"/>
              <w:ind w:right="-534"/>
              <w:jc w:val="center"/>
              <w:rPr>
                <w:rFonts w:ascii="Times New Roman" w:hAnsi="Times New Roman" w:cs="Times New Roman"/>
                <w:b/>
                <w:sz w:val="20"/>
              </w:rPr>
            </w:pPr>
          </w:p>
        </w:tc>
        <w:tc>
          <w:tcPr>
            <w:tcW w:w="2070" w:type="dxa"/>
          </w:tcPr>
          <w:p w14:paraId="51B8EE4C" w14:textId="77777777" w:rsidR="00010811" w:rsidRPr="001B077F" w:rsidRDefault="00010811" w:rsidP="00C33C1C">
            <w:pPr>
              <w:jc w:val="center"/>
              <w:rPr>
                <w:rFonts w:ascii="Times New Roman" w:hAnsi="Times New Roman" w:cs="Times New Roman"/>
                <w:sz w:val="20"/>
              </w:rPr>
            </w:pPr>
            <w:r w:rsidRPr="001B077F">
              <w:rPr>
                <w:rFonts w:ascii="Times New Roman" w:hAnsi="Times New Roman" w:cs="Times New Roman"/>
                <w:sz w:val="20"/>
              </w:rPr>
              <w:t>art. 1 pkt  2</w:t>
            </w:r>
          </w:p>
          <w:p w14:paraId="51449AFD" w14:textId="2C7D1666" w:rsidR="00010811" w:rsidRPr="001B077F" w:rsidRDefault="00010811" w:rsidP="00C33C1C">
            <w:pPr>
              <w:jc w:val="center"/>
              <w:rPr>
                <w:rFonts w:ascii="Times New Roman" w:hAnsi="Times New Roman" w:cs="Times New Roman"/>
                <w:sz w:val="20"/>
              </w:rPr>
            </w:pPr>
            <w:r w:rsidRPr="001B077F">
              <w:rPr>
                <w:rFonts w:ascii="Times New Roman" w:hAnsi="Times New Roman" w:cs="Times New Roman"/>
                <w:sz w:val="20"/>
              </w:rPr>
              <w:t>art. 108 § 2</w:t>
            </w:r>
          </w:p>
        </w:tc>
        <w:tc>
          <w:tcPr>
            <w:tcW w:w="2758" w:type="dxa"/>
            <w:vAlign w:val="center"/>
          </w:tcPr>
          <w:p w14:paraId="4FFABCDE" w14:textId="77777777" w:rsidR="00010811" w:rsidRPr="001B077F" w:rsidRDefault="00010811" w:rsidP="00B01408">
            <w:pPr>
              <w:jc w:val="center"/>
              <w:rPr>
                <w:rFonts w:ascii="Times New Roman" w:hAnsi="Times New Roman" w:cs="Times New Roman"/>
                <w:sz w:val="20"/>
              </w:rPr>
            </w:pPr>
          </w:p>
        </w:tc>
        <w:tc>
          <w:tcPr>
            <w:tcW w:w="8180" w:type="dxa"/>
            <w:vAlign w:val="center"/>
          </w:tcPr>
          <w:p w14:paraId="612C6C22" w14:textId="114C0716" w:rsidR="00010811" w:rsidRPr="001B077F" w:rsidRDefault="00010811" w:rsidP="00B01408">
            <w:pPr>
              <w:jc w:val="both"/>
              <w:rPr>
                <w:rFonts w:ascii="Times New Roman" w:hAnsi="Times New Roman" w:cs="Times New Roman"/>
                <w:sz w:val="20"/>
              </w:rPr>
            </w:pPr>
            <w:r w:rsidRPr="001B077F">
              <w:rPr>
                <w:rFonts w:ascii="Times New Roman" w:hAnsi="Times New Roman" w:cs="Times New Roman"/>
                <w:sz w:val="20"/>
              </w:rPr>
              <w:t xml:space="preserve">„zażywanie” środka działającego podobnie do alkoholu proponujemy zastąpić określeniem „przyjmowanie” gdyż środki te występują w różnych postaciach nie tylko „doustnych” </w:t>
            </w:r>
          </w:p>
        </w:tc>
      </w:tr>
      <w:tr w:rsidR="001B077F" w:rsidRPr="001B077F" w14:paraId="00E0BC58" w14:textId="77777777" w:rsidTr="00C33C1C">
        <w:trPr>
          <w:jc w:val="center"/>
        </w:trPr>
        <w:tc>
          <w:tcPr>
            <w:tcW w:w="986" w:type="dxa"/>
          </w:tcPr>
          <w:p w14:paraId="62EA8D74" w14:textId="77777777" w:rsidR="00C33C1C" w:rsidRPr="001B077F" w:rsidRDefault="00C33C1C" w:rsidP="00B01408">
            <w:pPr>
              <w:pStyle w:val="Akapitzlist"/>
              <w:numPr>
                <w:ilvl w:val="0"/>
                <w:numId w:val="11"/>
              </w:numPr>
              <w:spacing w:before="120"/>
              <w:ind w:right="-534"/>
              <w:jc w:val="center"/>
              <w:rPr>
                <w:rFonts w:ascii="Times New Roman" w:hAnsi="Times New Roman" w:cs="Times New Roman"/>
                <w:b/>
                <w:sz w:val="20"/>
              </w:rPr>
            </w:pPr>
          </w:p>
        </w:tc>
        <w:tc>
          <w:tcPr>
            <w:tcW w:w="2070" w:type="dxa"/>
          </w:tcPr>
          <w:p w14:paraId="5B41926D" w14:textId="521D9E7F" w:rsidR="00C33C1C" w:rsidRPr="001B077F" w:rsidRDefault="00C33C1C" w:rsidP="00C33C1C">
            <w:pPr>
              <w:jc w:val="center"/>
              <w:rPr>
                <w:rFonts w:ascii="Times New Roman" w:hAnsi="Times New Roman" w:cs="Times New Roman"/>
                <w:sz w:val="20"/>
              </w:rPr>
            </w:pPr>
            <w:r w:rsidRPr="001B077F">
              <w:rPr>
                <w:rFonts w:ascii="Times New Roman" w:hAnsi="Times New Roman" w:cs="Times New Roman"/>
                <w:sz w:val="20"/>
              </w:rPr>
              <w:t xml:space="preserve">art. 5 </w:t>
            </w:r>
          </w:p>
        </w:tc>
        <w:tc>
          <w:tcPr>
            <w:tcW w:w="2758" w:type="dxa"/>
            <w:vAlign w:val="center"/>
          </w:tcPr>
          <w:p w14:paraId="7D9B4007" w14:textId="7F877F73" w:rsidR="00C33C1C" w:rsidRPr="001B077F" w:rsidRDefault="00C33C1C" w:rsidP="00B01408">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47F443FB" w14:textId="1738EC24" w:rsidR="00C33C1C" w:rsidRPr="001B077F" w:rsidRDefault="00C33C1C" w:rsidP="00B01408">
            <w:pPr>
              <w:jc w:val="both"/>
              <w:rPr>
                <w:rFonts w:ascii="Times New Roman" w:hAnsi="Times New Roman" w:cs="Times New Roman"/>
                <w:sz w:val="20"/>
              </w:rPr>
            </w:pPr>
            <w:r w:rsidRPr="001B077F">
              <w:rPr>
                <w:rFonts w:ascii="Times New Roman" w:hAnsi="Times New Roman" w:cs="Times New Roman"/>
                <w:sz w:val="20"/>
              </w:rPr>
              <w:t xml:space="preserve">Przepis przejściowy. Ustawa wchodzi w życie 14 dni od ogłoszenia. Pracodawcom należy jednak przyznać  okres </w:t>
            </w:r>
            <w:r w:rsidR="0062392C" w:rsidRPr="001B077F">
              <w:rPr>
                <w:rFonts w:ascii="Times New Roman" w:hAnsi="Times New Roman" w:cs="Times New Roman"/>
                <w:sz w:val="20"/>
              </w:rPr>
              <w:t xml:space="preserve">przejściowy </w:t>
            </w:r>
            <w:r w:rsidRPr="001B077F">
              <w:rPr>
                <w:rFonts w:ascii="Times New Roman" w:hAnsi="Times New Roman" w:cs="Times New Roman"/>
                <w:sz w:val="20"/>
              </w:rPr>
              <w:t xml:space="preserve">4 miesięcy na </w:t>
            </w:r>
            <w:r w:rsidR="0062392C" w:rsidRPr="001B077F">
              <w:rPr>
                <w:rFonts w:ascii="Times New Roman" w:hAnsi="Times New Roman" w:cs="Times New Roman"/>
                <w:sz w:val="20"/>
              </w:rPr>
              <w:t>dostosowanie się do</w:t>
            </w:r>
            <w:r w:rsidRPr="001B077F">
              <w:rPr>
                <w:rFonts w:ascii="Times New Roman" w:hAnsi="Times New Roman" w:cs="Times New Roman"/>
                <w:sz w:val="20"/>
              </w:rPr>
              <w:t xml:space="preserve"> nowych rozwiązań. W zakładach pracy, </w:t>
            </w:r>
            <w:r w:rsidR="0062392C" w:rsidRPr="001B077F">
              <w:rPr>
                <w:rFonts w:ascii="Times New Roman" w:hAnsi="Times New Roman" w:cs="Times New Roman"/>
                <w:sz w:val="20"/>
              </w:rPr>
              <w:t xml:space="preserve">w których </w:t>
            </w:r>
            <w:r w:rsidRPr="001B077F">
              <w:rPr>
                <w:rFonts w:ascii="Times New Roman" w:hAnsi="Times New Roman" w:cs="Times New Roman"/>
                <w:sz w:val="20"/>
              </w:rPr>
              <w:t xml:space="preserve"> nie ma</w:t>
            </w:r>
            <w:r w:rsidR="0062392C" w:rsidRPr="001B077F">
              <w:rPr>
                <w:rFonts w:ascii="Times New Roman" w:hAnsi="Times New Roman" w:cs="Times New Roman"/>
                <w:sz w:val="20"/>
              </w:rPr>
              <w:t xml:space="preserve"> organizacji</w:t>
            </w:r>
            <w:r w:rsidRPr="001B077F">
              <w:rPr>
                <w:rFonts w:ascii="Times New Roman" w:hAnsi="Times New Roman" w:cs="Times New Roman"/>
                <w:sz w:val="20"/>
              </w:rPr>
              <w:t xml:space="preserve"> związków zawodowych nowe rozwiązania mogą być wdrożone w okresie kilku dni. W zakładach, w których działają organizacje związkowe proces ten będzie z obiektywnych przyczyn znacznie dłuższy. </w:t>
            </w:r>
          </w:p>
        </w:tc>
      </w:tr>
      <w:tr w:rsidR="001B077F" w:rsidRPr="001B077F" w14:paraId="51BD6E6A" w14:textId="77777777" w:rsidTr="00570123">
        <w:trPr>
          <w:jc w:val="center"/>
        </w:trPr>
        <w:tc>
          <w:tcPr>
            <w:tcW w:w="986" w:type="dxa"/>
          </w:tcPr>
          <w:p w14:paraId="66A61CEF" w14:textId="77777777" w:rsidR="00B01408" w:rsidRPr="001B077F" w:rsidRDefault="00B01408" w:rsidP="00B01408">
            <w:pPr>
              <w:pStyle w:val="Akapitzlist"/>
              <w:numPr>
                <w:ilvl w:val="0"/>
                <w:numId w:val="11"/>
              </w:numPr>
              <w:spacing w:before="120"/>
              <w:ind w:right="-534"/>
              <w:jc w:val="center"/>
              <w:rPr>
                <w:rFonts w:ascii="Times New Roman" w:hAnsi="Times New Roman" w:cs="Times New Roman"/>
                <w:b/>
                <w:sz w:val="20"/>
              </w:rPr>
            </w:pPr>
          </w:p>
        </w:tc>
        <w:tc>
          <w:tcPr>
            <w:tcW w:w="2070" w:type="dxa"/>
            <w:vAlign w:val="center"/>
          </w:tcPr>
          <w:p w14:paraId="0DB0EEDE" w14:textId="38C64D58" w:rsidR="00B01408" w:rsidRPr="001B077F" w:rsidRDefault="00B01408" w:rsidP="00B01408">
            <w:pPr>
              <w:jc w:val="center"/>
              <w:rPr>
                <w:rFonts w:ascii="Times New Roman" w:hAnsi="Times New Roman" w:cs="Times New Roman"/>
                <w:sz w:val="20"/>
              </w:rPr>
            </w:pPr>
            <w:r w:rsidRPr="001B077F">
              <w:rPr>
                <w:rFonts w:ascii="Times New Roman" w:hAnsi="Times New Roman" w:cs="Times New Roman"/>
                <w:sz w:val="20"/>
              </w:rPr>
              <w:t xml:space="preserve">Projekt rozporządzenia </w:t>
            </w:r>
          </w:p>
        </w:tc>
        <w:tc>
          <w:tcPr>
            <w:tcW w:w="2758" w:type="dxa"/>
            <w:vAlign w:val="center"/>
          </w:tcPr>
          <w:p w14:paraId="57C87FA8" w14:textId="6B1A1838" w:rsidR="00B01408" w:rsidRPr="001B077F" w:rsidRDefault="00C33C1C" w:rsidP="00B01408">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41D63509" w14:textId="459DBB5A" w:rsidR="00B01408" w:rsidRPr="001B077F" w:rsidRDefault="00B01408" w:rsidP="00B01408">
            <w:pPr>
              <w:jc w:val="both"/>
              <w:rPr>
                <w:rFonts w:ascii="Times New Roman" w:hAnsi="Times New Roman" w:cs="Times New Roman"/>
                <w:sz w:val="20"/>
              </w:rPr>
            </w:pPr>
            <w:r w:rsidRPr="001B077F">
              <w:rPr>
                <w:rFonts w:ascii="Times New Roman" w:hAnsi="Times New Roman" w:cs="Times New Roman"/>
                <w:sz w:val="20"/>
              </w:rPr>
              <w:t xml:space="preserve">W projekcie zarówno ustawy jak i załączonego rozporządzenia brak jest rozstrzygnięcia kto ponosi koszty badań (krwi albo moczu) w sytuacji gdy badania takie są realizowane na wniosek pracodawcy </w:t>
            </w:r>
            <w:r w:rsidR="003015C0" w:rsidRPr="001B077F">
              <w:rPr>
                <w:rFonts w:ascii="Times New Roman" w:hAnsi="Times New Roman" w:cs="Times New Roman"/>
                <w:sz w:val="20"/>
              </w:rPr>
              <w:t>albo</w:t>
            </w:r>
            <w:r w:rsidRPr="001B077F">
              <w:rPr>
                <w:rFonts w:ascii="Times New Roman" w:hAnsi="Times New Roman" w:cs="Times New Roman"/>
                <w:sz w:val="20"/>
              </w:rPr>
              <w:t xml:space="preserve"> pracownika</w:t>
            </w:r>
            <w:r w:rsidR="00F75A10" w:rsidRPr="001B077F">
              <w:rPr>
                <w:rFonts w:ascii="Times New Roman" w:hAnsi="Times New Roman" w:cs="Times New Roman"/>
                <w:sz w:val="20"/>
              </w:rPr>
              <w:t>.</w:t>
            </w:r>
          </w:p>
        </w:tc>
      </w:tr>
      <w:tr w:rsidR="001B077F" w:rsidRPr="001B077F" w14:paraId="060EBE6E" w14:textId="77777777" w:rsidTr="00570123">
        <w:trPr>
          <w:jc w:val="center"/>
        </w:trPr>
        <w:tc>
          <w:tcPr>
            <w:tcW w:w="986" w:type="dxa"/>
          </w:tcPr>
          <w:p w14:paraId="7DFF1D39" w14:textId="77777777" w:rsidR="00B01408" w:rsidRPr="001B077F" w:rsidRDefault="00B01408" w:rsidP="00B01408">
            <w:pPr>
              <w:pStyle w:val="Akapitzlist"/>
              <w:numPr>
                <w:ilvl w:val="0"/>
                <w:numId w:val="11"/>
              </w:numPr>
              <w:spacing w:before="120"/>
              <w:ind w:right="-534"/>
              <w:jc w:val="center"/>
              <w:rPr>
                <w:rFonts w:ascii="Times New Roman" w:hAnsi="Times New Roman" w:cs="Times New Roman"/>
                <w:b/>
                <w:sz w:val="20"/>
              </w:rPr>
            </w:pPr>
          </w:p>
        </w:tc>
        <w:tc>
          <w:tcPr>
            <w:tcW w:w="2070" w:type="dxa"/>
            <w:vAlign w:val="center"/>
          </w:tcPr>
          <w:p w14:paraId="0B936120" w14:textId="77777777" w:rsidR="00B01408" w:rsidRPr="001B077F" w:rsidRDefault="00B01408" w:rsidP="00B01408">
            <w:pPr>
              <w:jc w:val="both"/>
              <w:rPr>
                <w:rFonts w:ascii="Times New Roman" w:hAnsi="Times New Roman" w:cs="Times New Roman"/>
                <w:sz w:val="20"/>
              </w:rPr>
            </w:pPr>
            <w:r w:rsidRPr="001B077F">
              <w:rPr>
                <w:rFonts w:ascii="Times New Roman" w:hAnsi="Times New Roman" w:cs="Times New Roman"/>
                <w:sz w:val="20"/>
              </w:rPr>
              <w:t>Projekt rozporządzenia</w:t>
            </w:r>
          </w:p>
          <w:p w14:paraId="3F1118DB" w14:textId="5A907A2E" w:rsidR="00B01408" w:rsidRPr="001B077F" w:rsidRDefault="00B01408" w:rsidP="00B01408">
            <w:pPr>
              <w:jc w:val="center"/>
              <w:rPr>
                <w:rFonts w:ascii="Times New Roman" w:hAnsi="Times New Roman" w:cs="Times New Roman"/>
                <w:sz w:val="20"/>
              </w:rPr>
            </w:pPr>
            <w:r w:rsidRPr="001B077F">
              <w:rPr>
                <w:rFonts w:ascii="Times New Roman" w:hAnsi="Times New Roman" w:cs="Times New Roman"/>
                <w:sz w:val="20"/>
              </w:rPr>
              <w:t>§ 6 i 17</w:t>
            </w:r>
          </w:p>
        </w:tc>
        <w:tc>
          <w:tcPr>
            <w:tcW w:w="2758" w:type="dxa"/>
            <w:vAlign w:val="center"/>
          </w:tcPr>
          <w:p w14:paraId="0DF35ADC" w14:textId="113E6B39" w:rsidR="00B01408" w:rsidRPr="001B077F" w:rsidRDefault="00B01408" w:rsidP="00B01408">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2FD30895" w14:textId="77777777" w:rsidR="00B01408" w:rsidRPr="001B077F" w:rsidRDefault="00B01408" w:rsidP="00B01408">
            <w:pPr>
              <w:jc w:val="both"/>
              <w:rPr>
                <w:rFonts w:ascii="Times New Roman" w:hAnsi="Times New Roman" w:cs="Times New Roman"/>
                <w:sz w:val="20"/>
              </w:rPr>
            </w:pPr>
            <w:r w:rsidRPr="001B077F">
              <w:rPr>
                <w:rFonts w:ascii="Times New Roman" w:hAnsi="Times New Roman" w:cs="Times New Roman"/>
                <w:sz w:val="20"/>
              </w:rPr>
              <w:t xml:space="preserve">Rozporządzenie ma określać sposób dokumentowania przedmiotowych badań, jednak w swojej treści ogranicza się do ustalenia zawartości protokołu z badania przeprowadzonego </w:t>
            </w:r>
            <w:r w:rsidRPr="001B077F">
              <w:rPr>
                <w:rFonts w:ascii="Times New Roman" w:hAnsi="Times New Roman" w:cs="Times New Roman"/>
                <w:i/>
                <w:iCs/>
                <w:sz w:val="20"/>
              </w:rPr>
              <w:t>przez organ</w:t>
            </w:r>
            <w:r w:rsidRPr="001B077F">
              <w:rPr>
                <w:rFonts w:ascii="Times New Roman" w:hAnsi="Times New Roman" w:cs="Times New Roman"/>
                <w:sz w:val="20"/>
              </w:rPr>
              <w:t xml:space="preserve">. Sposób i zawartość protokołowania wyników badania przeprowadzonego przez pracodawcę powinien być również ujednolicony. Postulujemy o wykreślenie określenia </w:t>
            </w:r>
            <w:r w:rsidRPr="001B077F">
              <w:rPr>
                <w:rFonts w:ascii="Times New Roman" w:hAnsi="Times New Roman" w:cs="Times New Roman"/>
                <w:i/>
                <w:iCs/>
                <w:sz w:val="20"/>
              </w:rPr>
              <w:t>przeprowadzonych przez organ</w:t>
            </w:r>
            <w:r w:rsidRPr="001B077F">
              <w:rPr>
                <w:rFonts w:ascii="Times New Roman" w:hAnsi="Times New Roman" w:cs="Times New Roman"/>
                <w:sz w:val="20"/>
              </w:rPr>
              <w:t>, tak aby przedmiotowe paragrafy odnosiły się również do pracodawcy.</w:t>
            </w:r>
          </w:p>
          <w:p w14:paraId="4BF16078" w14:textId="59A1D0C5" w:rsidR="00630026" w:rsidRPr="001B077F" w:rsidRDefault="00630026" w:rsidP="00B01408">
            <w:pPr>
              <w:jc w:val="both"/>
              <w:rPr>
                <w:rFonts w:ascii="Times New Roman" w:hAnsi="Times New Roman" w:cs="Times New Roman"/>
                <w:sz w:val="20"/>
              </w:rPr>
            </w:pPr>
          </w:p>
        </w:tc>
      </w:tr>
      <w:tr w:rsidR="001B077F" w:rsidRPr="001B077F" w14:paraId="2E03BF41" w14:textId="77777777" w:rsidTr="00570123">
        <w:trPr>
          <w:jc w:val="center"/>
        </w:trPr>
        <w:tc>
          <w:tcPr>
            <w:tcW w:w="986" w:type="dxa"/>
          </w:tcPr>
          <w:p w14:paraId="325BD738" w14:textId="77777777" w:rsidR="00630026" w:rsidRPr="001B077F" w:rsidRDefault="00630026" w:rsidP="00B01408">
            <w:pPr>
              <w:pStyle w:val="Akapitzlist"/>
              <w:numPr>
                <w:ilvl w:val="0"/>
                <w:numId w:val="11"/>
              </w:numPr>
              <w:spacing w:before="120"/>
              <w:ind w:right="-534"/>
              <w:jc w:val="center"/>
              <w:rPr>
                <w:rFonts w:ascii="Times New Roman" w:hAnsi="Times New Roman" w:cs="Times New Roman"/>
                <w:b/>
                <w:sz w:val="20"/>
              </w:rPr>
            </w:pPr>
          </w:p>
        </w:tc>
        <w:tc>
          <w:tcPr>
            <w:tcW w:w="2070" w:type="dxa"/>
            <w:vAlign w:val="center"/>
          </w:tcPr>
          <w:p w14:paraId="69E67944" w14:textId="77777777" w:rsidR="00630026" w:rsidRPr="001B077F" w:rsidRDefault="00630026" w:rsidP="00630026">
            <w:pPr>
              <w:jc w:val="both"/>
              <w:rPr>
                <w:rFonts w:ascii="Times New Roman" w:hAnsi="Times New Roman" w:cs="Times New Roman"/>
                <w:sz w:val="20"/>
              </w:rPr>
            </w:pPr>
            <w:r w:rsidRPr="001B077F">
              <w:rPr>
                <w:rFonts w:ascii="Times New Roman" w:hAnsi="Times New Roman" w:cs="Times New Roman"/>
                <w:sz w:val="20"/>
              </w:rPr>
              <w:t>Projekt rozporządzenia</w:t>
            </w:r>
          </w:p>
          <w:p w14:paraId="085C4C86" w14:textId="580A6F87" w:rsidR="00630026" w:rsidRPr="001B077F" w:rsidRDefault="00630026" w:rsidP="00630026">
            <w:pPr>
              <w:jc w:val="both"/>
              <w:rPr>
                <w:rFonts w:ascii="Times New Roman" w:hAnsi="Times New Roman" w:cs="Times New Roman"/>
                <w:sz w:val="20"/>
              </w:rPr>
            </w:pPr>
            <w:r w:rsidRPr="001B077F">
              <w:rPr>
                <w:rFonts w:ascii="Times New Roman" w:hAnsi="Times New Roman" w:cs="Times New Roman"/>
                <w:sz w:val="20"/>
              </w:rPr>
              <w:t>§ 13</w:t>
            </w:r>
          </w:p>
        </w:tc>
        <w:tc>
          <w:tcPr>
            <w:tcW w:w="2758" w:type="dxa"/>
            <w:vAlign w:val="center"/>
          </w:tcPr>
          <w:p w14:paraId="57F0679A" w14:textId="3226BD2E" w:rsidR="00630026" w:rsidRPr="001B077F" w:rsidRDefault="00C33C1C" w:rsidP="00B01408">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3CC35E41" w14:textId="5EB1738F" w:rsidR="00630026" w:rsidRPr="001B077F" w:rsidRDefault="00630026" w:rsidP="00B01408">
            <w:pPr>
              <w:jc w:val="both"/>
              <w:rPr>
                <w:rFonts w:ascii="Times New Roman" w:hAnsi="Times New Roman" w:cs="Times New Roman"/>
                <w:sz w:val="20"/>
              </w:rPr>
            </w:pPr>
            <w:r w:rsidRPr="001B077F">
              <w:rPr>
                <w:rFonts w:ascii="Times New Roman" w:hAnsi="Times New Roman" w:cs="Times New Roman"/>
                <w:sz w:val="20"/>
              </w:rPr>
              <w:t>W paragrafie 13 mowa jest o „urządzeniu” do oznaczania metodą immunologiczną środków działających podobnie do alkoholu. Czy to oznacza, że proste testy jednorazowe (szeroko dostępne i niedrogie) nie będą mogły być stosowane?</w:t>
            </w:r>
          </w:p>
        </w:tc>
      </w:tr>
      <w:tr w:rsidR="00B01408" w:rsidRPr="001B077F" w14:paraId="24DF376F" w14:textId="77777777" w:rsidTr="00F75A10">
        <w:trPr>
          <w:jc w:val="center"/>
        </w:trPr>
        <w:tc>
          <w:tcPr>
            <w:tcW w:w="986" w:type="dxa"/>
          </w:tcPr>
          <w:p w14:paraId="7EAC2579" w14:textId="77777777" w:rsidR="00B01408" w:rsidRPr="001B077F" w:rsidRDefault="00B01408" w:rsidP="00B01408">
            <w:pPr>
              <w:pStyle w:val="Akapitzlist"/>
              <w:numPr>
                <w:ilvl w:val="0"/>
                <w:numId w:val="11"/>
              </w:numPr>
              <w:spacing w:before="120"/>
              <w:ind w:right="-534"/>
              <w:jc w:val="center"/>
              <w:rPr>
                <w:rFonts w:ascii="Times New Roman" w:hAnsi="Times New Roman" w:cs="Times New Roman"/>
                <w:b/>
                <w:sz w:val="20"/>
              </w:rPr>
            </w:pPr>
          </w:p>
        </w:tc>
        <w:tc>
          <w:tcPr>
            <w:tcW w:w="2070" w:type="dxa"/>
          </w:tcPr>
          <w:p w14:paraId="2D2696E8" w14:textId="526C609A" w:rsidR="00B01408" w:rsidRPr="001B077F" w:rsidRDefault="00F75A10" w:rsidP="00F75A10">
            <w:pPr>
              <w:jc w:val="center"/>
              <w:rPr>
                <w:rFonts w:ascii="Times New Roman" w:hAnsi="Times New Roman" w:cs="Times New Roman"/>
                <w:sz w:val="20"/>
              </w:rPr>
            </w:pPr>
            <w:r w:rsidRPr="001B077F">
              <w:rPr>
                <w:rFonts w:ascii="Times New Roman" w:hAnsi="Times New Roman" w:cs="Times New Roman"/>
                <w:sz w:val="20"/>
              </w:rPr>
              <w:t>Projekt rozporządzenia</w:t>
            </w:r>
          </w:p>
        </w:tc>
        <w:tc>
          <w:tcPr>
            <w:tcW w:w="2758" w:type="dxa"/>
          </w:tcPr>
          <w:p w14:paraId="3C78172D" w14:textId="636282A9" w:rsidR="00B01408" w:rsidRPr="001B077F" w:rsidRDefault="00C33C1C" w:rsidP="00F75A10">
            <w:pPr>
              <w:jc w:val="center"/>
              <w:rPr>
                <w:rFonts w:ascii="Times New Roman" w:hAnsi="Times New Roman" w:cs="Times New Roman"/>
                <w:sz w:val="20"/>
              </w:rPr>
            </w:pPr>
            <w:r w:rsidRPr="001B077F">
              <w:rPr>
                <w:rFonts w:ascii="Times New Roman" w:hAnsi="Times New Roman" w:cs="Times New Roman"/>
                <w:sz w:val="20"/>
              </w:rPr>
              <w:t>Konfederacja Lewiatan</w:t>
            </w:r>
          </w:p>
        </w:tc>
        <w:tc>
          <w:tcPr>
            <w:tcW w:w="8180" w:type="dxa"/>
            <w:vAlign w:val="center"/>
          </w:tcPr>
          <w:p w14:paraId="661DEB78" w14:textId="23450A81" w:rsidR="00B01408" w:rsidRPr="001B077F" w:rsidRDefault="00B01408" w:rsidP="00B01408">
            <w:pPr>
              <w:jc w:val="both"/>
              <w:rPr>
                <w:rFonts w:ascii="Times New Roman" w:hAnsi="Times New Roman" w:cs="Times New Roman"/>
                <w:sz w:val="20"/>
              </w:rPr>
            </w:pPr>
            <w:r w:rsidRPr="001B077F">
              <w:rPr>
                <w:rFonts w:ascii="Times New Roman" w:hAnsi="Times New Roman" w:cs="Times New Roman"/>
                <w:sz w:val="20"/>
              </w:rPr>
              <w:t>Proponujemy aby w przypadku podejrzenia lub wstępnego potwierdzenia, że pracownik jest po spożyciu środków działających podobnie do alkoholu, pracodawca nie miał możliwości kierowania pracownika do dalszych badań ale każdorazowo powinien wezwać organy służące do pilnowania porządku publicznego i dalsze badania powinny odbywać się w oparciu o działanie tych organów (uwaga ta dotyczy zarówno projektu ustawy jak i projektu rozporządzenia). W przypadku tych środków jest daleko większe ryzyko wystąpienia skutków niekorzystnych dla zdrowia pracownika niż w przypadku alkoholu, a samo ryzyko i koszty badań laboratoryjnych są zdecydowanie większe niż przy alkoholu. Stąd po stwierdzeniu za pośrednictwem podstawowych testów lub podejrzeniu przez pracodawcę, że pracownik jest po spożyciu takich środków powinno być obligatoryjne wezwanie odpowiednich służb porządkowych (Policja) lub pracodawca powinien mieć wybór dalszego postępowania (sam dalej bada pracownika lub wzywa odpowiednie organy);</w:t>
            </w:r>
          </w:p>
        </w:tc>
      </w:tr>
    </w:tbl>
    <w:p w14:paraId="225E52D3" w14:textId="77777777" w:rsidR="00674BCF" w:rsidRPr="001B077F" w:rsidRDefault="00674BCF">
      <w:pPr>
        <w:rPr>
          <w:rFonts w:ascii="Times New Roman" w:hAnsi="Times New Roman" w:cs="Times New Roman"/>
        </w:rPr>
      </w:pPr>
    </w:p>
    <w:p w14:paraId="179C36A8" w14:textId="77777777" w:rsidR="009A3389" w:rsidRPr="001B077F" w:rsidRDefault="009A3389" w:rsidP="00443077">
      <w:pPr>
        <w:spacing w:line="240" w:lineRule="auto"/>
        <w:rPr>
          <w:rFonts w:ascii="Times New Roman" w:hAnsi="Times New Roman" w:cs="Times New Roman"/>
        </w:rPr>
      </w:pPr>
    </w:p>
    <w:sectPr w:rsidR="009A3389" w:rsidRPr="001B077F" w:rsidSect="001F3A0F">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4E8C4" w14:textId="77777777" w:rsidR="00917D73" w:rsidRDefault="00917D73" w:rsidP="00735AA5">
      <w:pPr>
        <w:spacing w:after="0" w:line="240" w:lineRule="auto"/>
      </w:pPr>
      <w:r>
        <w:separator/>
      </w:r>
    </w:p>
  </w:endnote>
  <w:endnote w:type="continuationSeparator" w:id="0">
    <w:p w14:paraId="243D7BEE" w14:textId="77777777" w:rsidR="00917D73" w:rsidRDefault="00917D73" w:rsidP="0073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451909213"/>
      <w:docPartObj>
        <w:docPartGallery w:val="Page Numbers (Bottom of Page)"/>
        <w:docPartUnique/>
      </w:docPartObj>
    </w:sdtPr>
    <w:sdtEndPr/>
    <w:sdtContent>
      <w:p w14:paraId="1170B2D9" w14:textId="208ED4BB" w:rsidR="000B346A" w:rsidRPr="000B346A" w:rsidRDefault="000B346A">
        <w:pPr>
          <w:pStyle w:val="Stopka"/>
          <w:jc w:val="right"/>
          <w:rPr>
            <w:rFonts w:ascii="Arial" w:hAnsi="Arial" w:cs="Arial"/>
            <w:sz w:val="18"/>
          </w:rPr>
        </w:pPr>
        <w:r w:rsidRPr="000B346A">
          <w:rPr>
            <w:rFonts w:ascii="Arial" w:hAnsi="Arial" w:cs="Arial"/>
            <w:sz w:val="18"/>
          </w:rPr>
          <w:t xml:space="preserve">Strona | </w:t>
        </w:r>
        <w:r w:rsidRPr="000B346A">
          <w:rPr>
            <w:rFonts w:ascii="Arial" w:hAnsi="Arial" w:cs="Arial"/>
            <w:sz w:val="18"/>
          </w:rPr>
          <w:fldChar w:fldCharType="begin"/>
        </w:r>
        <w:r w:rsidRPr="000B346A">
          <w:rPr>
            <w:rFonts w:ascii="Arial" w:hAnsi="Arial" w:cs="Arial"/>
            <w:sz w:val="18"/>
          </w:rPr>
          <w:instrText>PAGE   \* MERGEFORMAT</w:instrText>
        </w:r>
        <w:r w:rsidRPr="000B346A">
          <w:rPr>
            <w:rFonts w:ascii="Arial" w:hAnsi="Arial" w:cs="Arial"/>
            <w:sz w:val="18"/>
          </w:rPr>
          <w:fldChar w:fldCharType="separate"/>
        </w:r>
        <w:r w:rsidR="00240DA0">
          <w:rPr>
            <w:rFonts w:ascii="Arial" w:hAnsi="Arial" w:cs="Arial"/>
            <w:noProof/>
            <w:sz w:val="18"/>
          </w:rPr>
          <w:t>9</w:t>
        </w:r>
        <w:r w:rsidRPr="000B346A">
          <w:rPr>
            <w:rFonts w:ascii="Arial" w:hAnsi="Arial" w:cs="Arial"/>
            <w:sz w:val="18"/>
          </w:rPr>
          <w:fldChar w:fldCharType="end"/>
        </w:r>
        <w:r w:rsidRPr="000B346A">
          <w:rPr>
            <w:rFonts w:ascii="Arial" w:hAnsi="Arial" w:cs="Arial"/>
            <w:sz w:val="18"/>
          </w:rPr>
          <w:t xml:space="preserve"> </w:t>
        </w:r>
      </w:p>
    </w:sdtContent>
  </w:sdt>
  <w:p w14:paraId="2B89F5CA" w14:textId="77777777" w:rsidR="00735AA5" w:rsidRDefault="00735A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CFDE4" w14:textId="77777777" w:rsidR="00917D73" w:rsidRDefault="00917D73" w:rsidP="00735AA5">
      <w:pPr>
        <w:spacing w:after="0" w:line="240" w:lineRule="auto"/>
      </w:pPr>
      <w:r>
        <w:separator/>
      </w:r>
    </w:p>
  </w:footnote>
  <w:footnote w:type="continuationSeparator" w:id="0">
    <w:p w14:paraId="74B4EC58" w14:textId="77777777" w:rsidR="00917D73" w:rsidRDefault="00917D73" w:rsidP="00735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422"/>
    <w:multiLevelType w:val="hybridMultilevel"/>
    <w:tmpl w:val="1EA4D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B3421"/>
    <w:multiLevelType w:val="hybridMultilevel"/>
    <w:tmpl w:val="3F3C306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F69C8"/>
    <w:multiLevelType w:val="hybridMultilevel"/>
    <w:tmpl w:val="401489DE"/>
    <w:lvl w:ilvl="0" w:tplc="2408B1AA">
      <w:start w:val="2"/>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3" w15:restartNumberingAfterBreak="0">
    <w:nsid w:val="1784680D"/>
    <w:multiLevelType w:val="hybridMultilevel"/>
    <w:tmpl w:val="2BB4171C"/>
    <w:lvl w:ilvl="0" w:tplc="BAE6A3BE">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4" w15:restartNumberingAfterBreak="0">
    <w:nsid w:val="1ECC3B3B"/>
    <w:multiLevelType w:val="hybridMultilevel"/>
    <w:tmpl w:val="FC280E60"/>
    <w:lvl w:ilvl="0" w:tplc="04150001">
      <w:start w:val="1"/>
      <w:numFmt w:val="bullet"/>
      <w:lvlText w:val=""/>
      <w:lvlJc w:val="left"/>
      <w:pPr>
        <w:ind w:left="360" w:hanging="360"/>
      </w:pPr>
      <w:rPr>
        <w:rFonts w:ascii="Symbol" w:hAnsi="Symbol" w:hint="default"/>
      </w:rPr>
    </w:lvl>
    <w:lvl w:ilvl="1" w:tplc="D04EE846">
      <w:start w:val="1"/>
      <w:numFmt w:val="lowerRoman"/>
      <w:lvlText w:val="(%2)"/>
      <w:lvlJc w:val="left"/>
      <w:pPr>
        <w:ind w:left="1080" w:hanging="360"/>
      </w:pPr>
      <w:rPr>
        <w:rFonts w:hint="default"/>
        <w:i w:val="0"/>
        <w:iCs w:val="0"/>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1F484FB4"/>
    <w:multiLevelType w:val="hybridMultilevel"/>
    <w:tmpl w:val="49FA505E"/>
    <w:lvl w:ilvl="0" w:tplc="8B141934">
      <w:start w:val="20"/>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6" w15:restartNumberingAfterBreak="0">
    <w:nsid w:val="1F732351"/>
    <w:multiLevelType w:val="hybridMultilevel"/>
    <w:tmpl w:val="2EF0F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C32182"/>
    <w:multiLevelType w:val="hybridMultilevel"/>
    <w:tmpl w:val="977CE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A7B9B"/>
    <w:multiLevelType w:val="hybridMultilevel"/>
    <w:tmpl w:val="68E214C4"/>
    <w:lvl w:ilvl="0" w:tplc="C45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8469B4"/>
    <w:multiLevelType w:val="hybridMultilevel"/>
    <w:tmpl w:val="54546E74"/>
    <w:lvl w:ilvl="0" w:tplc="7A02222C">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DD0B2E"/>
    <w:multiLevelType w:val="hybridMultilevel"/>
    <w:tmpl w:val="22208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7109D4"/>
    <w:multiLevelType w:val="hybridMultilevel"/>
    <w:tmpl w:val="F4C82F44"/>
    <w:lvl w:ilvl="0" w:tplc="BBC653A2">
      <w:start w:val="1"/>
      <w:numFmt w:val="decimal"/>
      <w:lvlText w:val="%1)"/>
      <w:lvlJc w:val="left"/>
      <w:pPr>
        <w:ind w:left="321" w:hanging="360"/>
      </w:pPr>
      <w:rPr>
        <w:rFonts w:hint="default"/>
        <w:color w:val="000000" w:themeColor="text1"/>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12" w15:restartNumberingAfterBreak="0">
    <w:nsid w:val="72253848"/>
    <w:multiLevelType w:val="hybridMultilevel"/>
    <w:tmpl w:val="8F10F6AE"/>
    <w:lvl w:ilvl="0" w:tplc="C7B04F10">
      <w:start w:val="2"/>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3" w15:restartNumberingAfterBreak="0">
    <w:nsid w:val="764744B3"/>
    <w:multiLevelType w:val="hybridMultilevel"/>
    <w:tmpl w:val="363600DC"/>
    <w:lvl w:ilvl="0" w:tplc="FF98001A">
      <w:start w:val="1"/>
      <w:numFmt w:val="decimal"/>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78BE5C91"/>
    <w:multiLevelType w:val="hybridMultilevel"/>
    <w:tmpl w:val="D0001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2"/>
  </w:num>
  <w:num w:numId="5">
    <w:abstractNumId w:val="13"/>
  </w:num>
  <w:num w:numId="6">
    <w:abstractNumId w:val="11"/>
  </w:num>
  <w:num w:numId="7">
    <w:abstractNumId w:val="0"/>
  </w:num>
  <w:num w:numId="8">
    <w:abstractNumId w:val="1"/>
  </w:num>
  <w:num w:numId="9">
    <w:abstractNumId w:val="10"/>
  </w:num>
  <w:num w:numId="10">
    <w:abstractNumId w:val="14"/>
  </w:num>
  <w:num w:numId="11">
    <w:abstractNumId w:val="7"/>
  </w:num>
  <w:num w:numId="12">
    <w:abstractNumId w:val="8"/>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57"/>
    <w:rsid w:val="00005B5B"/>
    <w:rsid w:val="00010811"/>
    <w:rsid w:val="000153D6"/>
    <w:rsid w:val="00032647"/>
    <w:rsid w:val="000668A9"/>
    <w:rsid w:val="000720D2"/>
    <w:rsid w:val="00084817"/>
    <w:rsid w:val="00085E2E"/>
    <w:rsid w:val="00091F2A"/>
    <w:rsid w:val="000B1157"/>
    <w:rsid w:val="000B346A"/>
    <w:rsid w:val="000C7E08"/>
    <w:rsid w:val="00100D42"/>
    <w:rsid w:val="001368AF"/>
    <w:rsid w:val="00141978"/>
    <w:rsid w:val="00170D03"/>
    <w:rsid w:val="00176BD2"/>
    <w:rsid w:val="00177EC3"/>
    <w:rsid w:val="00187D34"/>
    <w:rsid w:val="001B077F"/>
    <w:rsid w:val="001B716D"/>
    <w:rsid w:val="001E01AE"/>
    <w:rsid w:val="001F0431"/>
    <w:rsid w:val="001F3A0F"/>
    <w:rsid w:val="0020616A"/>
    <w:rsid w:val="002251CD"/>
    <w:rsid w:val="00240DA0"/>
    <w:rsid w:val="00242233"/>
    <w:rsid w:val="00261971"/>
    <w:rsid w:val="002662EA"/>
    <w:rsid w:val="00276DEE"/>
    <w:rsid w:val="002D0462"/>
    <w:rsid w:val="002E0918"/>
    <w:rsid w:val="003015C0"/>
    <w:rsid w:val="003365F0"/>
    <w:rsid w:val="003706A6"/>
    <w:rsid w:val="003A430E"/>
    <w:rsid w:val="003C1FB9"/>
    <w:rsid w:val="003D06B1"/>
    <w:rsid w:val="003D7D21"/>
    <w:rsid w:val="003E2391"/>
    <w:rsid w:val="003F2E93"/>
    <w:rsid w:val="003F2ED2"/>
    <w:rsid w:val="0040281C"/>
    <w:rsid w:val="00404637"/>
    <w:rsid w:val="004102BD"/>
    <w:rsid w:val="00414EA2"/>
    <w:rsid w:val="00443077"/>
    <w:rsid w:val="00452E52"/>
    <w:rsid w:val="004861EE"/>
    <w:rsid w:val="004977F7"/>
    <w:rsid w:val="004A28E0"/>
    <w:rsid w:val="004E0816"/>
    <w:rsid w:val="005243EE"/>
    <w:rsid w:val="00537F4C"/>
    <w:rsid w:val="00545CD3"/>
    <w:rsid w:val="005577D8"/>
    <w:rsid w:val="00570123"/>
    <w:rsid w:val="005A746D"/>
    <w:rsid w:val="005C6E58"/>
    <w:rsid w:val="005D442D"/>
    <w:rsid w:val="0060239D"/>
    <w:rsid w:val="00616726"/>
    <w:rsid w:val="0062392C"/>
    <w:rsid w:val="00630026"/>
    <w:rsid w:val="00637B33"/>
    <w:rsid w:val="00642299"/>
    <w:rsid w:val="00664428"/>
    <w:rsid w:val="006669AD"/>
    <w:rsid w:val="00674BCF"/>
    <w:rsid w:val="00681704"/>
    <w:rsid w:val="006C2BC9"/>
    <w:rsid w:val="006C42B2"/>
    <w:rsid w:val="006D2FE6"/>
    <w:rsid w:val="006F0D7B"/>
    <w:rsid w:val="006F1155"/>
    <w:rsid w:val="006F6137"/>
    <w:rsid w:val="007018E8"/>
    <w:rsid w:val="00730C35"/>
    <w:rsid w:val="00735AA5"/>
    <w:rsid w:val="00751B0F"/>
    <w:rsid w:val="007546ED"/>
    <w:rsid w:val="0076077D"/>
    <w:rsid w:val="007A11B0"/>
    <w:rsid w:val="007F39C0"/>
    <w:rsid w:val="008203CF"/>
    <w:rsid w:val="00830132"/>
    <w:rsid w:val="00867D34"/>
    <w:rsid w:val="00875CEB"/>
    <w:rsid w:val="00893FDA"/>
    <w:rsid w:val="008D5217"/>
    <w:rsid w:val="008F2F2A"/>
    <w:rsid w:val="0090227A"/>
    <w:rsid w:val="00904715"/>
    <w:rsid w:val="00906E93"/>
    <w:rsid w:val="00917D73"/>
    <w:rsid w:val="009532CB"/>
    <w:rsid w:val="009672B1"/>
    <w:rsid w:val="00983A14"/>
    <w:rsid w:val="009858B5"/>
    <w:rsid w:val="009923E7"/>
    <w:rsid w:val="009A3389"/>
    <w:rsid w:val="009A747B"/>
    <w:rsid w:val="009B0AEA"/>
    <w:rsid w:val="009D4953"/>
    <w:rsid w:val="00A11E28"/>
    <w:rsid w:val="00A1326C"/>
    <w:rsid w:val="00A229C9"/>
    <w:rsid w:val="00A407A4"/>
    <w:rsid w:val="00A44C07"/>
    <w:rsid w:val="00A64143"/>
    <w:rsid w:val="00A65542"/>
    <w:rsid w:val="00A92454"/>
    <w:rsid w:val="00A95663"/>
    <w:rsid w:val="00AF2DCB"/>
    <w:rsid w:val="00AF5CDF"/>
    <w:rsid w:val="00B0068C"/>
    <w:rsid w:val="00B01408"/>
    <w:rsid w:val="00B13DB5"/>
    <w:rsid w:val="00B15F59"/>
    <w:rsid w:val="00B96DB3"/>
    <w:rsid w:val="00BD1AB7"/>
    <w:rsid w:val="00C02885"/>
    <w:rsid w:val="00C068E6"/>
    <w:rsid w:val="00C22A1F"/>
    <w:rsid w:val="00C33C1C"/>
    <w:rsid w:val="00C61CF3"/>
    <w:rsid w:val="00C63F1E"/>
    <w:rsid w:val="00CB5636"/>
    <w:rsid w:val="00CE5B25"/>
    <w:rsid w:val="00D021F0"/>
    <w:rsid w:val="00D02FDB"/>
    <w:rsid w:val="00D23483"/>
    <w:rsid w:val="00D34082"/>
    <w:rsid w:val="00D417F7"/>
    <w:rsid w:val="00D55C8D"/>
    <w:rsid w:val="00D64E16"/>
    <w:rsid w:val="00D95425"/>
    <w:rsid w:val="00D97D46"/>
    <w:rsid w:val="00DA508C"/>
    <w:rsid w:val="00DF5CBB"/>
    <w:rsid w:val="00E07721"/>
    <w:rsid w:val="00E2744F"/>
    <w:rsid w:val="00E35B10"/>
    <w:rsid w:val="00E65459"/>
    <w:rsid w:val="00E67BF3"/>
    <w:rsid w:val="00E7699F"/>
    <w:rsid w:val="00E92DC4"/>
    <w:rsid w:val="00EB3E7E"/>
    <w:rsid w:val="00EB5B1E"/>
    <w:rsid w:val="00EC7543"/>
    <w:rsid w:val="00ED1BD3"/>
    <w:rsid w:val="00EF008D"/>
    <w:rsid w:val="00F11CBF"/>
    <w:rsid w:val="00F53B30"/>
    <w:rsid w:val="00F57023"/>
    <w:rsid w:val="00F75A10"/>
    <w:rsid w:val="00F80086"/>
    <w:rsid w:val="00FA47E1"/>
    <w:rsid w:val="00FB02CC"/>
    <w:rsid w:val="00FB122C"/>
    <w:rsid w:val="00FB1D03"/>
    <w:rsid w:val="00FD481C"/>
    <w:rsid w:val="00FD7CD5"/>
    <w:rsid w:val="00FF448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9622"/>
  <w15:docId w15:val="{324C8D6F-E647-4AE3-ABE5-8C8482C1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721"/>
  </w:style>
  <w:style w:type="paragraph" w:styleId="Nagwek2">
    <w:name w:val="heading 2"/>
    <w:basedOn w:val="Normalny"/>
    <w:next w:val="Normalny"/>
    <w:link w:val="Nagwek2Znak"/>
    <w:uiPriority w:val="9"/>
    <w:unhideWhenUsed/>
    <w:qFormat/>
    <w:rsid w:val="004A28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77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70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06A6"/>
    <w:rPr>
      <w:rFonts w:ascii="Tahoma" w:hAnsi="Tahoma" w:cs="Tahoma"/>
      <w:sz w:val="16"/>
      <w:szCs w:val="16"/>
    </w:rPr>
  </w:style>
  <w:style w:type="paragraph" w:customStyle="1" w:styleId="TYTUAKTUprzedmiotregulacjiustawylubrozporzdzenia">
    <w:name w:val="TYTUŁ_AKTU – przedmiot regulacji ustawy lub rozporządzenia"/>
    <w:next w:val="Normalny"/>
    <w:uiPriority w:val="6"/>
    <w:qFormat/>
    <w:rsid w:val="003706A6"/>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ARTartustawynprozporzdzenia">
    <w:name w:val="ART(§) – art. ustawy (§ np. rozporządzenia)"/>
    <w:uiPriority w:val="11"/>
    <w:qFormat/>
    <w:rsid w:val="00983A1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983A14"/>
    <w:pPr>
      <w:spacing w:after="0" w:line="360" w:lineRule="auto"/>
      <w:ind w:left="510" w:hanging="510"/>
      <w:jc w:val="both"/>
    </w:pPr>
    <w:rPr>
      <w:rFonts w:ascii="Times" w:eastAsia="Times New Roman" w:hAnsi="Times" w:cs="Arial"/>
      <w:bCs/>
      <w:sz w:val="24"/>
      <w:szCs w:val="20"/>
      <w:lang w:eastAsia="pl-PL"/>
    </w:rPr>
  </w:style>
  <w:style w:type="character" w:styleId="Odwoaniedokomentarza">
    <w:name w:val="annotation reference"/>
    <w:uiPriority w:val="99"/>
    <w:semiHidden/>
    <w:rsid w:val="00983A14"/>
    <w:rPr>
      <w:sz w:val="16"/>
      <w:szCs w:val="16"/>
    </w:rPr>
  </w:style>
  <w:style w:type="paragraph" w:styleId="Tekstkomentarza">
    <w:name w:val="annotation text"/>
    <w:basedOn w:val="Normalny"/>
    <w:link w:val="TekstkomentarzaZnak"/>
    <w:uiPriority w:val="99"/>
    <w:semiHidden/>
    <w:rsid w:val="00983A14"/>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983A14"/>
    <w:rPr>
      <w:rFonts w:ascii="Times" w:eastAsia="Times New Roman" w:hAnsi="Times" w:cs="Times New Roman"/>
      <w:sz w:val="24"/>
      <w:szCs w:val="24"/>
      <w:lang w:eastAsia="pl-PL"/>
    </w:rPr>
  </w:style>
  <w:style w:type="character" w:customStyle="1" w:styleId="Ppogrubienie">
    <w:name w:val="_P_ – pogrubienie"/>
    <w:uiPriority w:val="1"/>
    <w:qFormat/>
    <w:rsid w:val="00983A14"/>
    <w:rPr>
      <w:b/>
    </w:rPr>
  </w:style>
  <w:style w:type="paragraph" w:styleId="Akapitzlist">
    <w:name w:val="List Paragraph"/>
    <w:basedOn w:val="Normalny"/>
    <w:uiPriority w:val="34"/>
    <w:qFormat/>
    <w:rsid w:val="00983A14"/>
    <w:pPr>
      <w:ind w:left="720"/>
      <w:contextualSpacing/>
    </w:pPr>
  </w:style>
  <w:style w:type="paragraph" w:customStyle="1" w:styleId="USTustnpkodeksu">
    <w:name w:val="UST(§) – ust. (§ np. kodeksu)"/>
    <w:basedOn w:val="ARTartustawynprozporzdzenia"/>
    <w:uiPriority w:val="12"/>
    <w:qFormat/>
    <w:rsid w:val="009A3389"/>
    <w:pPr>
      <w:spacing w:before="0"/>
    </w:pPr>
    <w:rPr>
      <w:bCs/>
    </w:rPr>
  </w:style>
  <w:style w:type="paragraph" w:styleId="Nagwek">
    <w:name w:val="header"/>
    <w:basedOn w:val="Normalny"/>
    <w:link w:val="NagwekZnak"/>
    <w:uiPriority w:val="99"/>
    <w:unhideWhenUsed/>
    <w:rsid w:val="00735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AA5"/>
  </w:style>
  <w:style w:type="paragraph" w:styleId="Stopka">
    <w:name w:val="footer"/>
    <w:basedOn w:val="Normalny"/>
    <w:link w:val="StopkaZnak"/>
    <w:uiPriority w:val="99"/>
    <w:unhideWhenUsed/>
    <w:rsid w:val="00735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AA5"/>
  </w:style>
  <w:style w:type="character" w:customStyle="1" w:styleId="Nagwek2Znak">
    <w:name w:val="Nagłówek 2 Znak"/>
    <w:basedOn w:val="Domylnaczcionkaakapitu"/>
    <w:link w:val="Nagwek2"/>
    <w:uiPriority w:val="9"/>
    <w:rsid w:val="004A28E0"/>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9A74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747B"/>
    <w:rPr>
      <w:sz w:val="20"/>
      <w:szCs w:val="20"/>
    </w:rPr>
  </w:style>
  <w:style w:type="character" w:styleId="Odwoanieprzypisukocowego">
    <w:name w:val="endnote reference"/>
    <w:basedOn w:val="Domylnaczcionkaakapitu"/>
    <w:uiPriority w:val="99"/>
    <w:semiHidden/>
    <w:unhideWhenUsed/>
    <w:rsid w:val="009A747B"/>
    <w:rPr>
      <w:vertAlign w:val="superscript"/>
    </w:rPr>
  </w:style>
  <w:style w:type="paragraph" w:styleId="Tematkomentarza">
    <w:name w:val="annotation subject"/>
    <w:basedOn w:val="Tekstkomentarza"/>
    <w:next w:val="Tekstkomentarza"/>
    <w:link w:val="TematkomentarzaZnak"/>
    <w:uiPriority w:val="99"/>
    <w:semiHidden/>
    <w:unhideWhenUsed/>
    <w:rsid w:val="007546ED"/>
    <w:pPr>
      <w:widowControl/>
      <w:autoSpaceDE/>
      <w:autoSpaceDN/>
      <w:adjustRightInd/>
      <w:spacing w:after="200" w:line="240" w:lineRule="auto"/>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
    <w:link w:val="Tematkomentarza"/>
    <w:uiPriority w:val="99"/>
    <w:semiHidden/>
    <w:rsid w:val="007546ED"/>
    <w:rPr>
      <w:rFonts w:ascii="Times" w:eastAsia="Times New Roman" w:hAnsi="Times"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266">
      <w:bodyDiv w:val="1"/>
      <w:marLeft w:val="0"/>
      <w:marRight w:val="0"/>
      <w:marTop w:val="0"/>
      <w:marBottom w:val="0"/>
      <w:divBdr>
        <w:top w:val="none" w:sz="0" w:space="0" w:color="auto"/>
        <w:left w:val="none" w:sz="0" w:space="0" w:color="auto"/>
        <w:bottom w:val="none" w:sz="0" w:space="0" w:color="auto"/>
        <w:right w:val="none" w:sz="0" w:space="0" w:color="auto"/>
      </w:divBdr>
    </w:div>
    <w:div w:id="621884763">
      <w:bodyDiv w:val="1"/>
      <w:marLeft w:val="0"/>
      <w:marRight w:val="0"/>
      <w:marTop w:val="0"/>
      <w:marBottom w:val="0"/>
      <w:divBdr>
        <w:top w:val="none" w:sz="0" w:space="0" w:color="auto"/>
        <w:left w:val="none" w:sz="0" w:space="0" w:color="auto"/>
        <w:bottom w:val="none" w:sz="0" w:space="0" w:color="auto"/>
        <w:right w:val="none" w:sz="0" w:space="0" w:color="auto"/>
      </w:divBdr>
    </w:div>
    <w:div w:id="1251231102">
      <w:bodyDiv w:val="1"/>
      <w:marLeft w:val="0"/>
      <w:marRight w:val="0"/>
      <w:marTop w:val="0"/>
      <w:marBottom w:val="0"/>
      <w:divBdr>
        <w:top w:val="none" w:sz="0" w:space="0" w:color="auto"/>
        <w:left w:val="none" w:sz="0" w:space="0" w:color="auto"/>
        <w:bottom w:val="none" w:sz="0" w:space="0" w:color="auto"/>
        <w:right w:val="none" w:sz="0" w:space="0" w:color="auto"/>
      </w:divBdr>
    </w:div>
    <w:div w:id="1454714331">
      <w:bodyDiv w:val="1"/>
      <w:marLeft w:val="0"/>
      <w:marRight w:val="0"/>
      <w:marTop w:val="0"/>
      <w:marBottom w:val="0"/>
      <w:divBdr>
        <w:top w:val="none" w:sz="0" w:space="0" w:color="auto"/>
        <w:left w:val="none" w:sz="0" w:space="0" w:color="auto"/>
        <w:bottom w:val="none" w:sz="0" w:space="0" w:color="auto"/>
        <w:right w:val="none" w:sz="0" w:space="0" w:color="auto"/>
      </w:divBdr>
    </w:div>
    <w:div w:id="18546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 i m a n a g e ! 1 1 4 4 5 0 2 6 . 1 < / d o c u m e n t i d >  
     < s e n d e r i d > K O C I E C K A < / s e n d e r i d >  
     < s e n d e r e m a i l > K O C I E C K A @ A M A Z O N . D E < / s e n d e r e m a i l >  
     < l a s t m o d i f i e d > 2 0 2 1 - 0 6 - 2 5 T 1 3 : 1 6 : 0 0 . 0 0 0 0 0 0 0 + 0 2 : 0 0 < / l a s t m o d i f i e d >  
     < d a t a b a s e > i m a n a g e 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11C0-D687-4343-B2EB-BCC42BDE5064}">
  <ds:schemaRefs>
    <ds:schemaRef ds:uri="http://www.imanage.com/work/xmlschema"/>
  </ds:schemaRefs>
</ds:datastoreItem>
</file>

<file path=customXml/itemProps2.xml><?xml version="1.0" encoding="utf-8"?>
<ds:datastoreItem xmlns:ds="http://schemas.openxmlformats.org/officeDocument/2006/customXml" ds:itemID="{5CCAA200-E02F-411B-A201-596CB7B8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2938</Words>
  <Characters>17631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Kaniuka</dc:creator>
  <cp:lastModifiedBy>RL</cp:lastModifiedBy>
  <cp:revision>5</cp:revision>
  <dcterms:created xsi:type="dcterms:W3CDTF">2021-06-25T13:59:00Z</dcterms:created>
  <dcterms:modified xsi:type="dcterms:W3CDTF">2021-06-25T14:02:00Z</dcterms:modified>
</cp:coreProperties>
</file>