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6A3C" w14:textId="6014D711" w:rsidR="005B5584" w:rsidRDefault="006012E4" w:rsidP="00FD51BB">
      <w:pPr>
        <w:autoSpaceDE w:val="0"/>
        <w:autoSpaceDN w:val="0"/>
        <w:adjustRightInd w:val="0"/>
        <w:spacing w:after="0" w:line="240" w:lineRule="auto"/>
        <w:jc w:val="both"/>
        <w:rPr>
          <w:rFonts w:asciiTheme="minorHAnsi" w:hAnsiTheme="minorHAnsi" w:cs="Arial"/>
          <w:b/>
          <w:sz w:val="24"/>
          <w:szCs w:val="24"/>
        </w:rPr>
      </w:pPr>
      <w:r w:rsidRPr="00A41A0B">
        <w:rPr>
          <w:rFonts w:asciiTheme="minorHAnsi" w:hAnsiTheme="minorHAnsi" w:cs="Arial"/>
          <w:b/>
          <w:sz w:val="24"/>
          <w:szCs w:val="24"/>
        </w:rPr>
        <w:t xml:space="preserve">Uwagi </w:t>
      </w:r>
      <w:r w:rsidR="00BE3715">
        <w:rPr>
          <w:rFonts w:asciiTheme="minorHAnsi" w:hAnsiTheme="minorHAnsi" w:cs="Arial"/>
          <w:b/>
          <w:sz w:val="24"/>
          <w:szCs w:val="24"/>
        </w:rPr>
        <w:t>Konfederacji Lewiatan</w:t>
      </w:r>
      <w:r w:rsidR="00A41A0B" w:rsidRPr="00A41A0B">
        <w:rPr>
          <w:rFonts w:asciiTheme="minorHAnsi" w:hAnsiTheme="minorHAnsi" w:cs="Arial"/>
          <w:b/>
          <w:sz w:val="24"/>
          <w:szCs w:val="24"/>
        </w:rPr>
        <w:t xml:space="preserve"> </w:t>
      </w:r>
      <w:r w:rsidRPr="00A41A0B">
        <w:rPr>
          <w:rFonts w:asciiTheme="minorHAnsi" w:hAnsiTheme="minorHAnsi" w:cs="Arial"/>
          <w:b/>
          <w:sz w:val="24"/>
          <w:szCs w:val="24"/>
        </w:rPr>
        <w:t>do projektu</w:t>
      </w:r>
      <w:r w:rsidR="004C136B" w:rsidRPr="00A41A0B">
        <w:rPr>
          <w:rFonts w:asciiTheme="minorHAnsi" w:hAnsiTheme="minorHAnsi" w:cs="Arial"/>
          <w:b/>
          <w:sz w:val="24"/>
          <w:szCs w:val="24"/>
        </w:rPr>
        <w:t xml:space="preserve"> </w:t>
      </w:r>
      <w:r w:rsidR="00FD51BB" w:rsidRPr="00FD51BB">
        <w:rPr>
          <w:rFonts w:asciiTheme="minorHAnsi" w:hAnsiTheme="minorHAnsi" w:cs="Arial"/>
          <w:b/>
          <w:sz w:val="24"/>
          <w:szCs w:val="24"/>
        </w:rPr>
        <w:t>rozporządzenia Ministra Klimatu i Środowiska</w:t>
      </w:r>
      <w:r w:rsidR="00AC59B1">
        <w:rPr>
          <w:rFonts w:asciiTheme="minorHAnsi" w:hAnsiTheme="minorHAnsi" w:cs="Arial"/>
          <w:b/>
          <w:sz w:val="24"/>
          <w:szCs w:val="24"/>
        </w:rPr>
        <w:t xml:space="preserve"> z dnia 03.01.2022 r.</w:t>
      </w:r>
      <w:r w:rsidR="00FD51BB" w:rsidRPr="00FD51BB">
        <w:rPr>
          <w:rFonts w:asciiTheme="minorHAnsi" w:hAnsiTheme="minorHAnsi" w:cs="Arial"/>
          <w:b/>
          <w:sz w:val="24"/>
          <w:szCs w:val="24"/>
        </w:rPr>
        <w:t xml:space="preserve"> zmieniającego rozporządzenie w sprawie szczegółowych zasad kształtowania i kalkulacji taryf oraz rozliczeń w obrocie paliwami gazowymi</w:t>
      </w:r>
      <w:r w:rsidR="00F0168F">
        <w:rPr>
          <w:rFonts w:asciiTheme="minorHAnsi" w:hAnsiTheme="minorHAnsi" w:cs="Arial"/>
          <w:b/>
          <w:sz w:val="24"/>
          <w:szCs w:val="24"/>
        </w:rPr>
        <w:t xml:space="preserve"> (nr z wykazu prac legislacyjnych Ministerstwa Klimatu i Środowiska – 732)</w:t>
      </w:r>
    </w:p>
    <w:p w14:paraId="0418BD42" w14:textId="77777777" w:rsidR="00FD51BB" w:rsidRPr="00A41A0B" w:rsidRDefault="00FD51BB" w:rsidP="00FD51BB">
      <w:pPr>
        <w:autoSpaceDE w:val="0"/>
        <w:autoSpaceDN w:val="0"/>
        <w:adjustRightInd w:val="0"/>
        <w:spacing w:after="0" w:line="240" w:lineRule="auto"/>
        <w:jc w:val="both"/>
        <w:rPr>
          <w:rFonts w:asciiTheme="minorHAnsi" w:hAnsiTheme="minorHAnsi" w:cs="Arial"/>
          <w:b/>
          <w:sz w:val="24"/>
          <w:szCs w:val="24"/>
        </w:rPr>
      </w:pPr>
    </w:p>
    <w:tbl>
      <w:tblPr>
        <w:tblStyle w:val="Tabela-Siatka"/>
        <w:tblW w:w="0" w:type="auto"/>
        <w:tblLook w:val="04A0" w:firstRow="1" w:lastRow="0" w:firstColumn="1" w:lastColumn="0" w:noHBand="0" w:noVBand="1"/>
      </w:tblPr>
      <w:tblGrid>
        <w:gridCol w:w="664"/>
        <w:gridCol w:w="2807"/>
        <w:gridCol w:w="5191"/>
        <w:gridCol w:w="5330"/>
      </w:tblGrid>
      <w:tr w:rsidR="00684DDD" w:rsidRPr="00EF0AE0" w14:paraId="472CBA2E" w14:textId="77777777" w:rsidTr="00ED333B">
        <w:tc>
          <w:tcPr>
            <w:tcW w:w="664" w:type="dxa"/>
            <w:shd w:val="clear" w:color="auto" w:fill="BFBFBF" w:themeFill="background1" w:themeFillShade="BF"/>
            <w:vAlign w:val="center"/>
          </w:tcPr>
          <w:p w14:paraId="4840D583" w14:textId="77777777" w:rsidR="006012E4" w:rsidRPr="00EF0AE0" w:rsidRDefault="006012E4" w:rsidP="00D01542">
            <w:pPr>
              <w:spacing w:before="60" w:after="60" w:line="252" w:lineRule="auto"/>
              <w:jc w:val="center"/>
              <w:rPr>
                <w:rFonts w:asciiTheme="minorHAnsi" w:hAnsiTheme="minorHAnsi" w:cstheme="minorHAnsi"/>
                <w:b/>
              </w:rPr>
            </w:pPr>
            <w:bookmarkStart w:id="0" w:name="_Hlk58314293"/>
            <w:bookmarkStart w:id="1" w:name="_Hlk56350168"/>
            <w:r w:rsidRPr="00EF0AE0">
              <w:rPr>
                <w:rFonts w:asciiTheme="minorHAnsi" w:hAnsiTheme="minorHAnsi" w:cstheme="minorHAnsi"/>
                <w:b/>
              </w:rPr>
              <w:t>Lp.</w:t>
            </w:r>
          </w:p>
        </w:tc>
        <w:tc>
          <w:tcPr>
            <w:tcW w:w="2807" w:type="dxa"/>
            <w:shd w:val="clear" w:color="auto" w:fill="BFBFBF" w:themeFill="background1" w:themeFillShade="BF"/>
            <w:vAlign w:val="center"/>
          </w:tcPr>
          <w:p w14:paraId="3FF19504" w14:textId="77777777" w:rsidR="006012E4" w:rsidRPr="00EF0AE0" w:rsidRDefault="001B6D4A" w:rsidP="00D01542">
            <w:pPr>
              <w:spacing w:before="60" w:after="60" w:line="252" w:lineRule="auto"/>
              <w:jc w:val="center"/>
              <w:rPr>
                <w:rFonts w:asciiTheme="minorHAnsi" w:hAnsiTheme="minorHAnsi" w:cstheme="minorHAnsi"/>
                <w:b/>
              </w:rPr>
            </w:pPr>
            <w:r w:rsidRPr="00EF0AE0">
              <w:rPr>
                <w:rFonts w:asciiTheme="minorHAnsi" w:hAnsiTheme="minorHAnsi" w:cstheme="minorHAnsi"/>
                <w:b/>
              </w:rPr>
              <w:t xml:space="preserve">Jednostka redakcyjna projektu ustawy, do </w:t>
            </w:r>
            <w:r w:rsidR="006012E4" w:rsidRPr="00EF0AE0">
              <w:rPr>
                <w:rFonts w:asciiTheme="minorHAnsi" w:hAnsiTheme="minorHAnsi" w:cstheme="minorHAnsi"/>
                <w:b/>
              </w:rPr>
              <w:t>którego odnosi się uwaga</w:t>
            </w:r>
          </w:p>
        </w:tc>
        <w:tc>
          <w:tcPr>
            <w:tcW w:w="5191" w:type="dxa"/>
            <w:shd w:val="clear" w:color="auto" w:fill="BFBFBF" w:themeFill="background1" w:themeFillShade="BF"/>
            <w:vAlign w:val="center"/>
          </w:tcPr>
          <w:p w14:paraId="099CECEB" w14:textId="77777777" w:rsidR="006012E4" w:rsidRPr="00EF0AE0" w:rsidRDefault="006012E4" w:rsidP="00D01542">
            <w:pPr>
              <w:spacing w:before="60" w:after="60" w:line="252" w:lineRule="auto"/>
              <w:jc w:val="center"/>
              <w:rPr>
                <w:rFonts w:asciiTheme="minorHAnsi" w:hAnsiTheme="minorHAnsi" w:cstheme="minorHAnsi"/>
                <w:b/>
              </w:rPr>
            </w:pPr>
            <w:r w:rsidRPr="00EF0AE0">
              <w:rPr>
                <w:rFonts w:asciiTheme="minorHAnsi" w:hAnsiTheme="minorHAnsi" w:cstheme="minorHAnsi"/>
                <w:b/>
              </w:rPr>
              <w:t>Proponowana zmian</w:t>
            </w:r>
            <w:r w:rsidR="00130987" w:rsidRPr="00EF0AE0">
              <w:rPr>
                <w:rFonts w:asciiTheme="minorHAnsi" w:hAnsiTheme="minorHAnsi" w:cstheme="minorHAnsi"/>
                <w:b/>
              </w:rPr>
              <w:t>a</w:t>
            </w:r>
            <w:r w:rsidRPr="00EF0AE0">
              <w:rPr>
                <w:rFonts w:asciiTheme="minorHAnsi" w:hAnsiTheme="minorHAnsi" w:cstheme="minorHAnsi"/>
                <w:b/>
              </w:rPr>
              <w:t xml:space="preserve"> przepisu</w:t>
            </w:r>
          </w:p>
        </w:tc>
        <w:tc>
          <w:tcPr>
            <w:tcW w:w="5330" w:type="dxa"/>
            <w:shd w:val="clear" w:color="auto" w:fill="BFBFBF" w:themeFill="background1" w:themeFillShade="BF"/>
            <w:vAlign w:val="center"/>
          </w:tcPr>
          <w:p w14:paraId="0F62B3C0" w14:textId="77777777" w:rsidR="006012E4" w:rsidRPr="00EF0AE0" w:rsidRDefault="006012E4" w:rsidP="00D01542">
            <w:pPr>
              <w:spacing w:before="60" w:after="60" w:line="252" w:lineRule="auto"/>
              <w:jc w:val="center"/>
              <w:rPr>
                <w:rFonts w:asciiTheme="minorHAnsi" w:hAnsiTheme="minorHAnsi" w:cstheme="minorHAnsi"/>
                <w:b/>
              </w:rPr>
            </w:pPr>
            <w:r w:rsidRPr="00EF0AE0">
              <w:rPr>
                <w:rFonts w:asciiTheme="minorHAnsi" w:hAnsiTheme="minorHAnsi" w:cstheme="minorHAnsi"/>
                <w:b/>
              </w:rPr>
              <w:t>Uzasadnienie zmiany przepisu</w:t>
            </w:r>
          </w:p>
        </w:tc>
      </w:tr>
      <w:tr w:rsidR="000F1698" w:rsidRPr="00EF0AE0" w14:paraId="4D3759BE" w14:textId="728FD560" w:rsidTr="00A101B5">
        <w:tc>
          <w:tcPr>
            <w:tcW w:w="13992" w:type="dxa"/>
            <w:gridSpan w:val="4"/>
            <w:shd w:val="clear" w:color="auto" w:fill="FFFFFF" w:themeFill="background1"/>
          </w:tcPr>
          <w:p w14:paraId="4C6B58B8" w14:textId="4D1D27E2" w:rsidR="000F1698" w:rsidRPr="00EF0AE0" w:rsidRDefault="000F1698" w:rsidP="00510681">
            <w:pPr>
              <w:spacing w:before="60" w:after="60"/>
              <w:jc w:val="both"/>
              <w:rPr>
                <w:rFonts w:asciiTheme="minorHAnsi" w:hAnsiTheme="minorHAnsi" w:cstheme="minorHAnsi"/>
                <w:b/>
              </w:rPr>
            </w:pPr>
            <w:r w:rsidRPr="00EF0AE0">
              <w:rPr>
                <w:rFonts w:asciiTheme="minorHAnsi" w:hAnsiTheme="minorHAnsi" w:cstheme="minorHAnsi"/>
                <w:b/>
              </w:rPr>
              <w:t>Uwagi ogólne</w:t>
            </w:r>
          </w:p>
        </w:tc>
      </w:tr>
      <w:tr w:rsidR="000F1698" w:rsidRPr="00EF0AE0" w14:paraId="2856D124" w14:textId="3870DD10" w:rsidTr="00A16C78">
        <w:tc>
          <w:tcPr>
            <w:tcW w:w="664" w:type="dxa"/>
            <w:shd w:val="clear" w:color="auto" w:fill="FFFFFF" w:themeFill="background1"/>
          </w:tcPr>
          <w:p w14:paraId="1E9D3486" w14:textId="125FCAF7" w:rsidR="000F1698" w:rsidRPr="00EF0AE0" w:rsidRDefault="000F1698" w:rsidP="000F1698">
            <w:pPr>
              <w:spacing w:before="60" w:after="60" w:line="252" w:lineRule="auto"/>
              <w:jc w:val="center"/>
              <w:rPr>
                <w:rFonts w:asciiTheme="minorHAnsi" w:hAnsiTheme="minorHAnsi" w:cstheme="minorHAnsi"/>
                <w:bCs/>
              </w:rPr>
            </w:pPr>
            <w:r w:rsidRPr="00EF0AE0">
              <w:rPr>
                <w:rFonts w:asciiTheme="minorHAnsi" w:hAnsiTheme="minorHAnsi" w:cstheme="minorHAnsi"/>
                <w:bCs/>
              </w:rPr>
              <w:t>1</w:t>
            </w:r>
          </w:p>
        </w:tc>
        <w:tc>
          <w:tcPr>
            <w:tcW w:w="2807" w:type="dxa"/>
            <w:shd w:val="clear" w:color="auto" w:fill="FFFFFF" w:themeFill="background1"/>
          </w:tcPr>
          <w:p w14:paraId="0FF4BB38" w14:textId="3949B08E" w:rsidR="000F1698" w:rsidRPr="00EF0AE0" w:rsidRDefault="000F1698" w:rsidP="000F1698">
            <w:pPr>
              <w:spacing w:before="60" w:after="60" w:line="252" w:lineRule="auto"/>
              <w:jc w:val="both"/>
              <w:rPr>
                <w:rFonts w:asciiTheme="minorHAnsi" w:hAnsiTheme="minorHAnsi" w:cstheme="minorHAnsi"/>
                <w:b/>
                <w:bCs/>
              </w:rPr>
            </w:pPr>
            <w:r w:rsidRPr="00EF0AE0">
              <w:rPr>
                <w:rFonts w:asciiTheme="minorHAnsi" w:hAnsiTheme="minorHAnsi" w:cstheme="minorHAnsi"/>
                <w:b/>
                <w:bCs/>
              </w:rPr>
              <w:t>Uwaga ogólna</w:t>
            </w:r>
          </w:p>
        </w:tc>
        <w:tc>
          <w:tcPr>
            <w:tcW w:w="10521" w:type="dxa"/>
            <w:gridSpan w:val="2"/>
            <w:shd w:val="clear" w:color="auto" w:fill="FFFFFF" w:themeFill="background1"/>
          </w:tcPr>
          <w:p w14:paraId="4F2A644E" w14:textId="08DFA2AD" w:rsidR="000F1698" w:rsidRPr="00EF0AE0" w:rsidRDefault="0037692E" w:rsidP="000F1698">
            <w:pPr>
              <w:spacing w:before="120" w:after="120"/>
              <w:jc w:val="both"/>
              <w:rPr>
                <w:rFonts w:asciiTheme="minorHAnsi" w:hAnsiTheme="minorHAnsi" w:cstheme="minorHAnsi"/>
              </w:rPr>
            </w:pPr>
            <w:r>
              <w:rPr>
                <w:rFonts w:asciiTheme="minorHAnsi" w:hAnsiTheme="minorHAnsi" w:cstheme="minorHAnsi"/>
              </w:rPr>
              <w:t xml:space="preserve">Niespójność niektórych proponowanych przepisów z treścią uzasadnienia: zmiana przepisów proponowana w </w:t>
            </w:r>
            <w:r w:rsidRPr="0037692E">
              <w:rPr>
                <w:rFonts w:asciiTheme="minorHAnsi" w:hAnsiTheme="minorHAnsi" w:cstheme="minorHAnsi"/>
              </w:rPr>
              <w:t xml:space="preserve">§1 pkt 4 projektu </w:t>
            </w:r>
            <w:r>
              <w:rPr>
                <w:rFonts w:asciiTheme="minorHAnsi" w:hAnsiTheme="minorHAnsi" w:cstheme="minorHAnsi"/>
              </w:rPr>
              <w:t>(</w:t>
            </w:r>
            <w:r w:rsidRPr="0037692E">
              <w:rPr>
                <w:rFonts w:asciiTheme="minorHAnsi" w:hAnsiTheme="minorHAnsi" w:cstheme="minorHAnsi"/>
              </w:rPr>
              <w:t>dot. §7 ust. 1, 2 i 2a rozporządzenia</w:t>
            </w:r>
            <w:r>
              <w:rPr>
                <w:rFonts w:asciiTheme="minorHAnsi" w:hAnsiTheme="minorHAnsi" w:cstheme="minorHAnsi"/>
              </w:rPr>
              <w:t xml:space="preserve">) </w:t>
            </w:r>
            <w:r>
              <w:rPr>
                <w:rFonts w:asciiTheme="minorHAnsi" w:hAnsiTheme="minorHAnsi" w:cstheme="minorHAnsi"/>
                <w:bCs/>
                <w:lang w:eastAsia="ar-SA"/>
              </w:rPr>
              <w:t>nie odpowiada treści uzasadnienia w zakresie „zobowiązań wynikających z przepisów prawa, takich jak tworzenia planów bądź programów emerytalnych”. W propozycji zapisów (dokładnie w ust. 2) jest jedynie mowa o „dodatkowych planowanych kosztach wynikających z realizacji inwestycji zgodnie z planem rozwoju”, który nie jest z pewnością planem emerytalnym.</w:t>
            </w:r>
          </w:p>
        </w:tc>
      </w:tr>
      <w:bookmarkEnd w:id="0"/>
      <w:tr w:rsidR="000F1698" w:rsidRPr="00EF0AE0" w14:paraId="2E108EE4" w14:textId="77777777" w:rsidTr="004C6B01">
        <w:tc>
          <w:tcPr>
            <w:tcW w:w="13992" w:type="dxa"/>
            <w:gridSpan w:val="4"/>
            <w:shd w:val="clear" w:color="auto" w:fill="FFFFFF" w:themeFill="background1"/>
          </w:tcPr>
          <w:p w14:paraId="6086CA6D" w14:textId="032EB047" w:rsidR="000F1698" w:rsidRPr="00EF0AE0" w:rsidRDefault="000F1698" w:rsidP="00510681">
            <w:pPr>
              <w:spacing w:before="60" w:after="60"/>
              <w:jc w:val="both"/>
              <w:rPr>
                <w:rFonts w:asciiTheme="minorHAnsi" w:hAnsiTheme="minorHAnsi" w:cstheme="minorHAnsi"/>
                <w:b/>
              </w:rPr>
            </w:pPr>
            <w:r w:rsidRPr="00EF0AE0">
              <w:rPr>
                <w:rFonts w:asciiTheme="minorHAnsi" w:hAnsiTheme="minorHAnsi" w:cstheme="minorHAnsi"/>
                <w:b/>
              </w:rPr>
              <w:t>Uwagi szczegółowe</w:t>
            </w:r>
          </w:p>
        </w:tc>
      </w:tr>
      <w:bookmarkEnd w:id="1"/>
      <w:tr w:rsidR="008D659D" w:rsidRPr="00EF0AE0" w14:paraId="4BA08E6F" w14:textId="77777777" w:rsidTr="000F1698">
        <w:tc>
          <w:tcPr>
            <w:tcW w:w="664" w:type="dxa"/>
            <w:shd w:val="clear" w:color="auto" w:fill="FFFFFF" w:themeFill="background1"/>
          </w:tcPr>
          <w:p w14:paraId="1BDF4D57" w14:textId="6B18CE67" w:rsidR="008D659D" w:rsidRPr="00EF0AE0" w:rsidRDefault="005553B6" w:rsidP="008D659D">
            <w:pPr>
              <w:spacing w:before="60" w:after="60" w:line="252" w:lineRule="auto"/>
              <w:jc w:val="center"/>
              <w:rPr>
                <w:rFonts w:asciiTheme="minorHAnsi" w:hAnsiTheme="minorHAnsi" w:cstheme="minorHAnsi"/>
                <w:bCs/>
              </w:rPr>
            </w:pPr>
            <w:r>
              <w:rPr>
                <w:rFonts w:asciiTheme="minorHAnsi" w:hAnsiTheme="minorHAnsi" w:cstheme="minorHAnsi"/>
                <w:bCs/>
              </w:rPr>
              <w:t>2</w:t>
            </w:r>
          </w:p>
        </w:tc>
        <w:tc>
          <w:tcPr>
            <w:tcW w:w="2807" w:type="dxa"/>
            <w:shd w:val="clear" w:color="auto" w:fill="FFFFFF" w:themeFill="background1"/>
          </w:tcPr>
          <w:p w14:paraId="60A6B4BB" w14:textId="6147885B" w:rsidR="008D659D" w:rsidRDefault="008D659D" w:rsidP="008D659D">
            <w:pPr>
              <w:spacing w:before="60" w:after="60" w:line="252" w:lineRule="auto"/>
              <w:jc w:val="both"/>
              <w:rPr>
                <w:rFonts w:asciiTheme="minorHAnsi" w:eastAsia="Times New Roman" w:hAnsiTheme="minorHAnsi" w:cstheme="minorHAnsi"/>
                <w:b/>
                <w:bCs/>
                <w:lang w:eastAsia="ar-SA"/>
              </w:rPr>
            </w:pPr>
            <w:r>
              <w:rPr>
                <w:rFonts w:asciiTheme="minorHAnsi" w:eastAsia="Times New Roman" w:hAnsiTheme="minorHAnsi" w:cstheme="minorHAnsi"/>
                <w:b/>
                <w:bCs/>
                <w:lang w:eastAsia="ar-SA"/>
              </w:rPr>
              <w:t>§1 pkt 5 projektu dot. §9 ust. 1 rozporządzenia</w:t>
            </w:r>
          </w:p>
        </w:tc>
        <w:tc>
          <w:tcPr>
            <w:tcW w:w="5191" w:type="dxa"/>
            <w:shd w:val="clear" w:color="auto" w:fill="FFFFFF" w:themeFill="background1"/>
            <w:vAlign w:val="center"/>
          </w:tcPr>
          <w:p w14:paraId="767057A0" w14:textId="7BF9F951" w:rsidR="008D659D" w:rsidRPr="008B3598" w:rsidRDefault="008D659D" w:rsidP="008D659D">
            <w:pPr>
              <w:suppressAutoHyphens/>
              <w:snapToGrid w:val="0"/>
              <w:spacing w:before="60" w:after="60" w:line="252" w:lineRule="auto"/>
              <w:jc w:val="both"/>
              <w:rPr>
                <w:rFonts w:asciiTheme="minorHAnsi" w:hAnsiTheme="minorHAnsi" w:cstheme="minorHAnsi"/>
                <w:bCs/>
                <w:lang w:eastAsia="ar-SA"/>
              </w:rPr>
            </w:pPr>
            <w:r w:rsidRPr="00706D0D">
              <w:t>Z</w:t>
            </w:r>
            <w:r w:rsidRPr="00F259DD">
              <w:rPr>
                <w:rStyle w:val="IDindeksdolny"/>
              </w:rPr>
              <w:t>n</w:t>
            </w:r>
            <w:r w:rsidRPr="00706D0D">
              <w:t xml:space="preserve"> - </w:t>
            </w:r>
            <w:r>
              <w:tab/>
            </w:r>
            <w:r w:rsidRPr="00706D0D">
              <w:t xml:space="preserve">współczynniki wzrostu skali działalności przedsiębiorstwa energetycznego, odzwierciedlające wzrost kosztów wynikający z realizacji inwestycji zgodnie z planem rozwoju, o którym mowa w art. 16 ustawy, ustalane </w:t>
            </w:r>
            <w:r w:rsidRPr="008D659D">
              <w:rPr>
                <w:b/>
                <w:bCs/>
                <w:u w:val="single"/>
              </w:rPr>
              <w:t>przez Prezesa URE na każdy rok okresu regulacji</w:t>
            </w:r>
            <w:r>
              <w:t xml:space="preserve"> </w:t>
            </w:r>
            <w:r w:rsidRPr="00706D0D">
              <w:t xml:space="preserve">w oparciu o </w:t>
            </w:r>
            <w:r>
              <w:t xml:space="preserve">kluczowe </w:t>
            </w:r>
            <w:r w:rsidRPr="00706D0D">
              <w:t>parametry rozwoju systemu gazowego</w:t>
            </w:r>
            <w:r>
              <w:t xml:space="preserve">: </w:t>
            </w:r>
            <w:r w:rsidRPr="00706D0D">
              <w:t>przyrost długości gazociągów, liczb</w:t>
            </w:r>
            <w:r>
              <w:t>a</w:t>
            </w:r>
            <w:r w:rsidRPr="00706D0D">
              <w:t xml:space="preserve"> stacji gazowych lub liczb</w:t>
            </w:r>
            <w:r>
              <w:t>a</w:t>
            </w:r>
            <w:r w:rsidRPr="00706D0D">
              <w:t xml:space="preserve"> odbiorców</w:t>
            </w:r>
            <w:r>
              <w:t>.</w:t>
            </w:r>
          </w:p>
        </w:tc>
        <w:tc>
          <w:tcPr>
            <w:tcW w:w="5330" w:type="dxa"/>
            <w:shd w:val="clear" w:color="auto" w:fill="FFFFFF" w:themeFill="background1"/>
          </w:tcPr>
          <w:p w14:paraId="4EDE9254" w14:textId="46E686B2" w:rsidR="008D659D" w:rsidRDefault="008D659D" w:rsidP="008D659D">
            <w:pPr>
              <w:spacing w:before="60" w:after="60"/>
              <w:jc w:val="both"/>
              <w:rPr>
                <w:rFonts w:asciiTheme="minorHAnsi" w:hAnsiTheme="minorHAnsi" w:cstheme="minorHAnsi"/>
              </w:rPr>
            </w:pPr>
            <w:r>
              <w:rPr>
                <w:rFonts w:asciiTheme="minorHAnsi" w:hAnsiTheme="minorHAnsi" w:cstheme="minorHAnsi"/>
              </w:rPr>
              <w:t xml:space="preserve">W proponowanej treści opisu symbolu Zn brakuje określenia kto dokonuje ustalenia tego współczynnika wzrostu skali działalności przedsiębiorstwa energetycznego. Proponuje się, aby takim podmiotem był Prezes URE jako ten, który jednocześnie ustala takiemu przedsiębiorstwu wysokość współczynników korekcyjnych. </w:t>
            </w:r>
          </w:p>
        </w:tc>
      </w:tr>
      <w:tr w:rsidR="008D659D" w:rsidRPr="00EF0AE0" w14:paraId="5900DBFA" w14:textId="77777777" w:rsidTr="000F1698">
        <w:tc>
          <w:tcPr>
            <w:tcW w:w="664" w:type="dxa"/>
            <w:shd w:val="clear" w:color="auto" w:fill="FFFFFF" w:themeFill="background1"/>
          </w:tcPr>
          <w:p w14:paraId="0D9EFA97" w14:textId="31B33F7A" w:rsidR="008D659D" w:rsidRPr="00EF0AE0" w:rsidRDefault="005553B6" w:rsidP="008D659D">
            <w:pPr>
              <w:spacing w:before="60" w:after="60" w:line="252" w:lineRule="auto"/>
              <w:jc w:val="center"/>
              <w:rPr>
                <w:rFonts w:asciiTheme="minorHAnsi" w:hAnsiTheme="minorHAnsi" w:cstheme="minorHAnsi"/>
                <w:bCs/>
              </w:rPr>
            </w:pPr>
            <w:r>
              <w:rPr>
                <w:rFonts w:asciiTheme="minorHAnsi" w:hAnsiTheme="minorHAnsi" w:cstheme="minorHAnsi"/>
                <w:bCs/>
              </w:rPr>
              <w:t>3</w:t>
            </w:r>
          </w:p>
        </w:tc>
        <w:tc>
          <w:tcPr>
            <w:tcW w:w="2807" w:type="dxa"/>
            <w:shd w:val="clear" w:color="auto" w:fill="FFFFFF" w:themeFill="background1"/>
          </w:tcPr>
          <w:p w14:paraId="2700298E" w14:textId="01259CE2" w:rsidR="008D659D" w:rsidRDefault="008D659D" w:rsidP="008D659D">
            <w:pPr>
              <w:spacing w:before="60" w:after="60" w:line="252" w:lineRule="auto"/>
              <w:jc w:val="both"/>
              <w:rPr>
                <w:rFonts w:asciiTheme="minorHAnsi" w:eastAsia="Times New Roman" w:hAnsiTheme="minorHAnsi" w:cstheme="minorHAnsi"/>
                <w:b/>
                <w:bCs/>
                <w:lang w:eastAsia="ar-SA"/>
              </w:rPr>
            </w:pPr>
            <w:r>
              <w:rPr>
                <w:rFonts w:asciiTheme="minorHAnsi" w:eastAsia="Times New Roman" w:hAnsiTheme="minorHAnsi" w:cstheme="minorHAnsi"/>
                <w:b/>
                <w:bCs/>
                <w:lang w:eastAsia="ar-SA"/>
              </w:rPr>
              <w:t>§1 pkt 7 projektu dot. zmiany §10a ust. 3</w:t>
            </w:r>
            <w:r w:rsidR="0063546E">
              <w:rPr>
                <w:rFonts w:asciiTheme="minorHAnsi" w:eastAsia="Times New Roman" w:hAnsiTheme="minorHAnsi" w:cstheme="minorHAnsi"/>
                <w:b/>
                <w:bCs/>
                <w:lang w:eastAsia="ar-SA"/>
              </w:rPr>
              <w:t xml:space="preserve"> i 4</w:t>
            </w:r>
            <w:r>
              <w:rPr>
                <w:rFonts w:asciiTheme="minorHAnsi" w:eastAsia="Times New Roman" w:hAnsiTheme="minorHAnsi" w:cstheme="minorHAnsi"/>
                <w:b/>
                <w:bCs/>
                <w:lang w:eastAsia="ar-SA"/>
              </w:rPr>
              <w:t xml:space="preserve"> rozporządzenia</w:t>
            </w:r>
          </w:p>
        </w:tc>
        <w:tc>
          <w:tcPr>
            <w:tcW w:w="5191" w:type="dxa"/>
            <w:shd w:val="clear" w:color="auto" w:fill="FFFFFF" w:themeFill="background1"/>
            <w:vAlign w:val="center"/>
          </w:tcPr>
          <w:p w14:paraId="4C46F6FD" w14:textId="4AF71BEE" w:rsidR="008D659D" w:rsidRPr="0063546E" w:rsidRDefault="009A692D" w:rsidP="0063546E">
            <w:pPr>
              <w:suppressAutoHyphens/>
              <w:snapToGrid w:val="0"/>
              <w:spacing w:before="60" w:after="60" w:line="252" w:lineRule="auto"/>
              <w:jc w:val="both"/>
              <w:rPr>
                <w:rFonts w:asciiTheme="minorHAnsi" w:hAnsiTheme="minorHAnsi" w:cstheme="minorHAnsi"/>
                <w:bCs/>
                <w:lang w:eastAsia="ar-SA"/>
              </w:rPr>
            </w:pPr>
            <w:r>
              <w:rPr>
                <w:rFonts w:asciiTheme="minorHAnsi" w:hAnsiTheme="minorHAnsi" w:cstheme="minorHAnsi"/>
                <w:bCs/>
                <w:lang w:eastAsia="ar-SA"/>
              </w:rPr>
              <w:t xml:space="preserve">Usunięcie </w:t>
            </w:r>
            <w:r w:rsidR="000B279D">
              <w:rPr>
                <w:rFonts w:asciiTheme="minorHAnsi" w:hAnsiTheme="minorHAnsi" w:cstheme="minorHAnsi"/>
                <w:bCs/>
                <w:lang w:eastAsia="ar-SA"/>
              </w:rPr>
              <w:t>ust 6 w</w:t>
            </w:r>
            <w:r w:rsidR="00485CB3">
              <w:rPr>
                <w:rFonts w:asciiTheme="minorHAnsi" w:hAnsiTheme="minorHAnsi" w:cstheme="minorHAnsi"/>
                <w:bCs/>
                <w:lang w:eastAsia="ar-SA"/>
              </w:rPr>
              <w:t xml:space="preserve"> </w:t>
            </w:r>
            <w:r w:rsidR="0050528C">
              <w:rPr>
                <w:rFonts w:cs="Calibri"/>
              </w:rPr>
              <w:t>§10 oraz usunięcie §10a.</w:t>
            </w:r>
          </w:p>
        </w:tc>
        <w:tc>
          <w:tcPr>
            <w:tcW w:w="5330" w:type="dxa"/>
            <w:shd w:val="clear" w:color="auto" w:fill="FFFFFF" w:themeFill="background1"/>
          </w:tcPr>
          <w:p w14:paraId="33D5C0FE" w14:textId="1653CA97" w:rsidR="0063546E" w:rsidRDefault="0063546E" w:rsidP="00186966">
            <w:pPr>
              <w:spacing w:before="60" w:after="60"/>
              <w:jc w:val="both"/>
              <w:rPr>
                <w:rFonts w:asciiTheme="minorHAnsi" w:hAnsiTheme="minorHAnsi" w:cstheme="minorHAnsi"/>
              </w:rPr>
            </w:pPr>
            <w:r>
              <w:rPr>
                <w:rFonts w:asciiTheme="minorHAnsi" w:hAnsiTheme="minorHAnsi" w:cstheme="minorHAnsi"/>
              </w:rPr>
              <w:t>Zaproponowan</w:t>
            </w:r>
            <w:r w:rsidR="00BE3715">
              <w:rPr>
                <w:rFonts w:asciiTheme="minorHAnsi" w:hAnsiTheme="minorHAnsi" w:cstheme="minorHAnsi"/>
              </w:rPr>
              <w:t>a</w:t>
            </w:r>
            <w:r>
              <w:rPr>
                <w:rFonts w:asciiTheme="minorHAnsi" w:hAnsiTheme="minorHAnsi" w:cstheme="minorHAnsi"/>
              </w:rPr>
              <w:t xml:space="preserve"> treść ust. 3 dodawanego </w:t>
            </w:r>
            <w:r>
              <w:rPr>
                <w:rFonts w:cs="Calibri"/>
              </w:rPr>
              <w:t>§</w:t>
            </w:r>
            <w:r>
              <w:rPr>
                <w:rFonts w:asciiTheme="minorHAnsi" w:hAnsiTheme="minorHAnsi" w:cstheme="minorHAnsi"/>
              </w:rPr>
              <w:t xml:space="preserve"> 10a jest bardzo nieprecyzyjna i może rodzić szereg wątpliwości interpretacyjnych. </w:t>
            </w:r>
          </w:p>
          <w:p w14:paraId="597E2FE9" w14:textId="6DF7100C" w:rsidR="00186966" w:rsidRDefault="0080473C" w:rsidP="00186966">
            <w:pPr>
              <w:spacing w:before="60" w:after="60"/>
              <w:jc w:val="both"/>
              <w:rPr>
                <w:rFonts w:asciiTheme="minorHAnsi" w:hAnsiTheme="minorHAnsi" w:cstheme="minorHAnsi"/>
              </w:rPr>
            </w:pPr>
            <w:r>
              <w:rPr>
                <w:rFonts w:asciiTheme="minorHAnsi" w:hAnsiTheme="minorHAnsi" w:cstheme="minorHAnsi"/>
              </w:rPr>
              <w:t>Działalno</w:t>
            </w:r>
            <w:r w:rsidR="002467F8">
              <w:rPr>
                <w:rFonts w:asciiTheme="minorHAnsi" w:hAnsiTheme="minorHAnsi" w:cstheme="minorHAnsi"/>
              </w:rPr>
              <w:t>ść</w:t>
            </w:r>
            <w:r>
              <w:rPr>
                <w:rFonts w:asciiTheme="minorHAnsi" w:hAnsiTheme="minorHAnsi" w:cstheme="minorHAnsi"/>
              </w:rPr>
              <w:t xml:space="preserve"> gospodarcza, także w </w:t>
            </w:r>
            <w:r w:rsidR="002467F8">
              <w:rPr>
                <w:rFonts w:asciiTheme="minorHAnsi" w:hAnsiTheme="minorHAnsi" w:cstheme="minorHAnsi"/>
              </w:rPr>
              <w:t xml:space="preserve">obszarze regulowanym, obarczona jest pewnym ryzykiem. </w:t>
            </w:r>
            <w:r w:rsidR="00464C72">
              <w:rPr>
                <w:rFonts w:asciiTheme="minorHAnsi" w:hAnsiTheme="minorHAnsi" w:cstheme="minorHAnsi"/>
              </w:rPr>
              <w:t>Próba</w:t>
            </w:r>
            <w:r w:rsidR="00F1296C">
              <w:rPr>
                <w:rFonts w:asciiTheme="minorHAnsi" w:hAnsiTheme="minorHAnsi" w:cstheme="minorHAnsi"/>
              </w:rPr>
              <w:t xml:space="preserve"> eliminacji tego </w:t>
            </w:r>
            <w:r w:rsidR="007160DA">
              <w:rPr>
                <w:rFonts w:asciiTheme="minorHAnsi" w:hAnsiTheme="minorHAnsi" w:cstheme="minorHAnsi"/>
              </w:rPr>
              <w:lastRenderedPageBreak/>
              <w:t xml:space="preserve">ryzyka w pewnych, wybranych </w:t>
            </w:r>
            <w:r w:rsidR="00AA50EE">
              <w:rPr>
                <w:rFonts w:asciiTheme="minorHAnsi" w:hAnsiTheme="minorHAnsi" w:cstheme="minorHAnsi"/>
              </w:rPr>
              <w:t xml:space="preserve">obszarach działalności </w:t>
            </w:r>
            <w:r w:rsidR="007B5476">
              <w:rPr>
                <w:rFonts w:asciiTheme="minorHAnsi" w:hAnsiTheme="minorHAnsi" w:cstheme="minorHAnsi"/>
              </w:rPr>
              <w:t xml:space="preserve">operatorskiej </w:t>
            </w:r>
            <w:r w:rsidR="00430083">
              <w:rPr>
                <w:rFonts w:asciiTheme="minorHAnsi" w:hAnsiTheme="minorHAnsi" w:cstheme="minorHAnsi"/>
              </w:rPr>
              <w:t xml:space="preserve">może powodować niekorzystne skutki zarówno dla dystrybutorów gazu ziemnego, jak i dla odbiorców. </w:t>
            </w:r>
            <w:r w:rsidR="00E4069E">
              <w:rPr>
                <w:rFonts w:asciiTheme="minorHAnsi" w:hAnsiTheme="minorHAnsi" w:cstheme="minorHAnsi"/>
              </w:rPr>
              <w:t xml:space="preserve">Obecny system prawny zachęca dystrybutorów do jak najszybszego </w:t>
            </w:r>
            <w:r w:rsidR="00A60548">
              <w:rPr>
                <w:rFonts w:asciiTheme="minorHAnsi" w:hAnsiTheme="minorHAnsi" w:cstheme="minorHAnsi"/>
              </w:rPr>
              <w:t xml:space="preserve">przyłączania do sieci odbiorców z dużym wolumenem odbieranego gazu. </w:t>
            </w:r>
            <w:r w:rsidR="00D31E5B">
              <w:rPr>
                <w:rFonts w:asciiTheme="minorHAnsi" w:hAnsiTheme="minorHAnsi" w:cstheme="minorHAnsi"/>
              </w:rPr>
              <w:t>W aktualnej sytuacji, w które</w:t>
            </w:r>
            <w:r w:rsidR="009A3C84">
              <w:rPr>
                <w:rFonts w:asciiTheme="minorHAnsi" w:hAnsiTheme="minorHAnsi" w:cstheme="minorHAnsi"/>
              </w:rPr>
              <w:t>j</w:t>
            </w:r>
            <w:r w:rsidR="00D31E5B">
              <w:rPr>
                <w:rFonts w:asciiTheme="minorHAnsi" w:hAnsiTheme="minorHAnsi" w:cstheme="minorHAnsi"/>
              </w:rPr>
              <w:t xml:space="preserve"> gaz ziemny ma być paliwem przejściowym zastępującym węgiel kamienny</w:t>
            </w:r>
            <w:r w:rsidR="000D060C">
              <w:rPr>
                <w:rFonts w:asciiTheme="minorHAnsi" w:hAnsiTheme="minorHAnsi" w:cstheme="minorHAnsi"/>
              </w:rPr>
              <w:t>,</w:t>
            </w:r>
            <w:r w:rsidR="009A3C84">
              <w:rPr>
                <w:rFonts w:asciiTheme="minorHAnsi" w:hAnsiTheme="minorHAnsi" w:cstheme="minorHAnsi"/>
              </w:rPr>
              <w:t xml:space="preserve"> wymagającej szybkiej rozbudowy sieci gazowej na potrzeby przemysłu i ciepłownictwa</w:t>
            </w:r>
            <w:r w:rsidR="00134125">
              <w:rPr>
                <w:rFonts w:asciiTheme="minorHAnsi" w:hAnsiTheme="minorHAnsi" w:cstheme="minorHAnsi"/>
              </w:rPr>
              <w:t>,</w:t>
            </w:r>
            <w:r w:rsidR="000D060C">
              <w:rPr>
                <w:rFonts w:asciiTheme="minorHAnsi" w:hAnsiTheme="minorHAnsi" w:cstheme="minorHAnsi"/>
              </w:rPr>
              <w:t xml:space="preserve"> jest to działanie niekorzystne. </w:t>
            </w:r>
            <w:r w:rsidR="00104D32">
              <w:rPr>
                <w:rFonts w:asciiTheme="minorHAnsi" w:hAnsiTheme="minorHAnsi" w:cstheme="minorHAnsi"/>
              </w:rPr>
              <w:t xml:space="preserve">Odbiera to bodziec do szybkiej rozbudowy sieci </w:t>
            </w:r>
            <w:r w:rsidR="001424E4">
              <w:rPr>
                <w:rFonts w:asciiTheme="minorHAnsi" w:hAnsiTheme="minorHAnsi" w:cstheme="minorHAnsi"/>
              </w:rPr>
              <w:t>dystrybucyjnej, przez co stoi w sprzeczności z cel</w:t>
            </w:r>
            <w:r w:rsidR="00734E7A">
              <w:rPr>
                <w:rFonts w:asciiTheme="minorHAnsi" w:hAnsiTheme="minorHAnsi" w:cstheme="minorHAnsi"/>
              </w:rPr>
              <w:t>a</w:t>
            </w:r>
            <w:r w:rsidR="001424E4">
              <w:rPr>
                <w:rFonts w:asciiTheme="minorHAnsi" w:hAnsiTheme="minorHAnsi" w:cstheme="minorHAnsi"/>
              </w:rPr>
              <w:t xml:space="preserve">mi polityki klimatycznej </w:t>
            </w:r>
            <w:r w:rsidR="002614D9">
              <w:rPr>
                <w:rFonts w:asciiTheme="minorHAnsi" w:hAnsiTheme="minorHAnsi" w:cstheme="minorHAnsi"/>
              </w:rPr>
              <w:t>i</w:t>
            </w:r>
            <w:r w:rsidR="00CF2BC2">
              <w:rPr>
                <w:rFonts w:asciiTheme="minorHAnsi" w:hAnsiTheme="minorHAnsi" w:cstheme="minorHAnsi"/>
              </w:rPr>
              <w:t xml:space="preserve"> środowiskowej</w:t>
            </w:r>
            <w:r w:rsidR="002614D9">
              <w:rPr>
                <w:rFonts w:asciiTheme="minorHAnsi" w:hAnsiTheme="minorHAnsi" w:cstheme="minorHAnsi"/>
              </w:rPr>
              <w:t xml:space="preserve"> oraz oczekiwaniami potencjalnych odbiorców oczekujący</w:t>
            </w:r>
            <w:r w:rsidR="000264EA">
              <w:rPr>
                <w:rFonts w:asciiTheme="minorHAnsi" w:hAnsiTheme="minorHAnsi" w:cstheme="minorHAnsi"/>
              </w:rPr>
              <w:t>ch</w:t>
            </w:r>
            <w:r w:rsidR="002614D9">
              <w:rPr>
                <w:rFonts w:asciiTheme="minorHAnsi" w:hAnsiTheme="minorHAnsi" w:cstheme="minorHAnsi"/>
              </w:rPr>
              <w:t xml:space="preserve"> na możliwie szybkie przyłączenie do sieci gazowej.</w:t>
            </w:r>
          </w:p>
        </w:tc>
      </w:tr>
      <w:tr w:rsidR="008D659D" w:rsidRPr="00EF0AE0" w14:paraId="221977B0" w14:textId="77777777" w:rsidTr="000F1698">
        <w:tc>
          <w:tcPr>
            <w:tcW w:w="664" w:type="dxa"/>
            <w:shd w:val="clear" w:color="auto" w:fill="FFFFFF" w:themeFill="background1"/>
          </w:tcPr>
          <w:p w14:paraId="6D58696A" w14:textId="508B0915" w:rsidR="008D659D" w:rsidRPr="00EF0AE0" w:rsidRDefault="005553B6" w:rsidP="008D659D">
            <w:pPr>
              <w:spacing w:before="60" w:after="60" w:line="252" w:lineRule="auto"/>
              <w:jc w:val="center"/>
              <w:rPr>
                <w:rFonts w:asciiTheme="minorHAnsi" w:hAnsiTheme="minorHAnsi" w:cstheme="minorHAnsi"/>
                <w:bCs/>
              </w:rPr>
            </w:pPr>
            <w:r>
              <w:rPr>
                <w:rFonts w:asciiTheme="minorHAnsi" w:hAnsiTheme="minorHAnsi" w:cstheme="minorHAnsi"/>
                <w:bCs/>
              </w:rPr>
              <w:lastRenderedPageBreak/>
              <w:t>4</w:t>
            </w:r>
          </w:p>
        </w:tc>
        <w:tc>
          <w:tcPr>
            <w:tcW w:w="2807" w:type="dxa"/>
            <w:shd w:val="clear" w:color="auto" w:fill="FFFFFF" w:themeFill="background1"/>
          </w:tcPr>
          <w:p w14:paraId="73D103E3" w14:textId="00E8594D" w:rsidR="008D659D" w:rsidRPr="00EF0AE0" w:rsidRDefault="008D659D" w:rsidP="008D659D">
            <w:pPr>
              <w:spacing w:before="60" w:after="60" w:line="252" w:lineRule="auto"/>
              <w:jc w:val="both"/>
              <w:rPr>
                <w:rFonts w:asciiTheme="minorHAnsi" w:eastAsia="Times New Roman" w:hAnsiTheme="minorHAnsi" w:cstheme="minorHAnsi"/>
                <w:b/>
                <w:bCs/>
                <w:lang w:eastAsia="ar-SA"/>
              </w:rPr>
            </w:pPr>
            <w:r>
              <w:rPr>
                <w:rFonts w:asciiTheme="minorHAnsi" w:eastAsia="Times New Roman" w:hAnsiTheme="minorHAnsi" w:cstheme="minorHAnsi"/>
                <w:b/>
                <w:bCs/>
                <w:lang w:eastAsia="ar-SA"/>
              </w:rPr>
              <w:t>§1 pkt 14 projektu dot. §37 ust. 1 rozporządzenia</w:t>
            </w:r>
          </w:p>
        </w:tc>
        <w:tc>
          <w:tcPr>
            <w:tcW w:w="5191" w:type="dxa"/>
            <w:shd w:val="clear" w:color="auto" w:fill="FFFFFF" w:themeFill="background1"/>
            <w:vAlign w:val="center"/>
          </w:tcPr>
          <w:p w14:paraId="41528DB1" w14:textId="77777777" w:rsidR="008D659D" w:rsidRPr="008B3598" w:rsidRDefault="008D659D" w:rsidP="008D659D">
            <w:pPr>
              <w:suppressAutoHyphens/>
              <w:snapToGrid w:val="0"/>
              <w:spacing w:before="60" w:after="60" w:line="252" w:lineRule="auto"/>
              <w:jc w:val="both"/>
              <w:rPr>
                <w:rFonts w:asciiTheme="minorHAnsi" w:hAnsiTheme="minorHAnsi" w:cstheme="minorHAnsi"/>
                <w:bCs/>
                <w:lang w:eastAsia="ar-SA"/>
              </w:rPr>
            </w:pPr>
            <w:r w:rsidRPr="008B3598">
              <w:rPr>
                <w:rFonts w:asciiTheme="minorHAnsi" w:hAnsiTheme="minorHAnsi" w:cstheme="minorHAnsi"/>
                <w:bCs/>
                <w:lang w:eastAsia="ar-SA"/>
              </w:rPr>
              <w:t>1. Przedsiębiorstwo energetyczne dokonuje rozliczeń za pobrane paliwa gazowe lub wykonane usługi związane z dostarczaniem paliw gazowych na podstawie odczytu wskazań układu pomiarowego lub na podstawie odczytu utrwalonego przez odbiorcę przy użyciu urządzenia rejestrującego obraz, przekazanego następnie przez odbiorcę przedsiębiorstwu energetycznemu w sposób umożliwiający identyfikację odbiorcy i układu pomiarowego, w okresach rozliczeniowych ustalonych w taryfie:</w:t>
            </w:r>
          </w:p>
          <w:p w14:paraId="17128DFA" w14:textId="4E6FAB17" w:rsidR="008D659D" w:rsidRPr="008B3598" w:rsidRDefault="008D659D" w:rsidP="008D659D">
            <w:pPr>
              <w:suppressAutoHyphens/>
              <w:snapToGrid w:val="0"/>
              <w:spacing w:before="60" w:after="60" w:line="252" w:lineRule="auto"/>
              <w:jc w:val="both"/>
              <w:rPr>
                <w:rFonts w:asciiTheme="minorHAnsi" w:hAnsiTheme="minorHAnsi" w:cstheme="minorHAnsi"/>
                <w:bCs/>
                <w:lang w:eastAsia="ar-SA"/>
              </w:rPr>
            </w:pPr>
            <w:r w:rsidRPr="008B3598">
              <w:rPr>
                <w:rFonts w:asciiTheme="minorHAnsi" w:hAnsiTheme="minorHAnsi" w:cstheme="minorHAnsi"/>
                <w:bCs/>
                <w:lang w:eastAsia="ar-SA"/>
              </w:rPr>
              <w:t>1)</w:t>
            </w:r>
            <w:r w:rsidRPr="008B3598">
              <w:rPr>
                <w:rFonts w:asciiTheme="minorHAnsi" w:hAnsiTheme="minorHAnsi" w:cstheme="minorHAnsi"/>
                <w:bCs/>
                <w:lang w:eastAsia="ar-SA"/>
              </w:rPr>
              <w:tab/>
              <w:t>nie dłuższych niż 12 miesięcy</w:t>
            </w:r>
            <w:r>
              <w:rPr>
                <w:rFonts w:asciiTheme="minorHAnsi" w:hAnsiTheme="minorHAnsi" w:cstheme="minorHAnsi"/>
                <w:bCs/>
                <w:lang w:eastAsia="ar-SA"/>
              </w:rPr>
              <w:t xml:space="preserve"> </w:t>
            </w:r>
            <w:r w:rsidRPr="008B3598">
              <w:rPr>
                <w:rFonts w:asciiTheme="minorHAnsi" w:hAnsiTheme="minorHAnsi" w:cstheme="minorHAnsi"/>
                <w:b/>
                <w:strike/>
                <w:lang w:eastAsia="ar-SA"/>
              </w:rPr>
              <w:t>, w trakcie których odczyty dokonywane są w dwumiesięcznych okresach rozliczeniowych lub częściej</w:t>
            </w:r>
            <w:r w:rsidRPr="008B3598">
              <w:rPr>
                <w:rFonts w:asciiTheme="minorHAnsi" w:hAnsiTheme="minorHAnsi" w:cstheme="minorHAnsi"/>
                <w:bCs/>
                <w:lang w:eastAsia="ar-SA"/>
              </w:rPr>
              <w:t xml:space="preserve"> - w przypadku odbiorców </w:t>
            </w:r>
            <w:r w:rsidRPr="008B3598">
              <w:rPr>
                <w:rFonts w:asciiTheme="minorHAnsi" w:hAnsiTheme="minorHAnsi" w:cstheme="minorHAnsi"/>
                <w:bCs/>
                <w:lang w:eastAsia="ar-SA"/>
              </w:rPr>
              <w:lastRenderedPageBreak/>
              <w:t>pobierających paliwa gazowe w ilości nie większej niż 110 [kWh/h];</w:t>
            </w:r>
          </w:p>
          <w:p w14:paraId="3DDD7F05" w14:textId="77777777" w:rsidR="008D659D" w:rsidRPr="008B3598" w:rsidRDefault="008D659D" w:rsidP="008D659D">
            <w:pPr>
              <w:suppressAutoHyphens/>
              <w:snapToGrid w:val="0"/>
              <w:spacing w:before="60" w:after="60" w:line="252" w:lineRule="auto"/>
              <w:jc w:val="both"/>
              <w:rPr>
                <w:rFonts w:asciiTheme="minorHAnsi" w:hAnsiTheme="minorHAnsi" w:cstheme="minorHAnsi"/>
                <w:bCs/>
                <w:lang w:eastAsia="ar-SA"/>
              </w:rPr>
            </w:pPr>
            <w:r w:rsidRPr="008B3598">
              <w:rPr>
                <w:rFonts w:asciiTheme="minorHAnsi" w:hAnsiTheme="minorHAnsi" w:cstheme="minorHAnsi"/>
                <w:bCs/>
                <w:lang w:eastAsia="ar-SA"/>
              </w:rPr>
              <w:t>2)</w:t>
            </w:r>
            <w:r w:rsidRPr="008B3598">
              <w:rPr>
                <w:rFonts w:asciiTheme="minorHAnsi" w:hAnsiTheme="minorHAnsi" w:cstheme="minorHAnsi"/>
                <w:bCs/>
                <w:lang w:eastAsia="ar-SA"/>
              </w:rPr>
              <w:tab/>
              <w:t xml:space="preserve">nie dłuższych niż 24 miesiące, </w:t>
            </w:r>
            <w:r w:rsidRPr="008B3598">
              <w:rPr>
                <w:rFonts w:asciiTheme="minorHAnsi" w:hAnsiTheme="minorHAnsi" w:cstheme="minorHAnsi"/>
                <w:b/>
                <w:strike/>
                <w:lang w:eastAsia="ar-SA"/>
              </w:rPr>
              <w:t>w trakcie których odczyty dokonywane są w sześciomiesięcznych lub dwunastomiesięcznych okresach rozliczeniowych</w:t>
            </w:r>
            <w:r w:rsidRPr="008B3598">
              <w:rPr>
                <w:rFonts w:asciiTheme="minorHAnsi" w:hAnsiTheme="minorHAnsi" w:cstheme="minorHAnsi"/>
                <w:bCs/>
                <w:lang w:eastAsia="ar-SA"/>
              </w:rPr>
              <w:t xml:space="preserve"> - w przypadku odbiorców pobierających paliwa gazowe w ilości nie większej niż 110 [</w:t>
            </w:r>
            <w:proofErr w:type="spellStart"/>
            <w:r w:rsidRPr="008B3598">
              <w:rPr>
                <w:rFonts w:asciiTheme="minorHAnsi" w:hAnsiTheme="minorHAnsi" w:cstheme="minorHAnsi"/>
                <w:bCs/>
                <w:lang w:eastAsia="ar-SA"/>
              </w:rPr>
              <w:t>kwh</w:t>
            </w:r>
            <w:proofErr w:type="spellEnd"/>
            <w:r w:rsidRPr="008B3598">
              <w:rPr>
                <w:rFonts w:asciiTheme="minorHAnsi" w:hAnsiTheme="minorHAnsi" w:cstheme="minorHAnsi"/>
                <w:bCs/>
                <w:lang w:eastAsia="ar-SA"/>
              </w:rPr>
              <w:t>/h];</w:t>
            </w:r>
          </w:p>
          <w:p w14:paraId="348F0963" w14:textId="755EBC6D" w:rsidR="008D659D" w:rsidRPr="00EF0AE0" w:rsidRDefault="008D659D" w:rsidP="008D659D">
            <w:pPr>
              <w:suppressAutoHyphens/>
              <w:snapToGrid w:val="0"/>
              <w:spacing w:before="60" w:after="60" w:line="252" w:lineRule="auto"/>
              <w:jc w:val="both"/>
              <w:rPr>
                <w:rFonts w:asciiTheme="minorHAnsi" w:hAnsiTheme="minorHAnsi" w:cstheme="minorHAnsi"/>
                <w:bCs/>
                <w:lang w:eastAsia="ar-SA"/>
              </w:rPr>
            </w:pPr>
            <w:r w:rsidRPr="008B3598">
              <w:rPr>
                <w:rFonts w:asciiTheme="minorHAnsi" w:hAnsiTheme="minorHAnsi" w:cstheme="minorHAnsi"/>
                <w:bCs/>
                <w:lang w:eastAsia="ar-SA"/>
              </w:rPr>
              <w:t>3)</w:t>
            </w:r>
            <w:r w:rsidRPr="008B3598">
              <w:rPr>
                <w:rFonts w:asciiTheme="minorHAnsi" w:hAnsiTheme="minorHAnsi" w:cstheme="minorHAnsi"/>
                <w:bCs/>
                <w:lang w:eastAsia="ar-SA"/>
              </w:rPr>
              <w:tab/>
              <w:t>zgodnie z liczbą dób gazowych lub godzin w dobie gazowej, w których świadczona jest usługa o okresie trwania krótszym niż miesiąc</w:t>
            </w:r>
          </w:p>
        </w:tc>
        <w:tc>
          <w:tcPr>
            <w:tcW w:w="5330" w:type="dxa"/>
            <w:shd w:val="clear" w:color="auto" w:fill="FFFFFF" w:themeFill="background1"/>
          </w:tcPr>
          <w:p w14:paraId="6E67E06C" w14:textId="10E7E934" w:rsidR="008D659D" w:rsidRPr="008B3598" w:rsidRDefault="008D659D" w:rsidP="008D659D">
            <w:pPr>
              <w:spacing w:before="60" w:after="60"/>
              <w:jc w:val="both"/>
              <w:rPr>
                <w:rFonts w:asciiTheme="minorHAnsi" w:hAnsiTheme="minorHAnsi" w:cstheme="minorHAnsi"/>
              </w:rPr>
            </w:pPr>
            <w:r>
              <w:rPr>
                <w:rFonts w:asciiTheme="minorHAnsi" w:hAnsiTheme="minorHAnsi" w:cstheme="minorHAnsi"/>
              </w:rPr>
              <w:lastRenderedPageBreak/>
              <w:t xml:space="preserve">Redakcja proponowanego przepisu jest niejasna w kontekście rozumienia pojęcia „okres rozliczeniowy”. Zgodnie z </w:t>
            </w:r>
            <w:r>
              <w:rPr>
                <w:rFonts w:cs="Calibri"/>
              </w:rPr>
              <w:t>§</w:t>
            </w:r>
            <w:r>
              <w:rPr>
                <w:rFonts w:asciiTheme="minorHAnsi" w:hAnsiTheme="minorHAnsi" w:cstheme="minorHAnsi"/>
              </w:rPr>
              <w:t>2 pkt 10 przedmiotowego rozporządzenia okresem rozliczeniowym jest „</w:t>
            </w:r>
            <w:r w:rsidRPr="008B3598">
              <w:rPr>
                <w:rFonts w:asciiTheme="minorHAnsi" w:hAnsiTheme="minorHAnsi" w:cstheme="minorHAnsi"/>
                <w:i/>
                <w:iCs/>
              </w:rPr>
              <w:t>okres przyjęty do rozliczeń za dostarczone paliwo gazowe lub świadczone usługi w zakresie odpowiedniego rodzaju działalności przedsiębiorstwa energetycznego</w:t>
            </w:r>
            <w:r>
              <w:rPr>
                <w:rFonts w:asciiTheme="minorHAnsi" w:hAnsiTheme="minorHAnsi" w:cstheme="minorHAnsi"/>
                <w:i/>
                <w:iCs/>
              </w:rPr>
              <w:t xml:space="preserve">”. </w:t>
            </w:r>
            <w:r>
              <w:rPr>
                <w:rFonts w:asciiTheme="minorHAnsi" w:hAnsiTheme="minorHAnsi" w:cstheme="minorHAnsi"/>
              </w:rPr>
              <w:t xml:space="preserve">Projekt, zgodnie z treścią uzasadnienia, ma na celu wydłużenie dopuszczalnych okresów rozliczeniowych do 24 miesiące przy czym zakłada jednocześnie, że w ramach 12 i 24 miesięcznego okresu rozliczeniowego dokonywane będą odczyty również w krótszych okresach rozliczeniowych. Propozycja jest zatem wewnętrznie sprzeczna bowiem zakłada, że w ramach rozliczeń prowadzonych co 12 albo </w:t>
            </w:r>
            <w:r>
              <w:rPr>
                <w:rFonts w:asciiTheme="minorHAnsi" w:hAnsiTheme="minorHAnsi" w:cstheme="minorHAnsi"/>
              </w:rPr>
              <w:lastRenderedPageBreak/>
              <w:t>24 miesięcy prowadzone będą rozliczenia w krótszych okresach. Nie jest zatem jasne ani dla przedsiębiorców jak przebiegać powinien proces rozliczenia ani dla pozostałych odbiorców (w tym w gospodarstwach domowych) co jaki czas powinni otrzymać rozliczenie. W konsekwencji rekomenduje się uproszczenie regulacji poprzez wykreślenie wymogu dokonywania odczytów w trakcie krótszych okresów rozliczeniowych – jeżeli nie mają one być podstawą rozliczenia to ich przeprowadzenie jest zbyteczne.</w:t>
            </w:r>
          </w:p>
        </w:tc>
      </w:tr>
    </w:tbl>
    <w:p w14:paraId="5E25118F" w14:textId="77777777" w:rsidR="00026A21" w:rsidRDefault="00026A21" w:rsidP="00D01542">
      <w:pPr>
        <w:spacing w:before="60" w:after="60" w:line="252" w:lineRule="auto"/>
        <w:jc w:val="both"/>
        <w:rPr>
          <w:rFonts w:asciiTheme="minorHAnsi" w:eastAsia="Arial Narrow" w:hAnsiTheme="minorHAnsi" w:cs="Arial Narrow"/>
        </w:rPr>
      </w:pPr>
    </w:p>
    <w:p w14:paraId="5F51420A" w14:textId="3288D37B" w:rsidR="75FFFD57" w:rsidRPr="008B5B97" w:rsidRDefault="008B5B97" w:rsidP="00D01542">
      <w:pPr>
        <w:spacing w:before="60" w:after="60" w:line="252" w:lineRule="auto"/>
        <w:jc w:val="both"/>
        <w:rPr>
          <w:rFonts w:asciiTheme="minorHAnsi" w:eastAsia="Arial Narrow" w:hAnsiTheme="minorHAnsi" w:cs="Arial Narrow"/>
          <w:b/>
          <w:bCs/>
          <w:i/>
          <w:iCs/>
        </w:rPr>
      </w:pPr>
      <w:r w:rsidRPr="008B5B97">
        <w:rPr>
          <w:rFonts w:asciiTheme="minorHAnsi" w:eastAsia="Arial Narrow" w:hAnsiTheme="minorHAnsi" w:cs="Arial Narrow"/>
          <w:b/>
          <w:bCs/>
          <w:i/>
          <w:iCs/>
        </w:rPr>
        <w:t>KL/30/17/AB/2022</w:t>
      </w:r>
    </w:p>
    <w:sectPr w:rsidR="75FFFD57" w:rsidRPr="008B5B97" w:rsidSect="007F0813">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2A66" w14:textId="77777777" w:rsidR="00BA0B58" w:rsidRDefault="00BA0B58" w:rsidP="00097903">
      <w:pPr>
        <w:spacing w:after="0" w:line="240" w:lineRule="auto"/>
      </w:pPr>
      <w:r>
        <w:separator/>
      </w:r>
    </w:p>
  </w:endnote>
  <w:endnote w:type="continuationSeparator" w:id="0">
    <w:p w14:paraId="500078EF" w14:textId="77777777" w:rsidR="00BA0B58" w:rsidRDefault="00BA0B58" w:rsidP="0009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4311"/>
      <w:docPartObj>
        <w:docPartGallery w:val="Page Numbers (Bottom of Page)"/>
        <w:docPartUnique/>
      </w:docPartObj>
    </w:sdtPr>
    <w:sdtEndPr/>
    <w:sdtContent>
      <w:p w14:paraId="60C701FE" w14:textId="287060B6" w:rsidR="00C7381A" w:rsidRDefault="00C7381A">
        <w:pPr>
          <w:pStyle w:val="Stopka"/>
          <w:jc w:val="right"/>
        </w:pPr>
        <w:r>
          <w:fldChar w:fldCharType="begin"/>
        </w:r>
        <w:r>
          <w:instrText>PAGE   \* MERGEFORMAT</w:instrText>
        </w:r>
        <w:r>
          <w:fldChar w:fldCharType="separate"/>
        </w:r>
        <w:r w:rsidR="00134437">
          <w:rPr>
            <w:noProof/>
          </w:rPr>
          <w:t>3</w:t>
        </w:r>
        <w:r>
          <w:fldChar w:fldCharType="end"/>
        </w:r>
      </w:p>
    </w:sdtContent>
  </w:sdt>
  <w:p w14:paraId="2BDD8B43" w14:textId="77777777" w:rsidR="00C7381A" w:rsidRDefault="00C738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BB19" w14:textId="77777777" w:rsidR="00BA0B58" w:rsidRDefault="00BA0B58" w:rsidP="00097903">
      <w:pPr>
        <w:spacing w:after="0" w:line="240" w:lineRule="auto"/>
      </w:pPr>
      <w:r>
        <w:separator/>
      </w:r>
    </w:p>
  </w:footnote>
  <w:footnote w:type="continuationSeparator" w:id="0">
    <w:p w14:paraId="2996CB89" w14:textId="77777777" w:rsidR="00BA0B58" w:rsidRDefault="00BA0B58" w:rsidP="0009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C7381A" w14:paraId="610B8982" w14:textId="77777777" w:rsidTr="75FFFD57">
      <w:tc>
        <w:tcPr>
          <w:tcW w:w="4665" w:type="dxa"/>
        </w:tcPr>
        <w:p w14:paraId="4E0160AD" w14:textId="2D46E78D" w:rsidR="00C7381A" w:rsidRDefault="00C7381A" w:rsidP="75FFFD57">
          <w:pPr>
            <w:pStyle w:val="Nagwek"/>
            <w:ind w:left="-115"/>
          </w:pPr>
        </w:p>
      </w:tc>
      <w:tc>
        <w:tcPr>
          <w:tcW w:w="4665" w:type="dxa"/>
        </w:tcPr>
        <w:p w14:paraId="7D37D331" w14:textId="25E2D85E" w:rsidR="00C7381A" w:rsidRDefault="00C7381A" w:rsidP="75FFFD57">
          <w:pPr>
            <w:pStyle w:val="Nagwek"/>
            <w:jc w:val="center"/>
          </w:pPr>
        </w:p>
      </w:tc>
      <w:tc>
        <w:tcPr>
          <w:tcW w:w="4665" w:type="dxa"/>
        </w:tcPr>
        <w:p w14:paraId="6AF4F5C1" w14:textId="65E23D86" w:rsidR="00C7381A" w:rsidRDefault="00C7381A" w:rsidP="75FFFD57">
          <w:pPr>
            <w:pStyle w:val="Nagwek"/>
            <w:ind w:right="-115"/>
            <w:jc w:val="right"/>
          </w:pPr>
        </w:p>
      </w:tc>
    </w:tr>
  </w:tbl>
  <w:p w14:paraId="35AC08F8" w14:textId="2CC1A41E" w:rsidR="00C7381A" w:rsidRDefault="00C7381A" w:rsidP="75FFFD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4F8"/>
    <w:multiLevelType w:val="hybridMultilevel"/>
    <w:tmpl w:val="A4B41DDE"/>
    <w:lvl w:ilvl="0" w:tplc="2C92305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C1CED"/>
    <w:multiLevelType w:val="hybridMultilevel"/>
    <w:tmpl w:val="D472CC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6D1301"/>
    <w:multiLevelType w:val="hybridMultilevel"/>
    <w:tmpl w:val="1D628B22"/>
    <w:lvl w:ilvl="0" w:tplc="FF62161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C1FCD"/>
    <w:multiLevelType w:val="hybridMultilevel"/>
    <w:tmpl w:val="2294C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C2358"/>
    <w:multiLevelType w:val="hybridMultilevel"/>
    <w:tmpl w:val="47BEC0FE"/>
    <w:lvl w:ilvl="0" w:tplc="890C26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E24415"/>
    <w:multiLevelType w:val="hybridMultilevel"/>
    <w:tmpl w:val="5C9EB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B44C4"/>
    <w:multiLevelType w:val="hybridMultilevel"/>
    <w:tmpl w:val="CBD2E952"/>
    <w:lvl w:ilvl="0" w:tplc="D67A82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9858FF"/>
    <w:multiLevelType w:val="hybridMultilevel"/>
    <w:tmpl w:val="56FEE42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039BE"/>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575D32"/>
    <w:multiLevelType w:val="hybridMultilevel"/>
    <w:tmpl w:val="049E7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C5215"/>
    <w:multiLevelType w:val="hybridMultilevel"/>
    <w:tmpl w:val="59708828"/>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26D56"/>
    <w:multiLevelType w:val="hybridMultilevel"/>
    <w:tmpl w:val="7CFEB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753660"/>
    <w:multiLevelType w:val="hybridMultilevel"/>
    <w:tmpl w:val="D980ABD4"/>
    <w:lvl w:ilvl="0" w:tplc="521EC7E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8332BE"/>
    <w:multiLevelType w:val="hybridMultilevel"/>
    <w:tmpl w:val="26D4F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A65E6"/>
    <w:multiLevelType w:val="hybridMultilevel"/>
    <w:tmpl w:val="E5102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D22995"/>
    <w:multiLevelType w:val="hybridMultilevel"/>
    <w:tmpl w:val="D980ABD4"/>
    <w:lvl w:ilvl="0" w:tplc="521EC7E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3157AE"/>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C71674"/>
    <w:multiLevelType w:val="hybridMultilevel"/>
    <w:tmpl w:val="8B98AC20"/>
    <w:lvl w:ilvl="0" w:tplc="DEE46B8E">
      <w:start w:val="1"/>
      <w:numFmt w:val="decimal"/>
      <w:lvlText w:val="%1."/>
      <w:lvlJc w:val="left"/>
      <w:pPr>
        <w:ind w:left="360" w:hanging="360"/>
      </w:pPr>
      <w:rPr>
        <w:rFonts w:asciiTheme="minorHAnsi" w:hAnsiTheme="minorHAnsi"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B5C737C"/>
    <w:multiLevelType w:val="hybridMultilevel"/>
    <w:tmpl w:val="58AC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362DA9"/>
    <w:multiLevelType w:val="hybridMultilevel"/>
    <w:tmpl w:val="BF7C9056"/>
    <w:lvl w:ilvl="0" w:tplc="3CDEA400">
      <w:start w:val="1"/>
      <w:numFmt w:val="bullet"/>
      <w:lvlText w:val="−"/>
      <w:lvlJc w:val="left"/>
      <w:pPr>
        <w:ind w:left="360" w:hanging="360"/>
      </w:pPr>
      <w:rPr>
        <w:rFonts w:ascii="Arial" w:hAnsi="Arial" w:hint="default"/>
        <w:color w:val="auto"/>
        <w:sz w:val="24"/>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8A77ED6"/>
    <w:multiLevelType w:val="hybridMultilevel"/>
    <w:tmpl w:val="3DE85C24"/>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7B9A162D"/>
    <w:multiLevelType w:val="hybridMultilevel"/>
    <w:tmpl w:val="CA0A6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A46D3"/>
    <w:multiLevelType w:val="hybridMultilevel"/>
    <w:tmpl w:val="342C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19"/>
  </w:num>
  <w:num w:numId="5">
    <w:abstractNumId w:val="20"/>
  </w:num>
  <w:num w:numId="6">
    <w:abstractNumId w:val="5"/>
  </w:num>
  <w:num w:numId="7">
    <w:abstractNumId w:val="7"/>
  </w:num>
  <w:num w:numId="8">
    <w:abstractNumId w:val="1"/>
  </w:num>
  <w:num w:numId="9">
    <w:abstractNumId w:val="3"/>
  </w:num>
  <w:num w:numId="10">
    <w:abstractNumId w:val="9"/>
  </w:num>
  <w:num w:numId="11">
    <w:abstractNumId w:val="21"/>
  </w:num>
  <w:num w:numId="12">
    <w:abstractNumId w:val="22"/>
  </w:num>
  <w:num w:numId="13">
    <w:abstractNumId w:val="17"/>
  </w:num>
  <w:num w:numId="14">
    <w:abstractNumId w:val="14"/>
  </w:num>
  <w:num w:numId="15">
    <w:abstractNumId w:val="0"/>
  </w:num>
  <w:num w:numId="16">
    <w:abstractNumId w:val="11"/>
  </w:num>
  <w:num w:numId="17">
    <w:abstractNumId w:val="4"/>
  </w:num>
  <w:num w:numId="18">
    <w:abstractNumId w:val="2"/>
  </w:num>
  <w:num w:numId="19">
    <w:abstractNumId w:val="13"/>
  </w:num>
  <w:num w:numId="20">
    <w:abstractNumId w:val="12"/>
  </w:num>
  <w:num w:numId="21">
    <w:abstractNumId w:val="1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CA"/>
    <w:rsid w:val="0000472F"/>
    <w:rsid w:val="00005846"/>
    <w:rsid w:val="000064EF"/>
    <w:rsid w:val="00012270"/>
    <w:rsid w:val="00013669"/>
    <w:rsid w:val="00016766"/>
    <w:rsid w:val="0002637F"/>
    <w:rsid w:val="000264EA"/>
    <w:rsid w:val="00026A21"/>
    <w:rsid w:val="000274D8"/>
    <w:rsid w:val="000512AA"/>
    <w:rsid w:val="000514B4"/>
    <w:rsid w:val="00054B9B"/>
    <w:rsid w:val="00056268"/>
    <w:rsid w:val="000570AF"/>
    <w:rsid w:val="00061C9A"/>
    <w:rsid w:val="0006391A"/>
    <w:rsid w:val="00070342"/>
    <w:rsid w:val="00085618"/>
    <w:rsid w:val="0008607D"/>
    <w:rsid w:val="000912E3"/>
    <w:rsid w:val="00097533"/>
    <w:rsid w:val="00097903"/>
    <w:rsid w:val="000A24BF"/>
    <w:rsid w:val="000B279D"/>
    <w:rsid w:val="000B7A45"/>
    <w:rsid w:val="000B7B60"/>
    <w:rsid w:val="000C4E58"/>
    <w:rsid w:val="000C5A61"/>
    <w:rsid w:val="000D060C"/>
    <w:rsid w:val="000D57B0"/>
    <w:rsid w:val="000E072E"/>
    <w:rsid w:val="000F1698"/>
    <w:rsid w:val="000F4AA9"/>
    <w:rsid w:val="00101FA4"/>
    <w:rsid w:val="00102B7F"/>
    <w:rsid w:val="00104D32"/>
    <w:rsid w:val="00104D92"/>
    <w:rsid w:val="00105E69"/>
    <w:rsid w:val="00121245"/>
    <w:rsid w:val="001303E5"/>
    <w:rsid w:val="00130987"/>
    <w:rsid w:val="001329EC"/>
    <w:rsid w:val="00134125"/>
    <w:rsid w:val="00134437"/>
    <w:rsid w:val="00134644"/>
    <w:rsid w:val="00137F86"/>
    <w:rsid w:val="001424E4"/>
    <w:rsid w:val="00143435"/>
    <w:rsid w:val="0015405A"/>
    <w:rsid w:val="00154A5D"/>
    <w:rsid w:val="0016586D"/>
    <w:rsid w:val="001714AF"/>
    <w:rsid w:val="001745ED"/>
    <w:rsid w:val="00176C9D"/>
    <w:rsid w:val="001840ED"/>
    <w:rsid w:val="00186966"/>
    <w:rsid w:val="00190909"/>
    <w:rsid w:val="00196795"/>
    <w:rsid w:val="001A292C"/>
    <w:rsid w:val="001B094E"/>
    <w:rsid w:val="001B1B9E"/>
    <w:rsid w:val="001B6D4A"/>
    <w:rsid w:val="001D4763"/>
    <w:rsid w:val="001D4C6C"/>
    <w:rsid w:val="001D5C95"/>
    <w:rsid w:val="001D6C43"/>
    <w:rsid w:val="001D73DA"/>
    <w:rsid w:val="001E0069"/>
    <w:rsid w:val="001E59A2"/>
    <w:rsid w:val="001E6EEF"/>
    <w:rsid w:val="001F2DFE"/>
    <w:rsid w:val="001F323F"/>
    <w:rsid w:val="00210306"/>
    <w:rsid w:val="002357A2"/>
    <w:rsid w:val="00235BDC"/>
    <w:rsid w:val="002467F8"/>
    <w:rsid w:val="00252BCE"/>
    <w:rsid w:val="0025738A"/>
    <w:rsid w:val="002573A0"/>
    <w:rsid w:val="00257475"/>
    <w:rsid w:val="00260981"/>
    <w:rsid w:val="002614D9"/>
    <w:rsid w:val="00265E00"/>
    <w:rsid w:val="002753E1"/>
    <w:rsid w:val="0028125E"/>
    <w:rsid w:val="002A487E"/>
    <w:rsid w:val="002A56A3"/>
    <w:rsid w:val="002B34C8"/>
    <w:rsid w:val="002D26A0"/>
    <w:rsid w:val="002D293B"/>
    <w:rsid w:val="002D6A51"/>
    <w:rsid w:val="002E1ED4"/>
    <w:rsid w:val="0031348B"/>
    <w:rsid w:val="00317CB1"/>
    <w:rsid w:val="00324DA2"/>
    <w:rsid w:val="0033343C"/>
    <w:rsid w:val="00364C23"/>
    <w:rsid w:val="00370726"/>
    <w:rsid w:val="0037578C"/>
    <w:rsid w:val="0037692E"/>
    <w:rsid w:val="00376A66"/>
    <w:rsid w:val="003829D1"/>
    <w:rsid w:val="0038365B"/>
    <w:rsid w:val="0039B0BD"/>
    <w:rsid w:val="003A598C"/>
    <w:rsid w:val="003C1B13"/>
    <w:rsid w:val="003C2A53"/>
    <w:rsid w:val="003D4757"/>
    <w:rsid w:val="003D7948"/>
    <w:rsid w:val="003E345B"/>
    <w:rsid w:val="003E753C"/>
    <w:rsid w:val="003F129D"/>
    <w:rsid w:val="00411F9B"/>
    <w:rsid w:val="0041412F"/>
    <w:rsid w:val="00415E1C"/>
    <w:rsid w:val="00416BDC"/>
    <w:rsid w:val="00430083"/>
    <w:rsid w:val="0044249F"/>
    <w:rsid w:val="00443AF1"/>
    <w:rsid w:val="004441DC"/>
    <w:rsid w:val="0045794A"/>
    <w:rsid w:val="004616FB"/>
    <w:rsid w:val="0046235B"/>
    <w:rsid w:val="00464C72"/>
    <w:rsid w:val="004664B1"/>
    <w:rsid w:val="00472877"/>
    <w:rsid w:val="00473860"/>
    <w:rsid w:val="00475D93"/>
    <w:rsid w:val="0048399D"/>
    <w:rsid w:val="00483FA6"/>
    <w:rsid w:val="00484E0E"/>
    <w:rsid w:val="00485CB3"/>
    <w:rsid w:val="00496D2D"/>
    <w:rsid w:val="004B73B0"/>
    <w:rsid w:val="004C136B"/>
    <w:rsid w:val="004C6F9F"/>
    <w:rsid w:val="004C7EDA"/>
    <w:rsid w:val="004D1430"/>
    <w:rsid w:val="004D2281"/>
    <w:rsid w:val="004D65F8"/>
    <w:rsid w:val="004E0C8A"/>
    <w:rsid w:val="004F25F4"/>
    <w:rsid w:val="004F4A17"/>
    <w:rsid w:val="004F6763"/>
    <w:rsid w:val="0050528C"/>
    <w:rsid w:val="00510681"/>
    <w:rsid w:val="00512F6D"/>
    <w:rsid w:val="0051467D"/>
    <w:rsid w:val="005223A7"/>
    <w:rsid w:val="00533A5F"/>
    <w:rsid w:val="0053427F"/>
    <w:rsid w:val="0054783E"/>
    <w:rsid w:val="00547DAE"/>
    <w:rsid w:val="005508F7"/>
    <w:rsid w:val="00551E49"/>
    <w:rsid w:val="0055373A"/>
    <w:rsid w:val="005553B6"/>
    <w:rsid w:val="00566304"/>
    <w:rsid w:val="00574D0B"/>
    <w:rsid w:val="0058205D"/>
    <w:rsid w:val="00594796"/>
    <w:rsid w:val="005A3BE9"/>
    <w:rsid w:val="005B5584"/>
    <w:rsid w:val="005B7A92"/>
    <w:rsid w:val="005C4E9D"/>
    <w:rsid w:val="005D18AA"/>
    <w:rsid w:val="005D7BAA"/>
    <w:rsid w:val="005D7D16"/>
    <w:rsid w:val="005E05DE"/>
    <w:rsid w:val="005E0BCD"/>
    <w:rsid w:val="005E2CDE"/>
    <w:rsid w:val="005E40C8"/>
    <w:rsid w:val="005E50DB"/>
    <w:rsid w:val="005F3A64"/>
    <w:rsid w:val="006012E4"/>
    <w:rsid w:val="006029C1"/>
    <w:rsid w:val="0061242D"/>
    <w:rsid w:val="00612A63"/>
    <w:rsid w:val="00613442"/>
    <w:rsid w:val="00621D16"/>
    <w:rsid w:val="0063546E"/>
    <w:rsid w:val="00640DEA"/>
    <w:rsid w:val="00641B9C"/>
    <w:rsid w:val="00646F79"/>
    <w:rsid w:val="006511F7"/>
    <w:rsid w:val="006515AC"/>
    <w:rsid w:val="0065296F"/>
    <w:rsid w:val="006551D6"/>
    <w:rsid w:val="00655807"/>
    <w:rsid w:val="0066071B"/>
    <w:rsid w:val="00660FCA"/>
    <w:rsid w:val="00663E7E"/>
    <w:rsid w:val="00664AA0"/>
    <w:rsid w:val="00667025"/>
    <w:rsid w:val="00680B3C"/>
    <w:rsid w:val="00684DDD"/>
    <w:rsid w:val="00691CA8"/>
    <w:rsid w:val="00694851"/>
    <w:rsid w:val="006B1ACD"/>
    <w:rsid w:val="006B1F12"/>
    <w:rsid w:val="006B2239"/>
    <w:rsid w:val="006C4EB7"/>
    <w:rsid w:val="006F1A50"/>
    <w:rsid w:val="006F27AA"/>
    <w:rsid w:val="006F7C52"/>
    <w:rsid w:val="00710F01"/>
    <w:rsid w:val="007136CF"/>
    <w:rsid w:val="00713947"/>
    <w:rsid w:val="00715889"/>
    <w:rsid w:val="007160DA"/>
    <w:rsid w:val="0072242A"/>
    <w:rsid w:val="00734E7A"/>
    <w:rsid w:val="00735D3E"/>
    <w:rsid w:val="007363EB"/>
    <w:rsid w:val="00740B78"/>
    <w:rsid w:val="00744851"/>
    <w:rsid w:val="00746348"/>
    <w:rsid w:val="007472B5"/>
    <w:rsid w:val="00751052"/>
    <w:rsid w:val="00763E3B"/>
    <w:rsid w:val="00781C92"/>
    <w:rsid w:val="007879BB"/>
    <w:rsid w:val="00790D04"/>
    <w:rsid w:val="007910D4"/>
    <w:rsid w:val="007959BD"/>
    <w:rsid w:val="007A75B8"/>
    <w:rsid w:val="007B5476"/>
    <w:rsid w:val="007C0B7B"/>
    <w:rsid w:val="007C1ADA"/>
    <w:rsid w:val="007C1EC3"/>
    <w:rsid w:val="007D4A39"/>
    <w:rsid w:val="007E5F3A"/>
    <w:rsid w:val="007E6F7B"/>
    <w:rsid w:val="007F0813"/>
    <w:rsid w:val="00801B71"/>
    <w:rsid w:val="0080473C"/>
    <w:rsid w:val="00804B78"/>
    <w:rsid w:val="0080597E"/>
    <w:rsid w:val="00805C77"/>
    <w:rsid w:val="00814179"/>
    <w:rsid w:val="0082004C"/>
    <w:rsid w:val="00820410"/>
    <w:rsid w:val="00827690"/>
    <w:rsid w:val="00832F86"/>
    <w:rsid w:val="00847C6E"/>
    <w:rsid w:val="00854BA8"/>
    <w:rsid w:val="008600B0"/>
    <w:rsid w:val="00866293"/>
    <w:rsid w:val="008678EA"/>
    <w:rsid w:val="00870A05"/>
    <w:rsid w:val="00871830"/>
    <w:rsid w:val="0088193C"/>
    <w:rsid w:val="00883334"/>
    <w:rsid w:val="00886415"/>
    <w:rsid w:val="008877C7"/>
    <w:rsid w:val="008928D5"/>
    <w:rsid w:val="008B3598"/>
    <w:rsid w:val="008B5B97"/>
    <w:rsid w:val="008C33C3"/>
    <w:rsid w:val="008D36C4"/>
    <w:rsid w:val="008D659D"/>
    <w:rsid w:val="008D6FB8"/>
    <w:rsid w:val="008D7E42"/>
    <w:rsid w:val="008E013F"/>
    <w:rsid w:val="008E1DBC"/>
    <w:rsid w:val="008F4259"/>
    <w:rsid w:val="009013D0"/>
    <w:rsid w:val="00905C18"/>
    <w:rsid w:val="00921A63"/>
    <w:rsid w:val="0092772A"/>
    <w:rsid w:val="00933520"/>
    <w:rsid w:val="00944C30"/>
    <w:rsid w:val="00945094"/>
    <w:rsid w:val="00945C92"/>
    <w:rsid w:val="00952BD8"/>
    <w:rsid w:val="00952F60"/>
    <w:rsid w:val="00952F82"/>
    <w:rsid w:val="0095487F"/>
    <w:rsid w:val="00965D4E"/>
    <w:rsid w:val="009676DB"/>
    <w:rsid w:val="00970023"/>
    <w:rsid w:val="00970C3F"/>
    <w:rsid w:val="009767A0"/>
    <w:rsid w:val="00981C80"/>
    <w:rsid w:val="00991480"/>
    <w:rsid w:val="0099171B"/>
    <w:rsid w:val="009939F2"/>
    <w:rsid w:val="009A1C76"/>
    <w:rsid w:val="009A3C84"/>
    <w:rsid w:val="009A692D"/>
    <w:rsid w:val="009B0377"/>
    <w:rsid w:val="009B599C"/>
    <w:rsid w:val="009B6E33"/>
    <w:rsid w:val="009C1475"/>
    <w:rsid w:val="009C304F"/>
    <w:rsid w:val="009D6100"/>
    <w:rsid w:val="009E3E3D"/>
    <w:rsid w:val="009E7E7F"/>
    <w:rsid w:val="009F06B5"/>
    <w:rsid w:val="009F3EBC"/>
    <w:rsid w:val="009F4EAF"/>
    <w:rsid w:val="00A102BC"/>
    <w:rsid w:val="00A14D05"/>
    <w:rsid w:val="00A2041D"/>
    <w:rsid w:val="00A20E18"/>
    <w:rsid w:val="00A22E2F"/>
    <w:rsid w:val="00A31821"/>
    <w:rsid w:val="00A33125"/>
    <w:rsid w:val="00A36CA9"/>
    <w:rsid w:val="00A37A18"/>
    <w:rsid w:val="00A40A0B"/>
    <w:rsid w:val="00A419B5"/>
    <w:rsid w:val="00A41A0B"/>
    <w:rsid w:val="00A45BC6"/>
    <w:rsid w:val="00A5100F"/>
    <w:rsid w:val="00A5438F"/>
    <w:rsid w:val="00A56796"/>
    <w:rsid w:val="00A60548"/>
    <w:rsid w:val="00A7195C"/>
    <w:rsid w:val="00A73063"/>
    <w:rsid w:val="00A7328D"/>
    <w:rsid w:val="00A74B20"/>
    <w:rsid w:val="00A94137"/>
    <w:rsid w:val="00A94E80"/>
    <w:rsid w:val="00A97361"/>
    <w:rsid w:val="00AA1617"/>
    <w:rsid w:val="00AA50EE"/>
    <w:rsid w:val="00AA717F"/>
    <w:rsid w:val="00AB0C52"/>
    <w:rsid w:val="00AB5B79"/>
    <w:rsid w:val="00AC2623"/>
    <w:rsid w:val="00AC59B1"/>
    <w:rsid w:val="00AC7374"/>
    <w:rsid w:val="00AD2F70"/>
    <w:rsid w:val="00AD5FF9"/>
    <w:rsid w:val="00B07BAA"/>
    <w:rsid w:val="00B20F24"/>
    <w:rsid w:val="00B23172"/>
    <w:rsid w:val="00B25931"/>
    <w:rsid w:val="00B269D1"/>
    <w:rsid w:val="00B30294"/>
    <w:rsid w:val="00B50320"/>
    <w:rsid w:val="00B6142D"/>
    <w:rsid w:val="00B63EBA"/>
    <w:rsid w:val="00B6655B"/>
    <w:rsid w:val="00B70700"/>
    <w:rsid w:val="00B74D06"/>
    <w:rsid w:val="00B76F60"/>
    <w:rsid w:val="00B8281B"/>
    <w:rsid w:val="00B9459B"/>
    <w:rsid w:val="00B968E3"/>
    <w:rsid w:val="00BA0B58"/>
    <w:rsid w:val="00BA4BEB"/>
    <w:rsid w:val="00BB0977"/>
    <w:rsid w:val="00BD1C28"/>
    <w:rsid w:val="00BE3715"/>
    <w:rsid w:val="00BE6EBE"/>
    <w:rsid w:val="00BF17DC"/>
    <w:rsid w:val="00BF20AA"/>
    <w:rsid w:val="00C0055D"/>
    <w:rsid w:val="00C035BD"/>
    <w:rsid w:val="00C037E3"/>
    <w:rsid w:val="00C16562"/>
    <w:rsid w:val="00C2133A"/>
    <w:rsid w:val="00C30E9E"/>
    <w:rsid w:val="00C35AA9"/>
    <w:rsid w:val="00C37832"/>
    <w:rsid w:val="00C47C98"/>
    <w:rsid w:val="00C514FE"/>
    <w:rsid w:val="00C5464D"/>
    <w:rsid w:val="00C562EE"/>
    <w:rsid w:val="00C57F95"/>
    <w:rsid w:val="00C67A07"/>
    <w:rsid w:val="00C735C5"/>
    <w:rsid w:val="00C7381A"/>
    <w:rsid w:val="00C7502E"/>
    <w:rsid w:val="00C86FCA"/>
    <w:rsid w:val="00C90B51"/>
    <w:rsid w:val="00C912DE"/>
    <w:rsid w:val="00C945E7"/>
    <w:rsid w:val="00C95045"/>
    <w:rsid w:val="00C96428"/>
    <w:rsid w:val="00CA1D73"/>
    <w:rsid w:val="00CB2C28"/>
    <w:rsid w:val="00CC7466"/>
    <w:rsid w:val="00CE04D5"/>
    <w:rsid w:val="00CE770A"/>
    <w:rsid w:val="00CF1D16"/>
    <w:rsid w:val="00CF2BC2"/>
    <w:rsid w:val="00CF4A38"/>
    <w:rsid w:val="00CF6162"/>
    <w:rsid w:val="00CF7846"/>
    <w:rsid w:val="00D00249"/>
    <w:rsid w:val="00D01542"/>
    <w:rsid w:val="00D10615"/>
    <w:rsid w:val="00D12C25"/>
    <w:rsid w:val="00D24439"/>
    <w:rsid w:val="00D2680C"/>
    <w:rsid w:val="00D31E5B"/>
    <w:rsid w:val="00D52462"/>
    <w:rsid w:val="00D60BD2"/>
    <w:rsid w:val="00D7285F"/>
    <w:rsid w:val="00D810AA"/>
    <w:rsid w:val="00D93537"/>
    <w:rsid w:val="00D95285"/>
    <w:rsid w:val="00D97A45"/>
    <w:rsid w:val="00DA3D4F"/>
    <w:rsid w:val="00DA4750"/>
    <w:rsid w:val="00DA6069"/>
    <w:rsid w:val="00DC49C0"/>
    <w:rsid w:val="00DD76C5"/>
    <w:rsid w:val="00DE05D2"/>
    <w:rsid w:val="00E05470"/>
    <w:rsid w:val="00E06BE0"/>
    <w:rsid w:val="00E14683"/>
    <w:rsid w:val="00E2345E"/>
    <w:rsid w:val="00E31E0E"/>
    <w:rsid w:val="00E4069E"/>
    <w:rsid w:val="00E455EF"/>
    <w:rsid w:val="00E54785"/>
    <w:rsid w:val="00E62706"/>
    <w:rsid w:val="00E67CEE"/>
    <w:rsid w:val="00E723F1"/>
    <w:rsid w:val="00E742C9"/>
    <w:rsid w:val="00E82964"/>
    <w:rsid w:val="00E83186"/>
    <w:rsid w:val="00E86F77"/>
    <w:rsid w:val="00E8717A"/>
    <w:rsid w:val="00E87316"/>
    <w:rsid w:val="00E9142E"/>
    <w:rsid w:val="00EA2E51"/>
    <w:rsid w:val="00EA4EDB"/>
    <w:rsid w:val="00EB4158"/>
    <w:rsid w:val="00EC3857"/>
    <w:rsid w:val="00ED333B"/>
    <w:rsid w:val="00EE2FD8"/>
    <w:rsid w:val="00EE72BD"/>
    <w:rsid w:val="00EF0AE0"/>
    <w:rsid w:val="00EF6B33"/>
    <w:rsid w:val="00F0168F"/>
    <w:rsid w:val="00F05273"/>
    <w:rsid w:val="00F11978"/>
    <w:rsid w:val="00F1296C"/>
    <w:rsid w:val="00F2487A"/>
    <w:rsid w:val="00F2619A"/>
    <w:rsid w:val="00F3341F"/>
    <w:rsid w:val="00F3629C"/>
    <w:rsid w:val="00F36F52"/>
    <w:rsid w:val="00F472DC"/>
    <w:rsid w:val="00F54667"/>
    <w:rsid w:val="00F81B45"/>
    <w:rsid w:val="00F911AC"/>
    <w:rsid w:val="00F93B67"/>
    <w:rsid w:val="00F96CC1"/>
    <w:rsid w:val="00FB298B"/>
    <w:rsid w:val="00FB3D3B"/>
    <w:rsid w:val="00FC2B0B"/>
    <w:rsid w:val="00FD51BB"/>
    <w:rsid w:val="00FD58D0"/>
    <w:rsid w:val="00FE19D3"/>
    <w:rsid w:val="00FE281C"/>
    <w:rsid w:val="00FF569B"/>
    <w:rsid w:val="00FF6888"/>
    <w:rsid w:val="0AAD4293"/>
    <w:rsid w:val="109738C9"/>
    <w:rsid w:val="224595ED"/>
    <w:rsid w:val="227D55A9"/>
    <w:rsid w:val="23FF05F9"/>
    <w:rsid w:val="25DE732B"/>
    <w:rsid w:val="2842E577"/>
    <w:rsid w:val="2959C45E"/>
    <w:rsid w:val="31B10976"/>
    <w:rsid w:val="376246FD"/>
    <w:rsid w:val="38B619FC"/>
    <w:rsid w:val="3B26B0EB"/>
    <w:rsid w:val="436D6F20"/>
    <w:rsid w:val="437AB2C0"/>
    <w:rsid w:val="450206D1"/>
    <w:rsid w:val="47DE4ACE"/>
    <w:rsid w:val="488AC803"/>
    <w:rsid w:val="4E31327D"/>
    <w:rsid w:val="4E91106D"/>
    <w:rsid w:val="50EF4508"/>
    <w:rsid w:val="5111A7DA"/>
    <w:rsid w:val="544E9762"/>
    <w:rsid w:val="581FD2AC"/>
    <w:rsid w:val="5AB68F5A"/>
    <w:rsid w:val="5BBDA0B6"/>
    <w:rsid w:val="5CDC7F29"/>
    <w:rsid w:val="62D465AF"/>
    <w:rsid w:val="68C66FBB"/>
    <w:rsid w:val="6B72BEF2"/>
    <w:rsid w:val="6C482CF7"/>
    <w:rsid w:val="706E842B"/>
    <w:rsid w:val="73C302BB"/>
    <w:rsid w:val="7403ED9D"/>
    <w:rsid w:val="74AE19F8"/>
    <w:rsid w:val="75FFFD57"/>
    <w:rsid w:val="76076F6C"/>
    <w:rsid w:val="76FCC4D1"/>
    <w:rsid w:val="7713573D"/>
    <w:rsid w:val="782F4465"/>
    <w:rsid w:val="79A0CE7A"/>
    <w:rsid w:val="7ABA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A9157"/>
  <w15:chartTrackingRefBased/>
  <w15:docId w15:val="{A17626C4-F39F-4B25-9B28-83AFB32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4">
    <w:name w:val="heading 4"/>
    <w:basedOn w:val="Normalny"/>
    <w:link w:val="Nagwek4Znak"/>
    <w:uiPriority w:val="9"/>
    <w:qFormat/>
    <w:rsid w:val="006C4EB7"/>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7903"/>
    <w:pPr>
      <w:tabs>
        <w:tab w:val="center" w:pos="4536"/>
        <w:tab w:val="right" w:pos="9072"/>
      </w:tabs>
    </w:pPr>
  </w:style>
  <w:style w:type="character" w:customStyle="1" w:styleId="NagwekZnak">
    <w:name w:val="Nagłówek Znak"/>
    <w:link w:val="Nagwek"/>
    <w:uiPriority w:val="99"/>
    <w:rsid w:val="00097903"/>
    <w:rPr>
      <w:sz w:val="22"/>
      <w:szCs w:val="22"/>
      <w:lang w:eastAsia="en-US"/>
    </w:rPr>
  </w:style>
  <w:style w:type="paragraph" w:styleId="Stopka">
    <w:name w:val="footer"/>
    <w:basedOn w:val="Normalny"/>
    <w:link w:val="StopkaZnak"/>
    <w:uiPriority w:val="99"/>
    <w:unhideWhenUsed/>
    <w:rsid w:val="00097903"/>
    <w:pPr>
      <w:tabs>
        <w:tab w:val="center" w:pos="4536"/>
        <w:tab w:val="right" w:pos="9072"/>
      </w:tabs>
    </w:pPr>
  </w:style>
  <w:style w:type="character" w:customStyle="1" w:styleId="StopkaZnak">
    <w:name w:val="Stopka Znak"/>
    <w:link w:val="Stopka"/>
    <w:uiPriority w:val="99"/>
    <w:rsid w:val="00097903"/>
    <w:rPr>
      <w:sz w:val="22"/>
      <w:szCs w:val="22"/>
      <w:lang w:eastAsia="en-US"/>
    </w:rPr>
  </w:style>
  <w:style w:type="paragraph" w:styleId="Tekstprzypisukocowego">
    <w:name w:val="endnote text"/>
    <w:basedOn w:val="Normalny"/>
    <w:link w:val="TekstprzypisukocowegoZnak"/>
    <w:uiPriority w:val="99"/>
    <w:semiHidden/>
    <w:unhideWhenUsed/>
    <w:rsid w:val="00070342"/>
    <w:rPr>
      <w:sz w:val="20"/>
      <w:szCs w:val="20"/>
    </w:rPr>
  </w:style>
  <w:style w:type="character" w:customStyle="1" w:styleId="TekstprzypisukocowegoZnak">
    <w:name w:val="Tekst przypisu końcowego Znak"/>
    <w:link w:val="Tekstprzypisukocowego"/>
    <w:uiPriority w:val="99"/>
    <w:semiHidden/>
    <w:rsid w:val="00070342"/>
    <w:rPr>
      <w:lang w:eastAsia="en-US"/>
    </w:rPr>
  </w:style>
  <w:style w:type="character" w:styleId="Odwoanieprzypisukocowego">
    <w:name w:val="endnote reference"/>
    <w:uiPriority w:val="99"/>
    <w:semiHidden/>
    <w:unhideWhenUsed/>
    <w:rsid w:val="00070342"/>
    <w:rPr>
      <w:vertAlign w:val="superscript"/>
    </w:rPr>
  </w:style>
  <w:style w:type="character" w:styleId="Hipercze">
    <w:name w:val="Hyperlink"/>
    <w:unhideWhenUsed/>
    <w:rsid w:val="009D6100"/>
    <w:rPr>
      <w:color w:val="0000FF"/>
      <w:u w:val="single"/>
    </w:rPr>
  </w:style>
  <w:style w:type="character" w:customStyle="1" w:styleId="Nagwek4Znak">
    <w:name w:val="Nagłówek 4 Znak"/>
    <w:link w:val="Nagwek4"/>
    <w:uiPriority w:val="9"/>
    <w:rsid w:val="006C4EB7"/>
    <w:rPr>
      <w:rFonts w:ascii="Times New Roman" w:eastAsia="Times New Roman" w:hAnsi="Times New Roman"/>
      <w:b/>
      <w:bCs/>
      <w:sz w:val="24"/>
      <w:szCs w:val="24"/>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204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410"/>
    <w:rPr>
      <w:rFonts w:ascii="Segoe UI" w:hAnsi="Segoe UI" w:cs="Segoe UI"/>
      <w:sz w:val="18"/>
      <w:szCs w:val="18"/>
      <w:lang w:eastAsia="en-US"/>
    </w:rPr>
  </w:style>
  <w:style w:type="paragraph" w:styleId="Akapitzlist">
    <w:name w:val="List Paragraph"/>
    <w:basedOn w:val="Normalny"/>
    <w:uiPriority w:val="34"/>
    <w:qFormat/>
    <w:rsid w:val="00715889"/>
    <w:pPr>
      <w:spacing w:after="0" w:line="240" w:lineRule="auto"/>
      <w:ind w:left="720"/>
      <w:contextualSpacing/>
      <w:jc w:val="both"/>
    </w:pPr>
    <w:rPr>
      <w:rFonts w:asciiTheme="minorHAnsi" w:eastAsiaTheme="minorHAnsi" w:hAnsiTheme="minorHAnsi" w:cstheme="minorBidi"/>
    </w:rPr>
  </w:style>
  <w:style w:type="paragraph" w:customStyle="1" w:styleId="ZARTzmartartykuempunktem">
    <w:name w:val="Z/ART(§) – zm. art. (§) artykułem (punktem)"/>
    <w:basedOn w:val="Normalny"/>
    <w:uiPriority w:val="30"/>
    <w:qFormat/>
    <w:rsid w:val="00F911A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Normalny1">
    <w:name w:val="Normalny1"/>
    <w:basedOn w:val="Normalny"/>
    <w:rsid w:val="00F911A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PKTzmpktartykuempunktem">
    <w:name w:val="Z/PKT – zm. pkt artykułem (punktem)"/>
    <w:basedOn w:val="Normalny"/>
    <w:uiPriority w:val="31"/>
    <w:qFormat/>
    <w:rsid w:val="006B1ACD"/>
    <w:pPr>
      <w:spacing w:after="0" w:line="360" w:lineRule="auto"/>
      <w:ind w:left="102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19090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LITlitera">
    <w:name w:val="LIT – litera"/>
    <w:basedOn w:val="Normalny"/>
    <w:uiPriority w:val="14"/>
    <w:qFormat/>
    <w:rsid w:val="00190909"/>
    <w:pPr>
      <w:spacing w:after="0" w:line="360" w:lineRule="auto"/>
      <w:ind w:left="986" w:hanging="476"/>
      <w:jc w:val="both"/>
    </w:pPr>
    <w:rPr>
      <w:rFonts w:ascii="Times" w:eastAsiaTheme="minorEastAsia" w:hAnsi="Times" w:cs="Arial"/>
      <w:bCs/>
      <w:sz w:val="24"/>
      <w:szCs w:val="20"/>
      <w:lang w:eastAsia="pl-PL"/>
    </w:rPr>
  </w:style>
  <w:style w:type="paragraph" w:customStyle="1" w:styleId="ZLITLITzmlitliter">
    <w:name w:val="Z_LIT/LIT – zm. lit. literą"/>
    <w:basedOn w:val="LITlitera"/>
    <w:uiPriority w:val="48"/>
    <w:qFormat/>
    <w:rsid w:val="00190909"/>
    <w:pPr>
      <w:ind w:left="1463"/>
    </w:pPr>
  </w:style>
  <w:style w:type="paragraph" w:customStyle="1" w:styleId="PKTpunkt">
    <w:name w:val="PKT – punkt"/>
    <w:uiPriority w:val="13"/>
    <w:qFormat/>
    <w:rsid w:val="005D18AA"/>
    <w:pPr>
      <w:spacing w:line="360" w:lineRule="auto"/>
      <w:ind w:left="510" w:hanging="510"/>
      <w:jc w:val="both"/>
    </w:pPr>
    <w:rPr>
      <w:rFonts w:ascii="Times" w:eastAsiaTheme="minorEastAsia" w:hAnsi="Times" w:cs="Arial"/>
      <w:bCs/>
      <w:sz w:val="24"/>
    </w:rPr>
  </w:style>
  <w:style w:type="paragraph" w:customStyle="1" w:styleId="ZUSTzmustartykuempunktem">
    <w:name w:val="Z/UST(§) – zm. ust. (§) artykułem (punktem)"/>
    <w:basedOn w:val="Normalny"/>
    <w:uiPriority w:val="30"/>
    <w:qFormat/>
    <w:rsid w:val="000512A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matkomentarza">
    <w:name w:val="annotation subject"/>
    <w:basedOn w:val="Tekstkomentarza"/>
    <w:next w:val="Tekstkomentarza"/>
    <w:link w:val="TematkomentarzaZnak"/>
    <w:uiPriority w:val="99"/>
    <w:semiHidden/>
    <w:unhideWhenUsed/>
    <w:rsid w:val="00B968E3"/>
    <w:rPr>
      <w:b/>
      <w:bCs/>
    </w:rPr>
  </w:style>
  <w:style w:type="character" w:customStyle="1" w:styleId="TematkomentarzaZnak">
    <w:name w:val="Temat komentarza Znak"/>
    <w:basedOn w:val="TekstkomentarzaZnak"/>
    <w:link w:val="Tematkomentarza"/>
    <w:uiPriority w:val="99"/>
    <w:semiHidden/>
    <w:rsid w:val="00B968E3"/>
    <w:rPr>
      <w:b/>
      <w:bCs/>
      <w:lang w:eastAsia="en-US"/>
    </w:rPr>
  </w:style>
  <w:style w:type="character" w:customStyle="1" w:styleId="Nierozpoznanawzmianka1">
    <w:name w:val="Nierozpoznana wzmianka1"/>
    <w:basedOn w:val="Domylnaczcionkaakapitu"/>
    <w:uiPriority w:val="99"/>
    <w:semiHidden/>
    <w:unhideWhenUsed/>
    <w:rsid w:val="0061242D"/>
    <w:rPr>
      <w:color w:val="605E5C"/>
      <w:shd w:val="clear" w:color="auto" w:fill="E1DFDD"/>
    </w:rPr>
  </w:style>
  <w:style w:type="character" w:customStyle="1" w:styleId="IDindeksdolny">
    <w:name w:val="_ID_ – indeks dolny"/>
    <w:basedOn w:val="Domylnaczcionkaakapitu"/>
    <w:uiPriority w:val="3"/>
    <w:qFormat/>
    <w:rsid w:val="008D659D"/>
    <w:rPr>
      <w:b w:val="0"/>
      <w:i w:val="0"/>
      <w:vanish w:val="0"/>
      <w:spacing w:val="0"/>
      <w:vertAlign w:val="subscript"/>
    </w:rPr>
  </w:style>
  <w:style w:type="paragraph" w:styleId="Poprawka">
    <w:name w:val="Revision"/>
    <w:hidden/>
    <w:uiPriority w:val="99"/>
    <w:semiHidden/>
    <w:rsid w:val="005553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891">
      <w:bodyDiv w:val="1"/>
      <w:marLeft w:val="0"/>
      <w:marRight w:val="0"/>
      <w:marTop w:val="0"/>
      <w:marBottom w:val="0"/>
      <w:divBdr>
        <w:top w:val="none" w:sz="0" w:space="0" w:color="auto"/>
        <w:left w:val="none" w:sz="0" w:space="0" w:color="auto"/>
        <w:bottom w:val="none" w:sz="0" w:space="0" w:color="auto"/>
        <w:right w:val="none" w:sz="0" w:space="0" w:color="auto"/>
      </w:divBdr>
    </w:div>
    <w:div w:id="201409955">
      <w:bodyDiv w:val="1"/>
      <w:marLeft w:val="0"/>
      <w:marRight w:val="0"/>
      <w:marTop w:val="0"/>
      <w:marBottom w:val="0"/>
      <w:divBdr>
        <w:top w:val="none" w:sz="0" w:space="0" w:color="auto"/>
        <w:left w:val="none" w:sz="0" w:space="0" w:color="auto"/>
        <w:bottom w:val="none" w:sz="0" w:space="0" w:color="auto"/>
        <w:right w:val="none" w:sz="0" w:space="0" w:color="auto"/>
      </w:divBdr>
    </w:div>
    <w:div w:id="1127092018">
      <w:bodyDiv w:val="1"/>
      <w:marLeft w:val="0"/>
      <w:marRight w:val="0"/>
      <w:marTop w:val="0"/>
      <w:marBottom w:val="0"/>
      <w:divBdr>
        <w:top w:val="none" w:sz="0" w:space="0" w:color="auto"/>
        <w:left w:val="none" w:sz="0" w:space="0" w:color="auto"/>
        <w:bottom w:val="none" w:sz="0" w:space="0" w:color="auto"/>
        <w:right w:val="none" w:sz="0" w:space="0" w:color="auto"/>
      </w:divBdr>
    </w:div>
    <w:div w:id="18821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20E2-AD4F-4B27-9600-F65784DB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4456</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Zawadzka-Stępniak</dc:creator>
  <cp:keywords/>
  <dc:description/>
  <cp:lastModifiedBy>Pawel Widlicki</cp:lastModifiedBy>
  <cp:revision>4</cp:revision>
  <dcterms:created xsi:type="dcterms:W3CDTF">2022-01-31T09:58:00Z</dcterms:created>
  <dcterms:modified xsi:type="dcterms:W3CDTF">2022-02-01T11:15:00Z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