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A8FA" w14:textId="77777777" w:rsidR="00216BAB" w:rsidRDefault="00216BAB" w:rsidP="003B7665">
      <w:pPr>
        <w:rPr>
          <w:rFonts w:ascii="Arial" w:hAnsi="Arial" w:cs="Arial"/>
          <w:b/>
          <w:bCs/>
          <w:lang w:val="en-US"/>
        </w:rPr>
      </w:pPr>
    </w:p>
    <w:p w14:paraId="7A6A3597" w14:textId="77777777" w:rsidR="002A71EC" w:rsidRDefault="002A71EC" w:rsidP="003B7665">
      <w:pPr>
        <w:rPr>
          <w:rFonts w:ascii="Arial" w:hAnsi="Arial" w:cs="Arial"/>
          <w:b/>
          <w:bCs/>
          <w:lang w:val="en-US"/>
        </w:rPr>
      </w:pPr>
    </w:p>
    <w:p w14:paraId="5796D997" w14:textId="77777777" w:rsidR="002A71EC" w:rsidRDefault="002A71EC" w:rsidP="003B7665">
      <w:pPr>
        <w:rPr>
          <w:rFonts w:ascii="Arial" w:hAnsi="Arial" w:cs="Arial"/>
          <w:b/>
          <w:bCs/>
          <w:lang w:val="en-US"/>
        </w:rPr>
      </w:pPr>
    </w:p>
    <w:p w14:paraId="512659E2" w14:textId="77777777" w:rsidR="002A71EC" w:rsidRDefault="002A71EC" w:rsidP="003B7665">
      <w:pPr>
        <w:rPr>
          <w:rFonts w:ascii="Arial" w:hAnsi="Arial" w:cs="Arial"/>
          <w:b/>
          <w:bCs/>
          <w:lang w:val="en-US"/>
        </w:rPr>
      </w:pPr>
    </w:p>
    <w:p w14:paraId="47531FBF" w14:textId="77777777" w:rsidR="002A71EC" w:rsidRDefault="002A71EC" w:rsidP="003B7665">
      <w:pPr>
        <w:rPr>
          <w:rFonts w:ascii="Arial" w:hAnsi="Arial" w:cs="Arial"/>
          <w:b/>
          <w:bCs/>
          <w:lang w:val="en-US"/>
        </w:rPr>
      </w:pPr>
    </w:p>
    <w:p w14:paraId="5AF5CAC3" w14:textId="77777777" w:rsidR="002A71EC" w:rsidRDefault="002A71EC" w:rsidP="003B7665">
      <w:pPr>
        <w:rPr>
          <w:rFonts w:ascii="Arial" w:hAnsi="Arial" w:cs="Arial"/>
          <w:b/>
          <w:bCs/>
          <w:lang w:val="en-US"/>
        </w:rPr>
      </w:pPr>
    </w:p>
    <w:p w14:paraId="227075A8" w14:textId="77777777" w:rsidR="002A71EC" w:rsidRDefault="002A71EC" w:rsidP="003B7665">
      <w:pPr>
        <w:rPr>
          <w:rFonts w:ascii="Arial" w:hAnsi="Arial" w:cs="Arial"/>
          <w:b/>
          <w:bCs/>
          <w:lang w:val="en-US"/>
        </w:rPr>
      </w:pPr>
    </w:p>
    <w:p w14:paraId="4F5E6733" w14:textId="77777777" w:rsidR="002A71EC" w:rsidRDefault="002A71EC" w:rsidP="002A71EC">
      <w:pPr>
        <w:rPr>
          <w:b/>
          <w:bCs/>
        </w:rPr>
      </w:pPr>
    </w:p>
    <w:p w14:paraId="73AA0011" w14:textId="0D8FC911" w:rsidR="003D54F3" w:rsidRPr="007B6D4A" w:rsidRDefault="006618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7B6D4A">
        <w:rPr>
          <w:rFonts w:ascii="Arial" w:hAnsi="Arial" w:cs="Arial"/>
          <w:b/>
          <w:bCs/>
          <w:sz w:val="32"/>
          <w:szCs w:val="32"/>
          <w:lang w:val="pl-PL"/>
        </w:rPr>
        <w:t xml:space="preserve">ZESTAWIENIE SANKCJI I </w:t>
      </w:r>
      <w:r w:rsidR="007B6D4A">
        <w:rPr>
          <w:rFonts w:ascii="Arial" w:hAnsi="Arial" w:cs="Arial"/>
          <w:b/>
          <w:bCs/>
          <w:sz w:val="32"/>
          <w:szCs w:val="32"/>
          <w:lang w:val="pl-PL"/>
        </w:rPr>
        <w:t>OGRANICZEŃ WPROWADZONYCH W</w:t>
      </w:r>
    </w:p>
    <w:p w14:paraId="5BD185A2" w14:textId="7AA7C071" w:rsidR="003D54F3" w:rsidRPr="007B6D4A" w:rsidRDefault="006618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7B6D4A">
        <w:rPr>
          <w:rFonts w:ascii="Arial" w:hAnsi="Arial" w:cs="Arial"/>
          <w:b/>
          <w:bCs/>
          <w:sz w:val="32"/>
          <w:szCs w:val="32"/>
          <w:lang w:val="pl-PL"/>
        </w:rPr>
        <w:t>ZWIĄ</w:t>
      </w:r>
      <w:r w:rsidR="007B6D4A">
        <w:rPr>
          <w:rFonts w:ascii="Arial" w:hAnsi="Arial" w:cs="Arial"/>
          <w:b/>
          <w:bCs/>
          <w:sz w:val="32"/>
          <w:szCs w:val="32"/>
          <w:lang w:val="pl-PL"/>
        </w:rPr>
        <w:t>ZKU</w:t>
      </w:r>
      <w:r w:rsidRPr="007B6D4A">
        <w:rPr>
          <w:rFonts w:ascii="Arial" w:hAnsi="Arial" w:cs="Arial"/>
          <w:b/>
          <w:bCs/>
          <w:sz w:val="32"/>
          <w:szCs w:val="32"/>
          <w:lang w:val="pl-PL"/>
        </w:rPr>
        <w:t xml:space="preserve"> Z WOJNĄ NA UKRAINIE</w:t>
      </w:r>
    </w:p>
    <w:p w14:paraId="100082A1" w14:textId="77777777" w:rsidR="002A71EC" w:rsidRPr="007B6D4A" w:rsidRDefault="002A71EC" w:rsidP="002A71E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7EA007BE" w14:textId="6BB07FB6" w:rsidR="003D54F3" w:rsidRPr="007B6D4A" w:rsidRDefault="006618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7B6D4A">
        <w:rPr>
          <w:rFonts w:ascii="Arial" w:hAnsi="Arial" w:cs="Arial"/>
          <w:b/>
          <w:bCs/>
          <w:sz w:val="32"/>
          <w:szCs w:val="32"/>
          <w:lang w:val="pl-PL"/>
        </w:rPr>
        <w:t xml:space="preserve">21 MARCA 2022 </w:t>
      </w:r>
      <w:r w:rsidR="007B6D4A">
        <w:rPr>
          <w:rFonts w:ascii="Arial" w:hAnsi="Arial" w:cs="Arial"/>
          <w:b/>
          <w:bCs/>
          <w:sz w:val="32"/>
          <w:szCs w:val="32"/>
          <w:lang w:val="pl-PL"/>
        </w:rPr>
        <w:t>R</w:t>
      </w:r>
      <w:r w:rsidRPr="007B6D4A"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5C55F923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694389F5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5F105877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111EAC9E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60D0E5A4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49069FEA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1E31BDF5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755133B2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47392FBF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77E9846E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548A6C31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5D6573EF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181D7364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3CE07575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0A06D0D7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42867896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3BCCD9F9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3CD30A3C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073C8567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37D67F95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3AE955B0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2489239F" w14:textId="77777777" w:rsidR="002A71EC" w:rsidRPr="007B6D4A" w:rsidRDefault="002A71EC" w:rsidP="003B7665">
      <w:pPr>
        <w:rPr>
          <w:rFonts w:ascii="Arial" w:hAnsi="Arial" w:cs="Arial"/>
          <w:b/>
          <w:bCs/>
          <w:lang w:val="pl-PL"/>
        </w:rPr>
      </w:pPr>
    </w:p>
    <w:p w14:paraId="3C2846B4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>1</w:t>
      </w:r>
      <w:r w:rsidRPr="007B6D4A">
        <w:rPr>
          <w:rFonts w:ascii="Arial" w:hAnsi="Arial" w:cs="Arial"/>
          <w:b/>
          <w:bCs/>
          <w:vertAlign w:val="superscript"/>
          <w:lang w:val="pl-PL"/>
        </w:rPr>
        <w:t>ST</w:t>
      </w:r>
      <w:r w:rsidR="00EA297B" w:rsidRPr="007B6D4A">
        <w:rPr>
          <w:rFonts w:ascii="Arial" w:hAnsi="Arial" w:cs="Arial"/>
          <w:b/>
          <w:bCs/>
          <w:lang w:val="pl-PL"/>
        </w:rPr>
        <w:t xml:space="preserve"> PAKIET SANKCJI 24/02/2022</w:t>
      </w:r>
    </w:p>
    <w:p w14:paraId="702D4D37" w14:textId="77777777" w:rsidR="00EA297B" w:rsidRPr="007B6D4A" w:rsidRDefault="00EA297B" w:rsidP="00EA297B">
      <w:pPr>
        <w:rPr>
          <w:rFonts w:ascii="Arial" w:hAnsi="Arial" w:cs="Arial"/>
          <w:lang w:val="pl-PL"/>
        </w:rPr>
      </w:pPr>
    </w:p>
    <w:p w14:paraId="14F8316B" w14:textId="77777777" w:rsidR="003D54F3" w:rsidRPr="007B6D4A" w:rsidRDefault="0066181C">
      <w:pPr>
        <w:rPr>
          <w:rFonts w:ascii="Arial" w:hAnsi="Arial" w:cs="Arial"/>
          <w:b/>
          <w:bCs/>
          <w:u w:val="single"/>
          <w:lang w:val="pl-PL"/>
        </w:rPr>
      </w:pPr>
      <w:r w:rsidRPr="007B6D4A">
        <w:rPr>
          <w:rFonts w:ascii="Arial" w:hAnsi="Arial" w:cs="Arial"/>
          <w:b/>
          <w:bCs/>
          <w:u w:val="single"/>
          <w:lang w:val="pl-PL"/>
        </w:rPr>
        <w:t>Podsumowanie działań</w:t>
      </w:r>
    </w:p>
    <w:p w14:paraId="108C81DB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795E79EF" w14:textId="6AF144E3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 xml:space="preserve">Działania są na ogół koordynowane przez zachodnich sojuszników, przy czym dominują następujące </w:t>
      </w:r>
      <w:r w:rsidR="007B6D4A">
        <w:rPr>
          <w:rFonts w:ascii="Arial" w:hAnsi="Arial" w:cs="Arial"/>
          <w:lang w:val="pl-PL"/>
        </w:rPr>
        <w:t>wspólne stanowiska</w:t>
      </w:r>
      <w:r w:rsidRPr="007B6D4A">
        <w:rPr>
          <w:rFonts w:ascii="Arial" w:hAnsi="Arial" w:cs="Arial"/>
          <w:lang w:val="pl-PL"/>
        </w:rPr>
        <w:t>:</w:t>
      </w:r>
    </w:p>
    <w:p w14:paraId="3878BBB0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0AC51E24" w14:textId="77777777" w:rsidR="003D54F3" w:rsidRPr="007B6D4A" w:rsidRDefault="0066181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Nałożenie ograniczeń finansowych w celu odcięcia Rosji od rynków finansowych.</w:t>
      </w:r>
    </w:p>
    <w:p w14:paraId="4721FE54" w14:textId="478F7308" w:rsidR="003D54F3" w:rsidRPr="007B6D4A" w:rsidRDefault="0066181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Nałożenie ograniczeń na stosunki gospodarcze z </w:t>
      </w:r>
      <w:r w:rsidR="00F42704" w:rsidRPr="007B6D4A">
        <w:rPr>
          <w:rFonts w:ascii="Arial" w:eastAsia="Times New Roman" w:hAnsi="Arial" w:cs="Arial"/>
          <w:lang w:val="pl-PL"/>
        </w:rPr>
        <w:t xml:space="preserve">niepodlegającymi </w:t>
      </w:r>
      <w:r w:rsidRPr="007B6D4A">
        <w:rPr>
          <w:rFonts w:ascii="Arial" w:eastAsia="Times New Roman" w:hAnsi="Arial" w:cs="Arial"/>
          <w:lang w:val="pl-PL"/>
        </w:rPr>
        <w:t xml:space="preserve">kontroli </w:t>
      </w:r>
      <w:r w:rsidR="007B6D4A">
        <w:rPr>
          <w:rFonts w:ascii="Arial" w:eastAsia="Times New Roman" w:hAnsi="Arial" w:cs="Arial"/>
          <w:lang w:val="pl-PL"/>
        </w:rPr>
        <w:t xml:space="preserve">ukraińskiego rządu </w:t>
      </w:r>
      <w:r w:rsidRPr="007B6D4A">
        <w:rPr>
          <w:rFonts w:ascii="Arial" w:eastAsia="Times New Roman" w:hAnsi="Arial" w:cs="Arial"/>
          <w:lang w:val="pl-PL"/>
        </w:rPr>
        <w:t xml:space="preserve">obszarami obwodów donieckiego i </w:t>
      </w:r>
      <w:proofErr w:type="spellStart"/>
      <w:r w:rsidRPr="007B6D4A">
        <w:rPr>
          <w:rFonts w:ascii="Arial" w:eastAsia="Times New Roman" w:hAnsi="Arial" w:cs="Arial"/>
          <w:lang w:val="pl-PL"/>
        </w:rPr>
        <w:t>ługańskiego</w:t>
      </w:r>
      <w:proofErr w:type="spellEnd"/>
      <w:r w:rsidRPr="007B6D4A">
        <w:rPr>
          <w:rFonts w:ascii="Arial" w:eastAsia="Times New Roman" w:hAnsi="Arial" w:cs="Arial"/>
          <w:lang w:val="pl-PL"/>
        </w:rPr>
        <w:t>.</w:t>
      </w:r>
    </w:p>
    <w:p w14:paraId="7E26BFA4" w14:textId="7A38D631" w:rsidR="003D54F3" w:rsidRPr="007B6D4A" w:rsidRDefault="007B6D4A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Ograniczenia są w</w:t>
      </w:r>
      <w:r w:rsidR="0066181C" w:rsidRPr="007B6D4A">
        <w:rPr>
          <w:rFonts w:ascii="Arial" w:eastAsia="Times New Roman" w:hAnsi="Arial" w:cs="Arial"/>
          <w:lang w:val="pl-PL"/>
        </w:rPr>
        <w:t xml:space="preserve">ymierzone w podmioty i osoby - z zakazem wydawania wiz i zamrożeniem aktywów - zaangażowane w decyzję o uznaniu niepodległości samozwańczych </w:t>
      </w:r>
      <w:r w:rsidR="00ED706E" w:rsidRPr="007B6D4A">
        <w:rPr>
          <w:rFonts w:ascii="Arial" w:eastAsia="Times New Roman" w:hAnsi="Arial" w:cs="Arial"/>
          <w:lang w:val="pl-PL"/>
        </w:rPr>
        <w:t>"</w:t>
      </w:r>
      <w:r w:rsidR="0066181C" w:rsidRPr="007B6D4A">
        <w:rPr>
          <w:rFonts w:ascii="Arial" w:eastAsia="Times New Roman" w:hAnsi="Arial" w:cs="Arial"/>
          <w:lang w:val="pl-PL"/>
        </w:rPr>
        <w:t xml:space="preserve">republik" donieckiej i </w:t>
      </w:r>
      <w:proofErr w:type="spellStart"/>
      <w:r w:rsidR="0066181C" w:rsidRPr="007B6D4A">
        <w:rPr>
          <w:rFonts w:ascii="Arial" w:eastAsia="Times New Roman" w:hAnsi="Arial" w:cs="Arial"/>
          <w:lang w:val="pl-PL"/>
        </w:rPr>
        <w:t>ługańskiej</w:t>
      </w:r>
      <w:proofErr w:type="spellEnd"/>
      <w:r w:rsidR="0066181C" w:rsidRPr="007B6D4A">
        <w:rPr>
          <w:rFonts w:ascii="Arial" w:eastAsia="Times New Roman" w:hAnsi="Arial" w:cs="Arial"/>
          <w:lang w:val="pl-PL"/>
        </w:rPr>
        <w:t xml:space="preserve"> </w:t>
      </w:r>
      <w:r w:rsidR="0066181C" w:rsidRPr="007B6D4A">
        <w:rPr>
          <w:rFonts w:ascii="Arial" w:eastAsia="Times New Roman" w:hAnsi="Arial" w:cs="Arial"/>
          <w:i/>
          <w:iCs/>
          <w:lang w:val="pl-PL"/>
        </w:rPr>
        <w:t xml:space="preserve">lub </w:t>
      </w:r>
      <w:r w:rsidR="0066181C" w:rsidRPr="007B6D4A">
        <w:rPr>
          <w:rFonts w:ascii="Arial" w:eastAsia="Times New Roman" w:hAnsi="Arial" w:cs="Arial"/>
          <w:lang w:val="pl-PL"/>
        </w:rPr>
        <w:t>odgrywające ro</w:t>
      </w:r>
      <w:r w:rsidR="0066181C" w:rsidRPr="007B6D4A">
        <w:rPr>
          <w:rFonts w:ascii="Arial" w:eastAsia="Times New Roman" w:hAnsi="Arial" w:cs="Arial"/>
          <w:lang w:val="pl-PL"/>
        </w:rPr>
        <w:t>lę w podważaniu lub zagrażaniu integralności terytorialnej i suwerenności Ukrainy.</w:t>
      </w:r>
    </w:p>
    <w:p w14:paraId="2F9302B2" w14:textId="77777777" w:rsidR="00EA297B" w:rsidRPr="007B6D4A" w:rsidRDefault="00EA297B" w:rsidP="00CB5333">
      <w:pPr>
        <w:jc w:val="both"/>
        <w:rPr>
          <w:rFonts w:ascii="Arial" w:hAnsi="Arial" w:cs="Arial"/>
          <w:i/>
          <w:iCs/>
          <w:lang w:val="pl-PL"/>
        </w:rPr>
      </w:pPr>
    </w:p>
    <w:p w14:paraId="35DB33EB" w14:textId="77777777" w:rsidR="003D54F3" w:rsidRPr="007B6D4A" w:rsidRDefault="00EA297B">
      <w:pPr>
        <w:jc w:val="both"/>
        <w:rPr>
          <w:rFonts w:ascii="Arial" w:hAnsi="Arial" w:cs="Arial"/>
          <w:i/>
          <w:iCs/>
          <w:lang w:val="pl-PL"/>
        </w:rPr>
      </w:pPr>
      <w:r w:rsidRPr="007B6D4A">
        <w:rPr>
          <w:rFonts w:ascii="Arial" w:hAnsi="Arial" w:cs="Arial"/>
          <w:i/>
          <w:iCs/>
          <w:lang w:val="pl-PL"/>
        </w:rPr>
        <w:t xml:space="preserve">Listy różnią się </w:t>
      </w:r>
      <w:r w:rsidR="0066181C" w:rsidRPr="007B6D4A">
        <w:rPr>
          <w:rFonts w:ascii="Arial" w:hAnsi="Arial" w:cs="Arial"/>
          <w:i/>
          <w:iCs/>
          <w:lang w:val="pl-PL"/>
        </w:rPr>
        <w:t xml:space="preserve">jednak </w:t>
      </w:r>
      <w:r w:rsidRPr="007B6D4A">
        <w:rPr>
          <w:rFonts w:ascii="Arial" w:hAnsi="Arial" w:cs="Arial"/>
          <w:i/>
          <w:iCs/>
          <w:lang w:val="pl-PL"/>
        </w:rPr>
        <w:t xml:space="preserve">w pewnym stopniu i będziemy musieli uważnie śledzić ich wdrażanie, aby uniknąć rozbieżności. Ważna </w:t>
      </w:r>
      <w:r w:rsidR="00ED706E" w:rsidRPr="007B6D4A">
        <w:rPr>
          <w:rFonts w:ascii="Arial" w:hAnsi="Arial" w:cs="Arial"/>
          <w:i/>
          <w:iCs/>
          <w:lang w:val="pl-PL"/>
        </w:rPr>
        <w:t>uwaga</w:t>
      </w:r>
      <w:r w:rsidR="0066181C" w:rsidRPr="007B6D4A">
        <w:rPr>
          <w:rFonts w:ascii="Arial" w:hAnsi="Arial" w:cs="Arial"/>
          <w:i/>
          <w:iCs/>
          <w:lang w:val="pl-PL"/>
        </w:rPr>
        <w:t xml:space="preserve">: </w:t>
      </w:r>
      <w:r w:rsidRPr="007B6D4A">
        <w:rPr>
          <w:rFonts w:ascii="Arial" w:hAnsi="Arial" w:cs="Arial"/>
          <w:i/>
          <w:iCs/>
          <w:lang w:val="pl-PL"/>
        </w:rPr>
        <w:t xml:space="preserve">sankcje USA obejmują nie tylko dwa podmioty - VEB i PSB - ale także 42 ich spółki zależne. Firmy powinny upewnić się, że nie prowadzą działalności biznesowej z tymi dwoma podmiotami i ich spółkami zależnymi. </w:t>
      </w:r>
    </w:p>
    <w:p w14:paraId="35637C43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44A2F187" w14:textId="77777777" w:rsidR="003D54F3" w:rsidRDefault="0066181C">
      <w:pPr>
        <w:jc w:val="both"/>
        <w:rPr>
          <w:rFonts w:ascii="Arial" w:hAnsi="Arial" w:cs="Arial"/>
          <w:b/>
          <w:bCs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u w:val="single"/>
          <w:lang w:val="en-US"/>
        </w:rPr>
        <w:t>Punkty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dodatkowe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>:</w:t>
      </w:r>
    </w:p>
    <w:p w14:paraId="3A18A40E" w14:textId="77777777" w:rsidR="00EA297B" w:rsidRDefault="00EA297B" w:rsidP="00CB5333">
      <w:pP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5E5A8905" w14:textId="77777777" w:rsidR="003D54F3" w:rsidRPr="007B6D4A" w:rsidRDefault="0066181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Środki zastosowane przez UE</w:t>
      </w:r>
      <w:r w:rsidRPr="007B6D4A">
        <w:rPr>
          <w:rFonts w:ascii="Arial" w:eastAsia="Times New Roman" w:hAnsi="Arial" w:cs="Arial"/>
          <w:lang w:val="pl-PL"/>
        </w:rPr>
        <w:t xml:space="preserve"> </w:t>
      </w:r>
      <w:r w:rsidR="00F42704" w:rsidRPr="007B6D4A">
        <w:rPr>
          <w:rFonts w:ascii="Arial" w:eastAsia="Times New Roman" w:hAnsi="Arial" w:cs="Arial"/>
          <w:lang w:val="pl-PL"/>
        </w:rPr>
        <w:t xml:space="preserve">weszły w </w:t>
      </w:r>
      <w:r w:rsidRPr="007B6D4A">
        <w:rPr>
          <w:rFonts w:ascii="Arial" w:eastAsia="Times New Roman" w:hAnsi="Arial" w:cs="Arial"/>
          <w:lang w:val="pl-PL"/>
        </w:rPr>
        <w:t>życie natychmiast.</w:t>
      </w:r>
    </w:p>
    <w:p w14:paraId="52478026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1C0C0AE6" w14:textId="77777777" w:rsidR="003D54F3" w:rsidRPr="007B6D4A" w:rsidRDefault="0066181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Po decyzji rządu niemieckiego o wstrzymaniu procesu certyfikacji gazociągu </w:t>
      </w:r>
      <w:proofErr w:type="spellStart"/>
      <w:r w:rsidRPr="007B6D4A">
        <w:rPr>
          <w:rFonts w:ascii="Arial" w:eastAsia="Times New Roman" w:hAnsi="Arial" w:cs="Arial"/>
          <w:lang w:val="pl-PL"/>
        </w:rPr>
        <w:t>Nord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</w:t>
      </w:r>
      <w:proofErr w:type="spellStart"/>
      <w:r w:rsidRPr="007B6D4A">
        <w:rPr>
          <w:rFonts w:ascii="Arial" w:eastAsia="Times New Roman" w:hAnsi="Arial" w:cs="Arial"/>
          <w:lang w:val="pl-PL"/>
        </w:rPr>
        <w:t>Stream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2 i ponownej ocenie całego projektu, administracja amerykańska ogłosiła, że zezwoli na nałożenie sankcji na spółkę odpowiedzialną za projek</w:t>
      </w:r>
      <w:r w:rsidRPr="007B6D4A">
        <w:rPr>
          <w:rFonts w:ascii="Arial" w:eastAsia="Times New Roman" w:hAnsi="Arial" w:cs="Arial"/>
          <w:lang w:val="pl-PL"/>
        </w:rPr>
        <w:t xml:space="preserve">t </w:t>
      </w:r>
      <w:proofErr w:type="spellStart"/>
      <w:r w:rsidRPr="007B6D4A">
        <w:rPr>
          <w:rFonts w:ascii="Arial" w:eastAsia="Times New Roman" w:hAnsi="Arial" w:cs="Arial"/>
          <w:lang w:val="pl-PL"/>
        </w:rPr>
        <w:t>Nord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</w:t>
      </w:r>
      <w:proofErr w:type="spellStart"/>
      <w:r w:rsidRPr="007B6D4A">
        <w:rPr>
          <w:rFonts w:ascii="Arial" w:eastAsia="Times New Roman" w:hAnsi="Arial" w:cs="Arial"/>
          <w:lang w:val="pl-PL"/>
        </w:rPr>
        <w:t>Stream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2 </w:t>
      </w:r>
      <w:r w:rsidR="00ED706E" w:rsidRPr="007B6D4A">
        <w:rPr>
          <w:rFonts w:ascii="Arial" w:eastAsia="Times New Roman" w:hAnsi="Arial" w:cs="Arial"/>
          <w:lang w:val="pl-PL"/>
        </w:rPr>
        <w:t xml:space="preserve">- </w:t>
      </w:r>
      <w:proofErr w:type="spellStart"/>
      <w:r w:rsidRPr="007B6D4A">
        <w:rPr>
          <w:rFonts w:ascii="Arial" w:eastAsia="Times New Roman" w:hAnsi="Arial" w:cs="Arial"/>
          <w:lang w:val="pl-PL"/>
        </w:rPr>
        <w:t>Nord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</w:t>
      </w:r>
      <w:proofErr w:type="spellStart"/>
      <w:r w:rsidRPr="007B6D4A">
        <w:rPr>
          <w:rFonts w:ascii="Arial" w:eastAsia="Times New Roman" w:hAnsi="Arial" w:cs="Arial"/>
          <w:lang w:val="pl-PL"/>
        </w:rPr>
        <w:t>Stream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AG i jej dyrektora generalnego, po tym jak w zeszłym roku zablokowała takie sankcje, powołując się na odstępstwo od zasad bezpieczeństwa narodowego. </w:t>
      </w:r>
    </w:p>
    <w:p w14:paraId="150ACBE9" w14:textId="77777777" w:rsidR="00F42704" w:rsidRPr="007B6D4A" w:rsidRDefault="00F42704" w:rsidP="00F42704">
      <w:pPr>
        <w:rPr>
          <w:rFonts w:ascii="Arial" w:eastAsia="Times New Roman" w:hAnsi="Arial" w:cs="Arial"/>
          <w:lang w:val="pl-PL"/>
        </w:rPr>
      </w:pPr>
    </w:p>
    <w:p w14:paraId="5A3D5F84" w14:textId="1740882B" w:rsidR="003D54F3" w:rsidRPr="006F34EE" w:rsidRDefault="0066181C">
      <w:pPr>
        <w:rPr>
          <w:rFonts w:ascii="Arial" w:eastAsia="Times New Roman" w:hAnsi="Arial" w:cs="Arial"/>
          <w:u w:val="single"/>
          <w:lang w:val="pl-PL"/>
        </w:rPr>
      </w:pPr>
      <w:r w:rsidRPr="006F34EE">
        <w:rPr>
          <w:rFonts w:ascii="Arial" w:eastAsia="Times New Roman" w:hAnsi="Arial" w:cs="Arial"/>
          <w:u w:val="single"/>
          <w:lang w:val="pl-PL"/>
        </w:rPr>
        <w:t xml:space="preserve">Linki do oficjalnych </w:t>
      </w:r>
      <w:r w:rsidR="006F34EE" w:rsidRPr="006F34EE">
        <w:rPr>
          <w:rFonts w:ascii="Arial" w:eastAsia="Times New Roman" w:hAnsi="Arial" w:cs="Arial"/>
          <w:u w:val="single"/>
          <w:lang w:val="pl-PL"/>
        </w:rPr>
        <w:t>stanowisk poszczególnych państw</w:t>
      </w:r>
      <w:r w:rsidRPr="006F34EE">
        <w:rPr>
          <w:rFonts w:ascii="Arial" w:eastAsia="Times New Roman" w:hAnsi="Arial" w:cs="Arial"/>
          <w:u w:val="single"/>
          <w:lang w:val="pl-PL"/>
        </w:rPr>
        <w:t>:</w:t>
      </w:r>
    </w:p>
    <w:p w14:paraId="7F863BCB" w14:textId="77777777" w:rsidR="003D54F3" w:rsidRDefault="0066181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 xml:space="preserve">UE: </w:t>
      </w:r>
      <w:r w:rsidR="00986C07" w:rsidRPr="00ED706E">
        <w:fldChar w:fldCharType="begin"/>
      </w:r>
      <w:r w:rsidR="00986C07" w:rsidRPr="00ED706E">
        <w:rPr>
          <w:rFonts w:ascii="Arial" w:hAnsi="Arial" w:cs="Arial"/>
          <w:lang w:val="fr-FR"/>
        </w:rPr>
        <w:instrText xml:space="preserve"> HYPERLINK "https://eur-lex.europa.eu/legal-content/EN/TXT/PDF/?uri=OJ:L:2022:042I:FULL&amp;from=EN" </w:instrText>
      </w:r>
      <w:r w:rsidR="00986C07" w:rsidRPr="00ED706E">
        <w:fldChar w:fldCharType="separate"/>
      </w:r>
      <w:r w:rsidRPr="00ED706E">
        <w:rPr>
          <w:rStyle w:val="Hipercze"/>
          <w:rFonts w:ascii="Arial" w:eastAsia="Times New Roman" w:hAnsi="Arial" w:cs="Arial"/>
          <w:lang w:val="pt-PT"/>
        </w:rPr>
        <w:t>https://eur-lex.europa.eu/legal-content/EN/TXT/PDF/?uri=OJ:L:2022:042I:FULL&amp;from=EN</w:t>
      </w:r>
      <w:r w:rsidR="00986C07" w:rsidRPr="00ED706E">
        <w:rPr>
          <w:rStyle w:val="Hipercze"/>
          <w:rFonts w:ascii="Arial" w:eastAsia="Times New Roman" w:hAnsi="Arial" w:cs="Arial"/>
          <w:lang w:val="pt-PT"/>
        </w:rPr>
        <w:fldChar w:fldCharType="end"/>
      </w:r>
    </w:p>
    <w:p w14:paraId="5BB0C9B7" w14:textId="77777777" w:rsidR="003D54F3" w:rsidRDefault="0066181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t-PT"/>
        </w:rPr>
      </w:pPr>
      <w:hyperlink r:id="rId8" w:history="1">
        <w:r w:rsidR="00F42704" w:rsidRPr="00ED706E">
          <w:rPr>
            <w:rStyle w:val="Hipercze"/>
            <w:rFonts w:ascii="Arial" w:eastAsia="Times New Roman" w:hAnsi="Arial" w:cs="Arial"/>
            <w:lang w:val="pt-PT"/>
          </w:rPr>
          <w:t>https://eur-lex.europa.eu/legal-content/EN/TXT/PDF/?uri=CELEX:52022XC0223(04)&amp;from=PL</w:t>
        </w:r>
      </w:hyperlink>
    </w:p>
    <w:p w14:paraId="28374BC5" w14:textId="77777777" w:rsidR="00F42704" w:rsidRDefault="00F42704" w:rsidP="00F42704">
      <w:pPr>
        <w:ind w:left="360"/>
        <w:rPr>
          <w:rFonts w:ascii="Arial" w:hAnsi="Arial" w:cs="Arial"/>
          <w:lang w:val="pt-PT"/>
        </w:rPr>
      </w:pPr>
    </w:p>
    <w:p w14:paraId="6C6299AF" w14:textId="77777777" w:rsidR="003D54F3" w:rsidRPr="007B6D4A" w:rsidRDefault="0066181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USA: </w:t>
      </w:r>
      <w:hyperlink r:id="rId9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https://home.treasury.gov/news/press-releases/jy0602 I</w:t>
        </w:r>
      </w:hyperlink>
      <w:r w:rsidRPr="007B6D4A">
        <w:rPr>
          <w:rFonts w:ascii="Arial" w:eastAsia="Times New Roman" w:hAnsi="Arial" w:cs="Arial"/>
          <w:lang w:val="pl-PL"/>
        </w:rPr>
        <w:t xml:space="preserve"> https://ho</w:t>
      </w:r>
      <w:r w:rsidRPr="007B6D4A">
        <w:rPr>
          <w:rFonts w:ascii="Arial" w:eastAsia="Times New Roman" w:hAnsi="Arial" w:cs="Arial"/>
          <w:lang w:val="pl-PL"/>
        </w:rPr>
        <w:t xml:space="preserve">me.treasury.gov/policy-issues/financial-sanctions/recent-actions/20220221_33 </w:t>
      </w:r>
    </w:p>
    <w:p w14:paraId="1DAEB59A" w14:textId="77777777" w:rsidR="003D54F3" w:rsidRPr="007B6D4A" w:rsidRDefault="0066181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UK: </w:t>
      </w:r>
      <w:hyperlink r:id="rId10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>//www.gov.uk/government/publications/financ</w:t>
      </w:r>
      <w:r w:rsidRPr="007B6D4A">
        <w:rPr>
          <w:rFonts w:ascii="Arial" w:eastAsia="Times New Roman" w:hAnsi="Arial" w:cs="Arial"/>
          <w:lang w:val="pl-PL"/>
        </w:rPr>
        <w:t xml:space="preserve">ial-sanctions-ukraine-sovereignty-and-territorial-integrity </w:t>
      </w:r>
    </w:p>
    <w:p w14:paraId="5279A57E" w14:textId="77777777" w:rsidR="00F42704" w:rsidRPr="007B6D4A" w:rsidRDefault="00F42704" w:rsidP="00F42704">
      <w:pPr>
        <w:rPr>
          <w:rFonts w:ascii="Arial" w:hAnsi="Arial" w:cs="Arial"/>
          <w:lang w:val="pl-PL"/>
        </w:rPr>
      </w:pPr>
    </w:p>
    <w:p w14:paraId="1FCEB6BB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lastRenderedPageBreak/>
        <w:t>Przyjęcie podobnych środków zapowiedziały także Australia, Kanada i Japonia.</w:t>
      </w:r>
    </w:p>
    <w:p w14:paraId="5844E33F" w14:textId="77777777" w:rsidR="00F42704" w:rsidRPr="007B6D4A" w:rsidRDefault="00F42704" w:rsidP="00F42704">
      <w:pPr>
        <w:rPr>
          <w:rFonts w:ascii="Arial" w:eastAsia="Times New Roman" w:hAnsi="Arial" w:cs="Arial"/>
          <w:lang w:val="pl-PL"/>
        </w:rPr>
      </w:pPr>
    </w:p>
    <w:p w14:paraId="65CED462" w14:textId="77777777" w:rsidR="003D54F3" w:rsidRPr="007B6D4A" w:rsidRDefault="0066181C">
      <w:p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>2° PAKIET SANKCJI 26/02/2022</w:t>
      </w:r>
    </w:p>
    <w:p w14:paraId="4AB68E0A" w14:textId="77777777" w:rsidR="00EA297B" w:rsidRPr="007B6D4A" w:rsidRDefault="00EA297B" w:rsidP="00EA297B">
      <w:pPr>
        <w:pStyle w:val="Akapitzlist"/>
        <w:rPr>
          <w:rFonts w:ascii="Arial" w:hAnsi="Arial" w:cs="Arial"/>
          <w:lang w:val="pl-PL"/>
        </w:rPr>
      </w:pPr>
    </w:p>
    <w:p w14:paraId="5873F8B0" w14:textId="77777777" w:rsidR="003D54F3" w:rsidRPr="007B6D4A" w:rsidRDefault="0066181C">
      <w:pPr>
        <w:rPr>
          <w:rFonts w:ascii="Arial" w:hAnsi="Arial" w:cs="Arial"/>
          <w:lang w:val="pl-PL"/>
        </w:rPr>
      </w:pPr>
      <w:bookmarkStart w:id="0" w:name="_Hlk98586962"/>
      <w:r w:rsidRPr="007B6D4A">
        <w:rPr>
          <w:rFonts w:ascii="Arial" w:hAnsi="Arial" w:cs="Arial"/>
          <w:b/>
          <w:bCs/>
          <w:u w:val="single"/>
          <w:lang w:val="pl-PL"/>
        </w:rPr>
        <w:t>Podsumowanie działań</w:t>
      </w:r>
    </w:p>
    <w:bookmarkEnd w:id="0"/>
    <w:p w14:paraId="741856B8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64C3C86D" w14:textId="77777777" w:rsidR="003D54F3" w:rsidRDefault="0066181C">
      <w:pPr>
        <w:jc w:val="both"/>
        <w:rPr>
          <w:rFonts w:ascii="Arial" w:hAnsi="Arial" w:cs="Arial"/>
          <w:lang w:val="en-US"/>
        </w:rPr>
      </w:pPr>
      <w:r w:rsidRPr="007B6D4A">
        <w:rPr>
          <w:rFonts w:ascii="Arial" w:hAnsi="Arial" w:cs="Arial"/>
          <w:lang w:val="pl-PL"/>
        </w:rPr>
        <w:t xml:space="preserve">Mimo pewnych różnic, ogólnie rzecz biorąc, środki są ściśle koordynowane przez UE, USA, Wielką Brytanię i inne kraje. </w:t>
      </w:r>
      <w:r>
        <w:rPr>
          <w:rFonts w:ascii="Arial" w:hAnsi="Arial" w:cs="Arial"/>
          <w:lang w:val="en-US"/>
        </w:rPr>
        <w:t xml:space="preserve">Druga </w:t>
      </w:r>
      <w:proofErr w:type="spellStart"/>
      <w:r>
        <w:rPr>
          <w:rFonts w:ascii="Arial" w:hAnsi="Arial" w:cs="Arial"/>
          <w:lang w:val="en-US"/>
        </w:rPr>
        <w:t>transza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pakietów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sankcji</w:t>
      </w:r>
      <w:proofErr w:type="spellEnd"/>
      <w:r>
        <w:rPr>
          <w:rFonts w:ascii="Arial" w:hAnsi="Arial" w:cs="Arial"/>
          <w:lang w:val="en-US"/>
        </w:rPr>
        <w:t xml:space="preserve"> obejmuje szereg wspólnych obszarów:</w:t>
      </w:r>
    </w:p>
    <w:p w14:paraId="45ECF9E7" w14:textId="77777777" w:rsidR="00EA297B" w:rsidRDefault="00EA297B" w:rsidP="00CB5333">
      <w:pPr>
        <w:jc w:val="both"/>
        <w:rPr>
          <w:rFonts w:ascii="Arial" w:hAnsi="Arial" w:cs="Arial"/>
          <w:lang w:val="en-US"/>
        </w:rPr>
      </w:pPr>
    </w:p>
    <w:p w14:paraId="2F3BF9DF" w14:textId="77777777" w:rsidR="003D54F3" w:rsidRPr="007B6D4A" w:rsidRDefault="0066181C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Wzmocnienie </w:t>
      </w:r>
      <w:r w:rsidRPr="007B6D4A">
        <w:rPr>
          <w:rFonts w:ascii="Arial" w:eastAsia="Times New Roman" w:hAnsi="Arial" w:cs="Arial"/>
          <w:b/>
          <w:bCs/>
          <w:lang w:val="pl-PL"/>
        </w:rPr>
        <w:t>sankcji finansowych</w:t>
      </w:r>
      <w:r w:rsidRPr="007B6D4A">
        <w:rPr>
          <w:rFonts w:ascii="Arial" w:eastAsia="Times New Roman" w:hAnsi="Arial" w:cs="Arial"/>
          <w:lang w:val="pl-PL"/>
        </w:rPr>
        <w:t>, które mają wpłynąć na dostęp Rosji do</w:t>
      </w:r>
      <w:r w:rsidRPr="007B6D4A">
        <w:rPr>
          <w:rFonts w:ascii="Arial" w:eastAsia="Times New Roman" w:hAnsi="Arial" w:cs="Arial"/>
          <w:lang w:val="pl-PL"/>
        </w:rPr>
        <w:t xml:space="preserve"> rynków kapitałowych, rosyjski system finansowy i całą gospodarkę, poprzez objęcie nimi dużych instytucji finansowych, a także ograniczenie możliwości pozyskiwania przez podmioty środków finansowych na rynkach zachodnich. </w:t>
      </w:r>
      <w:r w:rsidRPr="007B6D4A">
        <w:rPr>
          <w:rFonts w:ascii="Arial" w:eastAsia="Times New Roman" w:hAnsi="Arial" w:cs="Arial"/>
          <w:i/>
          <w:iCs/>
          <w:lang w:val="pl-PL"/>
        </w:rPr>
        <w:t xml:space="preserve">(UE, USA i Wielka Brytania) </w:t>
      </w:r>
      <w:r w:rsidR="00843AB2" w:rsidRPr="007B6D4A">
        <w:rPr>
          <w:rFonts w:ascii="Arial" w:eastAsia="Calibri" w:hAnsi="Arial" w:cs="Arial"/>
          <w:lang w:val="pl-PL"/>
        </w:rPr>
        <w:t xml:space="preserve">12 marca 2022 roku weszły w życie przepisy zakazujące niektórym rosyjskim bankom uczestnictwa w systemie SWIFT. Zakaz ten dotyczy: Bank </w:t>
      </w:r>
      <w:proofErr w:type="spellStart"/>
      <w:r w:rsidR="00843AB2" w:rsidRPr="007B6D4A">
        <w:rPr>
          <w:rFonts w:ascii="Arial" w:eastAsia="Calibri" w:hAnsi="Arial" w:cs="Arial"/>
          <w:lang w:val="pl-PL"/>
        </w:rPr>
        <w:t>Otkritie</w:t>
      </w:r>
      <w:proofErr w:type="spellEnd"/>
      <w:r w:rsidR="00843AB2" w:rsidRPr="007B6D4A">
        <w:rPr>
          <w:rFonts w:ascii="Arial" w:eastAsia="Calibri" w:hAnsi="Arial" w:cs="Arial"/>
          <w:lang w:val="pl-PL"/>
        </w:rPr>
        <w:t xml:space="preserve">, </w:t>
      </w:r>
      <w:proofErr w:type="spellStart"/>
      <w:r w:rsidR="00843AB2" w:rsidRPr="007B6D4A">
        <w:rPr>
          <w:rFonts w:ascii="Arial" w:eastAsia="Calibri" w:hAnsi="Arial" w:cs="Arial"/>
          <w:lang w:val="pl-PL"/>
        </w:rPr>
        <w:t>Novikombank</w:t>
      </w:r>
      <w:proofErr w:type="spellEnd"/>
      <w:r w:rsidR="00843AB2" w:rsidRPr="007B6D4A">
        <w:rPr>
          <w:rFonts w:ascii="Arial" w:eastAsia="Calibri" w:hAnsi="Arial" w:cs="Arial"/>
          <w:lang w:val="pl-PL"/>
        </w:rPr>
        <w:t xml:space="preserve">, </w:t>
      </w:r>
      <w:proofErr w:type="spellStart"/>
      <w:r w:rsidR="00843AB2" w:rsidRPr="007B6D4A">
        <w:rPr>
          <w:rFonts w:ascii="Arial" w:eastAsia="Calibri" w:hAnsi="Arial" w:cs="Arial"/>
          <w:lang w:val="pl-PL"/>
        </w:rPr>
        <w:t>Promsvyazbank</w:t>
      </w:r>
      <w:proofErr w:type="spellEnd"/>
      <w:r w:rsidR="00843AB2" w:rsidRPr="007B6D4A">
        <w:rPr>
          <w:rFonts w:ascii="Arial" w:eastAsia="Calibri" w:hAnsi="Arial" w:cs="Arial"/>
          <w:lang w:val="pl-PL"/>
        </w:rPr>
        <w:t xml:space="preserve">, </w:t>
      </w:r>
      <w:proofErr w:type="spellStart"/>
      <w:r w:rsidR="00843AB2" w:rsidRPr="007B6D4A">
        <w:rPr>
          <w:rFonts w:ascii="Arial" w:eastAsia="Calibri" w:hAnsi="Arial" w:cs="Arial"/>
          <w:lang w:val="pl-PL"/>
        </w:rPr>
        <w:t>Rossiya</w:t>
      </w:r>
      <w:proofErr w:type="spellEnd"/>
      <w:r w:rsidR="00843AB2" w:rsidRPr="007B6D4A">
        <w:rPr>
          <w:rFonts w:ascii="Arial" w:eastAsia="Calibri" w:hAnsi="Arial" w:cs="Arial"/>
          <w:lang w:val="pl-PL"/>
        </w:rPr>
        <w:t xml:space="preserve"> Bank, </w:t>
      </w:r>
      <w:proofErr w:type="spellStart"/>
      <w:r w:rsidR="00843AB2" w:rsidRPr="007B6D4A">
        <w:rPr>
          <w:rFonts w:ascii="Arial" w:eastAsia="Calibri" w:hAnsi="Arial" w:cs="Arial"/>
          <w:lang w:val="pl-PL"/>
        </w:rPr>
        <w:t>Sovcombank</w:t>
      </w:r>
      <w:proofErr w:type="spellEnd"/>
      <w:r w:rsidR="00843AB2" w:rsidRPr="007B6D4A">
        <w:rPr>
          <w:rFonts w:ascii="Arial" w:eastAsia="Calibri" w:hAnsi="Arial" w:cs="Arial"/>
          <w:lang w:val="pl-PL"/>
        </w:rPr>
        <w:t xml:space="preserve">, VNESHECONOMBANK (VEB) oraz VTB BANK.  </w:t>
      </w:r>
    </w:p>
    <w:p w14:paraId="2AEDA985" w14:textId="3FCB013F" w:rsidR="003D54F3" w:rsidRPr="007B6D4A" w:rsidRDefault="0066181C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lang w:val="pl-PL"/>
        </w:rPr>
      </w:pPr>
      <w:r w:rsidRPr="007B6D4A">
        <w:rPr>
          <w:rFonts w:ascii="Arial" w:eastAsia="Calibri" w:hAnsi="Arial" w:cs="Arial"/>
          <w:lang w:val="pl-PL"/>
        </w:rPr>
        <w:t>Zabronione jest także i</w:t>
      </w:r>
      <w:r w:rsidRPr="007B6D4A">
        <w:rPr>
          <w:rFonts w:ascii="Arial" w:eastAsia="Calibri" w:hAnsi="Arial" w:cs="Arial"/>
          <w:lang w:val="pl-PL"/>
        </w:rPr>
        <w:t>nwestowanie, uczestnictwo lub inny wkład w przyszłe projekty współfinansowane przez Rosyjski Fundusz Inwestycji Bezpośrednich</w:t>
      </w:r>
      <w:r w:rsidR="006F34EE">
        <w:rPr>
          <w:rFonts w:ascii="Arial" w:eastAsia="Calibri" w:hAnsi="Arial" w:cs="Arial"/>
          <w:lang w:val="pl-PL"/>
        </w:rPr>
        <w:t xml:space="preserve"> ( ang. Russian Direct Investment Fund, RDIF)</w:t>
      </w:r>
      <w:r w:rsidRPr="007B6D4A">
        <w:rPr>
          <w:rFonts w:ascii="Arial" w:eastAsia="Calibri" w:hAnsi="Arial" w:cs="Arial"/>
          <w:lang w:val="pl-PL"/>
        </w:rPr>
        <w:t xml:space="preserve"> oraz sprzedaż, dostawa, przekazywanie lub eksport banknotów denominowanych w euro do Rosji lub do jakiejkolwiek osoby fizycznej lu</w:t>
      </w:r>
      <w:r w:rsidRPr="007B6D4A">
        <w:rPr>
          <w:rFonts w:ascii="Arial" w:eastAsia="Calibri" w:hAnsi="Arial" w:cs="Arial"/>
          <w:lang w:val="pl-PL"/>
        </w:rPr>
        <w:t>b prawnej, podmiotu lub organu w Rosji, w tym rządu i Centralnego Banku Rosji, lub do użytku w Rosji.</w:t>
      </w:r>
    </w:p>
    <w:p w14:paraId="7A8D0E0F" w14:textId="77777777" w:rsidR="003D54F3" w:rsidRDefault="0066181C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val="en-US"/>
        </w:rPr>
      </w:pPr>
      <w:r w:rsidRPr="007B6D4A">
        <w:rPr>
          <w:rFonts w:ascii="Arial" w:eastAsia="Times New Roman" w:hAnsi="Arial" w:cs="Arial"/>
          <w:lang w:val="pl-PL"/>
        </w:rPr>
        <w:t xml:space="preserve">Rygorystyczne </w:t>
      </w:r>
      <w:r w:rsidRPr="007B6D4A">
        <w:rPr>
          <w:rFonts w:ascii="Arial" w:eastAsia="Times New Roman" w:hAnsi="Arial" w:cs="Arial"/>
          <w:b/>
          <w:bCs/>
          <w:lang w:val="pl-PL"/>
        </w:rPr>
        <w:t xml:space="preserve">kontrole eksportu </w:t>
      </w:r>
      <w:r w:rsidRPr="007B6D4A">
        <w:rPr>
          <w:rFonts w:ascii="Arial" w:eastAsia="Times New Roman" w:hAnsi="Arial" w:cs="Arial"/>
          <w:lang w:val="pl-PL"/>
        </w:rPr>
        <w:t xml:space="preserve">utrudniają Rosji dostęp do najnowocześniejszych technologii i wpływają na jej potencjał wojskowy i przemysłowy. </w:t>
      </w:r>
      <w:r>
        <w:rPr>
          <w:rFonts w:ascii="Arial" w:eastAsia="Times New Roman" w:hAnsi="Arial" w:cs="Arial"/>
          <w:i/>
          <w:iCs/>
          <w:lang w:val="en-US"/>
        </w:rPr>
        <w:t>(UE I USA)</w:t>
      </w:r>
    </w:p>
    <w:p w14:paraId="10613EE0" w14:textId="77777777" w:rsidR="003D54F3" w:rsidRPr="007B6D4A" w:rsidRDefault="0066181C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 xml:space="preserve">Osoby fizyczne </w:t>
      </w:r>
      <w:r w:rsidRPr="007B6D4A">
        <w:rPr>
          <w:rFonts w:ascii="Arial" w:eastAsia="Times New Roman" w:hAnsi="Arial" w:cs="Arial"/>
          <w:lang w:val="pl-PL"/>
        </w:rPr>
        <w:t xml:space="preserve">- członkowie rosyjskiej elity i ich rodziny, w tym prezydent Putin i minister spraw zagranicznych </w:t>
      </w:r>
      <w:proofErr w:type="spellStart"/>
      <w:r w:rsidRPr="007B6D4A">
        <w:rPr>
          <w:rFonts w:ascii="Arial" w:eastAsia="Times New Roman" w:hAnsi="Arial" w:cs="Arial"/>
          <w:lang w:val="pl-PL"/>
        </w:rPr>
        <w:t>Ławrow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- oraz podmio</w:t>
      </w:r>
      <w:r w:rsidRPr="007B6D4A">
        <w:rPr>
          <w:rFonts w:ascii="Arial" w:eastAsia="Times New Roman" w:hAnsi="Arial" w:cs="Arial"/>
          <w:lang w:val="pl-PL"/>
        </w:rPr>
        <w:t xml:space="preserve">ty, którym grozi zakaz wydawania wiz i zamrożenie aktywów. </w:t>
      </w:r>
    </w:p>
    <w:p w14:paraId="7DB5E0BA" w14:textId="77777777" w:rsidR="003D54F3" w:rsidRDefault="0066181C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lang w:val="en-US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 xml:space="preserve">Białorusi </w:t>
      </w:r>
      <w:r w:rsidRPr="007B6D4A">
        <w:rPr>
          <w:rFonts w:ascii="Arial" w:eastAsia="Times New Roman" w:hAnsi="Arial" w:cs="Arial"/>
          <w:lang w:val="pl-PL"/>
        </w:rPr>
        <w:t xml:space="preserve">za jej rolę w konflikcie. </w:t>
      </w:r>
      <w:r>
        <w:rPr>
          <w:rFonts w:ascii="Arial" w:eastAsia="Times New Roman" w:hAnsi="Arial" w:cs="Arial"/>
          <w:i/>
          <w:iCs/>
          <w:lang w:val="en-US"/>
        </w:rPr>
        <w:t>(UE I USA)</w:t>
      </w:r>
    </w:p>
    <w:p w14:paraId="457B391B" w14:textId="77777777" w:rsidR="00EA297B" w:rsidRDefault="00EA297B" w:rsidP="00CB5333">
      <w:pPr>
        <w:jc w:val="both"/>
        <w:rPr>
          <w:rFonts w:ascii="Arial" w:hAnsi="Arial" w:cs="Arial"/>
          <w:lang w:val="en-US"/>
        </w:rPr>
      </w:pPr>
    </w:p>
    <w:p w14:paraId="234A8C43" w14:textId="77777777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 xml:space="preserve">Jeśli chodzi o </w:t>
      </w:r>
      <w:r w:rsidRPr="007B6D4A">
        <w:rPr>
          <w:rFonts w:ascii="Arial" w:hAnsi="Arial" w:cs="Arial"/>
          <w:b/>
          <w:bCs/>
          <w:lang w:val="pl-PL"/>
        </w:rPr>
        <w:t>sektor energetyczny</w:t>
      </w:r>
      <w:r w:rsidRPr="007B6D4A">
        <w:rPr>
          <w:rFonts w:ascii="Arial" w:hAnsi="Arial" w:cs="Arial"/>
          <w:lang w:val="pl-PL"/>
        </w:rPr>
        <w:t xml:space="preserve">, UE zabroni sprzedaży, dostaw, przekazywania lub eksportu do Rosji określonych towarów i technologii stosowanych </w:t>
      </w:r>
      <w:r w:rsidRPr="007B6D4A">
        <w:rPr>
          <w:rFonts w:ascii="Arial" w:hAnsi="Arial" w:cs="Arial"/>
          <w:lang w:val="pl-PL"/>
        </w:rPr>
        <w:t>w rafinacji ropy naftowej oraz wprowadzi ograniczenia w świadczeniu usług z tym związanych. Wprowadzając taki zakaz eksportu, UE zamierza uderzyć w rosyjski sektor naftowy i uniemożliwić Rosji modernizację rafinerii.</w:t>
      </w:r>
    </w:p>
    <w:p w14:paraId="7DF3BCCE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0A9F1C35" w14:textId="1E115049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 xml:space="preserve">Jeśli chodzi o </w:t>
      </w:r>
      <w:r w:rsidRPr="007B6D4A">
        <w:rPr>
          <w:rFonts w:ascii="Arial" w:hAnsi="Arial" w:cs="Arial"/>
          <w:b/>
          <w:bCs/>
          <w:lang w:val="pl-PL"/>
        </w:rPr>
        <w:t>sektor transportu</w:t>
      </w:r>
      <w:r w:rsidRPr="007B6D4A">
        <w:rPr>
          <w:rFonts w:ascii="Arial" w:hAnsi="Arial" w:cs="Arial"/>
          <w:lang w:val="pl-PL"/>
        </w:rPr>
        <w:t>, UE wprowadziła zakaz eksportu towarów i technologii stosowanych w przemyśle lotniczym i kosmicznym, a także zakaz świadczenia usług ubezpieczeniowych i reasekuracyjnych oraz serwisowych związanych z tymi towarami i technologiami. UE zabr</w:t>
      </w:r>
      <w:r w:rsidRPr="007B6D4A">
        <w:rPr>
          <w:rFonts w:ascii="Arial" w:hAnsi="Arial" w:cs="Arial"/>
          <w:lang w:val="pl-PL"/>
        </w:rPr>
        <w:t>oni również udzielania powiązanej pomocy technicznej i finansowej. Zakaz sprzedaży rosyjskim liniom lotniczym wszystkich samolotów, części zamiennych i sprzętu pogorszy sytuację w jednym z kluczowych sektorów rosyjskiej gospodarki oraz pogorszy łączność kr</w:t>
      </w:r>
      <w:r w:rsidRPr="007B6D4A">
        <w:rPr>
          <w:rFonts w:ascii="Arial" w:hAnsi="Arial" w:cs="Arial"/>
          <w:lang w:val="pl-PL"/>
        </w:rPr>
        <w:t xml:space="preserve">aju, ponieważ trzy czwarte obecnej rosyjskiej komercyjnej floty powietrznej zostało </w:t>
      </w:r>
      <w:r w:rsidR="006F34EE">
        <w:rPr>
          <w:rFonts w:ascii="Arial" w:hAnsi="Arial" w:cs="Arial"/>
          <w:lang w:val="pl-PL"/>
        </w:rPr>
        <w:t>złożone w zakładach</w:t>
      </w:r>
      <w:r w:rsidRPr="007B6D4A">
        <w:rPr>
          <w:rFonts w:ascii="Arial" w:hAnsi="Arial" w:cs="Arial"/>
          <w:lang w:val="pl-PL"/>
        </w:rPr>
        <w:t xml:space="preserve"> w UE, USA i Kanadzie.</w:t>
      </w:r>
    </w:p>
    <w:p w14:paraId="1509C9FD" w14:textId="77777777" w:rsidR="00843AB2" w:rsidRPr="007B6D4A" w:rsidRDefault="00843AB2" w:rsidP="00CB5333">
      <w:pPr>
        <w:jc w:val="both"/>
        <w:rPr>
          <w:rFonts w:ascii="Arial" w:hAnsi="Arial" w:cs="Arial"/>
          <w:lang w:val="pl-PL"/>
        </w:rPr>
      </w:pPr>
    </w:p>
    <w:p w14:paraId="3396B33F" w14:textId="77777777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lastRenderedPageBreak/>
        <w:t xml:space="preserve">UE zamknęła swoją przestrzeń powietrzną dla samolotów rosyjskich </w:t>
      </w:r>
      <w:r w:rsidR="00AA0F17" w:rsidRPr="007B6D4A">
        <w:rPr>
          <w:rFonts w:ascii="Arial" w:hAnsi="Arial" w:cs="Arial"/>
          <w:lang w:val="pl-PL"/>
        </w:rPr>
        <w:t xml:space="preserve">(a także amerykańskich) </w:t>
      </w:r>
      <w:r w:rsidRPr="007B6D4A">
        <w:rPr>
          <w:rFonts w:ascii="Arial" w:hAnsi="Arial" w:cs="Arial"/>
          <w:lang w:val="pl-PL"/>
        </w:rPr>
        <w:t xml:space="preserve">i zakazała działalności państwowych mediów Russia </w:t>
      </w:r>
      <w:proofErr w:type="spellStart"/>
      <w:r w:rsidRPr="007B6D4A">
        <w:rPr>
          <w:rFonts w:ascii="Arial" w:hAnsi="Arial" w:cs="Arial"/>
          <w:lang w:val="pl-PL"/>
        </w:rPr>
        <w:t>Today</w:t>
      </w:r>
      <w:proofErr w:type="spellEnd"/>
      <w:r w:rsidRPr="007B6D4A">
        <w:rPr>
          <w:rFonts w:ascii="Arial" w:hAnsi="Arial" w:cs="Arial"/>
          <w:lang w:val="pl-PL"/>
        </w:rPr>
        <w:t xml:space="preserve"> i Sputnik oraz ich filii. </w:t>
      </w:r>
    </w:p>
    <w:p w14:paraId="3767448A" w14:textId="77777777" w:rsidR="00CB5333" w:rsidRPr="007B6D4A" w:rsidRDefault="00CB5333" w:rsidP="00CB5333">
      <w:pPr>
        <w:jc w:val="both"/>
        <w:rPr>
          <w:rFonts w:ascii="Arial" w:hAnsi="Arial" w:cs="Arial"/>
          <w:lang w:val="pl-PL"/>
        </w:rPr>
      </w:pPr>
    </w:p>
    <w:p w14:paraId="0FBD3502" w14:textId="77777777" w:rsidR="00216BAB" w:rsidRPr="007B6D4A" w:rsidRDefault="00216BAB" w:rsidP="00CB5333">
      <w:pPr>
        <w:jc w:val="both"/>
        <w:rPr>
          <w:rFonts w:ascii="Arial" w:hAnsi="Arial" w:cs="Arial"/>
          <w:b/>
          <w:bCs/>
          <w:lang w:val="pl-PL"/>
        </w:rPr>
      </w:pPr>
    </w:p>
    <w:p w14:paraId="68A73D27" w14:textId="77777777" w:rsidR="00216BAB" w:rsidRPr="007B6D4A" w:rsidRDefault="00216BAB" w:rsidP="00CB5333">
      <w:pPr>
        <w:jc w:val="both"/>
        <w:rPr>
          <w:rFonts w:ascii="Arial" w:hAnsi="Arial" w:cs="Arial"/>
          <w:b/>
          <w:bCs/>
          <w:lang w:val="pl-PL"/>
        </w:rPr>
      </w:pPr>
    </w:p>
    <w:p w14:paraId="72E2008B" w14:textId="77777777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 xml:space="preserve">Białoruś </w:t>
      </w:r>
      <w:r w:rsidRPr="007B6D4A">
        <w:rPr>
          <w:rFonts w:ascii="Arial" w:hAnsi="Arial" w:cs="Arial"/>
          <w:lang w:val="pl-PL"/>
        </w:rPr>
        <w:t xml:space="preserve">jest również objęta sankcjami UE za rolę, jaką odegrała w </w:t>
      </w:r>
      <w:r w:rsidR="00E16C1B" w:rsidRPr="007B6D4A">
        <w:rPr>
          <w:rFonts w:ascii="Arial" w:hAnsi="Arial" w:cs="Arial"/>
          <w:lang w:val="pl-PL"/>
        </w:rPr>
        <w:t xml:space="preserve">wojnie </w:t>
      </w:r>
      <w:r w:rsidRPr="007B6D4A">
        <w:rPr>
          <w:rFonts w:ascii="Arial" w:hAnsi="Arial" w:cs="Arial"/>
          <w:lang w:val="pl-PL"/>
        </w:rPr>
        <w:t xml:space="preserve">przeciwko Ukrainie. </w:t>
      </w:r>
      <w:r w:rsidR="00E16C1B" w:rsidRPr="007B6D4A">
        <w:rPr>
          <w:rFonts w:ascii="Arial" w:hAnsi="Arial" w:cs="Arial"/>
          <w:lang w:val="pl-PL"/>
        </w:rPr>
        <w:t xml:space="preserve">UE nałożyła sankcje na 22 wysokiej rangi członków białoruskiego personelu wojskowego w związku z ich rolą w procesach podejmowania decyzji i planowania strategicznego, które doprowadziły do zaangażowania Białorusi w rosyjską agresję na Ukrainę. </w:t>
      </w:r>
    </w:p>
    <w:p w14:paraId="633BCC9B" w14:textId="77777777" w:rsidR="00E16C1B" w:rsidRPr="007B6D4A" w:rsidRDefault="00E16C1B" w:rsidP="00CB5333">
      <w:pPr>
        <w:jc w:val="both"/>
        <w:rPr>
          <w:rFonts w:ascii="Arial" w:hAnsi="Arial" w:cs="Arial"/>
          <w:lang w:val="pl-PL"/>
        </w:rPr>
      </w:pPr>
    </w:p>
    <w:p w14:paraId="082536BF" w14:textId="77777777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>Ponadto w</w:t>
      </w:r>
      <w:r w:rsidRPr="007B6D4A">
        <w:rPr>
          <w:rFonts w:ascii="Arial" w:hAnsi="Arial" w:cs="Arial"/>
          <w:lang w:val="pl-PL"/>
        </w:rPr>
        <w:t>prowadzono więcej ograniczeń w handlu towarami wykorzystywanymi do produkcji lub wytwarzania wyrobów tytoniowych, paliw mineralnych, substancji bitumicznych i gazowych produktów węglowodorowych, produktów na bazie chlorku potasu ("potaż"), produktów drewni</w:t>
      </w:r>
      <w:r w:rsidRPr="007B6D4A">
        <w:rPr>
          <w:rFonts w:ascii="Arial" w:hAnsi="Arial" w:cs="Arial"/>
          <w:lang w:val="pl-PL"/>
        </w:rPr>
        <w:t>anych, produktów cementowych, produktów z żelaza i stali oraz produktów gumowych. Nałożono również dalsze ograniczenia na eksport towarów i technologii podwójnego zastosowania oraz niektórych zaawansowanych towarów i technologii, które mogłyby przyczynić s</w:t>
      </w:r>
      <w:r w:rsidRPr="007B6D4A">
        <w:rPr>
          <w:rFonts w:ascii="Arial" w:hAnsi="Arial" w:cs="Arial"/>
          <w:lang w:val="pl-PL"/>
        </w:rPr>
        <w:t>ię do rozwoju wojskowego, technologicznego, obronnego i bezpieczeństwa Białorusi, a także ograniczenia w świadczeniu usług powiązanych.</w:t>
      </w:r>
    </w:p>
    <w:p w14:paraId="16B1E819" w14:textId="77777777" w:rsidR="00EA297B" w:rsidRPr="007B6D4A" w:rsidRDefault="00EA297B" w:rsidP="00CB5333">
      <w:pPr>
        <w:jc w:val="both"/>
        <w:rPr>
          <w:i/>
          <w:iCs/>
          <w:lang w:val="pl-PL"/>
        </w:rPr>
      </w:pPr>
    </w:p>
    <w:p w14:paraId="4221CF17" w14:textId="77777777" w:rsidR="003D54F3" w:rsidRPr="007B6D4A" w:rsidRDefault="0066181C">
      <w:pPr>
        <w:jc w:val="both"/>
        <w:rPr>
          <w:rFonts w:ascii="Arial" w:hAnsi="Arial" w:cs="Arial"/>
          <w:b/>
          <w:bCs/>
          <w:i/>
          <w:iCs/>
          <w:color w:val="FF0000"/>
          <w:lang w:val="pl-PL"/>
        </w:rPr>
      </w:pPr>
      <w:r w:rsidRPr="007B6D4A">
        <w:rPr>
          <w:rFonts w:ascii="Arial" w:hAnsi="Arial" w:cs="Arial"/>
          <w:b/>
          <w:bCs/>
          <w:i/>
          <w:iCs/>
          <w:color w:val="FF0000"/>
          <w:lang w:val="pl-PL"/>
        </w:rPr>
        <w:t xml:space="preserve">Ważna uwaga: </w:t>
      </w:r>
      <w:r w:rsidRPr="007B6D4A">
        <w:rPr>
          <w:rFonts w:ascii="Arial" w:hAnsi="Arial" w:cs="Arial"/>
          <w:i/>
          <w:iCs/>
          <w:lang w:val="pl-PL"/>
        </w:rPr>
        <w:t xml:space="preserve">w odniesieniu do eksportu produktów podwójnego zastosowania </w:t>
      </w:r>
      <w:r w:rsidR="00131C25" w:rsidRPr="007B6D4A">
        <w:rPr>
          <w:rFonts w:ascii="Arial" w:hAnsi="Arial" w:cs="Arial"/>
          <w:i/>
          <w:iCs/>
          <w:lang w:val="pl-PL"/>
        </w:rPr>
        <w:t xml:space="preserve">przewidziano </w:t>
      </w:r>
      <w:r w:rsidRPr="007B6D4A">
        <w:rPr>
          <w:rFonts w:ascii="Arial" w:hAnsi="Arial" w:cs="Arial"/>
          <w:i/>
          <w:iCs/>
          <w:lang w:val="pl-PL"/>
        </w:rPr>
        <w:t>wyjątki obejmujące operacje wewną</w:t>
      </w:r>
      <w:r w:rsidRPr="007B6D4A">
        <w:rPr>
          <w:rFonts w:ascii="Arial" w:hAnsi="Arial" w:cs="Arial"/>
          <w:i/>
          <w:iCs/>
          <w:lang w:val="pl-PL"/>
        </w:rPr>
        <w:t xml:space="preserve">trzkorporacyjne przedsiębiorstw UE </w:t>
      </w:r>
      <w:r w:rsidR="00D06092" w:rsidRPr="007B6D4A">
        <w:rPr>
          <w:rFonts w:ascii="Arial" w:hAnsi="Arial" w:cs="Arial"/>
          <w:i/>
          <w:iCs/>
          <w:lang w:val="pl-PL"/>
        </w:rPr>
        <w:t>[</w:t>
      </w:r>
      <w:r w:rsidRPr="007B6D4A">
        <w:rPr>
          <w:rFonts w:ascii="Arial" w:hAnsi="Arial" w:cs="Arial"/>
          <w:i/>
          <w:iCs/>
          <w:lang w:val="pl-PL"/>
        </w:rPr>
        <w:t>art. 2 ust. 4 lit. f)</w:t>
      </w:r>
      <w:r w:rsidR="00131C25" w:rsidRPr="007B6D4A">
        <w:rPr>
          <w:rFonts w:ascii="Arial" w:hAnsi="Arial" w:cs="Arial"/>
          <w:i/>
          <w:iCs/>
          <w:lang w:val="pl-PL"/>
        </w:rPr>
        <w:t xml:space="preserve">, </w:t>
      </w:r>
      <w:r w:rsidRPr="007B6D4A">
        <w:rPr>
          <w:rFonts w:ascii="Arial" w:hAnsi="Arial" w:cs="Arial"/>
          <w:i/>
          <w:iCs/>
          <w:lang w:val="pl-PL"/>
        </w:rPr>
        <w:t>L49</w:t>
      </w:r>
      <w:r w:rsidR="00D06092" w:rsidRPr="007B6D4A">
        <w:rPr>
          <w:rFonts w:ascii="Arial" w:hAnsi="Arial" w:cs="Arial"/>
          <w:i/>
          <w:iCs/>
          <w:lang w:val="pl-PL"/>
        </w:rPr>
        <w:t xml:space="preserve">], </w:t>
      </w:r>
      <w:r w:rsidRPr="007B6D4A">
        <w:rPr>
          <w:rFonts w:ascii="Arial" w:hAnsi="Arial" w:cs="Arial"/>
          <w:i/>
          <w:iCs/>
          <w:lang w:val="pl-PL"/>
        </w:rPr>
        <w:t xml:space="preserve">a także </w:t>
      </w:r>
      <w:r w:rsidR="00131C25" w:rsidRPr="007B6D4A">
        <w:rPr>
          <w:rFonts w:ascii="Arial" w:hAnsi="Arial" w:cs="Arial"/>
          <w:i/>
          <w:iCs/>
          <w:lang w:val="pl-PL"/>
        </w:rPr>
        <w:t xml:space="preserve">różne </w:t>
      </w:r>
      <w:r w:rsidRPr="007B6D4A">
        <w:rPr>
          <w:rFonts w:ascii="Arial" w:hAnsi="Arial" w:cs="Arial"/>
          <w:i/>
          <w:iCs/>
          <w:lang w:val="pl-PL"/>
        </w:rPr>
        <w:t xml:space="preserve">okresy </w:t>
      </w:r>
      <w:r w:rsidR="00131C25" w:rsidRPr="007B6D4A">
        <w:rPr>
          <w:rFonts w:ascii="Arial" w:hAnsi="Arial" w:cs="Arial"/>
          <w:i/>
          <w:iCs/>
          <w:lang w:val="pl-PL"/>
        </w:rPr>
        <w:t xml:space="preserve">przejściowe </w:t>
      </w:r>
      <w:r w:rsidRPr="007B6D4A">
        <w:rPr>
          <w:rFonts w:ascii="Arial" w:hAnsi="Arial" w:cs="Arial"/>
          <w:i/>
          <w:iCs/>
          <w:lang w:val="pl-PL"/>
        </w:rPr>
        <w:t xml:space="preserve">na wdrożenie </w:t>
      </w:r>
      <w:r w:rsidR="00131C25" w:rsidRPr="007B6D4A">
        <w:rPr>
          <w:rFonts w:ascii="Arial" w:hAnsi="Arial" w:cs="Arial"/>
          <w:i/>
          <w:iCs/>
          <w:lang w:val="pl-PL"/>
        </w:rPr>
        <w:t>w</w:t>
      </w:r>
      <w:r w:rsidRPr="007B6D4A">
        <w:rPr>
          <w:rFonts w:ascii="Arial" w:hAnsi="Arial" w:cs="Arial"/>
          <w:i/>
          <w:iCs/>
          <w:lang w:val="pl-PL"/>
        </w:rPr>
        <w:t xml:space="preserve"> przypadku istniejących kontraktów</w:t>
      </w:r>
      <w:r w:rsidRPr="007B6D4A">
        <w:rPr>
          <w:rFonts w:ascii="Arial" w:hAnsi="Arial" w:cs="Arial"/>
          <w:b/>
          <w:bCs/>
          <w:i/>
          <w:iCs/>
          <w:color w:val="FF0000"/>
          <w:lang w:val="pl-PL"/>
        </w:rPr>
        <w:t xml:space="preserve">. </w:t>
      </w:r>
    </w:p>
    <w:p w14:paraId="26126E30" w14:textId="77777777" w:rsidR="00EA297B" w:rsidRPr="007B6D4A" w:rsidRDefault="00EA297B" w:rsidP="00CB5333">
      <w:pPr>
        <w:jc w:val="both"/>
        <w:rPr>
          <w:lang w:val="pl-PL"/>
        </w:rPr>
      </w:pPr>
    </w:p>
    <w:p w14:paraId="2C19F032" w14:textId="77777777" w:rsidR="003D54F3" w:rsidRPr="007B6D4A" w:rsidRDefault="0066181C">
      <w:pPr>
        <w:jc w:val="both"/>
        <w:rPr>
          <w:rFonts w:ascii="Arial" w:hAnsi="Arial" w:cs="Arial"/>
          <w:b/>
          <w:bCs/>
          <w:u w:val="single"/>
          <w:lang w:val="pl-PL"/>
        </w:rPr>
      </w:pPr>
      <w:r w:rsidRPr="007B6D4A">
        <w:rPr>
          <w:rFonts w:ascii="Arial" w:hAnsi="Arial" w:cs="Arial"/>
          <w:b/>
          <w:bCs/>
          <w:u w:val="single"/>
          <w:lang w:val="pl-PL"/>
        </w:rPr>
        <w:t>Wdrożenie</w:t>
      </w:r>
    </w:p>
    <w:p w14:paraId="7A206FF3" w14:textId="77777777" w:rsidR="00EA297B" w:rsidRPr="007B6D4A" w:rsidRDefault="00EA297B" w:rsidP="00CB5333">
      <w:pPr>
        <w:jc w:val="both"/>
        <w:rPr>
          <w:rFonts w:ascii="Arial" w:hAnsi="Arial" w:cs="Arial"/>
          <w:lang w:val="pl-PL"/>
        </w:rPr>
      </w:pPr>
    </w:p>
    <w:p w14:paraId="4973A98C" w14:textId="77777777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 xml:space="preserve">Przechodząc od procesu decyzyjnego do fazy realizacji, również tutaj podkreślamy znaczenie koordynacji. W tym względzie należy zauważyć, że zgodnie z informacją zawartą w arkuszu informacyjnym Białego Domu (do którego link </w:t>
      </w:r>
      <w:r w:rsidR="00131C25" w:rsidRPr="007B6D4A">
        <w:rPr>
          <w:rFonts w:ascii="Arial" w:hAnsi="Arial" w:cs="Arial"/>
          <w:lang w:val="pl-PL"/>
        </w:rPr>
        <w:t>można znaleźć poniżej)</w:t>
      </w:r>
      <w:r w:rsidRPr="007B6D4A">
        <w:rPr>
          <w:rFonts w:ascii="Arial" w:hAnsi="Arial" w:cs="Arial"/>
          <w:lang w:val="pl-PL"/>
        </w:rPr>
        <w:t xml:space="preserve">: </w:t>
      </w:r>
      <w:r w:rsidRPr="007B6D4A">
        <w:rPr>
          <w:rFonts w:ascii="Arial" w:hAnsi="Arial" w:cs="Arial"/>
          <w:i/>
          <w:iCs/>
          <w:lang w:val="pl-PL"/>
        </w:rPr>
        <w:t>"Kraje, k</w:t>
      </w:r>
      <w:r w:rsidRPr="007B6D4A">
        <w:rPr>
          <w:rFonts w:ascii="Arial" w:hAnsi="Arial" w:cs="Arial"/>
          <w:i/>
          <w:iCs/>
          <w:lang w:val="pl-PL"/>
        </w:rPr>
        <w:t>tóre przyjmują zasadniczo podobne ograniczenia eksportowe, są zwolnione z nowych amerykańskich wymogów licencyjnych na produkty produkowane w ich krajach. Unia Europejska, Australia, Japonia, Kanada, Nowa Zelandia i Wielka Brytania już poinformowały o swoi</w:t>
      </w:r>
      <w:r w:rsidRPr="007B6D4A">
        <w:rPr>
          <w:rFonts w:ascii="Arial" w:hAnsi="Arial" w:cs="Arial"/>
          <w:i/>
          <w:iCs/>
          <w:lang w:val="pl-PL"/>
        </w:rPr>
        <w:t>ch planach podjęcia równoległych działań."</w:t>
      </w:r>
    </w:p>
    <w:p w14:paraId="753C4BD4" w14:textId="77777777" w:rsidR="0070640E" w:rsidRPr="007B6D4A" w:rsidRDefault="0070640E" w:rsidP="00CB5333">
      <w:pPr>
        <w:jc w:val="both"/>
        <w:rPr>
          <w:lang w:val="pl-PL"/>
        </w:rPr>
      </w:pPr>
    </w:p>
    <w:p w14:paraId="2535FA67" w14:textId="5564CDC5" w:rsidR="003D54F3" w:rsidRPr="007B6D4A" w:rsidRDefault="0066181C">
      <w:pPr>
        <w:jc w:val="both"/>
        <w:rPr>
          <w:rFonts w:ascii="Arial" w:eastAsia="Times New Roman" w:hAnsi="Arial" w:cs="Arial"/>
          <w:u w:val="single"/>
          <w:lang w:val="pl-PL"/>
        </w:rPr>
      </w:pPr>
      <w:bookmarkStart w:id="1" w:name="_Hlk98586746"/>
      <w:r w:rsidRPr="007B6D4A">
        <w:rPr>
          <w:rFonts w:ascii="Arial" w:eastAsia="Times New Roman" w:hAnsi="Arial" w:cs="Arial"/>
          <w:u w:val="single"/>
          <w:lang w:val="pl-PL"/>
        </w:rPr>
        <w:t xml:space="preserve">Linki do oficjalnych </w:t>
      </w:r>
      <w:r w:rsidR="00393E7C">
        <w:rPr>
          <w:rFonts w:ascii="Arial" w:eastAsia="Times New Roman" w:hAnsi="Arial" w:cs="Arial"/>
          <w:u w:val="single"/>
          <w:lang w:val="pl-PL"/>
        </w:rPr>
        <w:t>stanowisk</w:t>
      </w:r>
      <w:r w:rsidRPr="007B6D4A">
        <w:rPr>
          <w:rFonts w:ascii="Arial" w:eastAsia="Times New Roman" w:hAnsi="Arial" w:cs="Arial"/>
          <w:u w:val="single"/>
          <w:lang w:val="pl-PL"/>
        </w:rPr>
        <w:t>:</w:t>
      </w:r>
    </w:p>
    <w:bookmarkEnd w:id="1"/>
    <w:p w14:paraId="22D41AF6" w14:textId="77777777" w:rsidR="00131C25" w:rsidRPr="007B6D4A" w:rsidRDefault="00131C25" w:rsidP="00131C25">
      <w:pPr>
        <w:rPr>
          <w:rFonts w:ascii="Arial" w:hAnsi="Arial" w:cs="Arial"/>
          <w:lang w:val="pl-PL"/>
        </w:rPr>
      </w:pPr>
    </w:p>
    <w:p w14:paraId="3E1B052B" w14:textId="77777777" w:rsidR="003D54F3" w:rsidRDefault="0066181C">
      <w:pPr>
        <w:rPr>
          <w:rFonts w:ascii="Arial" w:eastAsia="Times New Roman" w:hAnsi="Arial" w:cs="Arial"/>
          <w:lang w:val="pt-PT"/>
        </w:rPr>
      </w:pPr>
      <w:r w:rsidRPr="00AD2E63">
        <w:rPr>
          <w:rFonts w:ascii="Arial" w:eastAsia="Times New Roman" w:hAnsi="Arial" w:cs="Arial"/>
          <w:lang w:val="pt-PT"/>
        </w:rPr>
        <w:t xml:space="preserve">UE: </w:t>
      </w:r>
    </w:p>
    <w:p w14:paraId="2DA20622" w14:textId="77777777" w:rsidR="00131C25" w:rsidRPr="00AD2E63" w:rsidRDefault="00131C25" w:rsidP="007A0D33">
      <w:pPr>
        <w:rPr>
          <w:rFonts w:ascii="Arial" w:hAnsi="Arial" w:cs="Arial"/>
          <w:lang w:val="pt-PT"/>
        </w:rPr>
      </w:pPr>
    </w:p>
    <w:p w14:paraId="3BD21314" w14:textId="77777777" w:rsidR="003D54F3" w:rsidRDefault="0066181C">
      <w:pPr>
        <w:rPr>
          <w:rFonts w:ascii="Arial" w:hAnsi="Arial" w:cs="Arial"/>
          <w:lang w:val="pt-PT"/>
        </w:rPr>
      </w:pPr>
      <w:r w:rsidRPr="00AD2E63">
        <w:rPr>
          <w:rFonts w:ascii="Arial" w:hAnsi="Arial" w:cs="Arial"/>
          <w:b/>
          <w:bCs/>
          <w:lang w:val="pt-PT"/>
        </w:rPr>
        <w:t xml:space="preserve">Rosja: </w:t>
      </w:r>
      <w:hyperlink r:id="rId11" w:history="1">
        <w:r w:rsidRPr="00AD2E63">
          <w:rPr>
            <w:rStyle w:val="Hipercze"/>
            <w:rFonts w:ascii="Arial" w:hAnsi="Arial" w:cs="Arial"/>
            <w:lang w:val="pt-PT"/>
          </w:rPr>
          <w:t>https://www.consili</w:t>
        </w:r>
        <w:r w:rsidRPr="00AD2E63">
          <w:rPr>
            <w:rStyle w:val="Hipercze"/>
            <w:rFonts w:ascii="Arial" w:hAnsi="Arial" w:cs="Arial"/>
            <w:lang w:val="pt-PT"/>
          </w:rPr>
          <w:t>um.europa.eu/en/press/press-releases/2022/02/25/russia-s-military-aggression-against-ukraine-eu-imposes-sanctions-against-president-putin-and-foreign-minister-lavrov-and-adopts-wide-ranging-individual-and-economic-sanctions/?utm_source=dsms-</w:t>
        </w:r>
        <w:r w:rsidRPr="00AD2E63">
          <w:rPr>
            <w:rStyle w:val="Hipercze"/>
            <w:rFonts w:ascii="Arial" w:hAnsi="Arial" w:cs="Arial"/>
            <w:lang w:val="pt-PT"/>
          </w:rPr>
          <w:lastRenderedPageBreak/>
          <w:t>auto&amp;utm_medium</w:t>
        </w:r>
        <w:r w:rsidRPr="00AD2E63">
          <w:rPr>
            <w:rStyle w:val="Hipercze"/>
            <w:rFonts w:ascii="Arial" w:hAnsi="Arial" w:cs="Arial"/>
            <w:lang w:val="pt-PT"/>
          </w:rPr>
          <w:t xml:space="preserve">=email&amp;utm_campaign=Russia%u2019s+militarna+agresja+wobec+Ukrainy%3a+UE+nakłada+sankcje+na+prezydenta+Putina+i+ministra+zagranicznego+Lawrowa+oraz+przyjmuje+szerokie+rozległe+sankcje+indywidualne+i+gospodarcze </w:t>
        </w:r>
      </w:hyperlink>
    </w:p>
    <w:p w14:paraId="0532C01C" w14:textId="77777777" w:rsidR="003D54F3" w:rsidRDefault="0066181C">
      <w:pPr>
        <w:rPr>
          <w:rFonts w:ascii="Arial" w:hAnsi="Arial" w:cs="Arial"/>
          <w:lang w:val="pt-PT"/>
        </w:rPr>
      </w:pPr>
      <w:hyperlink r:id="rId12" w:history="1">
        <w:r w:rsidR="00131C25" w:rsidRPr="00AD2E63">
          <w:rPr>
            <w:rStyle w:val="Hipercze"/>
            <w:rFonts w:ascii="Arial" w:hAnsi="Arial" w:cs="Arial"/>
            <w:lang w:val="pt-PT"/>
          </w:rPr>
          <w:t>https://eur-lex.europa.eu/legal-content/EN/TXT/?uri=OJ:L:2022:046:TOC</w:t>
        </w:r>
      </w:hyperlink>
    </w:p>
    <w:p w14:paraId="07009D7C" w14:textId="77777777" w:rsidR="003D54F3" w:rsidRDefault="0066181C">
      <w:pPr>
        <w:rPr>
          <w:rFonts w:ascii="Arial" w:hAnsi="Arial" w:cs="Arial"/>
          <w:lang w:val="pt-PT"/>
        </w:rPr>
      </w:pPr>
      <w:hyperlink r:id="rId13" w:history="1">
        <w:r w:rsidR="00131C25" w:rsidRPr="00AD2E63">
          <w:rPr>
            <w:rStyle w:val="Hipercze"/>
            <w:rFonts w:ascii="Arial" w:hAnsi="Arial" w:cs="Arial"/>
            <w:lang w:val="pt-PT"/>
          </w:rPr>
          <w:t>https://eur-lex.europa.eu/legal-content/EN/TXT/?uri=OJ:C:2022:092:TOC</w:t>
        </w:r>
      </w:hyperlink>
    </w:p>
    <w:p w14:paraId="3DA65113" w14:textId="77777777" w:rsidR="003D54F3" w:rsidRDefault="0066181C">
      <w:pPr>
        <w:rPr>
          <w:rFonts w:ascii="Arial" w:hAnsi="Arial" w:cs="Arial"/>
          <w:lang w:val="pt-PT"/>
        </w:rPr>
      </w:pPr>
      <w:hyperlink r:id="rId14" w:history="1">
        <w:r w:rsidR="007A0D33" w:rsidRPr="00AD2E63">
          <w:rPr>
            <w:rStyle w:val="Hipercze"/>
            <w:rFonts w:ascii="Arial" w:hAnsi="Arial" w:cs="Arial"/>
            <w:lang w:val="pt-PT"/>
          </w:rPr>
          <w:t>https://eur-lex.europa.eu/legal-content/EN/TXT/?uri=OJ:L:2022:048:TOC</w:t>
        </w:r>
      </w:hyperlink>
    </w:p>
    <w:p w14:paraId="30811421" w14:textId="77777777" w:rsidR="003D54F3" w:rsidRDefault="0066181C">
      <w:pPr>
        <w:rPr>
          <w:rFonts w:ascii="Arial" w:hAnsi="Arial" w:cs="Arial"/>
          <w:lang w:val="pt-PT"/>
        </w:rPr>
      </w:pPr>
      <w:hyperlink r:id="rId15" w:history="1">
        <w:r w:rsidRPr="00374012">
          <w:rPr>
            <w:rStyle w:val="Hipercze"/>
            <w:rFonts w:ascii="Arial" w:hAnsi="Arial" w:cs="Arial"/>
            <w:lang w:val="pt-PT"/>
          </w:rPr>
          <w:t>htt</w:t>
        </w:r>
        <w:r w:rsidRPr="00374012">
          <w:rPr>
            <w:rStyle w:val="Hipercze"/>
            <w:rFonts w:ascii="Arial" w:hAnsi="Arial" w:cs="Arial"/>
            <w:lang w:val="pt-PT"/>
          </w:rPr>
          <w:t xml:space="preserve">ps://eur-lex.europa.eu/legal-content/EN/TXT/?uri=OJ:L:2022:049:TOC </w:t>
        </w:r>
      </w:hyperlink>
    </w:p>
    <w:p w14:paraId="62EE01BD" w14:textId="77777777" w:rsidR="003D54F3" w:rsidRDefault="0066181C">
      <w:pPr>
        <w:rPr>
          <w:rFonts w:ascii="Arial" w:hAnsi="Arial" w:cs="Arial"/>
          <w:lang w:val="pt-PT"/>
        </w:rPr>
      </w:pPr>
      <w:hyperlink r:id="rId16" w:history="1">
        <w:r w:rsidR="00131C25" w:rsidRPr="00AD2E63">
          <w:rPr>
            <w:rStyle w:val="Hipercze"/>
            <w:rFonts w:ascii="Arial" w:hAnsi="Arial" w:cs="Arial"/>
            <w:lang w:val="pt-PT"/>
          </w:rPr>
          <w:t>https://eur-lex.europa.eu/legal-content/EN/TXT/?uri=OJ:L:2022:050:TOC</w:t>
        </w:r>
      </w:hyperlink>
    </w:p>
    <w:p w14:paraId="5FC5A200" w14:textId="77777777" w:rsidR="003D54F3" w:rsidRDefault="0066181C">
      <w:pPr>
        <w:rPr>
          <w:rFonts w:ascii="Arial" w:hAnsi="Arial" w:cs="Arial"/>
          <w:lang w:val="pt-PT"/>
        </w:rPr>
      </w:pPr>
      <w:hyperlink r:id="rId17" w:history="1">
        <w:r w:rsidR="00131C25" w:rsidRPr="00AD2E63">
          <w:rPr>
            <w:rStyle w:val="Hipercze"/>
            <w:rFonts w:ascii="Arial" w:hAnsi="Arial" w:cs="Arial"/>
            <w:lang w:val="pt-PT"/>
          </w:rPr>
          <w:t>https://eur-lex.europa.eu/legal-content/EN/TXT/?uri=OJ:L:2022:051:TOC</w:t>
        </w:r>
      </w:hyperlink>
    </w:p>
    <w:p w14:paraId="3BE4BAE2" w14:textId="77777777" w:rsidR="003D54F3" w:rsidRDefault="0066181C">
      <w:pPr>
        <w:rPr>
          <w:rFonts w:ascii="Arial" w:hAnsi="Arial" w:cs="Arial"/>
          <w:lang w:val="pt-PT"/>
        </w:rPr>
      </w:pPr>
      <w:hyperlink r:id="rId18" w:history="1">
        <w:r w:rsidR="007A0D33" w:rsidRPr="00AD2E63">
          <w:rPr>
            <w:rStyle w:val="Hipercze"/>
            <w:rFonts w:ascii="Arial" w:hAnsi="Arial" w:cs="Arial"/>
            <w:lang w:val="pt-PT"/>
          </w:rPr>
          <w:t>https://eur-lex.europa.eu/legal-content/EN/TXT/?uri=OJ:L:2022:052:TOC</w:t>
        </w:r>
      </w:hyperlink>
    </w:p>
    <w:p w14:paraId="50E2449F" w14:textId="77777777" w:rsidR="007A0D33" w:rsidRPr="00AD2E63" w:rsidRDefault="007A0D33" w:rsidP="007A0D33">
      <w:pPr>
        <w:rPr>
          <w:rFonts w:ascii="Arial" w:hAnsi="Arial" w:cs="Arial"/>
          <w:b/>
          <w:bCs/>
          <w:lang w:val="pt-PT"/>
        </w:rPr>
      </w:pPr>
    </w:p>
    <w:p w14:paraId="136F5D68" w14:textId="77777777" w:rsidR="003D54F3" w:rsidRDefault="0066181C">
      <w:pPr>
        <w:rPr>
          <w:rFonts w:ascii="Arial" w:hAnsi="Arial" w:cs="Arial"/>
          <w:lang w:val="pt-PT"/>
        </w:rPr>
      </w:pPr>
      <w:r w:rsidRPr="00AD2E63">
        <w:rPr>
          <w:rFonts w:ascii="Arial" w:hAnsi="Arial" w:cs="Arial"/>
          <w:b/>
          <w:bCs/>
          <w:lang w:val="pt-PT"/>
        </w:rPr>
        <w:t xml:space="preserve">Białoruś: </w:t>
      </w:r>
      <w:hyperlink r:id="rId19" w:history="1">
        <w:r w:rsidRPr="00AD2E63">
          <w:rPr>
            <w:rStyle w:val="Hipercze"/>
            <w:rFonts w:ascii="Arial" w:hAnsi="Arial" w:cs="Arial"/>
            <w:lang w:val="pt-PT"/>
          </w:rPr>
          <w:t>https:</w:t>
        </w:r>
      </w:hyperlink>
      <w:r w:rsidRPr="00AD2E63">
        <w:rPr>
          <w:rFonts w:ascii="Arial" w:hAnsi="Arial" w:cs="Arial"/>
          <w:lang w:val="pt-PT"/>
        </w:rPr>
        <w:t xml:space="preserve">//eur-lex.europa.eu/legal-content/EN/TXT/?uri=OJ:L:2022:054:TOC </w:t>
      </w:r>
    </w:p>
    <w:p w14:paraId="325F29DC" w14:textId="77777777" w:rsidR="003D54F3" w:rsidRPr="007B6D4A" w:rsidRDefault="0066181C">
      <w:pPr>
        <w:pStyle w:val="Akapitzlist"/>
        <w:ind w:left="0"/>
        <w:rPr>
          <w:rFonts w:ascii="Arial" w:hAnsi="Arial" w:cs="Arial"/>
          <w:lang w:val="pl-PL"/>
        </w:rPr>
      </w:pPr>
      <w:hyperlink r:id="rId20" w:history="1">
        <w:r w:rsidR="007A0D33" w:rsidRPr="007B6D4A">
          <w:rPr>
            <w:rStyle w:val="Hipercze"/>
            <w:rFonts w:ascii="Arial" w:hAnsi="Arial" w:cs="Arial"/>
            <w:lang w:val="pl-PL"/>
          </w:rPr>
          <w:t>https://eur-lex.europa.eu/legal-content/EN/TXT/?uri=OJ:L:2022:066:TOC</w:t>
        </w:r>
      </w:hyperlink>
      <w:r w:rsidR="00131C25" w:rsidRPr="007B6D4A">
        <w:rPr>
          <w:rFonts w:ascii="Arial" w:hAnsi="Arial" w:cs="Arial"/>
          <w:lang w:val="pl-PL"/>
        </w:rPr>
        <w:t xml:space="preserve"> (lista osób)</w:t>
      </w:r>
    </w:p>
    <w:p w14:paraId="07D5B6EA" w14:textId="77777777" w:rsidR="003D54F3" w:rsidRPr="007B6D4A" w:rsidRDefault="0066181C">
      <w:pPr>
        <w:pStyle w:val="Akapitzlist"/>
        <w:ind w:left="0"/>
        <w:rPr>
          <w:rFonts w:ascii="Arial" w:hAnsi="Arial" w:cs="Arial"/>
          <w:lang w:val="pl-PL"/>
        </w:rPr>
      </w:pPr>
      <w:hyperlink r:id="rId21" w:history="1">
        <w:r w:rsidRPr="007B6D4A">
          <w:rPr>
            <w:rStyle w:val="Hipercze"/>
            <w:rFonts w:ascii="Arial" w:hAnsi="Arial" w:cs="Arial"/>
            <w:lang w:val="pl-PL"/>
          </w:rPr>
          <w:t>https://eur-lex.europa.eu/legal-content/EN/TXT/?uri=OJ:L:2022:067:TOC</w:t>
        </w:r>
      </w:hyperlink>
      <w:r w:rsidR="006E09EA" w:rsidRPr="007B6D4A">
        <w:rPr>
          <w:rFonts w:ascii="Arial" w:hAnsi="Arial" w:cs="Arial"/>
          <w:lang w:val="pl-PL"/>
        </w:rPr>
        <w:t xml:space="preserve"> (środki handlowe)</w:t>
      </w:r>
    </w:p>
    <w:p w14:paraId="2CD6E841" w14:textId="77777777" w:rsidR="00131C25" w:rsidRPr="007B6D4A" w:rsidRDefault="00131C25" w:rsidP="00131C25">
      <w:pPr>
        <w:rPr>
          <w:rFonts w:ascii="Arial" w:hAnsi="Arial" w:cs="Arial"/>
          <w:lang w:val="pl-PL"/>
        </w:rPr>
      </w:pPr>
    </w:p>
    <w:p w14:paraId="4B98D6C3" w14:textId="77777777" w:rsidR="003D54F3" w:rsidRPr="007B6D4A" w:rsidRDefault="0066181C">
      <w:p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USA: </w:t>
      </w:r>
    </w:p>
    <w:p w14:paraId="4173C5D1" w14:textId="77777777" w:rsidR="00131C25" w:rsidRPr="007B6D4A" w:rsidRDefault="00131C25" w:rsidP="00131C25">
      <w:pPr>
        <w:rPr>
          <w:rFonts w:ascii="Arial" w:hAnsi="Arial" w:cs="Arial"/>
          <w:lang w:val="pl-PL"/>
        </w:rPr>
      </w:pPr>
    </w:p>
    <w:p w14:paraId="1178A7A3" w14:textId="77777777" w:rsidR="003D54F3" w:rsidRPr="007B6D4A" w:rsidRDefault="0066181C">
      <w:pPr>
        <w:rPr>
          <w:rFonts w:ascii="Arial" w:hAnsi="Arial" w:cs="Arial"/>
          <w:lang w:val="pl-PL"/>
        </w:rPr>
      </w:pPr>
      <w:hyperlink r:id="rId22" w:history="1">
        <w:r w:rsidR="00131C25" w:rsidRPr="007B6D4A">
          <w:rPr>
            <w:rStyle w:val="Hipercze"/>
            <w:rFonts w:ascii="Arial" w:hAnsi="Arial" w:cs="Arial"/>
            <w:lang w:val="pl-PL"/>
          </w:rPr>
          <w:t xml:space="preserve">https://home.treasury.gov/news/press-releases/jy0608 </w:t>
        </w:r>
      </w:hyperlink>
    </w:p>
    <w:p w14:paraId="5CC3E158" w14:textId="77777777" w:rsidR="003D54F3" w:rsidRPr="007B6D4A" w:rsidRDefault="0066181C">
      <w:pPr>
        <w:rPr>
          <w:rFonts w:ascii="Arial" w:hAnsi="Arial" w:cs="Arial"/>
          <w:lang w:val="pl-PL"/>
        </w:rPr>
      </w:pPr>
      <w:hyperlink r:id="rId23" w:history="1">
        <w:r w:rsidR="00131C25" w:rsidRPr="007B6D4A">
          <w:rPr>
            <w:rStyle w:val="Hipercze"/>
            <w:rFonts w:ascii="Arial" w:hAnsi="Arial" w:cs="Arial"/>
            <w:lang w:val="pl-PL"/>
          </w:rPr>
          <w:t xml:space="preserve">https://www.bis.doc.gov/index.php/documents/about-bis/newsroom/press-releases/2914-2022-02-24-bis-russia-rule-press-release-and-tweets-final/file  </w:t>
        </w:r>
      </w:hyperlink>
    </w:p>
    <w:p w14:paraId="61A8D199" w14:textId="77777777" w:rsidR="003D54F3" w:rsidRPr="007B6D4A" w:rsidRDefault="0066181C">
      <w:pPr>
        <w:rPr>
          <w:rFonts w:ascii="Arial" w:hAnsi="Arial" w:cs="Arial"/>
          <w:lang w:val="pl-PL"/>
        </w:rPr>
      </w:pPr>
      <w:hyperlink r:id="rId24" w:history="1">
        <w:r w:rsidR="00131C25" w:rsidRPr="007B6D4A">
          <w:rPr>
            <w:rStyle w:val="Hipercze"/>
            <w:rFonts w:ascii="Arial" w:hAnsi="Arial" w:cs="Arial"/>
            <w:lang w:val="pl-PL"/>
          </w:rPr>
          <w:t xml:space="preserve">https://www.whitehouse.gov/briefing-room/statements-releases/2022/02/24/fact-sheet-joined-by-allies-and-partners-the-united-states-imposes-devastating-costs-on-russia/ </w:t>
        </w:r>
      </w:hyperlink>
    </w:p>
    <w:p w14:paraId="247DB240" w14:textId="77777777" w:rsidR="003D54F3" w:rsidRPr="007B6D4A" w:rsidRDefault="0066181C">
      <w:pPr>
        <w:rPr>
          <w:rFonts w:ascii="Arial" w:hAnsi="Arial" w:cs="Arial"/>
          <w:lang w:val="pl-PL"/>
        </w:rPr>
      </w:pPr>
      <w:hyperlink r:id="rId25" w:history="1">
        <w:r w:rsidR="007A0D33" w:rsidRPr="007B6D4A">
          <w:rPr>
            <w:rStyle w:val="Hipercze"/>
            <w:rFonts w:ascii="Arial" w:hAnsi="Arial" w:cs="Arial"/>
            <w:lang w:val="pl-PL"/>
          </w:rPr>
          <w:t xml:space="preserve">https://home.treasury.gov/news/press-releases/jy0610 </w:t>
        </w:r>
      </w:hyperlink>
    </w:p>
    <w:p w14:paraId="052C08A9" w14:textId="77777777" w:rsidR="00131C25" w:rsidRPr="007B6D4A" w:rsidRDefault="00131C25" w:rsidP="007A0D33">
      <w:pPr>
        <w:rPr>
          <w:rFonts w:ascii="Arial" w:hAnsi="Arial" w:cs="Arial"/>
          <w:lang w:val="pl-PL"/>
        </w:rPr>
      </w:pPr>
    </w:p>
    <w:p w14:paraId="0554F2D8" w14:textId="77777777" w:rsidR="003D54F3" w:rsidRPr="007B6D4A" w:rsidRDefault="0066181C">
      <w:p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UK: </w:t>
      </w:r>
      <w:hyperlink r:id="rId26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//www.gov.uk/government/publications/financial-sanctions-ukraine-sovereignty-and-territorial-integrity </w:t>
      </w:r>
    </w:p>
    <w:p w14:paraId="26F50BD5" w14:textId="77777777" w:rsidR="00131C25" w:rsidRPr="007B6D4A" w:rsidRDefault="00131C25" w:rsidP="00131C25">
      <w:pPr>
        <w:rPr>
          <w:rFonts w:ascii="Arial" w:hAnsi="Arial" w:cs="Arial"/>
          <w:lang w:val="pl-PL"/>
        </w:rPr>
      </w:pPr>
    </w:p>
    <w:p w14:paraId="21D3A92C" w14:textId="77777777" w:rsidR="003D54F3" w:rsidRPr="007B6D4A" w:rsidRDefault="00131C25">
      <w:p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Japonia - </w:t>
      </w:r>
      <w:r w:rsidRPr="007B6D4A">
        <w:rPr>
          <w:rFonts w:ascii="Arial" w:hAnsi="Arial" w:cs="Arial"/>
          <w:lang w:val="pl-PL"/>
        </w:rPr>
        <w:t xml:space="preserve">dobre podsumowanie środków przyjętych przez Japonię można znaleźć tutaj: </w:t>
      </w:r>
      <w:hyperlink r:id="rId27" w:history="1">
        <w:r w:rsidRPr="007B6D4A">
          <w:rPr>
            <w:rStyle w:val="Hipercze"/>
            <w:rFonts w:ascii="Arial" w:hAnsi="Arial" w:cs="Arial"/>
            <w:lang w:val="pl-PL"/>
          </w:rPr>
          <w:t>https:</w:t>
        </w:r>
      </w:hyperlink>
      <w:r w:rsidRPr="007B6D4A">
        <w:rPr>
          <w:rFonts w:ascii="Arial" w:hAnsi="Arial" w:cs="Arial"/>
          <w:lang w:val="pl-PL"/>
        </w:rPr>
        <w:t xml:space="preserve">//www.engage.hoganlovells.com/knowledgeservices/viewContent.action?key=Ec8teaJ9VaqNqrWXtGCwbMxgHJMKLFEppVpbbVX%2B3OXcP3PYxlq7sZUjdbSm5FIetvAtgf1eVU8%3D&amp;nav=FRbANEucS95NMLRN47z%2BeeOgEFCt8EGQcV7IzHUHOGQ%3D&amp;emailtofriendview=true&amp;freeviewlink=true. </w:t>
      </w:r>
    </w:p>
    <w:p w14:paraId="500DB8B4" w14:textId="77777777" w:rsidR="00E538FB" w:rsidRPr="007B6D4A" w:rsidRDefault="00E538FB">
      <w:pPr>
        <w:rPr>
          <w:rFonts w:ascii="Arial" w:hAnsi="Arial" w:cs="Arial"/>
          <w:b/>
          <w:bCs/>
          <w:lang w:val="pl-PL"/>
        </w:rPr>
      </w:pPr>
    </w:p>
    <w:p w14:paraId="3973A250" w14:textId="77777777" w:rsidR="003D54F3" w:rsidRPr="007B6D4A" w:rsidRDefault="000000C0">
      <w:pPr>
        <w:rPr>
          <w:rFonts w:ascii="Arial" w:hAnsi="Arial" w:cs="Arial"/>
          <w:b/>
          <w:bCs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>Dodatkowe informacje:</w:t>
      </w:r>
    </w:p>
    <w:p w14:paraId="2426B77F" w14:textId="07E6B1E4" w:rsidR="003D54F3" w:rsidRPr="007B6D4A" w:rsidRDefault="0066181C">
      <w:p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 xml:space="preserve">Norwegia </w:t>
      </w:r>
      <w:r w:rsidRPr="007B6D4A">
        <w:rPr>
          <w:rFonts w:ascii="Arial" w:eastAsia="Times New Roman" w:hAnsi="Arial" w:cs="Arial"/>
          <w:lang w:val="pl-PL"/>
        </w:rPr>
        <w:t xml:space="preserve">również zdecydowała się pójść </w:t>
      </w:r>
      <w:r w:rsidRPr="007B6D4A">
        <w:rPr>
          <w:rFonts w:ascii="Arial" w:eastAsia="Times New Roman" w:hAnsi="Arial" w:cs="Arial"/>
          <w:lang w:val="pl-PL"/>
        </w:rPr>
        <w:t xml:space="preserve">w </w:t>
      </w:r>
      <w:r w:rsidR="00393E7C">
        <w:rPr>
          <w:rFonts w:ascii="Arial" w:eastAsia="Times New Roman" w:hAnsi="Arial" w:cs="Arial"/>
          <w:lang w:val="pl-PL"/>
        </w:rPr>
        <w:t>kroki</w:t>
      </w:r>
      <w:r w:rsidRPr="007B6D4A">
        <w:rPr>
          <w:rFonts w:ascii="Arial" w:eastAsia="Times New Roman" w:hAnsi="Arial" w:cs="Arial"/>
          <w:lang w:val="pl-PL"/>
        </w:rPr>
        <w:t xml:space="preserve"> UE w </w:t>
      </w:r>
      <w:r w:rsidR="00393E7C">
        <w:rPr>
          <w:rFonts w:ascii="Arial" w:eastAsia="Times New Roman" w:hAnsi="Arial" w:cs="Arial"/>
          <w:lang w:val="pl-PL"/>
        </w:rPr>
        <w:t>zakresie</w:t>
      </w:r>
      <w:r w:rsidRPr="007B6D4A">
        <w:rPr>
          <w:rFonts w:ascii="Arial" w:eastAsia="Times New Roman" w:hAnsi="Arial" w:cs="Arial"/>
          <w:lang w:val="pl-PL"/>
        </w:rPr>
        <w:t xml:space="preserve"> sankcji. W swoim komunikacie prasowym rząd Norwegii stwierdził: "Wraz z UE Norw</w:t>
      </w:r>
      <w:r w:rsidRPr="007B6D4A">
        <w:rPr>
          <w:rFonts w:ascii="Arial" w:eastAsia="Times New Roman" w:hAnsi="Arial" w:cs="Arial"/>
          <w:lang w:val="pl-PL"/>
        </w:rPr>
        <w:t xml:space="preserve">egia wprowadza teraz historycznie surowe sankcje przeciwko Rosji. Sankcje są wprowadzane stopniowo, a kolejne zostaną wprowadzone dzisiaj. Będą one również skierowane przeciwko Białorusi". </w:t>
      </w:r>
    </w:p>
    <w:p w14:paraId="7C5A5435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lastRenderedPageBreak/>
        <w:t xml:space="preserve">Więcej informacji można znaleźć na stronie: </w:t>
      </w:r>
      <w:hyperlink r:id="rId28" w:history="1">
        <w:r w:rsidRPr="007B6D4A">
          <w:rPr>
            <w:rStyle w:val="Hipercze"/>
            <w:rFonts w:ascii="Arial" w:hAnsi="Arial" w:cs="Arial"/>
            <w:lang w:val="pl-PL"/>
          </w:rPr>
          <w:t>https:</w:t>
        </w:r>
      </w:hyperlink>
      <w:r w:rsidRPr="007B6D4A">
        <w:rPr>
          <w:rFonts w:ascii="Arial" w:hAnsi="Arial" w:cs="Arial"/>
          <w:lang w:val="pl-PL"/>
        </w:rPr>
        <w:t xml:space="preserve">//www.regjeringen.no/en/aktuelt/norway-to-increase-support-to-ukraine-and-provide-military-equipment/id2902406/. </w:t>
      </w:r>
    </w:p>
    <w:p w14:paraId="305D63A0" w14:textId="77777777" w:rsidR="003D54F3" w:rsidRPr="007B6D4A" w:rsidRDefault="0066181C">
      <w:pPr>
        <w:rPr>
          <w:rFonts w:ascii="Arial" w:hAnsi="Arial" w:cs="Arial"/>
          <w:lang w:val="pl-PL"/>
        </w:rPr>
      </w:pPr>
      <w:hyperlink r:id="rId29" w:history="1">
        <w:r w:rsidR="000000C0" w:rsidRPr="007B6D4A">
          <w:rPr>
            <w:rStyle w:val="Hipercze"/>
            <w:rFonts w:ascii="Arial" w:hAnsi="Arial" w:cs="Arial"/>
            <w:lang w:val="pl-PL"/>
          </w:rPr>
          <w:t>https://www.regjeringen.no/en/aktuelt/russia_sanctions/id2904511/</w:t>
        </w:r>
      </w:hyperlink>
    </w:p>
    <w:p w14:paraId="09C3BA09" w14:textId="77777777" w:rsidR="00075E79" w:rsidRPr="007B6D4A" w:rsidRDefault="00075E79" w:rsidP="000000C0">
      <w:pPr>
        <w:rPr>
          <w:rFonts w:ascii="Arial" w:hAnsi="Arial" w:cs="Arial"/>
          <w:lang w:val="pl-PL"/>
        </w:rPr>
      </w:pPr>
    </w:p>
    <w:p w14:paraId="34C494A2" w14:textId="77777777" w:rsidR="003D54F3" w:rsidRPr="007B6D4A" w:rsidRDefault="0066181C">
      <w:pPr>
        <w:rPr>
          <w:rFonts w:ascii="Arial" w:hAnsi="Arial" w:cs="Arial"/>
          <w:b/>
          <w:bCs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 xml:space="preserve">Szwajcaria również </w:t>
      </w:r>
      <w:r w:rsidR="004E66E9" w:rsidRPr="007B6D4A">
        <w:rPr>
          <w:rFonts w:ascii="Arial" w:hAnsi="Arial" w:cs="Arial"/>
          <w:b/>
          <w:bCs/>
          <w:lang w:val="pl-PL"/>
        </w:rPr>
        <w:t xml:space="preserve">przyjęła podobne sankcje </w:t>
      </w:r>
      <w:hyperlink r:id="rId30" w:history="1">
        <w:r w:rsidR="004E66E9" w:rsidRPr="007B6D4A">
          <w:rPr>
            <w:rFonts w:ascii="Arial" w:hAnsi="Arial" w:cs="Arial"/>
            <w:color w:val="0000FF"/>
            <w:u w:val="single"/>
            <w:lang w:val="pl-PL"/>
          </w:rPr>
          <w:t>Szwajcaria przyjmuje sankcje UE wobec Rosji (admin.ch)</w:t>
        </w:r>
      </w:hyperlink>
      <w:r w:rsidR="00AD2E63" w:rsidRPr="007B6D4A">
        <w:rPr>
          <w:rFonts w:ascii="Arial" w:hAnsi="Arial" w:cs="Arial"/>
          <w:lang w:val="pl-PL"/>
        </w:rPr>
        <w:t>.</w:t>
      </w:r>
    </w:p>
    <w:p w14:paraId="7486C884" w14:textId="77777777" w:rsidR="000000C0" w:rsidRPr="007B6D4A" w:rsidRDefault="000000C0" w:rsidP="000000C0">
      <w:pPr>
        <w:rPr>
          <w:rFonts w:ascii="Arial" w:hAnsi="Arial" w:cs="Arial"/>
          <w:lang w:val="pl-PL"/>
        </w:rPr>
      </w:pPr>
    </w:p>
    <w:p w14:paraId="71C75C99" w14:textId="77777777" w:rsidR="00E538FB" w:rsidRPr="007B6D4A" w:rsidRDefault="00E538FB">
      <w:pPr>
        <w:rPr>
          <w:lang w:val="pl-PL"/>
        </w:rPr>
      </w:pPr>
    </w:p>
    <w:p w14:paraId="0838421C" w14:textId="77777777" w:rsidR="00E538FB" w:rsidRPr="007B6D4A" w:rsidRDefault="00E538FB">
      <w:pPr>
        <w:rPr>
          <w:lang w:val="pl-PL"/>
        </w:rPr>
      </w:pPr>
    </w:p>
    <w:p w14:paraId="714CEEA1" w14:textId="77777777" w:rsidR="00F42704" w:rsidRPr="007B6D4A" w:rsidRDefault="00F42704">
      <w:pPr>
        <w:rPr>
          <w:lang w:val="pl-PL"/>
        </w:rPr>
      </w:pPr>
    </w:p>
    <w:p w14:paraId="2F6B9B1D" w14:textId="047C5A07" w:rsidR="003D54F3" w:rsidRPr="007B6D4A" w:rsidRDefault="0066181C">
      <w:pPr>
        <w:rPr>
          <w:rFonts w:ascii="Arial" w:hAnsi="Arial" w:cs="Arial"/>
          <w:b/>
          <w:bCs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>3</w:t>
      </w:r>
      <w:r w:rsidRPr="007B6D4A">
        <w:rPr>
          <w:rFonts w:ascii="Arial" w:hAnsi="Arial" w:cs="Arial"/>
          <w:b/>
          <w:bCs/>
          <w:lang w:val="pl-PL"/>
        </w:rPr>
        <w:t xml:space="preserve"> PAKIET SANKCJI 09/03/2022</w:t>
      </w:r>
    </w:p>
    <w:p w14:paraId="4E2A6E7E" w14:textId="77777777" w:rsidR="00E538FB" w:rsidRPr="007B6D4A" w:rsidRDefault="00E538FB">
      <w:pPr>
        <w:rPr>
          <w:lang w:val="pl-PL"/>
        </w:rPr>
      </w:pPr>
    </w:p>
    <w:p w14:paraId="4CDDB223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b/>
          <w:bCs/>
          <w:u w:val="single"/>
          <w:lang w:val="pl-PL"/>
        </w:rPr>
        <w:t>Podsumowanie działań</w:t>
      </w:r>
    </w:p>
    <w:p w14:paraId="7007C4CD" w14:textId="77777777" w:rsidR="00E538FB" w:rsidRPr="007B6D4A" w:rsidRDefault="00E538FB" w:rsidP="00BB2DFA">
      <w:pPr>
        <w:jc w:val="both"/>
        <w:rPr>
          <w:rFonts w:ascii="Arial" w:eastAsia="Times New Roman" w:hAnsi="Arial" w:cs="Arial"/>
          <w:lang w:val="pl-PL"/>
        </w:rPr>
      </w:pPr>
    </w:p>
    <w:p w14:paraId="7515CF60" w14:textId="77777777" w:rsidR="003D54F3" w:rsidRPr="007B6D4A" w:rsidRDefault="0066181C">
      <w:pPr>
        <w:jc w:val="both"/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>UE</w:t>
      </w:r>
    </w:p>
    <w:p w14:paraId="60C18D16" w14:textId="08C780DB" w:rsidR="003D54F3" w:rsidRPr="00393E7C" w:rsidRDefault="0066181C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Pakiet ten </w:t>
      </w:r>
      <w:r w:rsidR="00393E7C">
        <w:rPr>
          <w:rFonts w:ascii="Arial" w:eastAsia="Times New Roman" w:hAnsi="Arial" w:cs="Arial"/>
          <w:lang w:val="pl-PL"/>
        </w:rPr>
        <w:t>zawiera następujące</w:t>
      </w:r>
      <w:r w:rsidRPr="007B6D4A">
        <w:rPr>
          <w:rFonts w:ascii="Arial" w:eastAsia="Times New Roman" w:hAnsi="Arial" w:cs="Arial"/>
          <w:lang w:val="pl-PL"/>
        </w:rPr>
        <w:t xml:space="preserve"> sankcje finansowe skierowane przeciwko </w:t>
      </w:r>
      <w:r w:rsidRPr="007B6D4A">
        <w:rPr>
          <w:rFonts w:ascii="Arial" w:eastAsia="Times New Roman" w:hAnsi="Arial" w:cs="Arial"/>
          <w:b/>
          <w:bCs/>
          <w:lang w:val="pl-PL"/>
        </w:rPr>
        <w:t>Białorus</w:t>
      </w:r>
      <w:r w:rsidR="00393E7C">
        <w:rPr>
          <w:rFonts w:ascii="Arial" w:eastAsia="Times New Roman" w:hAnsi="Arial" w:cs="Arial"/>
          <w:b/>
          <w:bCs/>
          <w:lang w:val="pl-PL"/>
        </w:rPr>
        <w:t>i</w:t>
      </w:r>
      <w:r w:rsidRPr="00393E7C">
        <w:rPr>
          <w:rFonts w:ascii="Arial" w:eastAsia="Times New Roman" w:hAnsi="Arial" w:cs="Arial"/>
          <w:lang w:val="pl-PL"/>
        </w:rPr>
        <w:t>:</w:t>
      </w:r>
    </w:p>
    <w:p w14:paraId="7C4E5E87" w14:textId="77777777" w:rsidR="00E538FB" w:rsidRPr="00393E7C" w:rsidRDefault="00E538FB" w:rsidP="00BB2DFA">
      <w:pPr>
        <w:jc w:val="both"/>
        <w:rPr>
          <w:rFonts w:ascii="Arial" w:hAnsi="Arial" w:cs="Arial"/>
          <w:lang w:val="pl-PL"/>
        </w:rPr>
      </w:pPr>
    </w:p>
    <w:p w14:paraId="658D6391" w14:textId="274D398A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Ograniczenie świadczenia specjalistycznych usług w zakresie </w:t>
      </w:r>
      <w:r w:rsidR="00393E7C">
        <w:rPr>
          <w:rFonts w:ascii="Arial" w:eastAsia="Times New Roman" w:hAnsi="Arial" w:cs="Arial"/>
          <w:lang w:val="pl-PL"/>
        </w:rPr>
        <w:t>telekomunikacji</w:t>
      </w:r>
      <w:r w:rsidRPr="007B6D4A">
        <w:rPr>
          <w:rFonts w:ascii="Arial" w:eastAsia="Times New Roman" w:hAnsi="Arial" w:cs="Arial"/>
          <w:lang w:val="pl-PL"/>
        </w:rPr>
        <w:t xml:space="preserve"> finansowych (SWIFT) dla </w:t>
      </w:r>
      <w:proofErr w:type="spellStart"/>
      <w:r w:rsidRPr="007B6D4A">
        <w:rPr>
          <w:rFonts w:ascii="Arial" w:eastAsia="Times New Roman" w:hAnsi="Arial" w:cs="Arial"/>
          <w:lang w:val="pl-PL"/>
        </w:rPr>
        <w:t>Belagroprombanku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, Banku </w:t>
      </w:r>
      <w:proofErr w:type="spellStart"/>
      <w:r w:rsidRPr="007B6D4A">
        <w:rPr>
          <w:rFonts w:ascii="Arial" w:eastAsia="Times New Roman" w:hAnsi="Arial" w:cs="Arial"/>
          <w:lang w:val="pl-PL"/>
        </w:rPr>
        <w:t>Dabrabyt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i Banku Rozwoju Republiki Białorusi, a także ich </w:t>
      </w:r>
      <w:r w:rsidRPr="007B6D4A">
        <w:rPr>
          <w:rFonts w:ascii="Arial" w:eastAsia="Times New Roman" w:hAnsi="Arial" w:cs="Arial"/>
          <w:lang w:val="pl-PL"/>
        </w:rPr>
        <w:t>białoruskich spółek zależnych;</w:t>
      </w:r>
    </w:p>
    <w:p w14:paraId="7C319BB2" w14:textId="77777777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Zakazać transakcji z Bankiem Centralnym Białorusi związanych z zarządzaniem rezerwami lub aktywami oraz zapewnieniem finansowania ze środków publicznych handlu i inwestycji na Białorusi;</w:t>
      </w:r>
    </w:p>
    <w:p w14:paraId="162EFCB2" w14:textId="77777777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Zakazać notowania i świadczenia usług </w:t>
      </w:r>
      <w:r w:rsidRPr="007B6D4A">
        <w:rPr>
          <w:rFonts w:ascii="Arial" w:eastAsia="Times New Roman" w:hAnsi="Arial" w:cs="Arial"/>
          <w:lang w:val="pl-PL"/>
        </w:rPr>
        <w:t>związanych z akcjami białoruskich podmiotów państwowych w unijnych systemach obrotu od 12 kwietnia 2022 r;</w:t>
      </w:r>
    </w:p>
    <w:p w14:paraId="23A0E40D" w14:textId="77777777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znaczne ograniczenie napływu środków finansowych z Białorusi do UE poprzez wprowadzenie zakazu przyjmowania od obywateli lub rezydentów Białorusi dep</w:t>
      </w:r>
      <w:r w:rsidRPr="007B6D4A">
        <w:rPr>
          <w:rFonts w:ascii="Arial" w:eastAsia="Times New Roman" w:hAnsi="Arial" w:cs="Arial"/>
          <w:lang w:val="pl-PL"/>
        </w:rPr>
        <w:t>ozytów przekraczających kwotę 100 000 EUR, prowadzenia rachunków klientów białoruskich przez centralne depozyty papierów wartościowych UE, a także sprzedaży papierów wartościowych denominowanych w euro klientom białoruskim;</w:t>
      </w:r>
    </w:p>
    <w:p w14:paraId="6E5980B7" w14:textId="77777777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Zakaz dostarczania na Białoruś b</w:t>
      </w:r>
      <w:r w:rsidRPr="007B6D4A">
        <w:rPr>
          <w:rFonts w:ascii="Arial" w:eastAsia="Times New Roman" w:hAnsi="Arial" w:cs="Arial"/>
          <w:lang w:val="pl-PL"/>
        </w:rPr>
        <w:t>anknotów denominowanych w euro.</w:t>
      </w:r>
    </w:p>
    <w:p w14:paraId="7AABDCF2" w14:textId="77777777" w:rsidR="00E538FB" w:rsidRPr="007B6D4A" w:rsidRDefault="00E538FB" w:rsidP="00BB2DFA">
      <w:pPr>
        <w:jc w:val="both"/>
        <w:rPr>
          <w:rFonts w:ascii="Arial" w:hAnsi="Arial" w:cs="Arial"/>
          <w:lang w:val="pl-PL"/>
        </w:rPr>
      </w:pPr>
    </w:p>
    <w:p w14:paraId="2E48227B" w14:textId="77777777" w:rsidR="003D54F3" w:rsidRDefault="0066181C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</w:t>
      </w:r>
      <w:proofErr w:type="spellStart"/>
      <w:r>
        <w:rPr>
          <w:rFonts w:ascii="Arial" w:eastAsia="Times New Roman" w:hAnsi="Arial" w:cs="Arial"/>
          <w:b/>
          <w:bCs/>
        </w:rPr>
        <w:t>Rosji</w:t>
      </w:r>
      <w:proofErr w:type="spellEnd"/>
      <w:r>
        <w:rPr>
          <w:rFonts w:ascii="Arial" w:eastAsia="Times New Roman" w:hAnsi="Arial" w:cs="Arial"/>
        </w:rPr>
        <w:t>:</w:t>
      </w:r>
    </w:p>
    <w:p w14:paraId="205F982F" w14:textId="77777777" w:rsidR="00E538FB" w:rsidRDefault="00E538FB" w:rsidP="00BB2DFA">
      <w:pPr>
        <w:pStyle w:val="Akapitzlist"/>
        <w:jc w:val="both"/>
        <w:rPr>
          <w:rFonts w:ascii="Arial" w:hAnsi="Arial" w:cs="Arial"/>
        </w:rPr>
      </w:pPr>
    </w:p>
    <w:p w14:paraId="0E5E1234" w14:textId="77777777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UE ogranicza eksport towarów związanych z nawigacją morską i technologią komunikacji radiowej;</w:t>
      </w:r>
    </w:p>
    <w:p w14:paraId="49ED012C" w14:textId="77777777" w:rsidR="003D54F3" w:rsidRPr="007B6D4A" w:rsidRDefault="0066181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Umieszcza na liście sankcji więcej osób i podmiotów (160).</w:t>
      </w:r>
    </w:p>
    <w:p w14:paraId="2452DC3D" w14:textId="77777777" w:rsidR="00E538FB" w:rsidRPr="007B6D4A" w:rsidRDefault="00E538FB" w:rsidP="00BB2DFA">
      <w:pPr>
        <w:jc w:val="both"/>
        <w:rPr>
          <w:rFonts w:ascii="Arial" w:hAnsi="Arial" w:cs="Arial"/>
          <w:lang w:val="pl-PL"/>
        </w:rPr>
      </w:pPr>
    </w:p>
    <w:p w14:paraId="19D7CF2D" w14:textId="77777777" w:rsidR="003D54F3" w:rsidRDefault="0066181C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7B6D4A">
        <w:rPr>
          <w:rFonts w:ascii="Arial" w:eastAsia="Times New Roman" w:hAnsi="Arial" w:cs="Arial"/>
          <w:lang w:val="pl-PL"/>
        </w:rPr>
        <w:t xml:space="preserve">Dodano aktywa </w:t>
      </w:r>
      <w:proofErr w:type="spellStart"/>
      <w:r w:rsidRPr="007B6D4A">
        <w:rPr>
          <w:rFonts w:ascii="Arial" w:eastAsia="Times New Roman" w:hAnsi="Arial" w:cs="Arial"/>
          <w:lang w:val="pl-PL"/>
        </w:rPr>
        <w:t>kryptowalutowe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do sankcji (skierowanych zarówno przeciwko Rosji, jak i Białorusi), wyjaśniając pojęcie "zbywalnych papierów wartościowych". </w:t>
      </w:r>
      <w:proofErr w:type="spellStart"/>
      <w:r>
        <w:rPr>
          <w:rFonts w:ascii="Arial" w:eastAsia="Times New Roman" w:hAnsi="Arial" w:cs="Arial"/>
        </w:rPr>
        <w:t>Zrobiono</w:t>
      </w:r>
      <w:proofErr w:type="spellEnd"/>
      <w:r>
        <w:rPr>
          <w:rFonts w:ascii="Arial" w:eastAsia="Times New Roman" w:hAnsi="Arial" w:cs="Arial"/>
        </w:rPr>
        <w:t xml:space="preserve"> to, aby </w:t>
      </w:r>
      <w:proofErr w:type="spellStart"/>
      <w:r>
        <w:rPr>
          <w:rFonts w:ascii="Arial" w:eastAsia="Times New Roman" w:hAnsi="Arial" w:cs="Arial"/>
        </w:rPr>
        <w:t>zapewnić</w:t>
      </w:r>
      <w:proofErr w:type="spellEnd"/>
      <w:r>
        <w:rPr>
          <w:rFonts w:ascii="Arial" w:eastAsia="Times New Roman" w:hAnsi="Arial" w:cs="Arial"/>
        </w:rPr>
        <w:t xml:space="preserve"> właściwe wdrożenie obowiązujących ograniczeń sektorowych.</w:t>
      </w:r>
    </w:p>
    <w:p w14:paraId="0733C1F9" w14:textId="77777777" w:rsidR="00E538FB" w:rsidRDefault="00E538FB" w:rsidP="00BB2DFA">
      <w:pPr>
        <w:jc w:val="both"/>
        <w:rPr>
          <w:rFonts w:ascii="Arial" w:hAnsi="Arial" w:cs="Arial"/>
        </w:rPr>
      </w:pPr>
    </w:p>
    <w:p w14:paraId="67A53204" w14:textId="77777777" w:rsidR="002A71EC" w:rsidRDefault="002A71EC" w:rsidP="00BB2DFA">
      <w:pPr>
        <w:jc w:val="both"/>
        <w:rPr>
          <w:rFonts w:ascii="Arial" w:hAnsi="Arial" w:cs="Arial"/>
          <w:b/>
          <w:bCs/>
        </w:rPr>
      </w:pPr>
    </w:p>
    <w:p w14:paraId="477CA502" w14:textId="77777777" w:rsidR="003D54F3" w:rsidRDefault="0066181C">
      <w:pPr>
        <w:jc w:val="both"/>
        <w:rPr>
          <w:rFonts w:ascii="Arial" w:hAnsi="Arial" w:cs="Arial"/>
          <w:b/>
          <w:bCs/>
        </w:rPr>
      </w:pPr>
      <w:r w:rsidRPr="0057486B">
        <w:rPr>
          <w:rFonts w:ascii="Arial" w:hAnsi="Arial" w:cs="Arial"/>
          <w:b/>
          <w:bCs/>
        </w:rPr>
        <w:t>USA</w:t>
      </w:r>
    </w:p>
    <w:p w14:paraId="13D32A9A" w14:textId="77777777" w:rsidR="003D54F3" w:rsidRPr="007B6D4A" w:rsidRDefault="0066181C">
      <w:pPr>
        <w:jc w:val="both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 xml:space="preserve">Nakłada </w:t>
      </w:r>
      <w:r w:rsidR="00E538FB" w:rsidRPr="007B6D4A">
        <w:rPr>
          <w:rFonts w:ascii="Arial" w:hAnsi="Arial" w:cs="Arial"/>
          <w:lang w:val="pl-PL"/>
        </w:rPr>
        <w:t>zakaz importu niektórych produktów - ropy naftowej - oraz nowych inwestycji w związku z ciągłymi wysiłkami Rosji zmierzającymi do podważenia suwerenności i integralności terytorialnej Ukrainy. Zgodnie z wydanym rozporządzeniem wykonawczym, USA zakazuje następujących działań: (i) importu do Stanów Zjednoczonych następujących produktów pochodzących z Federacji Rosyjskiej: ropy naftowej; ropy naftowej; paliw ropopochodnych, olejów i produktów ich destylacji; skroplonego gazu ziemnego; węgla; oraz produktów węglowych; (ii) nowych inwestycji w sektorze energetycznym w Federacji Rosyjskiej przez osobę ze Stanów Zjednoczonych, niezależnie od jej lokalizacji; oraz (iii) jakiegokolwiek zatwierdzania, finansowania, ułatwiania lub gwarantowania przez osobę ze Stanów Zjednoczonych, niezależnie od jej lokalizacji, transakcji dokonywanej przez osobę zagraniczną, w przypadku gdy transakcja dokonywana przez tę osobę zagraniczną byłaby zakazana przez niniejszą sekcję, gdyby została przeprowadzona przez osobę ze Stanów Zjednoczonych lub na terytorium Stanów Zjednoczonych.</w:t>
      </w:r>
    </w:p>
    <w:p w14:paraId="27160680" w14:textId="77777777" w:rsidR="00E538FB" w:rsidRPr="007B6D4A" w:rsidRDefault="00E538FB" w:rsidP="00E538FB">
      <w:pPr>
        <w:rPr>
          <w:rFonts w:ascii="Arial" w:hAnsi="Arial" w:cs="Arial"/>
          <w:lang w:val="pl-PL"/>
        </w:rPr>
      </w:pPr>
    </w:p>
    <w:p w14:paraId="13042AF4" w14:textId="77777777" w:rsidR="00CB5333" w:rsidRPr="007B6D4A" w:rsidRDefault="00CB5333" w:rsidP="00E538FB">
      <w:pPr>
        <w:rPr>
          <w:rFonts w:ascii="Arial" w:hAnsi="Arial" w:cs="Arial"/>
          <w:lang w:val="pl-PL"/>
        </w:rPr>
      </w:pPr>
    </w:p>
    <w:p w14:paraId="21F08CF0" w14:textId="69749EB8" w:rsidR="003D54F3" w:rsidRPr="00393E7C" w:rsidRDefault="0066181C">
      <w:pPr>
        <w:jc w:val="both"/>
        <w:rPr>
          <w:rFonts w:ascii="Arial" w:eastAsia="Times New Roman" w:hAnsi="Arial" w:cs="Arial"/>
          <w:u w:val="single"/>
          <w:lang w:val="pl-PL"/>
        </w:rPr>
      </w:pPr>
      <w:r w:rsidRPr="00393E7C">
        <w:rPr>
          <w:rFonts w:ascii="Arial" w:eastAsia="Times New Roman" w:hAnsi="Arial" w:cs="Arial"/>
          <w:u w:val="single"/>
          <w:lang w:val="pl-PL"/>
        </w:rPr>
        <w:t xml:space="preserve">Linki do oficjalnych </w:t>
      </w:r>
      <w:r w:rsidR="00393E7C" w:rsidRPr="00393E7C">
        <w:rPr>
          <w:rFonts w:ascii="Arial" w:eastAsia="Times New Roman" w:hAnsi="Arial" w:cs="Arial"/>
          <w:u w:val="single"/>
          <w:lang w:val="pl-PL"/>
        </w:rPr>
        <w:t>stanowisk</w:t>
      </w:r>
      <w:r w:rsidRPr="00393E7C">
        <w:rPr>
          <w:rFonts w:ascii="Arial" w:eastAsia="Times New Roman" w:hAnsi="Arial" w:cs="Arial"/>
          <w:u w:val="single"/>
          <w:lang w:val="pl-PL"/>
        </w:rPr>
        <w:t>:</w:t>
      </w:r>
    </w:p>
    <w:p w14:paraId="245B92CE" w14:textId="77777777" w:rsidR="00CB5333" w:rsidRPr="00393E7C" w:rsidRDefault="00CB5333" w:rsidP="00CB5333">
      <w:pPr>
        <w:rPr>
          <w:rFonts w:ascii="Arial" w:hAnsi="Arial" w:cs="Arial"/>
          <w:b/>
          <w:bCs/>
          <w:lang w:val="pl-PL"/>
        </w:rPr>
      </w:pPr>
    </w:p>
    <w:p w14:paraId="681BA47A" w14:textId="77777777" w:rsidR="003D54F3" w:rsidRPr="00393E7C" w:rsidRDefault="0066181C">
      <w:pPr>
        <w:rPr>
          <w:rFonts w:ascii="Arial" w:hAnsi="Arial" w:cs="Arial"/>
          <w:b/>
          <w:bCs/>
          <w:lang w:val="pl-PL"/>
        </w:rPr>
      </w:pPr>
      <w:r w:rsidRPr="00393E7C">
        <w:rPr>
          <w:rFonts w:ascii="Arial" w:hAnsi="Arial" w:cs="Arial"/>
          <w:b/>
          <w:bCs/>
          <w:lang w:val="pl-PL"/>
        </w:rPr>
        <w:t>UE</w:t>
      </w:r>
    </w:p>
    <w:p w14:paraId="0781CCA4" w14:textId="77777777" w:rsidR="003D54F3" w:rsidRPr="007B6D4A" w:rsidRDefault="0066181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Komunikat prasowy: </w:t>
      </w:r>
      <w:hyperlink r:id="rId31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https://www.consilium.europa.eu/en/press/press-releases/2022/03/09/r</w:t>
        </w:r>
        <w:r w:rsidRPr="007B6D4A">
          <w:rPr>
            <w:rStyle w:val="Hipercze"/>
            <w:rFonts w:ascii="Arial" w:eastAsia="Times New Roman" w:hAnsi="Arial" w:cs="Arial"/>
            <w:lang w:val="pl-PL"/>
          </w:rPr>
          <w:t>ussia-s-military-aggression-against-ukraine-eu-agrees-new-sectoral-measures-targeting-belarus-and-russia/</w:t>
        </w:r>
      </w:hyperlink>
    </w:p>
    <w:p w14:paraId="19946DC5" w14:textId="77777777" w:rsidR="003D54F3" w:rsidRPr="007B6D4A" w:rsidRDefault="0066181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Dodatkowe osoby i podmioty: </w:t>
      </w:r>
      <w:hyperlink r:id="rId32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>//eur-lex.europa.eu/legal-cont</w:t>
      </w:r>
      <w:r w:rsidRPr="007B6D4A">
        <w:rPr>
          <w:rFonts w:ascii="Arial" w:eastAsia="Times New Roman" w:hAnsi="Arial" w:cs="Arial"/>
          <w:lang w:val="pl-PL"/>
        </w:rPr>
        <w:t xml:space="preserve">ent/EN/TXT/?uri=OJ:L:2022:080:TOC </w:t>
      </w:r>
    </w:p>
    <w:p w14:paraId="6E43EF43" w14:textId="77777777" w:rsidR="003D54F3" w:rsidRPr="007B6D4A" w:rsidRDefault="0066181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O </w:t>
      </w:r>
      <w:proofErr w:type="spellStart"/>
      <w:r w:rsidRPr="007B6D4A">
        <w:rPr>
          <w:rFonts w:ascii="Arial" w:eastAsia="Times New Roman" w:hAnsi="Arial" w:cs="Arial"/>
          <w:lang w:val="pl-PL"/>
        </w:rPr>
        <w:t>kryptowalutach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 i sektorze morskim: </w:t>
      </w:r>
      <w:hyperlink r:id="rId33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https://eur-lex.europa.eu/legal-content/EN/TXT/?uri=OJ:L:2022:081:TOC</w:t>
        </w:r>
      </w:hyperlink>
    </w:p>
    <w:p w14:paraId="3F3ECF3B" w14:textId="77777777" w:rsidR="003D54F3" w:rsidRPr="007B6D4A" w:rsidRDefault="0066181C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O Białorusi: </w:t>
      </w:r>
      <w:hyperlink r:id="rId34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//eur-lex.europa.eu/legal-content/EN/TXT/?uri=OJ:L:2022:082:TOC </w:t>
      </w:r>
    </w:p>
    <w:p w14:paraId="67A0E7DE" w14:textId="77777777" w:rsidR="00CB5333" w:rsidRPr="007B6D4A" w:rsidRDefault="00CB5333" w:rsidP="00E538FB">
      <w:pPr>
        <w:rPr>
          <w:rFonts w:ascii="Arial" w:hAnsi="Arial" w:cs="Arial"/>
          <w:lang w:val="pl-PL"/>
        </w:rPr>
      </w:pPr>
    </w:p>
    <w:p w14:paraId="22EC1CE5" w14:textId="77777777" w:rsidR="00CB5333" w:rsidRPr="007B6D4A" w:rsidRDefault="00CB5333" w:rsidP="00E538FB">
      <w:pPr>
        <w:rPr>
          <w:rFonts w:ascii="Arial" w:hAnsi="Arial" w:cs="Arial"/>
          <w:b/>
          <w:bCs/>
          <w:lang w:val="pl-PL"/>
        </w:rPr>
      </w:pPr>
    </w:p>
    <w:p w14:paraId="571D5096" w14:textId="77777777" w:rsidR="003D54F3" w:rsidRDefault="0066181C">
      <w:pPr>
        <w:rPr>
          <w:rFonts w:ascii="Arial" w:hAnsi="Arial" w:cs="Arial"/>
          <w:b/>
          <w:bCs/>
        </w:rPr>
      </w:pPr>
      <w:r w:rsidRPr="00350CB3">
        <w:rPr>
          <w:rFonts w:ascii="Arial" w:hAnsi="Arial" w:cs="Arial"/>
          <w:b/>
          <w:bCs/>
        </w:rPr>
        <w:t>USA</w:t>
      </w:r>
    </w:p>
    <w:p w14:paraId="1AA96AB4" w14:textId="77777777" w:rsidR="003D54F3" w:rsidRPr="007B6D4A" w:rsidRDefault="0066181C">
      <w:pPr>
        <w:numPr>
          <w:ilvl w:val="0"/>
          <w:numId w:val="11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Rozporządzenie wykonawcze: </w:t>
      </w:r>
      <w:hyperlink r:id="rId35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https://www.whitehouse.gov/briefing-room/presidential-actions/2022/03/08/executive-order-on-use-of-project-labor-agreements-for-federal-construction-projects-2/</w:t>
        </w:r>
      </w:hyperlink>
    </w:p>
    <w:p w14:paraId="706F378E" w14:textId="77777777" w:rsidR="003D54F3" w:rsidRPr="007B6D4A" w:rsidRDefault="0066181C">
      <w:pPr>
        <w:numPr>
          <w:ilvl w:val="0"/>
          <w:numId w:val="11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Przesłanie do Kongresu: </w:t>
      </w:r>
      <w:hyperlink r:id="rId36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https://www.whitehouse.gov/briefing-room/statements-releases/2022/03/08/message-to-the-congress-on-prohibiting-certain-imports-and-new-investments-with-respect-to-continued-russian-federation-efforts-to-u</w:t>
        </w:r>
        <w:r w:rsidRPr="007B6D4A">
          <w:rPr>
            <w:rStyle w:val="Hipercze"/>
            <w:rFonts w:ascii="Arial" w:eastAsia="Times New Roman" w:hAnsi="Arial" w:cs="Arial"/>
            <w:lang w:val="pl-PL"/>
          </w:rPr>
          <w:t>ndermine-the-sovereignty-and-territorial-integrity-of-ukraine/</w:t>
        </w:r>
      </w:hyperlink>
    </w:p>
    <w:p w14:paraId="75B33D51" w14:textId="77777777" w:rsidR="003D54F3" w:rsidRPr="007B6D4A" w:rsidRDefault="0066181C">
      <w:pPr>
        <w:numPr>
          <w:ilvl w:val="0"/>
          <w:numId w:val="11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Arkusz informacyjny: </w:t>
      </w:r>
      <w:hyperlink r:id="rId37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https://www.whitehouse.gov/briefing-room/statements-releases/2022/03/08/fact-sheet-united-states-bans-imports-of-russian-oil-liquefied-natural-gas-and-coal/</w:t>
        </w:r>
      </w:hyperlink>
    </w:p>
    <w:p w14:paraId="78443AA4" w14:textId="77777777" w:rsidR="003D54F3" w:rsidRPr="007B6D4A" w:rsidRDefault="0066181C">
      <w:pPr>
        <w:numPr>
          <w:ilvl w:val="0"/>
          <w:numId w:val="11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Wytyczne dotyczące Rozporządzenia Wykonawczego: </w:t>
      </w:r>
      <w:hyperlink r:id="rId38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//home.treasury.gov/news/press-releases/jy0641 </w:t>
      </w:r>
    </w:p>
    <w:p w14:paraId="6C8AAD45" w14:textId="77777777" w:rsidR="00E538FB" w:rsidRPr="007B6D4A" w:rsidRDefault="00E538FB" w:rsidP="00E538FB">
      <w:pPr>
        <w:rPr>
          <w:rFonts w:ascii="Arial" w:hAnsi="Arial" w:cs="Arial"/>
          <w:lang w:val="pl-PL"/>
        </w:rPr>
      </w:pPr>
    </w:p>
    <w:p w14:paraId="1F262E79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>U</w:t>
      </w:r>
      <w:r w:rsidRPr="007B6D4A">
        <w:rPr>
          <w:rFonts w:ascii="Arial" w:hAnsi="Arial" w:cs="Arial"/>
          <w:lang w:val="pl-PL"/>
        </w:rPr>
        <w:t xml:space="preserve">K </w:t>
      </w:r>
    </w:p>
    <w:p w14:paraId="16D19BEB" w14:textId="7863493A" w:rsidR="003D54F3" w:rsidRPr="007B6D4A" w:rsidRDefault="00E538FB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lastRenderedPageBreak/>
        <w:t xml:space="preserve">Przyjęto plan stopniowego wycofania </w:t>
      </w:r>
      <w:r w:rsidR="0066181C" w:rsidRPr="007B6D4A">
        <w:rPr>
          <w:rFonts w:ascii="Arial" w:hAnsi="Arial" w:cs="Arial"/>
          <w:lang w:val="pl-PL"/>
        </w:rPr>
        <w:t>się</w:t>
      </w:r>
      <w:r w:rsidRPr="007B6D4A">
        <w:rPr>
          <w:rFonts w:ascii="Arial" w:hAnsi="Arial" w:cs="Arial"/>
          <w:lang w:val="pl-PL"/>
        </w:rPr>
        <w:t xml:space="preserve"> z importu rosyjskiej ropy do końca roku. Odpowiedni komunikat prasowy można znaleźć tutaj: </w:t>
      </w:r>
      <w:hyperlink r:id="rId39" w:history="1">
        <w:r w:rsidRPr="00393E7C">
          <w:rPr>
            <w:rStyle w:val="Hipercze"/>
            <w:rFonts w:ascii="Arial" w:hAnsi="Arial" w:cs="Arial"/>
            <w:lang w:val="pl-PL"/>
          </w:rPr>
          <w:t>https://www.gov.uk/government/news/uk-to-phase-out-russian-oil-imports</w:t>
        </w:r>
      </w:hyperlink>
      <w:r w:rsidRPr="007B6D4A">
        <w:rPr>
          <w:rFonts w:ascii="Arial" w:hAnsi="Arial" w:cs="Arial"/>
          <w:lang w:val="pl-PL"/>
        </w:rPr>
        <w:t>. Rząd brytyjski powołuje nową wspólną grupę zadaniową z przedstawicielami przemysłu, której zadaniem jest współpraca w zakresie uporządkowanego przejścia na nowy system i pomoc w znalezieniu alternatywnych źródeł zaopatrzenia.</w:t>
      </w:r>
    </w:p>
    <w:p w14:paraId="0257568C" w14:textId="77777777" w:rsidR="00E538FB" w:rsidRPr="007B6D4A" w:rsidRDefault="00E538FB">
      <w:pPr>
        <w:rPr>
          <w:lang w:val="pl-PL"/>
        </w:rPr>
      </w:pPr>
    </w:p>
    <w:p w14:paraId="6B9FF9F8" w14:textId="77777777" w:rsidR="003B7665" w:rsidRPr="007B6D4A" w:rsidRDefault="003B7665">
      <w:pPr>
        <w:rPr>
          <w:lang w:val="pl-PL"/>
        </w:rPr>
      </w:pPr>
    </w:p>
    <w:p w14:paraId="73459960" w14:textId="77777777" w:rsidR="003B7665" w:rsidRPr="007B6D4A" w:rsidRDefault="003B7665">
      <w:pPr>
        <w:rPr>
          <w:lang w:val="pl-PL"/>
        </w:rPr>
      </w:pPr>
    </w:p>
    <w:p w14:paraId="5019F993" w14:textId="77777777" w:rsidR="003B7665" w:rsidRPr="007B6D4A" w:rsidRDefault="003B7665">
      <w:pPr>
        <w:rPr>
          <w:lang w:val="pl-PL"/>
        </w:rPr>
      </w:pPr>
    </w:p>
    <w:p w14:paraId="0F88666E" w14:textId="77777777" w:rsidR="002A71EC" w:rsidRPr="007B6D4A" w:rsidRDefault="002A71EC">
      <w:pPr>
        <w:rPr>
          <w:lang w:val="pl-PL"/>
        </w:rPr>
      </w:pPr>
    </w:p>
    <w:p w14:paraId="7ECE3E42" w14:textId="77777777" w:rsidR="002A71EC" w:rsidRPr="007B6D4A" w:rsidRDefault="002A71EC">
      <w:pPr>
        <w:rPr>
          <w:lang w:val="pl-PL"/>
        </w:rPr>
      </w:pPr>
    </w:p>
    <w:p w14:paraId="493761F0" w14:textId="77777777" w:rsidR="003B7665" w:rsidRPr="007B6D4A" w:rsidRDefault="003B7665">
      <w:pPr>
        <w:rPr>
          <w:lang w:val="pl-PL"/>
        </w:rPr>
      </w:pPr>
    </w:p>
    <w:p w14:paraId="6CB506AE" w14:textId="77777777" w:rsidR="003B7665" w:rsidRPr="007B6D4A" w:rsidRDefault="003B7665">
      <w:pPr>
        <w:rPr>
          <w:lang w:val="pl-PL"/>
        </w:rPr>
      </w:pPr>
    </w:p>
    <w:p w14:paraId="77CE40E3" w14:textId="77777777" w:rsidR="00216BAB" w:rsidRPr="007B6D4A" w:rsidRDefault="00216BAB">
      <w:pPr>
        <w:rPr>
          <w:lang w:val="pl-PL"/>
        </w:rPr>
      </w:pPr>
    </w:p>
    <w:p w14:paraId="3E9C3216" w14:textId="77777777" w:rsidR="003D54F3" w:rsidRPr="009D3C10" w:rsidRDefault="0066181C">
      <w:pPr>
        <w:rPr>
          <w:rFonts w:ascii="Arial" w:hAnsi="Arial" w:cs="Arial"/>
          <w:b/>
          <w:bCs/>
          <w:lang w:val="pl-PL"/>
        </w:rPr>
      </w:pPr>
      <w:r w:rsidRPr="009D3C10">
        <w:rPr>
          <w:rFonts w:ascii="Arial" w:hAnsi="Arial" w:cs="Arial"/>
          <w:b/>
          <w:bCs/>
          <w:lang w:val="pl-PL"/>
        </w:rPr>
        <w:t>4</w:t>
      </w:r>
      <w:r w:rsidRPr="009D3C10">
        <w:rPr>
          <w:rFonts w:ascii="Arial" w:hAnsi="Arial" w:cs="Arial"/>
          <w:b/>
          <w:bCs/>
          <w:vertAlign w:val="superscript"/>
          <w:lang w:val="pl-PL"/>
        </w:rPr>
        <w:t>TH</w:t>
      </w:r>
      <w:r w:rsidRPr="009D3C10">
        <w:rPr>
          <w:rFonts w:ascii="Arial" w:hAnsi="Arial" w:cs="Arial"/>
          <w:b/>
          <w:bCs/>
          <w:lang w:val="pl-PL"/>
        </w:rPr>
        <w:t xml:space="preserve"> PAKIET SANKCJI 15/03/2022</w:t>
      </w:r>
    </w:p>
    <w:p w14:paraId="093A45F2" w14:textId="77777777" w:rsidR="003B7665" w:rsidRPr="009D3C10" w:rsidRDefault="003B7665">
      <w:pPr>
        <w:rPr>
          <w:lang w:val="pl-PL"/>
        </w:rPr>
      </w:pPr>
    </w:p>
    <w:p w14:paraId="1B9A0120" w14:textId="37E200F2" w:rsidR="003D54F3" w:rsidRPr="009D3C10" w:rsidRDefault="0066181C">
      <w:pPr>
        <w:rPr>
          <w:rFonts w:ascii="Arial" w:hAnsi="Arial" w:cs="Arial"/>
          <w:lang w:val="pl-PL"/>
        </w:rPr>
      </w:pPr>
      <w:r w:rsidRPr="009D3C10">
        <w:rPr>
          <w:rFonts w:ascii="Arial" w:hAnsi="Arial" w:cs="Arial"/>
          <w:b/>
          <w:bCs/>
          <w:u w:val="single"/>
          <w:lang w:val="pl-PL"/>
        </w:rPr>
        <w:t>Podsumowanie działań</w:t>
      </w:r>
      <w:r w:rsidR="009D3C10" w:rsidRPr="009D3C10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9D3C10">
        <w:rPr>
          <w:rFonts w:ascii="Arial" w:hAnsi="Arial" w:cs="Arial"/>
          <w:b/>
          <w:bCs/>
          <w:u w:val="single"/>
          <w:lang w:val="pl-PL"/>
        </w:rPr>
        <w:t>pakietu:</w:t>
      </w:r>
    </w:p>
    <w:p w14:paraId="7E29E28B" w14:textId="77777777" w:rsidR="003B7665" w:rsidRPr="009D3C10" w:rsidRDefault="003B7665" w:rsidP="00216BAB">
      <w:pPr>
        <w:jc w:val="both"/>
        <w:rPr>
          <w:rFonts w:ascii="Arial" w:hAnsi="Arial" w:cs="Arial"/>
          <w:lang w:val="pl-PL"/>
        </w:rPr>
      </w:pPr>
    </w:p>
    <w:p w14:paraId="27E4D7FF" w14:textId="298D0BD0" w:rsidR="003D54F3" w:rsidRPr="007B6D4A" w:rsidRDefault="0066181C">
      <w:pPr>
        <w:pStyle w:val="Akapitzlist"/>
        <w:numPr>
          <w:ilvl w:val="0"/>
          <w:numId w:val="13"/>
        </w:numPr>
        <w:ind w:left="360"/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Zakazu</w:t>
      </w:r>
      <w:r w:rsidR="00393E7C">
        <w:rPr>
          <w:rFonts w:ascii="Arial" w:eastAsia="Times New Roman" w:hAnsi="Arial" w:cs="Arial"/>
          <w:lang w:val="pl-PL"/>
        </w:rPr>
        <w:t>j</w:t>
      </w:r>
      <w:r w:rsidR="009D3C10">
        <w:rPr>
          <w:rFonts w:ascii="Arial" w:eastAsia="Times New Roman" w:hAnsi="Arial" w:cs="Arial"/>
          <w:lang w:val="pl-PL"/>
        </w:rPr>
        <w:t xml:space="preserve">e </w:t>
      </w:r>
      <w:r w:rsidRPr="007B6D4A">
        <w:rPr>
          <w:rFonts w:ascii="Arial" w:eastAsia="Times New Roman" w:hAnsi="Arial" w:cs="Arial"/>
          <w:lang w:val="pl-PL"/>
        </w:rPr>
        <w:t xml:space="preserve">wszelkich transakcji z niektórymi 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>przedsiębiorstwami państwowymi</w:t>
      </w:r>
      <w:r w:rsidRPr="007B6D4A">
        <w:rPr>
          <w:rFonts w:ascii="Arial" w:eastAsia="Times New Roman" w:hAnsi="Arial" w:cs="Arial"/>
          <w:lang w:val="pl-PL"/>
        </w:rPr>
        <w:t>, np. kontrolowanymi przez państwo lub posiadającymi ponad 50% własności publicznej, lub w których Rosja, jej rząd lub Bank Centralny ma prawo do udziału w zyskach, lub z którymi Rosja, jej rząd lub Bank Centralny ma inne istotne powiązania gospodarcze.</w:t>
      </w:r>
    </w:p>
    <w:p w14:paraId="113F21E3" w14:textId="77777777" w:rsidR="003B7665" w:rsidRPr="007B6D4A" w:rsidRDefault="003B7665" w:rsidP="00216BAB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3E03C98C" w14:textId="77777777" w:rsidR="003D54F3" w:rsidRPr="007B6D4A" w:rsidRDefault="0066181C">
      <w:pPr>
        <w:pStyle w:val="Akapitzlist"/>
        <w:numPr>
          <w:ilvl w:val="0"/>
          <w:numId w:val="13"/>
        </w:numPr>
        <w:ind w:left="360"/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</w:t>
      </w:r>
      <w:r w:rsidRPr="007B6D4A">
        <w:rPr>
          <w:rFonts w:ascii="Arial" w:eastAsia="Times New Roman" w:hAnsi="Arial" w:cs="Arial"/>
          <w:lang w:val="pl-PL"/>
        </w:rPr>
        <w:t xml:space="preserve">akazuje świadczenia jakichkolwiek 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 xml:space="preserve">usług ratingowych, </w:t>
      </w:r>
      <w:r w:rsidRPr="007B6D4A">
        <w:rPr>
          <w:rFonts w:ascii="Arial" w:eastAsia="Times New Roman" w:hAnsi="Arial" w:cs="Arial"/>
          <w:lang w:val="pl-PL"/>
        </w:rPr>
        <w:t>jak również dostępu do jakichkolwiek usług subskrypcyjnych związanych z działalnością w zakresie ratingu kredytowego, na rzecz jakiejkolwiek osoby lub podmiotu z Rosji.</w:t>
      </w:r>
    </w:p>
    <w:p w14:paraId="3257CFA9" w14:textId="77777777" w:rsidR="003B7665" w:rsidRPr="007B6D4A" w:rsidRDefault="003B7665" w:rsidP="00216BAB">
      <w:pPr>
        <w:jc w:val="both"/>
        <w:rPr>
          <w:rFonts w:ascii="Arial" w:hAnsi="Arial" w:cs="Arial"/>
          <w:lang w:val="pl-PL"/>
        </w:rPr>
      </w:pPr>
    </w:p>
    <w:p w14:paraId="6DC64B07" w14:textId="77777777" w:rsidR="003D54F3" w:rsidRPr="007B6D4A" w:rsidRDefault="0066181C">
      <w:pPr>
        <w:pStyle w:val="Akapitzlist"/>
        <w:numPr>
          <w:ilvl w:val="0"/>
          <w:numId w:val="13"/>
        </w:numPr>
        <w:ind w:left="360"/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Rozszerza 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>listę osób związanych z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 xml:space="preserve"> rosyjską bazą obronną i przemysłową</w:t>
      </w:r>
      <w:r w:rsidRPr="007B6D4A">
        <w:rPr>
          <w:rFonts w:ascii="Arial" w:eastAsia="Times New Roman" w:hAnsi="Arial" w:cs="Arial"/>
          <w:lang w:val="pl-PL"/>
        </w:rPr>
        <w:t>, na które nakładane są surowsze ograniczenia eksportowe dotyczące towarów podwójnego zastosowania oraz towarów i technologii, które mogą przyczynić się do technologicznego wzmocnienia rosyjskiego sektora obronności i be</w:t>
      </w:r>
      <w:r w:rsidRPr="007B6D4A">
        <w:rPr>
          <w:rFonts w:ascii="Arial" w:eastAsia="Times New Roman" w:hAnsi="Arial" w:cs="Arial"/>
          <w:lang w:val="pl-PL"/>
        </w:rPr>
        <w:t xml:space="preserve">zpieczeństwa. Na liście znajdują się ważne nazwiska z rosyjskiego przemysłu, takie jak Aleksander </w:t>
      </w:r>
      <w:proofErr w:type="spellStart"/>
      <w:r w:rsidRPr="007B6D4A">
        <w:rPr>
          <w:rFonts w:ascii="Arial" w:eastAsia="Times New Roman" w:hAnsi="Arial" w:cs="Arial"/>
          <w:lang w:val="pl-PL"/>
        </w:rPr>
        <w:t>Szokhin</w:t>
      </w:r>
      <w:proofErr w:type="spellEnd"/>
      <w:r w:rsidRPr="007B6D4A">
        <w:rPr>
          <w:rFonts w:ascii="Arial" w:eastAsia="Times New Roman" w:hAnsi="Arial" w:cs="Arial"/>
          <w:lang w:val="pl-PL"/>
        </w:rPr>
        <w:t xml:space="preserve">, przewodniczący Rosyjskiego Związku Przemysłowców i Przedsiębiorców (RSPP). </w:t>
      </w:r>
    </w:p>
    <w:p w14:paraId="6B393411" w14:textId="77777777" w:rsidR="003B7665" w:rsidRPr="007B6D4A" w:rsidRDefault="003B7665" w:rsidP="00216BAB">
      <w:pPr>
        <w:jc w:val="both"/>
        <w:rPr>
          <w:rFonts w:ascii="Arial" w:hAnsi="Arial" w:cs="Arial"/>
          <w:lang w:val="pl-PL"/>
        </w:rPr>
      </w:pPr>
    </w:p>
    <w:p w14:paraId="0C8F5901" w14:textId="16BBE5D5" w:rsidR="003D54F3" w:rsidRPr="007B6D4A" w:rsidRDefault="0066181C">
      <w:pPr>
        <w:pStyle w:val="Akapitzlist"/>
        <w:numPr>
          <w:ilvl w:val="0"/>
          <w:numId w:val="13"/>
        </w:numPr>
        <w:ind w:left="360"/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Zakazuje nowych inwestycji w rosyjskim sektorze energetycznym, jak równi</w:t>
      </w:r>
      <w:r w:rsidRPr="007B6D4A">
        <w:rPr>
          <w:rFonts w:ascii="Arial" w:eastAsia="Times New Roman" w:hAnsi="Arial" w:cs="Arial"/>
          <w:lang w:val="pl-PL"/>
        </w:rPr>
        <w:t xml:space="preserve">eż wprowadzenia 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 xml:space="preserve">kompleksowego ograniczenia eksportu sprzętu, technologii i usług dla przemysłu energetycznego, </w:t>
      </w:r>
      <w:r w:rsidRPr="007B6D4A">
        <w:rPr>
          <w:rFonts w:ascii="Arial" w:eastAsia="Times New Roman" w:hAnsi="Arial" w:cs="Arial"/>
          <w:lang w:val="pl-PL"/>
        </w:rPr>
        <w:t xml:space="preserve">z wyjątkami stosowanymi w celu zapewnienia kluczowych dostaw energii </w:t>
      </w:r>
      <w:r w:rsidR="009D3C10">
        <w:rPr>
          <w:rFonts w:ascii="Arial" w:eastAsia="Times New Roman" w:hAnsi="Arial" w:cs="Arial"/>
          <w:lang w:val="pl-PL"/>
        </w:rPr>
        <w:t xml:space="preserve">do </w:t>
      </w:r>
      <w:r w:rsidRPr="007B6D4A">
        <w:rPr>
          <w:rFonts w:ascii="Arial" w:eastAsia="Times New Roman" w:hAnsi="Arial" w:cs="Arial"/>
          <w:lang w:val="pl-PL"/>
        </w:rPr>
        <w:t>Europ</w:t>
      </w:r>
      <w:r w:rsidR="009D3C10">
        <w:rPr>
          <w:rFonts w:ascii="Arial" w:eastAsia="Times New Roman" w:hAnsi="Arial" w:cs="Arial"/>
          <w:lang w:val="pl-PL"/>
        </w:rPr>
        <w:t>y</w:t>
      </w:r>
      <w:r w:rsidRPr="007B6D4A">
        <w:rPr>
          <w:rFonts w:ascii="Arial" w:eastAsia="Times New Roman" w:hAnsi="Arial" w:cs="Arial"/>
          <w:lang w:val="pl-PL"/>
        </w:rPr>
        <w:t>, jak również w celu zapobieżenia lub złagodzenia skutków zdarzenia</w:t>
      </w:r>
      <w:r w:rsidRPr="007B6D4A">
        <w:rPr>
          <w:rFonts w:ascii="Arial" w:eastAsia="Times New Roman" w:hAnsi="Arial" w:cs="Arial"/>
          <w:lang w:val="pl-PL"/>
        </w:rPr>
        <w:t xml:space="preserve"> mogącego mieć wpływ na zdrowie ludzkie lub środowisko.</w:t>
      </w:r>
    </w:p>
    <w:p w14:paraId="72563355" w14:textId="77777777" w:rsidR="003B7665" w:rsidRPr="007B6D4A" w:rsidRDefault="003B7665" w:rsidP="00216BAB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6FFC3804" w14:textId="77777777" w:rsidR="003D54F3" w:rsidRPr="007B6D4A" w:rsidRDefault="0066181C">
      <w:pPr>
        <w:pStyle w:val="Akapitzlist"/>
        <w:numPr>
          <w:ilvl w:val="0"/>
          <w:numId w:val="13"/>
        </w:numPr>
        <w:ind w:left="360"/>
        <w:jc w:val="both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lastRenderedPageBreak/>
        <w:t xml:space="preserve">Wprowadza dalsze ograniczenia dotyczące przywozu, transportu i świadczenia różnych usług w odniesieniu do niektórych 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 xml:space="preserve">wyrobów z żelaza i stali, a </w:t>
      </w:r>
      <w:r w:rsidRPr="007B6D4A">
        <w:rPr>
          <w:rFonts w:ascii="Arial" w:eastAsia="Times New Roman" w:hAnsi="Arial" w:cs="Arial"/>
          <w:lang w:val="pl-PL"/>
        </w:rPr>
        <w:t xml:space="preserve">także wywozu </w:t>
      </w:r>
      <w:r w:rsidRPr="007B6D4A">
        <w:rPr>
          <w:rFonts w:ascii="Arial" w:eastAsia="Times New Roman" w:hAnsi="Arial" w:cs="Arial"/>
          <w:b/>
          <w:bCs/>
          <w:i/>
          <w:iCs/>
          <w:lang w:val="pl-PL"/>
        </w:rPr>
        <w:t xml:space="preserve">towarów luksusowych, </w:t>
      </w:r>
      <w:r w:rsidRPr="007B6D4A">
        <w:rPr>
          <w:rFonts w:ascii="Arial" w:eastAsia="Times New Roman" w:hAnsi="Arial" w:cs="Arial"/>
          <w:lang w:val="pl-PL"/>
        </w:rPr>
        <w:t>których wartość prze</w:t>
      </w:r>
      <w:r w:rsidRPr="007B6D4A">
        <w:rPr>
          <w:rFonts w:ascii="Arial" w:eastAsia="Times New Roman" w:hAnsi="Arial" w:cs="Arial"/>
          <w:lang w:val="pl-PL"/>
        </w:rPr>
        <w:t>kracza 300 EUR za sztukę, zwracając uwagę, że dla niektórych pozycji obowiązują różne progi (takie jak: 750 EUR w przypadku artykułów elektronicznych do użytku domowego, 1000 EUR w przypadku aparatury elektrycznej/elektronicznej lub optycznej do nagrywania</w:t>
      </w:r>
      <w:r w:rsidRPr="007B6D4A">
        <w:rPr>
          <w:rFonts w:ascii="Arial" w:eastAsia="Times New Roman" w:hAnsi="Arial" w:cs="Arial"/>
          <w:lang w:val="pl-PL"/>
        </w:rPr>
        <w:t xml:space="preserve"> i odtwarzania dźwięku i obrazu, 50 000 EUR w przypadku pojazdów i 5000 EUR w przypadku motocykli). </w:t>
      </w:r>
    </w:p>
    <w:p w14:paraId="39FDE046" w14:textId="77777777" w:rsidR="003B7665" w:rsidRPr="007B6D4A" w:rsidRDefault="003B7665" w:rsidP="00216BAB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5B91A9C8" w14:textId="77777777" w:rsidR="003D54F3" w:rsidRPr="007B6D4A" w:rsidRDefault="0066181C">
      <w:pPr>
        <w:pStyle w:val="Akapitzlist"/>
        <w:numPr>
          <w:ilvl w:val="0"/>
          <w:numId w:val="13"/>
        </w:numPr>
        <w:ind w:left="360"/>
        <w:jc w:val="both"/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lang w:val="pl-PL"/>
        </w:rPr>
        <w:t>Rozszerza listę objętych sankcjami kluczowych oligarchów, lobbystów i propagandystów forsujących narrację Kremla na temat sytuacji na Ukrainie, a także kl</w:t>
      </w:r>
      <w:r w:rsidRPr="007B6D4A">
        <w:rPr>
          <w:rFonts w:ascii="Arial" w:eastAsia="Times New Roman" w:hAnsi="Arial" w:cs="Arial"/>
          <w:lang w:val="pl-PL"/>
        </w:rPr>
        <w:t>uczowych firm z branży lotniczej, wojskowej i podwójnego zastosowania, stoczniowej i maszynowej.</w:t>
      </w:r>
    </w:p>
    <w:p w14:paraId="7E2B3B03" w14:textId="77777777" w:rsidR="003B7665" w:rsidRPr="007B6D4A" w:rsidRDefault="003B7665" w:rsidP="00216BAB">
      <w:pPr>
        <w:jc w:val="both"/>
        <w:rPr>
          <w:rFonts w:ascii="Arial" w:hAnsi="Arial" w:cs="Arial"/>
          <w:b/>
          <w:bCs/>
          <w:lang w:val="pl-PL"/>
        </w:rPr>
      </w:pPr>
    </w:p>
    <w:p w14:paraId="5B83EEBB" w14:textId="77777777" w:rsidR="003D54F3" w:rsidRPr="007B6D4A" w:rsidRDefault="0066181C">
      <w:pPr>
        <w:pStyle w:val="Akapitzlist"/>
        <w:numPr>
          <w:ilvl w:val="0"/>
          <w:numId w:val="14"/>
        </w:numPr>
        <w:ind w:left="360"/>
        <w:jc w:val="both"/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 xml:space="preserve">Należy pamiętać, że istnieją okresy przejściowe, które umożliwiają firmom wypowiedzenie istniejących umów. </w:t>
      </w:r>
    </w:p>
    <w:p w14:paraId="6F6A5386" w14:textId="77777777" w:rsidR="003B7665" w:rsidRPr="007B6D4A" w:rsidRDefault="003B7665" w:rsidP="003B7665">
      <w:pPr>
        <w:rPr>
          <w:lang w:val="pl-PL"/>
        </w:rPr>
      </w:pPr>
    </w:p>
    <w:p w14:paraId="5D13227B" w14:textId="77777777" w:rsidR="003D54F3" w:rsidRPr="007B6D4A" w:rsidRDefault="0066181C">
      <w:pPr>
        <w:rPr>
          <w:rFonts w:ascii="Arial" w:hAnsi="Arial" w:cs="Arial"/>
          <w:b/>
          <w:bCs/>
          <w:lang w:val="pl-PL"/>
        </w:rPr>
      </w:pPr>
      <w:r w:rsidRPr="007B6D4A">
        <w:rPr>
          <w:rFonts w:ascii="Arial" w:hAnsi="Arial" w:cs="Arial"/>
          <w:b/>
          <w:bCs/>
          <w:lang w:val="pl-PL"/>
        </w:rPr>
        <w:t>WTO</w:t>
      </w:r>
    </w:p>
    <w:p w14:paraId="421EAA9D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>Rada dała także zielone światło Komisji, by w</w:t>
      </w:r>
      <w:r w:rsidRPr="007B6D4A">
        <w:rPr>
          <w:rFonts w:ascii="Arial" w:hAnsi="Arial" w:cs="Arial"/>
          <w:lang w:val="pl-PL"/>
        </w:rPr>
        <w:t xml:space="preserve"> imieniu UE przyłączyła się do </w:t>
      </w:r>
      <w:hyperlink r:id="rId40" w:history="1">
        <w:r w:rsidRPr="007B6D4A">
          <w:rPr>
            <w:rStyle w:val="Hipercze"/>
            <w:rFonts w:ascii="Arial" w:hAnsi="Arial" w:cs="Arial"/>
            <w:lang w:val="pl-PL"/>
          </w:rPr>
          <w:t>wielostronnego oświadczenia</w:t>
        </w:r>
      </w:hyperlink>
      <w:r w:rsidRPr="007B6D4A">
        <w:rPr>
          <w:rFonts w:ascii="Arial" w:hAnsi="Arial" w:cs="Arial"/>
          <w:lang w:val="pl-PL"/>
        </w:rPr>
        <w:t xml:space="preserve"> w sprawie agresji Federacji Rosyjskiej na Ukrainę, wydanego w kontekście Światowej Organizacj</w:t>
      </w:r>
      <w:r w:rsidRPr="007B6D4A">
        <w:rPr>
          <w:rFonts w:ascii="Arial" w:hAnsi="Arial" w:cs="Arial"/>
          <w:lang w:val="pl-PL"/>
        </w:rPr>
        <w:t xml:space="preserve">i Handlu (WTO), przy wsparciu Białorusi. </w:t>
      </w:r>
      <w:r w:rsidR="00CF1C32" w:rsidRPr="007B6D4A">
        <w:rPr>
          <w:rFonts w:ascii="Arial" w:hAnsi="Arial" w:cs="Arial"/>
          <w:lang w:val="pl-PL"/>
        </w:rPr>
        <w:t xml:space="preserve">Wśród </w:t>
      </w:r>
      <w:r w:rsidR="009932DF" w:rsidRPr="007B6D4A">
        <w:rPr>
          <w:rFonts w:ascii="Arial" w:hAnsi="Arial" w:cs="Arial"/>
          <w:lang w:val="pl-PL"/>
        </w:rPr>
        <w:t xml:space="preserve">przewidzianych </w:t>
      </w:r>
      <w:r w:rsidR="00CF1C32" w:rsidRPr="007B6D4A">
        <w:rPr>
          <w:rFonts w:ascii="Arial" w:hAnsi="Arial" w:cs="Arial"/>
          <w:lang w:val="pl-PL"/>
        </w:rPr>
        <w:t xml:space="preserve">działań </w:t>
      </w:r>
      <w:r w:rsidR="00DD042B" w:rsidRPr="007B6D4A">
        <w:rPr>
          <w:rFonts w:ascii="Arial" w:hAnsi="Arial" w:cs="Arial"/>
          <w:lang w:val="pl-PL"/>
        </w:rPr>
        <w:t xml:space="preserve">jest </w:t>
      </w:r>
      <w:r w:rsidR="00CF1C32" w:rsidRPr="007B6D4A">
        <w:rPr>
          <w:rFonts w:ascii="Arial" w:hAnsi="Arial" w:cs="Arial"/>
          <w:lang w:val="pl-PL"/>
        </w:rPr>
        <w:t xml:space="preserve">zawieszenie </w:t>
      </w:r>
      <w:r w:rsidR="009932DF" w:rsidRPr="007B6D4A">
        <w:rPr>
          <w:rFonts w:ascii="Arial" w:hAnsi="Arial" w:cs="Arial"/>
          <w:lang w:val="pl-PL"/>
        </w:rPr>
        <w:t xml:space="preserve">traktowania Federacji Rosyjskiej </w:t>
      </w:r>
      <w:r w:rsidR="00CF1C32" w:rsidRPr="007B6D4A">
        <w:rPr>
          <w:rFonts w:ascii="Arial" w:hAnsi="Arial" w:cs="Arial"/>
          <w:lang w:val="pl-PL"/>
        </w:rPr>
        <w:t>jako kraju najbardziej uprzywilejowanego</w:t>
      </w:r>
      <w:r w:rsidR="009932DF" w:rsidRPr="007B6D4A">
        <w:rPr>
          <w:rFonts w:ascii="Arial" w:hAnsi="Arial" w:cs="Arial"/>
          <w:lang w:val="pl-PL"/>
        </w:rPr>
        <w:t>. Musimy się jeszcze przekonać, co to będzie oznaczać w praktyce dla handlu towarami i usługami między UE a Rosją</w:t>
      </w:r>
      <w:r w:rsidR="00FC19DB" w:rsidRPr="007B6D4A">
        <w:rPr>
          <w:rFonts w:ascii="Arial" w:hAnsi="Arial" w:cs="Arial"/>
          <w:lang w:val="pl-PL"/>
        </w:rPr>
        <w:t xml:space="preserve">. </w:t>
      </w:r>
      <w:r w:rsidR="009932DF" w:rsidRPr="007B6D4A">
        <w:rPr>
          <w:rFonts w:ascii="Arial" w:hAnsi="Arial" w:cs="Arial"/>
          <w:lang w:val="pl-PL"/>
        </w:rPr>
        <w:t xml:space="preserve"> </w:t>
      </w:r>
    </w:p>
    <w:p w14:paraId="2D843263" w14:textId="77777777" w:rsidR="003B7665" w:rsidRPr="007B6D4A" w:rsidRDefault="003B7665" w:rsidP="003B7665">
      <w:pPr>
        <w:rPr>
          <w:rFonts w:ascii="Arial" w:hAnsi="Arial" w:cs="Arial"/>
          <w:lang w:val="pl-PL"/>
        </w:rPr>
      </w:pPr>
    </w:p>
    <w:p w14:paraId="438DC247" w14:textId="77777777" w:rsidR="003D54F3" w:rsidRPr="007B6D4A" w:rsidRDefault="0066181C">
      <w:pPr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>Ponadto, w świetle materialnego wsparcia Białorusi dla działań Federacji Rosyjskiej, UE uważa, że proces przystąpienia Białorusi do WTO powinien zostać zawieszony.</w:t>
      </w:r>
    </w:p>
    <w:p w14:paraId="3062EE1E" w14:textId="77777777" w:rsidR="003B7665" w:rsidRPr="007B6D4A" w:rsidRDefault="003B7665" w:rsidP="003B7665">
      <w:pPr>
        <w:rPr>
          <w:lang w:val="pl-PL"/>
        </w:rPr>
      </w:pPr>
    </w:p>
    <w:p w14:paraId="5E55C3F2" w14:textId="19FDBB76" w:rsidR="003D54F3" w:rsidRPr="009D3C10" w:rsidRDefault="0066181C">
      <w:pPr>
        <w:jc w:val="both"/>
        <w:rPr>
          <w:rFonts w:ascii="Arial" w:eastAsia="Times New Roman" w:hAnsi="Arial" w:cs="Arial"/>
          <w:u w:val="single"/>
          <w:lang w:val="pl-PL"/>
        </w:rPr>
      </w:pPr>
      <w:r w:rsidRPr="009D3C10">
        <w:rPr>
          <w:rFonts w:ascii="Arial" w:eastAsia="Times New Roman" w:hAnsi="Arial" w:cs="Arial"/>
          <w:u w:val="single"/>
          <w:lang w:val="pl-PL"/>
        </w:rPr>
        <w:t xml:space="preserve">Linki do oficjalnych </w:t>
      </w:r>
      <w:r w:rsidR="009D3C10" w:rsidRPr="009D3C10">
        <w:rPr>
          <w:rFonts w:ascii="Arial" w:eastAsia="Times New Roman" w:hAnsi="Arial" w:cs="Arial"/>
          <w:u w:val="single"/>
          <w:lang w:val="pl-PL"/>
        </w:rPr>
        <w:t>stanowisk państw</w:t>
      </w:r>
      <w:r w:rsidRPr="009D3C10">
        <w:rPr>
          <w:rFonts w:ascii="Arial" w:eastAsia="Times New Roman" w:hAnsi="Arial" w:cs="Arial"/>
          <w:u w:val="single"/>
          <w:lang w:val="pl-PL"/>
        </w:rPr>
        <w:t>:</w:t>
      </w:r>
    </w:p>
    <w:p w14:paraId="1B4B0CF5" w14:textId="77777777" w:rsidR="0084099B" w:rsidRPr="009D3C10" w:rsidRDefault="0084099B" w:rsidP="0084099B">
      <w:pPr>
        <w:rPr>
          <w:rFonts w:ascii="Arial" w:hAnsi="Arial" w:cs="Arial"/>
          <w:lang w:val="pl-PL"/>
        </w:rPr>
      </w:pPr>
    </w:p>
    <w:p w14:paraId="293CD804" w14:textId="77777777" w:rsidR="003D54F3" w:rsidRPr="009D3C10" w:rsidRDefault="0066181C">
      <w:pPr>
        <w:rPr>
          <w:rFonts w:ascii="Arial" w:hAnsi="Arial" w:cs="Arial"/>
          <w:b/>
          <w:bCs/>
          <w:lang w:val="pl-PL"/>
        </w:rPr>
      </w:pPr>
      <w:r w:rsidRPr="009D3C10">
        <w:rPr>
          <w:rFonts w:ascii="Arial" w:hAnsi="Arial" w:cs="Arial"/>
          <w:b/>
          <w:bCs/>
          <w:lang w:val="pl-PL"/>
        </w:rPr>
        <w:t>UE</w:t>
      </w:r>
    </w:p>
    <w:p w14:paraId="1E37D018" w14:textId="77777777" w:rsidR="003D54F3" w:rsidRPr="007B6D4A" w:rsidRDefault="0066181C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Komunikat prasowy Rady: </w:t>
      </w:r>
      <w:hyperlink r:id="rId41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//www.consilium.europa.eu/en/press/press-releases/2022/03/15/russia-s-military-aggression-against-ukraine-fourth-eu-package-of-sectoral-and-individual-measures/ </w:t>
      </w:r>
    </w:p>
    <w:p w14:paraId="5E36FCDD" w14:textId="77777777" w:rsidR="003D54F3" w:rsidRPr="007B6D4A" w:rsidRDefault="0066181C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Prawodawstwo: </w:t>
      </w:r>
      <w:hyperlink r:id="rId42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//eur-lex.europa.eu/legal-content/EN/TXT/PDF/?uri=OJ:L:2022:087I:FULL&amp;from=EN </w:t>
      </w:r>
    </w:p>
    <w:p w14:paraId="7E8F8372" w14:textId="77777777" w:rsidR="003D54F3" w:rsidRPr="007B6D4A" w:rsidRDefault="0066181C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Ponadto, lista osób i podmiotów objętych sankcjami, opublikowana 11 marca: </w:t>
      </w:r>
      <w:hyperlink r:id="rId43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//eur-lex.europa.eu/legal-content/EN/TXT/?uri=OJ:L:2022:084:TOC </w:t>
      </w:r>
    </w:p>
    <w:p w14:paraId="62B2B276" w14:textId="77777777" w:rsidR="003B7665" w:rsidRPr="007B6D4A" w:rsidRDefault="003B7665" w:rsidP="003B7665">
      <w:pPr>
        <w:rPr>
          <w:rFonts w:ascii="Arial" w:hAnsi="Arial" w:cs="Arial"/>
          <w:lang w:val="pl-PL"/>
        </w:rPr>
      </w:pPr>
    </w:p>
    <w:p w14:paraId="7C75310E" w14:textId="77777777" w:rsidR="003D54F3" w:rsidRDefault="0066181C">
      <w:pPr>
        <w:rPr>
          <w:rFonts w:ascii="Arial" w:eastAsia="Times New Roman" w:hAnsi="Arial" w:cs="Arial"/>
          <w:b/>
          <w:bCs/>
        </w:rPr>
      </w:pPr>
      <w:r w:rsidRPr="00350CB3">
        <w:rPr>
          <w:rFonts w:ascii="Arial" w:eastAsia="Times New Roman" w:hAnsi="Arial" w:cs="Arial"/>
          <w:b/>
          <w:bCs/>
        </w:rPr>
        <w:t>UK</w:t>
      </w:r>
    </w:p>
    <w:p w14:paraId="36E7DE46" w14:textId="77777777" w:rsidR="003B7665" w:rsidRPr="00350CB3" w:rsidRDefault="003B7665" w:rsidP="003B7665">
      <w:pPr>
        <w:rPr>
          <w:rFonts w:ascii="Arial" w:hAnsi="Arial" w:cs="Arial"/>
        </w:rPr>
      </w:pPr>
    </w:p>
    <w:p w14:paraId="7846E464" w14:textId="77777777" w:rsidR="003D54F3" w:rsidRDefault="0066181C">
      <w:pPr>
        <w:pStyle w:val="Akapitzlist"/>
        <w:numPr>
          <w:ilvl w:val="0"/>
          <w:numId w:val="13"/>
        </w:numPr>
        <w:rPr>
          <w:rFonts w:ascii="Arial" w:eastAsia="Times New Roman" w:hAnsi="Arial" w:cs="Arial"/>
        </w:rPr>
      </w:pPr>
      <w:r w:rsidRPr="00350CB3">
        <w:rPr>
          <w:rFonts w:ascii="Arial" w:eastAsia="Times New Roman" w:hAnsi="Arial" w:cs="Arial"/>
        </w:rPr>
        <w:t xml:space="preserve">Zamrożenie aktywów: </w:t>
      </w:r>
    </w:p>
    <w:p w14:paraId="52B4BCAC" w14:textId="77777777" w:rsidR="003D54F3" w:rsidRDefault="0066181C">
      <w:pPr>
        <w:pStyle w:val="Akapitzlist"/>
        <w:rPr>
          <w:rFonts w:ascii="Arial" w:hAnsi="Arial" w:cs="Arial"/>
        </w:rPr>
      </w:pPr>
      <w:hyperlink r:id="rId44" w:history="1">
        <w:r w:rsidR="003B7665" w:rsidRPr="00350CB3">
          <w:rPr>
            <w:rStyle w:val="Hipercze"/>
            <w:rFonts w:ascii="Arial" w:hAnsi="Arial" w:cs="Arial"/>
          </w:rPr>
          <w:t>https://assets.publishing.service.gov.uk/government/uploads/system/uploads/attachment_data/file/1060764/Notice_Russia_150322.pdf</w:t>
        </w:r>
      </w:hyperlink>
    </w:p>
    <w:p w14:paraId="7AB7057F" w14:textId="77777777" w:rsidR="003D54F3" w:rsidRDefault="0066181C">
      <w:pPr>
        <w:pStyle w:val="Akapitzlist"/>
        <w:rPr>
          <w:rFonts w:ascii="Arial" w:hAnsi="Arial" w:cs="Arial"/>
        </w:rPr>
      </w:pPr>
      <w:hyperlink r:id="rId45" w:history="1">
        <w:r w:rsidR="003B7665" w:rsidRPr="00350CB3">
          <w:rPr>
            <w:rStyle w:val="Hipercze"/>
            <w:rFonts w:ascii="Arial" w:hAnsi="Arial" w:cs="Arial"/>
          </w:rPr>
          <w:t xml:space="preserve">https://assets.publishing.service.gov.uk/government/uploads/system/uploads/attachment_data/file/1060263/Notice_Russia_110322.pdf </w:t>
        </w:r>
      </w:hyperlink>
    </w:p>
    <w:p w14:paraId="5A5AD25F" w14:textId="77777777" w:rsidR="003B7665" w:rsidRPr="00350CB3" w:rsidRDefault="003B7665" w:rsidP="003B7665">
      <w:pPr>
        <w:pStyle w:val="Akapitzlist"/>
        <w:rPr>
          <w:rFonts w:ascii="Arial" w:hAnsi="Arial" w:cs="Arial"/>
        </w:rPr>
      </w:pPr>
      <w:r w:rsidRPr="00350CB3">
        <w:rPr>
          <w:rFonts w:ascii="Arial" w:hAnsi="Arial" w:cs="Arial"/>
        </w:rPr>
        <w:lastRenderedPageBreak/>
        <w:t> </w:t>
      </w:r>
    </w:p>
    <w:p w14:paraId="69455C74" w14:textId="77777777" w:rsidR="003D54F3" w:rsidRPr="007B6D4A" w:rsidRDefault="0066181C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Odcięcie wsparcia finansowego dla eksportu do Rosji i Białorusi: </w:t>
      </w:r>
      <w:hyperlink r:id="rId46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 xml:space="preserve">//www.gov.uk/government/news/uk-cuts-off-export-finance-support-to-russia-and-belarus </w:t>
      </w:r>
    </w:p>
    <w:p w14:paraId="24F8B518" w14:textId="77777777" w:rsidR="003B7665" w:rsidRPr="007B6D4A" w:rsidRDefault="003B7665" w:rsidP="003B7665">
      <w:pPr>
        <w:pStyle w:val="Akapitzlist"/>
        <w:rPr>
          <w:rFonts w:ascii="Arial" w:hAnsi="Arial" w:cs="Arial"/>
          <w:lang w:val="pl-PL"/>
        </w:rPr>
      </w:pPr>
    </w:p>
    <w:p w14:paraId="74482338" w14:textId="77777777" w:rsidR="003D54F3" w:rsidRPr="007B6D4A" w:rsidRDefault="0066181C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Sankcje gospodarcze wobec Rosji (i Białorusi): </w:t>
      </w:r>
      <w:hyperlink r:id="rId47" w:history="1">
        <w:r w:rsidRPr="007B6D4A">
          <w:rPr>
            <w:rStyle w:val="Hipercze"/>
            <w:rFonts w:ascii="Arial" w:eastAsia="Times New Roman" w:hAnsi="Arial" w:cs="Arial"/>
            <w:lang w:val="pl-PL"/>
          </w:rPr>
          <w:t>https:</w:t>
        </w:r>
      </w:hyperlink>
      <w:r w:rsidRPr="007B6D4A">
        <w:rPr>
          <w:rFonts w:ascii="Arial" w:eastAsia="Times New Roman" w:hAnsi="Arial" w:cs="Arial"/>
          <w:lang w:val="pl-PL"/>
        </w:rPr>
        <w:t>//www.gov.uk/government/news/uk-announces-new-economic-sanctions-against-russia, co oznacza, że Wielka Brytania:</w:t>
      </w:r>
    </w:p>
    <w:p w14:paraId="0E7C22D1" w14:textId="77777777" w:rsidR="003B7665" w:rsidRPr="007B6D4A" w:rsidRDefault="003B7665" w:rsidP="003B7665">
      <w:pPr>
        <w:rPr>
          <w:rFonts w:ascii="Arial" w:hAnsi="Arial" w:cs="Arial"/>
          <w:lang w:val="pl-PL"/>
        </w:rPr>
      </w:pPr>
    </w:p>
    <w:p w14:paraId="4B506EFC" w14:textId="77777777" w:rsidR="003D54F3" w:rsidRPr="007B6D4A" w:rsidRDefault="0066181C">
      <w:pPr>
        <w:pStyle w:val="Akapitzlist"/>
        <w:numPr>
          <w:ilvl w:val="0"/>
          <w:numId w:val="15"/>
        </w:numPr>
        <w:ind w:left="1170" w:firstLine="0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>Odmawianie Rosji i Białorusi dostępu do taryf celnych opartych na klauzuli najwyższego</w:t>
      </w:r>
      <w:r w:rsidRPr="007B6D4A">
        <w:rPr>
          <w:rFonts w:ascii="Arial" w:hAnsi="Arial" w:cs="Arial"/>
          <w:lang w:val="pl-PL"/>
        </w:rPr>
        <w:t xml:space="preserve"> uprzywilejowania dla setek eksportowanych przez nie towarów, co pozbawia oba kraje kluczowych korzyści płynących z członkostwa w WTO</w:t>
      </w:r>
    </w:p>
    <w:p w14:paraId="67BEA930" w14:textId="77777777" w:rsidR="003D54F3" w:rsidRPr="007B6D4A" w:rsidRDefault="0066181C">
      <w:pPr>
        <w:pStyle w:val="Akapitzlist"/>
        <w:numPr>
          <w:ilvl w:val="0"/>
          <w:numId w:val="15"/>
        </w:numPr>
        <w:ind w:left="1440" w:hanging="270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>Opublikowanie wstępnej listy towarów o wartości 900 mln funtów - w tym wódki - które zostaną objęte dodatkowym 35-procentowym cłem, oprócz obecnie obowiązujących taryf celnych</w:t>
      </w:r>
    </w:p>
    <w:p w14:paraId="186D8901" w14:textId="77777777" w:rsidR="003D54F3" w:rsidRPr="007B6D4A" w:rsidRDefault="0066181C">
      <w:pPr>
        <w:pStyle w:val="Akapitzlist"/>
        <w:numPr>
          <w:ilvl w:val="0"/>
          <w:numId w:val="15"/>
        </w:numPr>
        <w:ind w:left="1440" w:hanging="270"/>
        <w:rPr>
          <w:rFonts w:ascii="Arial" w:hAnsi="Arial" w:cs="Arial"/>
          <w:lang w:val="pl-PL"/>
        </w:rPr>
      </w:pPr>
      <w:r w:rsidRPr="007B6D4A">
        <w:rPr>
          <w:rFonts w:ascii="Arial" w:hAnsi="Arial" w:cs="Arial"/>
          <w:lang w:val="pl-PL"/>
        </w:rPr>
        <w:t>Zakaz eksportu towarów luksusowych do Rosji u boku sojuszników z grupy G7</w:t>
      </w:r>
    </w:p>
    <w:p w14:paraId="3D2DBACA" w14:textId="77777777" w:rsidR="003B7665" w:rsidRPr="007B6D4A" w:rsidRDefault="003B7665">
      <w:pPr>
        <w:rPr>
          <w:lang w:val="pl-PL"/>
        </w:rPr>
      </w:pPr>
    </w:p>
    <w:p w14:paraId="1E639F8B" w14:textId="77777777" w:rsidR="00DD042B" w:rsidRPr="007B6D4A" w:rsidRDefault="00DD042B">
      <w:pPr>
        <w:rPr>
          <w:lang w:val="pl-PL"/>
        </w:rPr>
      </w:pPr>
    </w:p>
    <w:p w14:paraId="6EEC47E6" w14:textId="77777777" w:rsidR="00DD042B" w:rsidRPr="007B6D4A" w:rsidRDefault="00DD042B">
      <w:pPr>
        <w:rPr>
          <w:lang w:val="pl-PL"/>
        </w:rPr>
      </w:pPr>
    </w:p>
    <w:p w14:paraId="798F296E" w14:textId="77777777" w:rsidR="003D54F3" w:rsidRDefault="0066181C">
      <w:pPr>
        <w:rPr>
          <w:b/>
          <w:bCs/>
        </w:rPr>
      </w:pPr>
      <w:r w:rsidRPr="00DD042B">
        <w:rPr>
          <w:b/>
          <w:bCs/>
        </w:rPr>
        <w:t>ROSYJSKIE ŚRODKI ZARADCZE</w:t>
      </w:r>
    </w:p>
    <w:p w14:paraId="043549F1" w14:textId="77777777" w:rsidR="003A6890" w:rsidRDefault="003A6890" w:rsidP="003A6890">
      <w:pPr>
        <w:rPr>
          <w:rFonts w:ascii="Arial" w:eastAsia="Times New Roman" w:hAnsi="Arial" w:cs="Arial"/>
          <w:lang w:val="en"/>
        </w:rPr>
      </w:pPr>
    </w:p>
    <w:p w14:paraId="0B624219" w14:textId="77777777" w:rsidR="003D54F3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lang w:val="en"/>
        </w:rPr>
      </w:pPr>
      <w:r w:rsidRPr="007B6D4A">
        <w:rPr>
          <w:rFonts w:ascii="Arial" w:eastAsia="Times New Roman" w:hAnsi="Arial" w:cs="Arial"/>
          <w:lang w:val="pl-PL"/>
        </w:rPr>
        <w:t>Ograniczenie możliwości przekazywania waluty obcej za granicę</w:t>
      </w:r>
      <w:r w:rsidR="003A6890" w:rsidRPr="007B6D4A">
        <w:rPr>
          <w:rFonts w:ascii="Arial" w:eastAsia="Times New Roman" w:hAnsi="Arial" w:cs="Arial"/>
          <w:lang w:val="pl-PL"/>
        </w:rPr>
        <w:t xml:space="preserve">. </w:t>
      </w:r>
      <w:proofErr w:type="spellStart"/>
      <w:r w:rsidRPr="003A6890">
        <w:rPr>
          <w:rFonts w:ascii="Arial" w:hAnsi="Arial" w:cs="Arial"/>
          <w:lang w:val="en"/>
        </w:rPr>
        <w:t>Między</w:t>
      </w:r>
      <w:proofErr w:type="spellEnd"/>
      <w:r w:rsidRPr="003A6890">
        <w:rPr>
          <w:rFonts w:ascii="Arial" w:hAnsi="Arial" w:cs="Arial"/>
          <w:lang w:val="en"/>
        </w:rPr>
        <w:t xml:space="preserve"> </w:t>
      </w:r>
      <w:proofErr w:type="spellStart"/>
      <w:r w:rsidRPr="003A6890">
        <w:rPr>
          <w:rFonts w:ascii="Arial" w:hAnsi="Arial" w:cs="Arial"/>
          <w:lang w:val="en"/>
        </w:rPr>
        <w:t>innymi</w:t>
      </w:r>
      <w:proofErr w:type="spellEnd"/>
      <w:r w:rsidRPr="003A6890">
        <w:rPr>
          <w:rFonts w:ascii="Arial" w:hAnsi="Arial" w:cs="Arial"/>
          <w:lang w:val="en"/>
        </w:rPr>
        <w:t>:</w:t>
      </w:r>
    </w:p>
    <w:p w14:paraId="538E7E9D" w14:textId="77777777" w:rsidR="003D54F3" w:rsidRPr="007B6D4A" w:rsidRDefault="0066181C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od 1 stycznia 2022 r. eksporterzy muszą sprzedawać 80% przychodów w walucie obcej zaksięgowanych od 1 stycznia 2022 r.</w:t>
      </w:r>
    </w:p>
    <w:p w14:paraId="1C9C3C75" w14:textId="77777777" w:rsidR="003D54F3" w:rsidRPr="007B6D4A" w:rsidRDefault="0066181C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procedura sprzedaży waluty obcej</w:t>
      </w:r>
      <w:r w:rsidRPr="007B6D4A">
        <w:rPr>
          <w:rFonts w:ascii="Arial" w:eastAsia="Times New Roman" w:hAnsi="Arial" w:cs="Arial"/>
          <w:lang w:val="pl-PL"/>
        </w:rPr>
        <w:t xml:space="preserve"> przez eksporterów zostanie ustalona przez Centralny Bank Rosji</w:t>
      </w:r>
    </w:p>
    <w:p w14:paraId="30C80BCD" w14:textId="77777777" w:rsidR="003D54F3" w:rsidRPr="007B6D4A" w:rsidRDefault="0066181C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 xml:space="preserve">Rosyjscy rezydenci będą mieli zakaz udzielania kredytów zagranicznych w walucie obcej oraz wpłacania waluty obcej na rachunki bankowe poza Rosją. </w:t>
      </w:r>
    </w:p>
    <w:p w14:paraId="05799344" w14:textId="77777777" w:rsidR="00942C20" w:rsidRPr="007B6D4A" w:rsidRDefault="00942C20" w:rsidP="00942C20">
      <w:pPr>
        <w:rPr>
          <w:rFonts w:ascii="Arial" w:hAnsi="Arial" w:cs="Arial"/>
          <w:lang w:val="pl-PL"/>
        </w:rPr>
      </w:pPr>
    </w:p>
    <w:p w14:paraId="24133860" w14:textId="77777777" w:rsidR="003D54F3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lang w:val="en"/>
        </w:rPr>
      </w:pPr>
      <w:r w:rsidRPr="007B6D4A">
        <w:rPr>
          <w:rFonts w:ascii="Arial" w:eastAsia="Times New Roman" w:hAnsi="Arial" w:cs="Arial"/>
          <w:lang w:val="pl-PL"/>
        </w:rPr>
        <w:t>Ograniczenie możliwości opuszczania kraju pr</w:t>
      </w:r>
      <w:r w:rsidRPr="007B6D4A">
        <w:rPr>
          <w:rFonts w:ascii="Arial" w:eastAsia="Times New Roman" w:hAnsi="Arial" w:cs="Arial"/>
          <w:lang w:val="pl-PL"/>
        </w:rPr>
        <w:t>zez inwestorów zagranicznych / kapitał zagraniczny</w:t>
      </w:r>
      <w:r w:rsidR="003A6890" w:rsidRPr="007B6D4A">
        <w:rPr>
          <w:rFonts w:ascii="Arial" w:eastAsia="Times New Roman" w:hAnsi="Arial" w:cs="Arial"/>
          <w:lang w:val="pl-PL"/>
        </w:rPr>
        <w:t xml:space="preserve">. </w:t>
      </w:r>
      <w:proofErr w:type="spellStart"/>
      <w:r w:rsidRPr="003A6890">
        <w:rPr>
          <w:rFonts w:ascii="Arial" w:hAnsi="Arial" w:cs="Arial"/>
          <w:lang w:val="en"/>
        </w:rPr>
        <w:t>Między</w:t>
      </w:r>
      <w:proofErr w:type="spellEnd"/>
      <w:r w:rsidRPr="003A6890">
        <w:rPr>
          <w:rFonts w:ascii="Arial" w:hAnsi="Arial" w:cs="Arial"/>
          <w:lang w:val="en"/>
        </w:rPr>
        <w:t xml:space="preserve"> </w:t>
      </w:r>
      <w:proofErr w:type="spellStart"/>
      <w:r w:rsidRPr="003A6890">
        <w:rPr>
          <w:rFonts w:ascii="Arial" w:hAnsi="Arial" w:cs="Arial"/>
          <w:lang w:val="en"/>
        </w:rPr>
        <w:t>innymi</w:t>
      </w:r>
      <w:proofErr w:type="spellEnd"/>
      <w:r w:rsidRPr="003A6890">
        <w:rPr>
          <w:rFonts w:ascii="Arial" w:hAnsi="Arial" w:cs="Arial"/>
          <w:lang w:val="en"/>
        </w:rPr>
        <w:t>:</w:t>
      </w:r>
    </w:p>
    <w:p w14:paraId="106675D9" w14:textId="77777777" w:rsidR="003D54F3" w:rsidRPr="007B6D4A" w:rsidRDefault="0066181C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przepisy szczególne dotyczące transakcji udzielania kredytów i pożyczek (w rublach) oraz transakcji, w wyniku których powstaje prawo własności papierów wartościowych i nieruchomości</w:t>
      </w:r>
    </w:p>
    <w:p w14:paraId="45C3B76F" w14:textId="3F070BEB" w:rsidR="003D54F3" w:rsidRPr="007B6D4A" w:rsidRDefault="0066181C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t>zezwole</w:t>
      </w:r>
      <w:r w:rsidRPr="007B6D4A">
        <w:rPr>
          <w:rFonts w:ascii="Arial" w:eastAsia="Times New Roman" w:hAnsi="Arial" w:cs="Arial"/>
          <w:lang w:val="pl-PL"/>
        </w:rPr>
        <w:t xml:space="preserve">nia muszą być wydane przez </w:t>
      </w:r>
      <w:r w:rsidR="009D3C10">
        <w:rPr>
          <w:rFonts w:ascii="Arial" w:eastAsia="Times New Roman" w:hAnsi="Arial" w:cs="Arial"/>
          <w:lang w:val="pl-PL"/>
        </w:rPr>
        <w:t xml:space="preserve">rosyjską </w:t>
      </w:r>
      <w:r w:rsidRPr="007B6D4A">
        <w:rPr>
          <w:rFonts w:ascii="Arial" w:eastAsia="Times New Roman" w:hAnsi="Arial" w:cs="Arial"/>
          <w:lang w:val="pl-PL"/>
        </w:rPr>
        <w:t>Rządową Komisję ds. Kontroli Inwestycji Zagranicznych</w:t>
      </w:r>
      <w:r w:rsidRPr="007B6D4A">
        <w:rPr>
          <w:rFonts w:ascii="Arial" w:eastAsia="Times New Roman" w:hAnsi="Arial" w:cs="Arial"/>
          <w:lang w:val="pl-PL"/>
        </w:rPr>
        <w:t xml:space="preserve"> </w:t>
      </w:r>
    </w:p>
    <w:p w14:paraId="0061009C" w14:textId="77777777" w:rsidR="003D54F3" w:rsidRPr="007B6D4A" w:rsidRDefault="0066181C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 xml:space="preserve">zakazać, od dnia 2 marca 2022 r., wywozu z Federacji Rosyjskiej środków pieniężnych w walucie obcej oraz (lub) instrumentów pieniężnych w walucie obcej </w:t>
      </w:r>
      <w:r w:rsidRPr="007B6D4A">
        <w:rPr>
          <w:rFonts w:ascii="Arial" w:eastAsia="Times New Roman" w:hAnsi="Arial" w:cs="Arial"/>
          <w:b/>
          <w:bCs/>
          <w:lang w:val="pl-PL"/>
        </w:rPr>
        <w:t xml:space="preserve">w kwocie przekraczającej równowartość 10 tysięcy dolarów amerykańskich, obliczonej według oficjalnego kursu walutowego Centralnego Banku Federacji Rosyjskiej, ustalonego w dniu wywozu  </w:t>
      </w:r>
    </w:p>
    <w:p w14:paraId="246107A3" w14:textId="77777777" w:rsidR="003A6890" w:rsidRPr="007B6D4A" w:rsidRDefault="003A6890" w:rsidP="00111700">
      <w:pPr>
        <w:rPr>
          <w:rFonts w:ascii="Arial" w:eastAsia="Times New Roman" w:hAnsi="Arial" w:cs="Arial"/>
          <w:b/>
          <w:bCs/>
          <w:lang w:val="pl-PL"/>
        </w:rPr>
      </w:pPr>
    </w:p>
    <w:p w14:paraId="396EBD13" w14:textId="77777777" w:rsidR="003D54F3" w:rsidRPr="007B6D4A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b/>
          <w:bCs/>
          <w:lang w:val="pl-PL"/>
        </w:rPr>
        <w:t>Projekt ustawy o zewnętrznym zarządzaniu zagranicznymi podmiotami kontrolowanymi</w:t>
      </w:r>
    </w:p>
    <w:p w14:paraId="6858675A" w14:textId="77777777" w:rsidR="003D54F3" w:rsidRPr="007B6D4A" w:rsidRDefault="0066181C">
      <w:pPr>
        <w:pStyle w:val="Akapitzlist"/>
        <w:rPr>
          <w:rFonts w:ascii="Arial" w:eastAsia="Times New Roman" w:hAnsi="Arial" w:cs="Arial"/>
          <w:lang w:val="pl-PL"/>
        </w:rPr>
      </w:pPr>
      <w:r w:rsidRPr="007B6D4A">
        <w:rPr>
          <w:rFonts w:ascii="Arial" w:eastAsia="Times New Roman" w:hAnsi="Arial" w:cs="Arial"/>
          <w:lang w:val="pl-PL"/>
        </w:rPr>
        <w:lastRenderedPageBreak/>
        <w:t xml:space="preserve">Jeśli inwestor zagraniczny </w:t>
      </w:r>
      <w:r w:rsidRPr="007B6D4A">
        <w:rPr>
          <w:rFonts w:ascii="Arial" w:eastAsia="Times New Roman" w:hAnsi="Arial" w:cs="Arial"/>
          <w:lang w:val="pl-PL"/>
        </w:rPr>
        <w:t>podejmie</w:t>
      </w:r>
      <w:r w:rsidRPr="007B6D4A">
        <w:rPr>
          <w:rFonts w:ascii="Arial" w:eastAsia="Times New Roman" w:hAnsi="Arial" w:cs="Arial"/>
          <w:lang w:val="pl-PL"/>
        </w:rPr>
        <w:t xml:space="preserve"> kroki sugerujące zamiar porzucenia, likwidacji, zlikwidowania swojej rosyjskiej spółki zależnej lub zakończenia działalności, władze rosyjs</w:t>
      </w:r>
      <w:r w:rsidRPr="007B6D4A">
        <w:rPr>
          <w:rFonts w:ascii="Arial" w:eastAsia="Times New Roman" w:hAnsi="Arial" w:cs="Arial"/>
          <w:lang w:val="pl-PL"/>
        </w:rPr>
        <w:t xml:space="preserve">kie będą miały prawo do wprowadzenia zewnętrznej administracji, a w ostateczności do przekazania przedsiębiorstwa inwestorowi rosyjskiemu. </w:t>
      </w:r>
    </w:p>
    <w:p w14:paraId="2281E5A7" w14:textId="77777777" w:rsidR="00111700" w:rsidRPr="007B6D4A" w:rsidRDefault="00111700" w:rsidP="00111700">
      <w:pPr>
        <w:pStyle w:val="Akapitzlist"/>
        <w:rPr>
          <w:rFonts w:ascii="Arial" w:eastAsia="Times New Roman" w:hAnsi="Arial" w:cs="Arial"/>
          <w:b/>
          <w:bCs/>
          <w:lang w:val="pl-PL"/>
        </w:rPr>
      </w:pPr>
    </w:p>
    <w:p w14:paraId="6C53F81B" w14:textId="77777777" w:rsidR="003D54F3" w:rsidRPr="007B6D4A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hAnsi="Arial" w:cs="Arial"/>
          <w:lang w:val="pl-PL"/>
        </w:rPr>
        <w:t xml:space="preserve">Zatwierdzenie </w:t>
      </w:r>
      <w:r w:rsidRPr="007B6D4A">
        <w:rPr>
          <w:rFonts w:ascii="Arial" w:hAnsi="Arial" w:cs="Arial"/>
          <w:b/>
          <w:bCs/>
          <w:u w:val="single"/>
          <w:lang w:val="pl-PL"/>
        </w:rPr>
        <w:t xml:space="preserve">listy krajów nieprzyjaznych, </w:t>
      </w:r>
      <w:r w:rsidRPr="007B6D4A">
        <w:rPr>
          <w:rFonts w:ascii="Arial" w:hAnsi="Arial" w:cs="Arial"/>
          <w:lang w:val="pl-PL"/>
        </w:rPr>
        <w:t>która obejmuje Albanię, Andorę, Australię, Kanadę, Gibraltar, Japonię, L</w:t>
      </w:r>
      <w:r w:rsidRPr="007B6D4A">
        <w:rPr>
          <w:rFonts w:ascii="Arial" w:hAnsi="Arial" w:cs="Arial"/>
          <w:lang w:val="pl-PL"/>
        </w:rPr>
        <w:t>iechtenstein, państwa członkowskie UE, Islandię, Mikronezję, Monako, Czarnogórę, Nową Zelandię, Norwegię, Macedonię Północną, Republikę Korei, San Marino, Singapur, Szwajcarię, Tajwan, Wielką Brytanię (w tym Brytyjskie Wyspy Dziewicze), Ukrainę i USA.</w:t>
      </w:r>
    </w:p>
    <w:p w14:paraId="6C6205BD" w14:textId="77777777" w:rsidR="003A6890" w:rsidRPr="007B6D4A" w:rsidRDefault="003A6890" w:rsidP="003A6890">
      <w:pPr>
        <w:pStyle w:val="Akapitzlist"/>
        <w:rPr>
          <w:rFonts w:ascii="Arial" w:eastAsia="Times New Roman" w:hAnsi="Arial" w:cs="Arial"/>
          <w:b/>
          <w:bCs/>
          <w:lang w:val="pl-PL"/>
        </w:rPr>
      </w:pPr>
    </w:p>
    <w:p w14:paraId="07830D17" w14:textId="77777777" w:rsidR="003D54F3" w:rsidRPr="007B6D4A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hAnsi="Arial" w:cs="Arial"/>
          <w:lang w:val="pl-PL"/>
        </w:rPr>
        <w:t xml:space="preserve"> Us</w:t>
      </w:r>
      <w:r w:rsidRPr="007B6D4A">
        <w:rPr>
          <w:rFonts w:ascii="Arial" w:hAnsi="Arial" w:cs="Arial"/>
          <w:lang w:val="pl-PL"/>
        </w:rPr>
        <w:t xml:space="preserve">tawodawstwo, które przewiduje, że </w:t>
      </w:r>
      <w:r w:rsidRPr="007B6D4A">
        <w:rPr>
          <w:rFonts w:ascii="Arial" w:hAnsi="Arial" w:cs="Arial"/>
          <w:b/>
          <w:bCs/>
          <w:u w:val="single"/>
          <w:lang w:val="pl-PL"/>
        </w:rPr>
        <w:t>wszystkie transakcje i operacje firm rosyjskich z obywatelami i firmami z krajów nieprzyjaznych Rosji będą zatwierdzane przez rządową komisję ds. kontroli inwestycji zagranicznych</w:t>
      </w:r>
      <w:r w:rsidRPr="007B6D4A">
        <w:rPr>
          <w:rFonts w:ascii="Arial" w:hAnsi="Arial" w:cs="Arial"/>
          <w:lang w:val="pl-PL"/>
        </w:rPr>
        <w:t>. Ustanowiono procedurę, zgodnie z którą fi</w:t>
      </w:r>
      <w:r w:rsidRPr="007B6D4A">
        <w:rPr>
          <w:rFonts w:ascii="Arial" w:hAnsi="Arial" w:cs="Arial"/>
          <w:lang w:val="pl-PL"/>
        </w:rPr>
        <w:t>rma będąca rezydentem rosyjskim lub firma zagraniczna z kraju nieprzyjaznego musi złożyć wniosek o pozwolenie na przeprowadzenie takich transakcji lub operacji. Wniosek ten musi zawierać wyczerpujące informacje o wnioskodawcy, w tym dokument dotyczący rzec</w:t>
      </w:r>
      <w:r w:rsidRPr="007B6D4A">
        <w:rPr>
          <w:rFonts w:ascii="Arial" w:hAnsi="Arial" w:cs="Arial"/>
          <w:lang w:val="pl-PL"/>
        </w:rPr>
        <w:t>zywistych właścicieli firmy. Komisja przeanalizuje każdy przypadek i podejmie decyzję o zezwoleniu na transakcje lub operacje lub o odmowie ich przeprowadzenia. Mogą być również określone warunki zezwolenia na transakcje lub operacje.</w:t>
      </w:r>
    </w:p>
    <w:p w14:paraId="4999CE59" w14:textId="77777777" w:rsidR="003A6890" w:rsidRPr="007B6D4A" w:rsidRDefault="003A6890" w:rsidP="003A6890">
      <w:pPr>
        <w:pStyle w:val="Akapitzlist"/>
        <w:rPr>
          <w:rFonts w:ascii="Arial" w:hAnsi="Arial" w:cs="Arial"/>
          <w:b/>
          <w:bCs/>
          <w:u w:val="single"/>
          <w:lang w:val="pl-PL"/>
        </w:rPr>
      </w:pPr>
    </w:p>
    <w:p w14:paraId="2C8DFF81" w14:textId="77777777" w:rsidR="004B3B07" w:rsidRPr="007B6D4A" w:rsidRDefault="004B3B07" w:rsidP="003A6890">
      <w:pPr>
        <w:pStyle w:val="Akapitzlist"/>
        <w:rPr>
          <w:rFonts w:ascii="Arial" w:hAnsi="Arial" w:cs="Arial"/>
          <w:b/>
          <w:bCs/>
          <w:u w:val="single"/>
          <w:lang w:val="pl-PL"/>
        </w:rPr>
      </w:pPr>
    </w:p>
    <w:p w14:paraId="5E8FC32A" w14:textId="77777777" w:rsidR="004B3B07" w:rsidRPr="007B6D4A" w:rsidRDefault="004B3B07" w:rsidP="003A6890">
      <w:pPr>
        <w:pStyle w:val="Akapitzlist"/>
        <w:rPr>
          <w:rFonts w:ascii="Arial" w:hAnsi="Arial" w:cs="Arial"/>
          <w:b/>
          <w:bCs/>
          <w:u w:val="single"/>
          <w:lang w:val="pl-PL"/>
        </w:rPr>
      </w:pPr>
    </w:p>
    <w:p w14:paraId="4C3F1127" w14:textId="77777777" w:rsidR="003D54F3" w:rsidRPr="007B6D4A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hAnsi="Arial" w:cs="Arial"/>
          <w:b/>
          <w:bCs/>
          <w:u w:val="single"/>
          <w:lang w:val="pl-PL"/>
        </w:rPr>
        <w:t>Rozszerzenie prawa umożliwiającego zajmowanie majątku obcokrajowców</w:t>
      </w:r>
      <w:r w:rsidRPr="007B6D4A">
        <w:rPr>
          <w:rFonts w:ascii="Arial" w:hAnsi="Arial" w:cs="Arial"/>
          <w:lang w:val="pl-PL"/>
        </w:rPr>
        <w:t>. Podczas gdy wcześniej ograniczenia wynikające z tej ustawy mogły być stosowane tylko wobec obywateli amerykańskich, obecnie dotyczą one wszystkich cudzoziemców i bezpaństwowców. Ogranicze</w:t>
      </w:r>
      <w:r w:rsidRPr="007B6D4A">
        <w:rPr>
          <w:rFonts w:ascii="Arial" w:hAnsi="Arial" w:cs="Arial"/>
          <w:lang w:val="pl-PL"/>
        </w:rPr>
        <w:t>nia te obejmują: Zakaz wjazdu na terytorium Rosji; Zajęcie aktywów finansowych i innych w Rosji; Zakaz dokonywania jakichkolwiek transakcji z nieruchomościami i inwestycjami obywateli, którzy zostali objęci restrykcjami; Zakaz dysponowania nieruchomościami</w:t>
      </w:r>
      <w:r w:rsidRPr="007B6D4A">
        <w:rPr>
          <w:rFonts w:ascii="Arial" w:hAnsi="Arial" w:cs="Arial"/>
          <w:lang w:val="pl-PL"/>
        </w:rPr>
        <w:t xml:space="preserve"> znajdującymi się na terytorium Rosji; Zawieszenie działalności osób prawnych kontrolowanych przez tych obywateli w Rosji; Zawieszenie ich uprawnień w zarządach lub innych organach zarządzających organizacji zarejestrowanych na terytorium Rosji.</w:t>
      </w:r>
    </w:p>
    <w:p w14:paraId="2A81D86A" w14:textId="77777777" w:rsidR="00132087" w:rsidRPr="007B6D4A" w:rsidRDefault="00132087" w:rsidP="00132087">
      <w:pPr>
        <w:pStyle w:val="Akapitzlist"/>
        <w:rPr>
          <w:rFonts w:ascii="Arial" w:hAnsi="Arial" w:cs="Arial"/>
          <w:b/>
          <w:bCs/>
          <w:u w:val="single"/>
          <w:lang w:val="pl-PL"/>
        </w:rPr>
      </w:pPr>
    </w:p>
    <w:p w14:paraId="52582CC7" w14:textId="77777777" w:rsidR="003D54F3" w:rsidRPr="007B6D4A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hAnsi="Arial" w:cs="Arial"/>
          <w:b/>
          <w:bCs/>
          <w:u w:val="single"/>
          <w:lang w:val="pl-PL"/>
        </w:rPr>
        <w:t xml:space="preserve">Visa </w:t>
      </w:r>
      <w:r w:rsidRPr="007B6D4A">
        <w:rPr>
          <w:rFonts w:ascii="Arial" w:hAnsi="Arial" w:cs="Arial"/>
          <w:lang w:val="pl-PL"/>
        </w:rPr>
        <w:t xml:space="preserve">i </w:t>
      </w:r>
      <w:r w:rsidRPr="007B6D4A">
        <w:rPr>
          <w:rFonts w:ascii="Arial" w:hAnsi="Arial" w:cs="Arial"/>
          <w:b/>
          <w:bCs/>
          <w:u w:val="single"/>
          <w:lang w:val="pl-PL"/>
        </w:rPr>
        <w:t xml:space="preserve">Mastercard </w:t>
      </w:r>
      <w:r w:rsidRPr="007B6D4A">
        <w:rPr>
          <w:rFonts w:ascii="Arial" w:hAnsi="Arial" w:cs="Arial"/>
          <w:lang w:val="pl-PL"/>
        </w:rPr>
        <w:t>ogłosiły zawieszenie swojej działalności w Rosji, co oznacza, że karty wydane w Rosji przestaną działać za granicą, a te wydane za granicą przestaną działać w Rosji. Nie powinno to mieć wpływu na karty wydawane przez banki rosyjskie i uży</w:t>
      </w:r>
      <w:r w:rsidRPr="007B6D4A">
        <w:rPr>
          <w:rFonts w:ascii="Arial" w:hAnsi="Arial" w:cs="Arial"/>
          <w:lang w:val="pl-PL"/>
        </w:rPr>
        <w:t>wane na terenie Rosji. Centralny Bank Rosji podał dalsze szczegóły, w tym dotyczące używania rosyjskich kart Mir za granicą</w:t>
      </w:r>
      <w:r w:rsidR="00991E7B" w:rsidRPr="007B6D4A">
        <w:rPr>
          <w:rFonts w:ascii="Arial" w:eastAsia="Times New Roman" w:hAnsi="Arial" w:cs="Arial"/>
          <w:lang w:val="pl-PL"/>
        </w:rPr>
        <w:t xml:space="preserve">. </w:t>
      </w:r>
    </w:p>
    <w:p w14:paraId="1BBAB911" w14:textId="77777777" w:rsidR="00991E7B" w:rsidRPr="007B6D4A" w:rsidRDefault="00991E7B" w:rsidP="00991E7B">
      <w:pPr>
        <w:pStyle w:val="Akapitzlist"/>
        <w:rPr>
          <w:rFonts w:ascii="Arial" w:eastAsia="Times New Roman" w:hAnsi="Arial" w:cs="Arial"/>
          <w:lang w:val="pl-PL"/>
        </w:rPr>
      </w:pPr>
    </w:p>
    <w:p w14:paraId="655A94CB" w14:textId="77777777" w:rsidR="003D54F3" w:rsidRPr="007B6D4A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pl-PL"/>
        </w:rPr>
      </w:pPr>
      <w:r w:rsidRPr="007B6D4A">
        <w:rPr>
          <w:rFonts w:ascii="Arial" w:eastAsia="Times New Roman" w:hAnsi="Arial" w:cs="Arial"/>
          <w:b/>
          <w:bCs/>
          <w:u w:val="single"/>
          <w:lang w:val="pl-PL"/>
        </w:rPr>
        <w:t>Zrzeczenie się patentów</w:t>
      </w:r>
      <w:r w:rsidRPr="007B6D4A">
        <w:rPr>
          <w:rFonts w:ascii="Arial" w:eastAsia="Times New Roman" w:hAnsi="Arial" w:cs="Arial"/>
          <w:lang w:val="pl-PL"/>
        </w:rPr>
        <w:t xml:space="preserve">: </w:t>
      </w:r>
      <w:r w:rsidRPr="007B6D4A">
        <w:rPr>
          <w:rFonts w:ascii="Arial" w:eastAsia="Times New Roman" w:hAnsi="Arial" w:cs="Arial"/>
          <w:lang w:val="pl-PL"/>
        </w:rPr>
        <w:t>Dekret rządowy nr 299 z dnia 6 marca 2022 r. zezwala na korzystanie z patentów należących do właścicieli</w:t>
      </w:r>
      <w:r w:rsidRPr="007B6D4A">
        <w:rPr>
          <w:rFonts w:ascii="Arial" w:eastAsia="Times New Roman" w:hAnsi="Arial" w:cs="Arial"/>
          <w:lang w:val="pl-PL"/>
        </w:rPr>
        <w:t xml:space="preserve"> patentów z nieprzyjaznych jurysdykcji bez ich zgody i bez płacenia jakichkolwiek opłat licencyjnych. </w:t>
      </w:r>
    </w:p>
    <w:p w14:paraId="5F0B24DC" w14:textId="77777777" w:rsidR="00132087" w:rsidRPr="007B6D4A" w:rsidRDefault="00132087" w:rsidP="00132087">
      <w:pPr>
        <w:pStyle w:val="Akapitzlist"/>
        <w:rPr>
          <w:rFonts w:ascii="Arial" w:eastAsia="Times New Roman" w:hAnsi="Arial" w:cs="Arial"/>
          <w:u w:val="single"/>
          <w:lang w:val="pl-PL"/>
        </w:rPr>
      </w:pPr>
    </w:p>
    <w:p w14:paraId="4991E217" w14:textId="77777777" w:rsidR="003D54F3" w:rsidRDefault="0066181C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b/>
          <w:bCs/>
          <w:lang w:val="en"/>
        </w:rPr>
      </w:pPr>
      <w:r w:rsidRPr="007B6D4A">
        <w:rPr>
          <w:rFonts w:ascii="Arial" w:eastAsia="Times New Roman" w:hAnsi="Arial" w:cs="Arial"/>
          <w:b/>
          <w:bCs/>
          <w:u w:val="single"/>
          <w:lang w:val="pl-PL"/>
        </w:rPr>
        <w:t xml:space="preserve">Lista towarów i urządzeń, których eksport z Rosji jest czasowo zabroniony: </w:t>
      </w:r>
      <w:r w:rsidRPr="007B6D4A">
        <w:rPr>
          <w:rFonts w:ascii="Arial" w:eastAsia="Times New Roman" w:hAnsi="Arial" w:cs="Arial"/>
          <w:lang w:val="pl-PL"/>
        </w:rPr>
        <w:t xml:space="preserve">Decyzja ta będzie obowiązywać do końca 2022 roku </w:t>
      </w:r>
      <w:r w:rsidR="00132087" w:rsidRPr="007B6D4A">
        <w:rPr>
          <w:rFonts w:ascii="Arial" w:eastAsia="Times New Roman" w:hAnsi="Arial" w:cs="Arial"/>
          <w:lang w:val="pl-PL"/>
        </w:rPr>
        <w:t xml:space="preserve">i obejmuje: </w:t>
      </w:r>
      <w:r w:rsidRPr="007B6D4A">
        <w:rPr>
          <w:rFonts w:ascii="Arial" w:hAnsi="Arial" w:cs="Arial"/>
          <w:b/>
          <w:bCs/>
          <w:i/>
          <w:iCs/>
          <w:lang w:val="pl-PL"/>
        </w:rPr>
        <w:t xml:space="preserve">sprzęt technologiczny, telekomunikacyjny, medyczny, pojazdy, maszyny rolnicze, sprzęt elektryczny </w:t>
      </w:r>
      <w:r w:rsidRPr="007B6D4A">
        <w:rPr>
          <w:rFonts w:ascii="Arial" w:hAnsi="Arial" w:cs="Arial"/>
          <w:lang w:val="pl-PL"/>
        </w:rPr>
        <w:t xml:space="preserve">- łącznie ponad 200 produktów, w tym wagony i lokomotywy kolejowe, kontenery, turbiny, maszyny do obróbki metalu i kamienia, monitory, projektory, </w:t>
      </w:r>
      <w:r w:rsidRPr="007B6D4A">
        <w:rPr>
          <w:rFonts w:ascii="Arial" w:hAnsi="Arial" w:cs="Arial"/>
          <w:lang w:val="pl-PL"/>
        </w:rPr>
        <w:lastRenderedPageBreak/>
        <w:t>konsole i p</w:t>
      </w:r>
      <w:r w:rsidRPr="007B6D4A">
        <w:rPr>
          <w:rFonts w:ascii="Arial" w:hAnsi="Arial" w:cs="Arial"/>
          <w:lang w:val="pl-PL"/>
        </w:rPr>
        <w:t>anele. Eksport tych towarów jest czasowo ograniczony do wszystkich krajów zagranicznych, z wyjątkiem państw członkowskich Euroazjatyckiej Unii Gospodarczej (EAEU), Abchazji i Osetii Południowej. W stosunku do tych ostatnich będzie miała zastosowanie proced</w:t>
      </w:r>
      <w:r w:rsidRPr="007B6D4A">
        <w:rPr>
          <w:rFonts w:ascii="Arial" w:hAnsi="Arial" w:cs="Arial"/>
          <w:lang w:val="pl-PL"/>
        </w:rPr>
        <w:t xml:space="preserve">ura wydawania zezwoleń na eksport, zatwierdzona odrębnym dekretem rządowym. Ponadto dekret czasowo ogranicza eksport niektórych rodzajów </w:t>
      </w:r>
      <w:r w:rsidRPr="007B6D4A">
        <w:rPr>
          <w:rFonts w:ascii="Arial" w:hAnsi="Arial" w:cs="Arial"/>
          <w:b/>
          <w:bCs/>
          <w:i/>
          <w:iCs/>
          <w:lang w:val="pl-PL"/>
        </w:rPr>
        <w:t xml:space="preserve">drewna </w:t>
      </w:r>
      <w:r w:rsidRPr="007B6D4A">
        <w:rPr>
          <w:rFonts w:ascii="Arial" w:hAnsi="Arial" w:cs="Arial"/>
          <w:lang w:val="pl-PL"/>
        </w:rPr>
        <w:t xml:space="preserve">z Rosji. Jest on zakazany w krajach, które dopuściły się nieprzyjaznych działań. </w:t>
      </w:r>
      <w:r w:rsidRPr="00132087">
        <w:rPr>
          <w:rFonts w:ascii="Arial" w:hAnsi="Arial" w:cs="Arial"/>
        </w:rPr>
        <w:t xml:space="preserve">Ta </w:t>
      </w:r>
      <w:proofErr w:type="spellStart"/>
      <w:r w:rsidRPr="00132087">
        <w:rPr>
          <w:rFonts w:ascii="Arial" w:hAnsi="Arial" w:cs="Arial"/>
        </w:rPr>
        <w:t>decyzja</w:t>
      </w:r>
      <w:proofErr w:type="spellEnd"/>
      <w:r w:rsidRPr="00132087">
        <w:rPr>
          <w:rFonts w:ascii="Arial" w:hAnsi="Arial" w:cs="Arial"/>
        </w:rPr>
        <w:t xml:space="preserve"> </w:t>
      </w:r>
      <w:proofErr w:type="spellStart"/>
      <w:r w:rsidRPr="00132087">
        <w:rPr>
          <w:rFonts w:ascii="Arial" w:hAnsi="Arial" w:cs="Arial"/>
        </w:rPr>
        <w:t>również</w:t>
      </w:r>
      <w:proofErr w:type="spellEnd"/>
      <w:r w:rsidRPr="00132087">
        <w:rPr>
          <w:rFonts w:ascii="Arial" w:hAnsi="Arial" w:cs="Arial"/>
        </w:rPr>
        <w:t xml:space="preserve"> </w:t>
      </w:r>
      <w:proofErr w:type="spellStart"/>
      <w:r w:rsidRPr="00132087">
        <w:rPr>
          <w:rFonts w:ascii="Arial" w:hAnsi="Arial" w:cs="Arial"/>
        </w:rPr>
        <w:t>będzie</w:t>
      </w:r>
      <w:proofErr w:type="spellEnd"/>
      <w:r w:rsidRPr="00132087">
        <w:rPr>
          <w:rFonts w:ascii="Arial" w:hAnsi="Arial" w:cs="Arial"/>
        </w:rPr>
        <w:t xml:space="preserve"> obowi</w:t>
      </w:r>
      <w:r w:rsidRPr="00132087">
        <w:rPr>
          <w:rFonts w:ascii="Arial" w:hAnsi="Arial" w:cs="Arial"/>
        </w:rPr>
        <w:t xml:space="preserve">ązywać do </w:t>
      </w:r>
      <w:r w:rsidR="00132087">
        <w:rPr>
          <w:rFonts w:ascii="Arial" w:hAnsi="Arial" w:cs="Arial"/>
        </w:rPr>
        <w:t xml:space="preserve">końca </w:t>
      </w:r>
      <w:r w:rsidRPr="00132087">
        <w:rPr>
          <w:rFonts w:ascii="Arial" w:hAnsi="Arial" w:cs="Arial"/>
        </w:rPr>
        <w:t xml:space="preserve">roku. </w:t>
      </w:r>
    </w:p>
    <w:p w14:paraId="7C9B61D8" w14:textId="77777777" w:rsidR="003A6890" w:rsidRPr="00991E7B" w:rsidRDefault="003A6890" w:rsidP="00991E7B">
      <w:pPr>
        <w:jc w:val="both"/>
        <w:rPr>
          <w:rFonts w:ascii="Arial" w:hAnsi="Arial" w:cs="Arial"/>
          <w:i/>
          <w:iCs/>
        </w:rPr>
      </w:pPr>
    </w:p>
    <w:p w14:paraId="7005A556" w14:textId="77777777" w:rsidR="003D54F3" w:rsidRPr="007B6D4A" w:rsidRDefault="0066181C">
      <w:pPr>
        <w:jc w:val="both"/>
        <w:rPr>
          <w:rFonts w:ascii="Arial" w:hAnsi="Arial" w:cs="Arial"/>
          <w:i/>
          <w:iCs/>
          <w:lang w:val="pl-PL"/>
        </w:rPr>
      </w:pPr>
      <w:r w:rsidRPr="007B6D4A">
        <w:rPr>
          <w:rFonts w:ascii="Arial" w:hAnsi="Arial" w:cs="Arial"/>
          <w:i/>
          <w:iCs/>
          <w:lang w:val="pl-PL"/>
        </w:rPr>
        <w:t xml:space="preserve">Ponadto przyjęto szereg </w:t>
      </w:r>
      <w:r w:rsidRPr="007B6D4A">
        <w:rPr>
          <w:rFonts w:ascii="Arial" w:hAnsi="Arial" w:cs="Arial"/>
          <w:b/>
          <w:bCs/>
          <w:i/>
          <w:iCs/>
          <w:u w:val="single"/>
          <w:lang w:val="pl-PL"/>
        </w:rPr>
        <w:t>środków mających na celu wsparcie przedsiębiorstw i obywateli w obliczu sankcji</w:t>
      </w:r>
      <w:r w:rsidRPr="007B6D4A">
        <w:rPr>
          <w:rFonts w:ascii="Arial" w:hAnsi="Arial" w:cs="Arial"/>
          <w:i/>
          <w:iCs/>
          <w:lang w:val="pl-PL"/>
        </w:rPr>
        <w:t xml:space="preserve">, w tym: Zniesienie inspekcji dla małych i średnich przedsiębiorstw oraz firm informatycznych; Uproszczenie warunków i procedury </w:t>
      </w:r>
      <w:r w:rsidRPr="007B6D4A">
        <w:rPr>
          <w:rFonts w:ascii="Arial" w:hAnsi="Arial" w:cs="Arial"/>
          <w:i/>
          <w:iCs/>
          <w:lang w:val="pl-PL"/>
        </w:rPr>
        <w:t>zamówień rządowych; Możliwość przeprowadzenia przez rząd dodatkowej indeksacji emerytur ubezpieczeniowych, współczynnika emerytalnego oraz stałej płatności do emerytur; Uproszczenie procedury zakupu leków, upoważnienie gabinetu do dostosowania wymogów lice</w:t>
      </w:r>
      <w:r w:rsidRPr="007B6D4A">
        <w:rPr>
          <w:rFonts w:ascii="Arial" w:hAnsi="Arial" w:cs="Arial"/>
          <w:i/>
          <w:iCs/>
          <w:lang w:val="pl-PL"/>
        </w:rPr>
        <w:t>ncyjnych dla działalności farmaceutycznej, istnieją ograniczenia w eksporcie niektórych leków z Rosji; Możliwość dostosowania przez rząd zasad przyjmowania na uczelnie wyższe Rosjan, którzy mają trudności ze studiowaniem za granicą.</w:t>
      </w:r>
    </w:p>
    <w:p w14:paraId="23A4B67A" w14:textId="77777777" w:rsidR="00942C20" w:rsidRPr="007B6D4A" w:rsidRDefault="00942C20">
      <w:pPr>
        <w:rPr>
          <w:b/>
          <w:bCs/>
          <w:lang w:val="pl-PL"/>
        </w:rPr>
      </w:pPr>
    </w:p>
    <w:p w14:paraId="00F91EE5" w14:textId="77777777" w:rsidR="002A71EC" w:rsidRPr="007B6D4A" w:rsidRDefault="002A71EC">
      <w:pPr>
        <w:rPr>
          <w:b/>
          <w:bCs/>
          <w:lang w:val="pl-PL"/>
        </w:rPr>
      </w:pPr>
    </w:p>
    <w:p w14:paraId="7022EFFC" w14:textId="77777777" w:rsidR="002A71EC" w:rsidRPr="007B6D4A" w:rsidRDefault="002A71EC">
      <w:pPr>
        <w:rPr>
          <w:b/>
          <w:bCs/>
          <w:lang w:val="pl-PL"/>
        </w:rPr>
      </w:pPr>
    </w:p>
    <w:p w14:paraId="075D8A9E" w14:textId="77777777" w:rsidR="002A71EC" w:rsidRPr="007B6D4A" w:rsidRDefault="002A71EC" w:rsidP="002A71E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sectPr w:rsidR="002A71EC" w:rsidRPr="007B6D4A" w:rsidSect="00817CB9">
      <w:headerReference w:type="default" r:id="rId48"/>
      <w:footerReference w:type="default" r:id="rId4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B175" w14:textId="77777777" w:rsidR="0066181C" w:rsidRDefault="0066181C" w:rsidP="00BB2DFA">
      <w:r>
        <w:separator/>
      </w:r>
    </w:p>
  </w:endnote>
  <w:endnote w:type="continuationSeparator" w:id="0">
    <w:p w14:paraId="3B06EFCD" w14:textId="77777777" w:rsidR="0066181C" w:rsidRDefault="0066181C" w:rsidP="00BB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CBA7" w14:textId="77777777" w:rsidR="003D54F3" w:rsidRPr="007B6D4A" w:rsidRDefault="0066181C">
    <w:pPr>
      <w:pStyle w:val="Stopka"/>
      <w:rPr>
        <w:i/>
        <w:iCs/>
        <w:lang w:val="pl-PL"/>
      </w:rPr>
    </w:pPr>
    <w:r w:rsidRPr="007B6D4A">
      <w:rPr>
        <w:i/>
        <w:iCs/>
        <w:lang w:val="pl-PL"/>
      </w:rPr>
      <w:t xml:space="preserve">Niniejszy dokument jest przeznaczony do użytku wewnętrznego BusinessEurope i jej członków.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FAB" w14:textId="77777777" w:rsidR="0066181C" w:rsidRDefault="0066181C" w:rsidP="00BB2DFA">
      <w:r>
        <w:separator/>
      </w:r>
    </w:p>
  </w:footnote>
  <w:footnote w:type="continuationSeparator" w:id="0">
    <w:p w14:paraId="32E04206" w14:textId="77777777" w:rsidR="0066181C" w:rsidRDefault="0066181C" w:rsidP="00BB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E13" w14:textId="77777777" w:rsidR="00216BAB" w:rsidRPr="00216BAB" w:rsidRDefault="00216BAB" w:rsidP="00216BAB">
    <w:pPr>
      <w:pStyle w:val="Nagwek"/>
    </w:pPr>
    <w:r>
      <w:rPr>
        <w:noProof/>
      </w:rPr>
      <w:drawing>
        <wp:inline distT="0" distB="0" distL="0" distR="0" wp14:anchorId="76286599" wp14:editId="06CE83F7">
          <wp:extent cx="2266950" cy="542925"/>
          <wp:effectExtent l="0" t="0" r="0" b="9525"/>
          <wp:docPr id="53" name="Picture 53" descr="BUSINESSEUROPE_Logo2007(CMJ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BUSINESSEUROPE_Logo2007(CMJK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047"/>
    <w:multiLevelType w:val="hybridMultilevel"/>
    <w:tmpl w:val="455A24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6A8"/>
    <w:multiLevelType w:val="hybridMultilevel"/>
    <w:tmpl w:val="AF361A0A"/>
    <w:lvl w:ilvl="0" w:tplc="08D2A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990"/>
    <w:multiLevelType w:val="hybridMultilevel"/>
    <w:tmpl w:val="79B82B38"/>
    <w:lvl w:ilvl="0" w:tplc="90BE4B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7908"/>
    <w:multiLevelType w:val="hybridMultilevel"/>
    <w:tmpl w:val="DCA64A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091"/>
    <w:multiLevelType w:val="hybridMultilevel"/>
    <w:tmpl w:val="DF14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45D0"/>
    <w:multiLevelType w:val="hybridMultilevel"/>
    <w:tmpl w:val="D2EE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7CA3"/>
    <w:multiLevelType w:val="hybridMultilevel"/>
    <w:tmpl w:val="1EBA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9A5"/>
    <w:multiLevelType w:val="hybridMultilevel"/>
    <w:tmpl w:val="D3283FE8"/>
    <w:lvl w:ilvl="0" w:tplc="1DDCE0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74C0"/>
    <w:multiLevelType w:val="hybridMultilevel"/>
    <w:tmpl w:val="E9EEE2C8"/>
    <w:lvl w:ilvl="0" w:tplc="B8FE9BF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60789"/>
    <w:multiLevelType w:val="hybridMultilevel"/>
    <w:tmpl w:val="748823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B06AE"/>
    <w:multiLevelType w:val="hybridMultilevel"/>
    <w:tmpl w:val="9856A8DC"/>
    <w:lvl w:ilvl="0" w:tplc="FA7E7EA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40F85"/>
    <w:multiLevelType w:val="hybridMultilevel"/>
    <w:tmpl w:val="0F00AE0E"/>
    <w:lvl w:ilvl="0" w:tplc="F2A897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52B3"/>
    <w:multiLevelType w:val="hybridMultilevel"/>
    <w:tmpl w:val="3B9416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0D50"/>
    <w:multiLevelType w:val="hybridMultilevel"/>
    <w:tmpl w:val="AEBAB084"/>
    <w:lvl w:ilvl="0" w:tplc="6ADA9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C22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C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B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8F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494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88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EF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63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253A"/>
    <w:multiLevelType w:val="hybridMultilevel"/>
    <w:tmpl w:val="8C422EE2"/>
    <w:lvl w:ilvl="0" w:tplc="152C7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56194"/>
    <w:multiLevelType w:val="hybridMultilevel"/>
    <w:tmpl w:val="8C44B3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B3331A"/>
    <w:multiLevelType w:val="hybridMultilevel"/>
    <w:tmpl w:val="3678ECE6"/>
    <w:lvl w:ilvl="0" w:tplc="378C48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55B6B"/>
    <w:multiLevelType w:val="hybridMultilevel"/>
    <w:tmpl w:val="4BE287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2A"/>
    <w:rsid w:val="000000C0"/>
    <w:rsid w:val="00075E79"/>
    <w:rsid w:val="00111700"/>
    <w:rsid w:val="00131C25"/>
    <w:rsid w:val="00132087"/>
    <w:rsid w:val="00216BAB"/>
    <w:rsid w:val="002A71EC"/>
    <w:rsid w:val="00350CB3"/>
    <w:rsid w:val="00393E7C"/>
    <w:rsid w:val="003A6890"/>
    <w:rsid w:val="003B7665"/>
    <w:rsid w:val="003D54F3"/>
    <w:rsid w:val="00443B56"/>
    <w:rsid w:val="004A152A"/>
    <w:rsid w:val="004B3B07"/>
    <w:rsid w:val="004E66E9"/>
    <w:rsid w:val="0057486B"/>
    <w:rsid w:val="00625078"/>
    <w:rsid w:val="0066181C"/>
    <w:rsid w:val="006E09EA"/>
    <w:rsid w:val="006F34EE"/>
    <w:rsid w:val="0070640E"/>
    <w:rsid w:val="00796515"/>
    <w:rsid w:val="007A0D33"/>
    <w:rsid w:val="007B6D4A"/>
    <w:rsid w:val="00817CB9"/>
    <w:rsid w:val="0084099B"/>
    <w:rsid w:val="00843AB2"/>
    <w:rsid w:val="00942C20"/>
    <w:rsid w:val="00986C07"/>
    <w:rsid w:val="00991E7B"/>
    <w:rsid w:val="009932DF"/>
    <w:rsid w:val="009D3C10"/>
    <w:rsid w:val="00A250B2"/>
    <w:rsid w:val="00AA0F17"/>
    <w:rsid w:val="00AD2E63"/>
    <w:rsid w:val="00BB2DFA"/>
    <w:rsid w:val="00C44D43"/>
    <w:rsid w:val="00CB5333"/>
    <w:rsid w:val="00CF1C32"/>
    <w:rsid w:val="00D06092"/>
    <w:rsid w:val="00DD042B"/>
    <w:rsid w:val="00E16C1B"/>
    <w:rsid w:val="00E2671B"/>
    <w:rsid w:val="00E538FB"/>
    <w:rsid w:val="00EA297B"/>
    <w:rsid w:val="00ED706E"/>
    <w:rsid w:val="00F42704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8B4"/>
  <w15:chartTrackingRefBased/>
  <w15:docId w15:val="{13F7F1A6-2F5A-48AA-A18A-480596E5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7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9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297B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6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766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DF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DF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B2DF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D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398">
          <w:marLeft w:val="103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N/TXT/?uri=OJ:C:2022:092:TOC" TargetMode="External"/><Relationship Id="rId18" Type="http://schemas.openxmlformats.org/officeDocument/2006/relationships/hyperlink" Target="https://eur-lex.europa.eu/legal-content/EN/TXT/?uri=OJ:L:2022:052:TOC" TargetMode="External"/><Relationship Id="rId26" Type="http://schemas.openxmlformats.org/officeDocument/2006/relationships/hyperlink" Target="https://www.gov.uk/government/publications/financial-sanctions-ukraine-sovereignty-and-territorial-integrity" TargetMode="External"/><Relationship Id="rId39" Type="http://schemas.openxmlformats.org/officeDocument/2006/relationships/hyperlink" Target="https://www.gov.uk/government/news/uk-to-phase-out-russian-oil-imports" TargetMode="External"/><Relationship Id="rId21" Type="http://schemas.openxmlformats.org/officeDocument/2006/relationships/hyperlink" Target="https://eur-lex.europa.eu/legal-content/EN/TXT/?uri=OJ:L:2022:067:TOC" TargetMode="External"/><Relationship Id="rId34" Type="http://schemas.openxmlformats.org/officeDocument/2006/relationships/hyperlink" Target="https://eur-lex.europa.eu/legal-content/EN/TXT/?uri=OJ:L:2022:082:TOC" TargetMode="External"/><Relationship Id="rId42" Type="http://schemas.openxmlformats.org/officeDocument/2006/relationships/hyperlink" Target="https://eur-lex.europa.eu/legal-content/EN/TXT/PDF/?uri=OJ:L:2022:087I:FULL&amp;from=EN" TargetMode="External"/><Relationship Id="rId47" Type="http://schemas.openxmlformats.org/officeDocument/2006/relationships/hyperlink" Target="https://www.gov.uk/government/news/uk-announces-new-economic-sanctions-against-russia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OJ:L:2022:050:TOC" TargetMode="External"/><Relationship Id="rId29" Type="http://schemas.openxmlformats.org/officeDocument/2006/relationships/hyperlink" Target="https://www.regjeringen.no/en/aktuelt/russia_sanctions/id2904511/" TargetMode="External"/><Relationship Id="rId11" Type="http://schemas.openxmlformats.org/officeDocument/2006/relationships/hyperlink" Target="https://www.consilium.europa.eu/en/press/press-releases/2022/02/25/russia-s-military-aggression-against-ukraine-eu-imposes-sanctions-against-president-putin-and-foreign-minister-lavrov-and-adopts-wide-ranging-individual-and-economic-sanctions/?utm_source=dsms-auto&amp;utm_medium=email&amp;utm_campaign=Russia%u2019s+military+aggression+against+Ukraine%3a+EU+imposes+sanctions+against+President+Putin+and+Foreign+Minister+Lavrov+and+adopts+wide+ranging+individual+and+economic+sanctions" TargetMode="External"/><Relationship Id="rId24" Type="http://schemas.openxmlformats.org/officeDocument/2006/relationships/hyperlink" Target="https://www.whitehouse.gov/briefing-room/statements-releases/2022/02/24/fact-sheet-joined-by-allies-and-partners-the-united-states-imposes-devastating-costs-on-russia/" TargetMode="External"/><Relationship Id="rId32" Type="http://schemas.openxmlformats.org/officeDocument/2006/relationships/hyperlink" Target="https://eur-lex.europa.eu/legal-content/EN/TXT/?uri=OJ:L:2022:080:TOC" TargetMode="External"/><Relationship Id="rId37" Type="http://schemas.openxmlformats.org/officeDocument/2006/relationships/hyperlink" Target="https://www.whitehouse.gov/briefing-room/statements-releases/2022/03/08/fact-sheet-united-states-bans-imports-of-russian-oil-liquefied-natural-gas-and-coal/" TargetMode="External"/><Relationship Id="rId40" Type="http://schemas.openxmlformats.org/officeDocument/2006/relationships/hyperlink" Target="https://docs.wto.org/dol2fe/Pages/SS/directdoc.aspx?filename=q:/WT/GC/244.pdf&amp;Open=True" TargetMode="External"/><Relationship Id="rId45" Type="http://schemas.openxmlformats.org/officeDocument/2006/relationships/hyperlink" Target="https://assets.publishing.service.gov.uk/government/uploads/system/uploads/attachment_data/file/1060263/Notice_Russia_1103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uri=OJ:L:2022:049:TOC" TargetMode="External"/><Relationship Id="rId23" Type="http://schemas.openxmlformats.org/officeDocument/2006/relationships/hyperlink" Target="https://www.bis.doc.gov/index.php/documents/about-bis/newsroom/press-releases/2914-2022-02-24-bis-russia-rule-press-release-and-tweets-final/file" TargetMode="External"/><Relationship Id="rId28" Type="http://schemas.openxmlformats.org/officeDocument/2006/relationships/hyperlink" Target="https://www.regjeringen.no/en/aktuelt/norway-to-increase-support-to-ukraine-and-provide-military-equipment/id2902406/" TargetMode="External"/><Relationship Id="rId36" Type="http://schemas.openxmlformats.org/officeDocument/2006/relationships/hyperlink" Target="https://www.whitehouse.gov/briefing-room/statements-releases/2022/03/08/message-to-the-congress-on-prohibiting-certain-imports-and-new-investments-with-respect-to-continued-russian-federation-efforts-to-undermine-the-sovereignty-and-territorial-integrity-of-ukraine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gov.uk/government/publications/financial-sanctions-ukraine-sovereignty-and-territorial-integrity" TargetMode="External"/><Relationship Id="rId19" Type="http://schemas.openxmlformats.org/officeDocument/2006/relationships/hyperlink" Target="https://eur-lex.europa.eu/legal-content/EN/TXT/?uri=OJ:L:2022:054:TOC" TargetMode="External"/><Relationship Id="rId31" Type="http://schemas.openxmlformats.org/officeDocument/2006/relationships/hyperlink" Target="https://www.consilium.europa.eu/en/press/press-releases/2022/03/09/russia-s-military-aggression-against-ukraine-eu-agrees-new-sectoral-measures-targeting-belarus-and-russia/" TargetMode="External"/><Relationship Id="rId44" Type="http://schemas.openxmlformats.org/officeDocument/2006/relationships/hyperlink" Target="https://assets.publishing.service.gov.uk/government/uploads/system/uploads/attachment_data/file/1060764/Notice_Russia_1503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treasury.gov/news/press-releases/jy0602" TargetMode="External"/><Relationship Id="rId14" Type="http://schemas.openxmlformats.org/officeDocument/2006/relationships/hyperlink" Target="https://eur-lex.europa.eu/legal-content/EN/TXT/?uri=OJ:L:2022:048:TOC" TargetMode="External"/><Relationship Id="rId22" Type="http://schemas.openxmlformats.org/officeDocument/2006/relationships/hyperlink" Target="https://home.treasury.gov/news/press-releases/jy0608" TargetMode="External"/><Relationship Id="rId27" Type="http://schemas.openxmlformats.org/officeDocument/2006/relationships/hyperlink" Target="https://www.engage.hoganlovells.com/knowledgeservices/viewContent.action?key=Ec8teaJ9VaqNqrWXtGCwbMxgHJMKLFEppVpbbVX%2B3OXcP3PYxlq7sZUjdbSm5FIetvAtgf1eVU8%3D&amp;nav=FRbANEucS95NMLRN47z%2BeeOgEFCt8EGQcV7IzHUHOGQ%3D&amp;emailtofriendview=true&amp;freeviewlink=true" TargetMode="External"/><Relationship Id="rId30" Type="http://schemas.openxmlformats.org/officeDocument/2006/relationships/hyperlink" Target="https://www.admin.ch/gov/en/start/documentation/media-releases.msg-id-87386.html" TargetMode="External"/><Relationship Id="rId35" Type="http://schemas.openxmlformats.org/officeDocument/2006/relationships/hyperlink" Target="https://www.whitehouse.gov/briefing-room/presidential-actions/2022/03/08/executive-order-on-use-of-project-labor-agreements-for-federal-construction-projects-2/" TargetMode="External"/><Relationship Id="rId43" Type="http://schemas.openxmlformats.org/officeDocument/2006/relationships/hyperlink" Target="https://eur-lex.europa.eu/legal-content/EN/TXT/?uri=OJ:L:2022:084:TOC" TargetMode="External"/><Relationship Id="rId48" Type="http://schemas.openxmlformats.org/officeDocument/2006/relationships/header" Target="header1.xml"/><Relationship Id="rId8" Type="http://schemas.openxmlformats.org/officeDocument/2006/relationships/hyperlink" Target="https://eur-lex.europa.eu/legal-content/EN/TXT/PDF/?uri=CELEX:52022XC0223(04)&amp;from=EN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EN/TXT/?uri=OJ:L:2022:046:TOC" TargetMode="External"/><Relationship Id="rId17" Type="http://schemas.openxmlformats.org/officeDocument/2006/relationships/hyperlink" Target="https://eur-lex.europa.eu/legal-content/EN/TXT/?uri=OJ:L:2022:051:TOC" TargetMode="External"/><Relationship Id="rId25" Type="http://schemas.openxmlformats.org/officeDocument/2006/relationships/hyperlink" Target="https://home.treasury.gov/news/press-releases/jy0610" TargetMode="External"/><Relationship Id="rId33" Type="http://schemas.openxmlformats.org/officeDocument/2006/relationships/hyperlink" Target="https://eur-lex.europa.eu/legal-content/EN/TXT/?uri=OJ:L:2022:081:TOC" TargetMode="External"/><Relationship Id="rId38" Type="http://schemas.openxmlformats.org/officeDocument/2006/relationships/hyperlink" Target="https://home.treasury.gov/news/press-releases/jy0641" TargetMode="External"/><Relationship Id="rId46" Type="http://schemas.openxmlformats.org/officeDocument/2006/relationships/hyperlink" Target="https://www.gov.uk/government/news/uk-cuts-off-export-finance-support-to-russia-and-belarus" TargetMode="External"/><Relationship Id="rId20" Type="http://schemas.openxmlformats.org/officeDocument/2006/relationships/hyperlink" Target="https://eur-lex.europa.eu/legal-content/EN/TXT/?uri=OJ:L:2022:066:TOC" TargetMode="External"/><Relationship Id="rId41" Type="http://schemas.openxmlformats.org/officeDocument/2006/relationships/hyperlink" Target="https://www.consilium.europa.eu/en/press/press-releases/2022/03/15/russia-s-military-aggression-against-ukraine-fourth-eu-package-of-sectoral-and-individual-measu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FCA7-3D50-4EBC-91EF-5EC129D8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4407</Words>
  <Characters>25121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Santos</dc:creator>
  <cp:keywords>, docId:236B2333D0DC79478DE76ABA3CD31195</cp:keywords>
  <dc:description/>
  <cp:lastModifiedBy>Łukasz Sapieha</cp:lastModifiedBy>
  <cp:revision>2</cp:revision>
  <dcterms:created xsi:type="dcterms:W3CDTF">2022-03-23T11:50:00Z</dcterms:created>
  <dcterms:modified xsi:type="dcterms:W3CDTF">2022-03-23T11:50:00Z</dcterms:modified>
</cp:coreProperties>
</file>