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F902A2" w14:paraId="6DD9B5DC" w14:textId="77777777">
        <w:trPr>
          <w:jc w:val="center"/>
        </w:trPr>
        <w:tc>
          <w:tcPr>
            <w:tcW w:w="5000" w:type="pct"/>
            <w:vAlign w:val="center"/>
          </w:tcPr>
          <w:p w14:paraId="50B293B7" w14:textId="77777777" w:rsidR="00574C9B" w:rsidRPr="00085073" w:rsidRDefault="00202456" w:rsidP="00BA0B74">
            <w:pPr>
              <w:suppressAutoHyphens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</w:rPr>
              <w:t>REZOLUCJA</w:t>
            </w:r>
          </w:p>
        </w:tc>
      </w:tr>
      <w:tr w:rsidR="00F902A2" w14:paraId="503C53CB" w14:textId="77777777">
        <w:trPr>
          <w:trHeight w:val="567"/>
          <w:jc w:val="center"/>
        </w:trPr>
        <w:tc>
          <w:tcPr>
            <w:tcW w:w="5000" w:type="pct"/>
            <w:vAlign w:val="center"/>
          </w:tcPr>
          <w:p w14:paraId="5422A5B8" w14:textId="77777777" w:rsidR="00574C9B" w:rsidRPr="00085073" w:rsidRDefault="00574C9B" w:rsidP="00BA0B7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Europejski Komitet Ekonomiczno-Społeczny</w:t>
            </w:r>
          </w:p>
        </w:tc>
      </w:tr>
      <w:tr w:rsidR="00F902A2" w14:paraId="5AA6B4B5" w14:textId="77777777">
        <w:trPr>
          <w:jc w:val="center"/>
        </w:trPr>
        <w:tc>
          <w:tcPr>
            <w:tcW w:w="5000" w:type="pct"/>
            <w:vAlign w:val="center"/>
          </w:tcPr>
          <w:p w14:paraId="35676551" w14:textId="77777777" w:rsidR="00574C9B" w:rsidRPr="00BB580D" w:rsidRDefault="00085073" w:rsidP="00BA0B74">
            <w:pPr>
              <w:suppressAutoHyphens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</w:rPr>
              <w:t>Wojna w Ukrainie i jej skutki gospodarcze, społeczne i środowiskowe</w:t>
            </w:r>
          </w:p>
        </w:tc>
      </w:tr>
      <w:tr w:rsidR="00F902A2" w14:paraId="4142B45E" w14:textId="77777777">
        <w:trPr>
          <w:jc w:val="center"/>
        </w:trPr>
        <w:tc>
          <w:tcPr>
            <w:tcW w:w="5000" w:type="pct"/>
            <w:vAlign w:val="center"/>
          </w:tcPr>
          <w:p w14:paraId="486F6D41" w14:textId="77777777" w:rsidR="00574C9B" w:rsidRPr="000E55DF" w:rsidRDefault="00574C9B" w:rsidP="00BA0B7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E55DF">
              <w:t>_____________</w:t>
            </w:r>
          </w:p>
          <w:p w14:paraId="75BF26DC" w14:textId="77777777" w:rsidR="000E55DF" w:rsidRPr="000E55DF" w:rsidRDefault="000E55DF" w:rsidP="00BA0B7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position w:val="24"/>
                <w:szCs w:val="24"/>
              </w:rPr>
            </w:pPr>
          </w:p>
        </w:tc>
      </w:tr>
      <w:tr w:rsidR="00F902A2" w14:paraId="628AADF3" w14:textId="77777777">
        <w:trPr>
          <w:jc w:val="center"/>
        </w:trPr>
        <w:tc>
          <w:tcPr>
            <w:tcW w:w="5000" w:type="pct"/>
            <w:vAlign w:val="center"/>
          </w:tcPr>
          <w:p w14:paraId="370E4A19" w14:textId="77777777" w:rsidR="00E54115" w:rsidRDefault="00E54115" w:rsidP="00BA0B7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Wojna w Ukrainie i jej skutki gospodarcze, społeczne i środowiskowe</w:t>
            </w:r>
          </w:p>
          <w:p w14:paraId="3A3D73A7" w14:textId="77777777" w:rsidR="00601FCB" w:rsidRPr="00BB580D" w:rsidRDefault="00601FCB" w:rsidP="00BA0B7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24"/>
                <w:sz w:val="24"/>
                <w:szCs w:val="24"/>
              </w:rPr>
            </w:pPr>
          </w:p>
        </w:tc>
      </w:tr>
      <w:tr w:rsidR="00F902A2" w14:paraId="7837976F" w14:textId="77777777">
        <w:trPr>
          <w:jc w:val="center"/>
        </w:trPr>
        <w:tc>
          <w:tcPr>
            <w:tcW w:w="5000" w:type="pct"/>
            <w:vAlign w:val="center"/>
          </w:tcPr>
          <w:p w14:paraId="7D402CC6" w14:textId="77777777" w:rsidR="00202456" w:rsidRPr="006C4488" w:rsidRDefault="00EE4C01" w:rsidP="00BA0B74">
            <w:pPr>
              <w:suppressAutoHyphens/>
              <w:jc w:val="center"/>
              <w:rPr>
                <w:b/>
              </w:rPr>
            </w:pPr>
            <w:r>
              <w:rPr>
                <w:sz w:val="24"/>
              </w:rPr>
              <w:t xml:space="preserve">Sprawozdawcy:  </w:t>
            </w:r>
            <w:proofErr w:type="spellStart"/>
            <w:r w:rsidR="00202456">
              <w:rPr>
                <w:b/>
              </w:rPr>
              <w:t>Stefano</w:t>
            </w:r>
            <w:proofErr w:type="spellEnd"/>
            <w:r w:rsidR="00202456">
              <w:rPr>
                <w:b/>
              </w:rPr>
              <w:t xml:space="preserve"> MALLIA</w:t>
            </w:r>
          </w:p>
          <w:p w14:paraId="22029E8B" w14:textId="77777777" w:rsidR="00202456" w:rsidRPr="006C4488" w:rsidRDefault="00202456" w:rsidP="00EE4C01">
            <w:pPr>
              <w:suppressAutoHyphens/>
              <w:ind w:left="4536"/>
              <w:jc w:val="left"/>
              <w:rPr>
                <w:b/>
              </w:rPr>
            </w:pPr>
            <w:r>
              <w:rPr>
                <w:b/>
              </w:rPr>
              <w:t>Oliver RÖPKE</w:t>
            </w:r>
          </w:p>
          <w:p w14:paraId="598902A7" w14:textId="77777777" w:rsidR="00574C9B" w:rsidRPr="00085073" w:rsidRDefault="00202456" w:rsidP="00EE4C01">
            <w:pPr>
              <w:suppressAutoHyphens/>
              <w:ind w:left="4536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/>
              </w:rPr>
              <w:t>Séamus</w:t>
            </w:r>
            <w:proofErr w:type="spellEnd"/>
            <w:r>
              <w:rPr>
                <w:b/>
              </w:rPr>
              <w:t xml:space="preserve"> BOLAND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14:paraId="07B96434" w14:textId="77777777" w:rsidR="00574C9B" w:rsidRPr="00BB580D" w:rsidRDefault="00574C9B" w:rsidP="00BA0B74">
      <w:pPr>
        <w:suppressAutoHyphens/>
        <w:rPr>
          <w:lang w:val="en-GB"/>
        </w:rPr>
      </w:pPr>
    </w:p>
    <w:p w14:paraId="6E45E180" w14:textId="77777777" w:rsidR="00574C9B" w:rsidRPr="00BB580D" w:rsidRDefault="00841988" w:rsidP="00BA0B74">
      <w:pPr>
        <w:suppressAutoHyphens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E8EC449" wp14:editId="060CF093">
                <wp:simplePos x="0" y="0"/>
                <wp:positionH relativeFrom="page">
                  <wp:posOffset>6440557</wp:posOffset>
                </wp:positionH>
                <wp:positionV relativeFrom="page">
                  <wp:posOffset>9485906</wp:posOffset>
                </wp:positionV>
                <wp:extent cx="659516" cy="532737"/>
                <wp:effectExtent l="0" t="0" r="0" b="127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6" cy="532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9BE0B" w14:textId="77777777" w:rsidR="00841988" w:rsidRPr="00260E65" w:rsidRDefault="008419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07.15pt;margin-top:746.9pt;width:51.95pt;height:4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M5twIAALk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" o:allowincell="f" filled="f" stroked="f">
                <v:textbox>
                  <w:txbxContent>
                    <w:p w:rsidR="00841988" w:rsidRPr="00260E65" w:rsidRDefault="0084198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E8D7B3" w14:textId="77777777" w:rsidR="00574C9B" w:rsidRPr="00BB580D" w:rsidRDefault="00574C9B" w:rsidP="00BA0B74">
      <w:pPr>
        <w:suppressAutoHyphens/>
        <w:rPr>
          <w:lang w:val="en-GB"/>
        </w:rPr>
        <w:sectPr w:rsidR="00574C9B" w:rsidRPr="00BB580D" w:rsidSect="00E541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5669" w:right="1417" w:bottom="1417" w:left="1417" w:header="709" w:footer="709" w:gutter="0"/>
          <w:cols w:space="720"/>
          <w:docGrid w:linePitch="360"/>
        </w:sectPr>
      </w:pPr>
    </w:p>
    <w:tbl>
      <w:tblPr>
        <w:tblpPr w:leftFromText="181" w:rightFromText="181" w:tblpYSpec="bottom"/>
        <w:tblOverlap w:val="never"/>
        <w:tblW w:w="5000" w:type="pct"/>
        <w:tblLook w:val="04A0" w:firstRow="1" w:lastRow="0" w:firstColumn="1" w:lastColumn="0" w:noHBand="0" w:noVBand="1"/>
      </w:tblPr>
      <w:tblGrid>
        <w:gridCol w:w="3013"/>
        <w:gridCol w:w="6058"/>
      </w:tblGrid>
      <w:tr w:rsidR="00F902A2" w14:paraId="44A2CFFA" w14:textId="77777777" w:rsidTr="00601FCB">
        <w:tc>
          <w:tcPr>
            <w:tcW w:w="1661" w:type="pct"/>
          </w:tcPr>
          <w:p w14:paraId="44A7AC98" w14:textId="77777777" w:rsidR="00AC5114" w:rsidRPr="00BB580D" w:rsidRDefault="00AC5114" w:rsidP="00BA0B74">
            <w:pPr>
              <w:suppressAutoHyphens/>
              <w:autoSpaceDE w:val="0"/>
              <w:autoSpaceDN w:val="0"/>
              <w:jc w:val="left"/>
            </w:pPr>
            <w:r>
              <w:lastRenderedPageBreak/>
              <w:t>Podstawa prawna</w:t>
            </w:r>
          </w:p>
        </w:tc>
        <w:tc>
          <w:tcPr>
            <w:tcW w:w="3339" w:type="pct"/>
            <w:vAlign w:val="bottom"/>
          </w:tcPr>
          <w:p w14:paraId="6F951064" w14:textId="77777777" w:rsidR="00AC5114" w:rsidRPr="00BB580D" w:rsidRDefault="00AC5114" w:rsidP="00BA0B74">
            <w:pPr>
              <w:suppressAutoHyphens/>
              <w:autoSpaceDE w:val="0"/>
              <w:autoSpaceDN w:val="0"/>
              <w:jc w:val="left"/>
            </w:pPr>
            <w:r>
              <w:t>Art. 35 regulaminu wewnętrznego</w:t>
            </w:r>
          </w:p>
        </w:tc>
      </w:tr>
      <w:tr w:rsidR="00F902A2" w14:paraId="573A4D79" w14:textId="77777777" w:rsidTr="00601FCB">
        <w:tc>
          <w:tcPr>
            <w:tcW w:w="1661" w:type="pct"/>
          </w:tcPr>
          <w:p w14:paraId="35118934" w14:textId="77777777" w:rsidR="00AC5114" w:rsidRPr="00BB580D" w:rsidRDefault="00AC5114" w:rsidP="00BA0B74">
            <w:pPr>
              <w:suppressAutoHyphens/>
              <w:autoSpaceDE w:val="0"/>
              <w:autoSpaceDN w:val="0"/>
              <w:jc w:val="left"/>
              <w:rPr>
                <w:lang w:val="en-GB"/>
              </w:rPr>
            </w:pPr>
          </w:p>
        </w:tc>
        <w:tc>
          <w:tcPr>
            <w:tcW w:w="3339" w:type="pct"/>
            <w:vAlign w:val="bottom"/>
          </w:tcPr>
          <w:p w14:paraId="7CC9727E" w14:textId="77777777" w:rsidR="00AC5114" w:rsidRPr="00BB580D" w:rsidRDefault="00AC5114" w:rsidP="00BA0B74">
            <w:pPr>
              <w:suppressAutoHyphens/>
              <w:autoSpaceDE w:val="0"/>
              <w:autoSpaceDN w:val="0"/>
              <w:jc w:val="left"/>
            </w:pPr>
            <w:r>
              <w:t>Rezolucja</w:t>
            </w:r>
          </w:p>
        </w:tc>
      </w:tr>
      <w:tr w:rsidR="00F902A2" w14:paraId="1CF6B595" w14:textId="77777777" w:rsidTr="00601FCB">
        <w:tc>
          <w:tcPr>
            <w:tcW w:w="1661" w:type="pct"/>
          </w:tcPr>
          <w:p w14:paraId="72BB04FA" w14:textId="77777777" w:rsidR="0058411F" w:rsidRPr="00085073" w:rsidRDefault="0058411F" w:rsidP="00BA0B74">
            <w:pPr>
              <w:suppressAutoHyphens/>
              <w:autoSpaceDE w:val="0"/>
              <w:autoSpaceDN w:val="0"/>
              <w:jc w:val="left"/>
            </w:pPr>
            <w:r>
              <w:t>Data przyjęcia na sesji plenarnej</w:t>
            </w:r>
          </w:p>
        </w:tc>
        <w:tc>
          <w:tcPr>
            <w:tcW w:w="3339" w:type="pct"/>
            <w:vAlign w:val="bottom"/>
          </w:tcPr>
          <w:p w14:paraId="0BBAEBDA" w14:textId="77777777" w:rsidR="0058411F" w:rsidRPr="00BB580D" w:rsidRDefault="00202456" w:rsidP="00BA0B74">
            <w:pPr>
              <w:suppressAutoHyphens/>
              <w:autoSpaceDE w:val="0"/>
              <w:autoSpaceDN w:val="0"/>
              <w:jc w:val="left"/>
            </w:pPr>
            <w:r>
              <w:t>24/03/2022</w:t>
            </w:r>
          </w:p>
        </w:tc>
      </w:tr>
      <w:tr w:rsidR="00F902A2" w14:paraId="2BBF7A10" w14:textId="77777777" w:rsidTr="00601FCB">
        <w:tc>
          <w:tcPr>
            <w:tcW w:w="1661" w:type="pct"/>
          </w:tcPr>
          <w:p w14:paraId="3FA0CF20" w14:textId="77777777" w:rsidR="0058411F" w:rsidRPr="00BB580D" w:rsidRDefault="0058411F" w:rsidP="00BA0B74">
            <w:pPr>
              <w:suppressAutoHyphens/>
              <w:autoSpaceDE w:val="0"/>
              <w:autoSpaceDN w:val="0"/>
              <w:jc w:val="left"/>
            </w:pPr>
            <w:r>
              <w:t>Sesja plenarna nr</w:t>
            </w:r>
          </w:p>
        </w:tc>
        <w:tc>
          <w:tcPr>
            <w:tcW w:w="3339" w:type="pct"/>
            <w:vAlign w:val="bottom"/>
          </w:tcPr>
          <w:p w14:paraId="1736C8BB" w14:textId="77777777" w:rsidR="0058411F" w:rsidRPr="00BB580D" w:rsidRDefault="00202456" w:rsidP="00BA0B74">
            <w:pPr>
              <w:suppressAutoHyphens/>
              <w:autoSpaceDE w:val="0"/>
              <w:autoSpaceDN w:val="0"/>
              <w:jc w:val="left"/>
            </w:pPr>
            <w:r>
              <w:t>568</w:t>
            </w:r>
          </w:p>
        </w:tc>
      </w:tr>
      <w:tr w:rsidR="00F902A2" w14:paraId="27A23D83" w14:textId="77777777" w:rsidTr="00601FCB">
        <w:tc>
          <w:tcPr>
            <w:tcW w:w="1661" w:type="pct"/>
          </w:tcPr>
          <w:p w14:paraId="6BBA8044" w14:textId="77777777" w:rsidR="0058411F" w:rsidRPr="00BB580D" w:rsidRDefault="00601FCB" w:rsidP="00BA0B74">
            <w:pPr>
              <w:suppressAutoHyphens/>
              <w:autoSpaceDE w:val="0"/>
              <w:autoSpaceDN w:val="0"/>
              <w:jc w:val="left"/>
            </w:pPr>
            <w:r>
              <w:t>Wynik głosowania</w:t>
            </w:r>
            <w:r w:rsidR="0058411F">
              <w:br/>
              <w:t>(za/przeciw/wstrzymało się)</w:t>
            </w:r>
          </w:p>
        </w:tc>
        <w:tc>
          <w:tcPr>
            <w:tcW w:w="3339" w:type="pct"/>
            <w:vAlign w:val="bottom"/>
          </w:tcPr>
          <w:p w14:paraId="6CD7A357" w14:textId="77777777" w:rsidR="0058411F" w:rsidRPr="00BB580D" w:rsidRDefault="00202456" w:rsidP="00BA0B74">
            <w:pPr>
              <w:suppressAutoHyphens/>
              <w:autoSpaceDE w:val="0"/>
              <w:autoSpaceDN w:val="0"/>
              <w:jc w:val="left"/>
            </w:pPr>
            <w:r>
              <w:t>175/1/1</w:t>
            </w:r>
          </w:p>
        </w:tc>
      </w:tr>
    </w:tbl>
    <w:p w14:paraId="161E9CA4" w14:textId="77777777" w:rsidR="00AC5114" w:rsidRPr="00BB580D" w:rsidRDefault="00AC5114" w:rsidP="00BA0B74">
      <w:pPr>
        <w:suppressAutoHyphens/>
        <w:rPr>
          <w:lang w:val="en-GB"/>
        </w:rPr>
      </w:pPr>
    </w:p>
    <w:p w14:paraId="2F6BEF16" w14:textId="77777777" w:rsidR="00AC5114" w:rsidRPr="00BB580D" w:rsidRDefault="00AC5114" w:rsidP="00BA0B74">
      <w:pPr>
        <w:suppressAutoHyphens/>
        <w:rPr>
          <w:lang w:val="en-GB"/>
        </w:rPr>
        <w:sectPr w:rsidR="00AC5114" w:rsidRPr="00BB580D" w:rsidSect="00E54115">
          <w:headerReference w:type="even" r:id="rId17"/>
          <w:headerReference w:type="default" r:id="rId18"/>
          <w:footerReference w:type="default" r:id="rId19"/>
          <w:headerReference w:type="first" r:id="rId20"/>
          <w:pgSz w:w="11907" w:h="16839" w:code="9"/>
          <w:pgMar w:top="5669" w:right="1418" w:bottom="1418" w:left="1418" w:header="709" w:footer="709" w:gutter="0"/>
          <w:cols w:space="720"/>
          <w:docGrid w:linePitch="360"/>
        </w:sectPr>
      </w:pPr>
    </w:p>
    <w:p w14:paraId="5ABFD89C" w14:textId="77777777" w:rsidR="009D55E2" w:rsidRPr="00BB580D" w:rsidRDefault="009D55E2" w:rsidP="00BA0B74">
      <w:pPr>
        <w:suppressAutoHyphens/>
      </w:pPr>
      <w:r>
        <w:lastRenderedPageBreak/>
        <w:t>Europejski Komitet Ekonomiczno-Społeczny (EKES)</w:t>
      </w:r>
    </w:p>
    <w:p w14:paraId="0CE5CCAA" w14:textId="77777777" w:rsidR="009D55E2" w:rsidRPr="00BB580D" w:rsidRDefault="009D55E2" w:rsidP="00BA0B74">
      <w:pPr>
        <w:suppressAutoHyphens/>
        <w:ind w:left="720" w:hanging="720"/>
        <w:rPr>
          <w:lang w:val="en-GB"/>
        </w:rPr>
      </w:pPr>
    </w:p>
    <w:p w14:paraId="66E95020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</w:pPr>
      <w:r>
        <w:rPr>
          <w:b/>
        </w:rPr>
        <w:t>Stanowczo potępia jednostronną napaść na Ukrainę</w:t>
      </w:r>
      <w:r>
        <w:t xml:space="preserve"> na rozkaz prezydenta Federacji Rosyjskiej oraz zaangażowanie białoruskiego reżimu. Podkreśla, że inwazja rosyjskich sił zbrojnych w Ukrainie narusza obowiązujące międzynarodowe zasady i umowy oraz zagraża bezpieczeństwu europejskiemu i światowemu. Inwazja bezpośrednio godzi również w główny cel UE, jakim jest „wspieranie pokoju, jej wartości i dobrobytu jej narodów”.</w:t>
      </w:r>
    </w:p>
    <w:p w14:paraId="1FB3C893" w14:textId="77777777" w:rsidR="00276514" w:rsidRPr="00BB580D" w:rsidRDefault="00276514" w:rsidP="00BA0B74">
      <w:pPr>
        <w:suppressAutoHyphens/>
        <w:ind w:left="567"/>
        <w:rPr>
          <w:lang w:val="en-GB"/>
        </w:rPr>
      </w:pPr>
    </w:p>
    <w:p w14:paraId="4F2266EC" w14:textId="77777777" w:rsidR="00276514" w:rsidRPr="00BB580D" w:rsidRDefault="00085073" w:rsidP="00BA0B74">
      <w:pPr>
        <w:numPr>
          <w:ilvl w:val="0"/>
          <w:numId w:val="3"/>
        </w:numPr>
        <w:suppressAutoHyphens/>
        <w:ind w:left="567" w:hanging="567"/>
      </w:pPr>
      <w:r>
        <w:t>Nalega, by UE zapewniła pełne wsparcie, aby dopilnować, że wszystkie zbrodnie wojenne i</w:t>
      </w:r>
      <w:r w:rsidR="00601FCB">
        <w:t> </w:t>
      </w:r>
      <w:r>
        <w:t>zbrodnie przeciwko ludzkości zostaną zgłoszone do Międzynarodowego Trybunału Karnego i</w:t>
      </w:r>
      <w:r w:rsidR="00601FCB">
        <w:t> </w:t>
      </w:r>
      <w:r>
        <w:t>tam osądzone.</w:t>
      </w:r>
    </w:p>
    <w:p w14:paraId="75D35C6C" w14:textId="77777777" w:rsidR="009D55E2" w:rsidRPr="00085073" w:rsidRDefault="009D55E2" w:rsidP="00BA0B74">
      <w:pPr>
        <w:suppressAutoHyphens/>
        <w:ind w:left="567"/>
        <w:rPr>
          <w:lang w:val="en-GB"/>
        </w:rPr>
      </w:pPr>
    </w:p>
    <w:p w14:paraId="488DA2A1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</w:pPr>
      <w:r>
        <w:t xml:space="preserve">Składa hołd </w:t>
      </w:r>
      <w:r>
        <w:rPr>
          <w:b/>
        </w:rPr>
        <w:t>ogromnej odwadze obywatelek i obywateli Ukrainy</w:t>
      </w:r>
      <w:r>
        <w:t>, którzy bronią swego kraju przed rosyjskim agresorem. Wzywa wolny świat, by za pomocą wszelkich dostępnych mu środków wspierał walkę Ukraińców o pokój i wolność.</w:t>
      </w:r>
    </w:p>
    <w:p w14:paraId="7CA4DD04" w14:textId="77777777" w:rsidR="009D55E2" w:rsidRPr="00BB580D" w:rsidRDefault="009D55E2" w:rsidP="00BA0B74">
      <w:pPr>
        <w:suppressAutoHyphens/>
        <w:ind w:left="720"/>
        <w:rPr>
          <w:lang w:val="en-GB"/>
        </w:rPr>
      </w:pPr>
    </w:p>
    <w:p w14:paraId="5BBFDD2F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</w:pPr>
      <w:r>
        <w:t xml:space="preserve">Apeluje do UE i jej międzynarodowych partnerów o podobnych poglądach o zachowanie jedności, o dalszą </w:t>
      </w:r>
      <w:r>
        <w:rPr>
          <w:b/>
        </w:rPr>
        <w:t>pełną solidarność w reagowaniu na tę niczym niesprowokowaną i</w:t>
      </w:r>
      <w:r w:rsidR="00601FCB">
        <w:t> </w:t>
      </w:r>
      <w:r>
        <w:rPr>
          <w:b/>
        </w:rPr>
        <w:t>nieuzasadnioną wojnę</w:t>
      </w:r>
      <w:r>
        <w:t xml:space="preserve"> oraz o wytyczenie dyplomatycznej drogi do zaprzestania wrogich działań. Podkreśla potrzebę podjęcia działań dyplomatycznych w celu natychmiastowego zawieszenia broni i zbudowania prawdziwego procesu pokojowego z czynną rolą instytucji UE.</w:t>
      </w:r>
      <w:r>
        <w:rPr>
          <w:b/>
        </w:rPr>
        <w:t xml:space="preserve"> </w:t>
      </w:r>
      <w:r>
        <w:t>Podmioty te powinny również zwiększyć presję na reżim rosyjski poprzez niezwłoczne nałożenie dalszych sankcji i wykorzystanie wszelkich innych dostępnych narzędzi zmierzających do natychmiastowego zaprzestania działań zbrojnych Rosji na terytorium Ukrainy, całkowitego wycofania sił rosyjskich, przywrócenia pokoju, bezpieczeństwa i</w:t>
      </w:r>
      <w:r w:rsidR="00601FCB">
        <w:t> </w:t>
      </w:r>
      <w:r>
        <w:t xml:space="preserve">stabilności we wschodnim sąsiedztwie UE oraz wspierania społeczeństw podzielających nasze wartości. </w:t>
      </w:r>
    </w:p>
    <w:p w14:paraId="6A95424B" w14:textId="77777777" w:rsidR="00F7278D" w:rsidRPr="00BB580D" w:rsidRDefault="00F7278D" w:rsidP="00BA0B74">
      <w:pPr>
        <w:suppressAutoHyphens/>
        <w:ind w:left="567"/>
        <w:rPr>
          <w:lang w:val="en-GB"/>
        </w:rPr>
      </w:pPr>
    </w:p>
    <w:p w14:paraId="7B1D1880" w14:textId="77777777" w:rsidR="00F7278D" w:rsidRPr="00BB580D" w:rsidRDefault="00534D55" w:rsidP="00BA0B74">
      <w:pPr>
        <w:numPr>
          <w:ilvl w:val="0"/>
          <w:numId w:val="3"/>
        </w:numPr>
        <w:suppressAutoHyphens/>
        <w:ind w:left="567" w:hanging="567"/>
      </w:pPr>
      <w:r>
        <w:t>Dla UE i społeczności międzynarodowej niezwykle ważne jest, by granice nie były zmieniane z</w:t>
      </w:r>
      <w:r w:rsidR="00601FCB">
        <w:t> </w:t>
      </w:r>
      <w:r>
        <w:t>wykorzystaniem siły militarnej i by agresorzy nie czerpali z takich poczynań żadnych korzyści. Należy przestrzegać praworządności, a nie prawa najsilniejszego, zaś Ukraina musi otrzymać pełne reparacje.</w:t>
      </w:r>
    </w:p>
    <w:p w14:paraId="2641DDDD" w14:textId="77777777" w:rsidR="009D55E2" w:rsidRPr="00BB580D" w:rsidRDefault="009D55E2" w:rsidP="00BA0B74">
      <w:pPr>
        <w:suppressAutoHyphens/>
        <w:ind w:left="567"/>
        <w:rPr>
          <w:lang w:val="en-GB"/>
        </w:rPr>
      </w:pPr>
    </w:p>
    <w:p w14:paraId="47E92866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</w:pPr>
      <w:r>
        <w:t>Popiera i podziela główne przesłania rezolucji Parlamentu Europejskiego z 1 marca w sprawie rosyjskiej agresji na Ukrainę, w tym zaproponowane środki mające na celu natychmiastowe wsparcie Ukrainy i jej obywateli w walce o niepodległość i wolność.</w:t>
      </w:r>
    </w:p>
    <w:p w14:paraId="56BFA4F9" w14:textId="77777777" w:rsidR="009D55E2" w:rsidRPr="00BB580D" w:rsidRDefault="009D55E2" w:rsidP="00BA0B74">
      <w:pPr>
        <w:suppressAutoHyphens/>
        <w:ind w:left="567"/>
        <w:rPr>
          <w:lang w:val="en-GB"/>
        </w:rPr>
      </w:pPr>
    </w:p>
    <w:p w14:paraId="1128CF15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</w:pPr>
      <w:r>
        <w:t>Z zadowoleniem przyjmuje działania tych firm europejskich, które postanowiły wycofać się z</w:t>
      </w:r>
      <w:r w:rsidR="00601FCB">
        <w:t> </w:t>
      </w:r>
      <w:r>
        <w:t>rynku rosyjskiego, i zachęca inne przedsiębiorstwa do przedkładania człowieczeństwa i</w:t>
      </w:r>
      <w:r w:rsidR="00601FCB">
        <w:t> </w:t>
      </w:r>
      <w:r>
        <w:t>solidarności nad doraźne interesy gospodarcze.</w:t>
      </w:r>
    </w:p>
    <w:p w14:paraId="659D1E4F" w14:textId="77777777" w:rsidR="009D55E2" w:rsidRPr="00BB580D" w:rsidRDefault="009D55E2" w:rsidP="00BA0B74">
      <w:pPr>
        <w:suppressAutoHyphens/>
        <w:ind w:left="567"/>
        <w:rPr>
          <w:lang w:val="en-GB"/>
        </w:rPr>
      </w:pPr>
    </w:p>
    <w:p w14:paraId="57A0BA0E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  <w:rPr>
          <w:rFonts w:ascii="Calibri" w:eastAsia="Calibri" w:hAnsi="Calibri"/>
        </w:rPr>
      </w:pPr>
      <w:r>
        <w:t xml:space="preserve">Ponownie wyraża </w:t>
      </w:r>
      <w:r>
        <w:rPr>
          <w:b/>
        </w:rPr>
        <w:t>zdecydowane poparcie dla suwerenności, niezależności i integralności terytorialnej</w:t>
      </w:r>
      <w:r>
        <w:t xml:space="preserve"> Ukrainy i innych krajów należących do Partnerstwa Wschodniego, a mianowicie Mołdawii i Gruzji, oraz wszystkich państw członkowskich UE w obrębie granic uznanych przez społeczność międzynarodową.</w:t>
      </w:r>
    </w:p>
    <w:p w14:paraId="4C0E8081" w14:textId="77777777" w:rsidR="009D55E2" w:rsidRPr="00BB580D" w:rsidRDefault="009D55E2" w:rsidP="00BA0B74">
      <w:pPr>
        <w:suppressAutoHyphens/>
        <w:ind w:left="567"/>
        <w:rPr>
          <w:lang w:val="en-GB"/>
        </w:rPr>
      </w:pPr>
    </w:p>
    <w:p w14:paraId="6364B166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</w:pPr>
      <w:r>
        <w:lastRenderedPageBreak/>
        <w:t xml:space="preserve">Wyraża ogromny żal z powodu wszystkich </w:t>
      </w:r>
      <w:r>
        <w:rPr>
          <w:b/>
        </w:rPr>
        <w:t>ofiar agresji</w:t>
      </w:r>
      <w:r>
        <w:t>, dzieci, kobiet i mężczyzn, a także z</w:t>
      </w:r>
      <w:r w:rsidR="00601FCB">
        <w:t> </w:t>
      </w:r>
      <w:r>
        <w:t>powodu zniszczonych miast i infrastruktury oraz niepojętego cierpienia ludzkiego i</w:t>
      </w:r>
      <w:r w:rsidR="00601FCB">
        <w:t> </w:t>
      </w:r>
      <w:r>
        <w:t>ogromnych szkód dla środowiska. Ubolewa, że miliony ludzi musiały opuścić swoje domy i</w:t>
      </w:r>
      <w:r w:rsidR="00601FCB">
        <w:t> </w:t>
      </w:r>
      <w:r>
        <w:t>szukać schronienia w bezpieczniejszych miejscach w Ukrainie i w sąsiednich krajach. Nalega na rozliczenie agresorów za ich zbrodnie.</w:t>
      </w:r>
    </w:p>
    <w:p w14:paraId="28F67C69" w14:textId="77777777" w:rsidR="009D55E2" w:rsidRPr="00BB580D" w:rsidRDefault="009D55E2" w:rsidP="00BA0B74">
      <w:pPr>
        <w:suppressAutoHyphens/>
        <w:ind w:left="567"/>
        <w:rPr>
          <w:lang w:val="en-GB"/>
        </w:rPr>
      </w:pPr>
    </w:p>
    <w:p w14:paraId="130F8045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</w:pPr>
      <w:r>
        <w:t xml:space="preserve">Nawołuje do intensywniejszych działań mających na celu wzmocnienie pozycji i suwerenności Ukrainy, a także </w:t>
      </w:r>
      <w:r>
        <w:rPr>
          <w:b/>
        </w:rPr>
        <w:t>działań humanitarnych</w:t>
      </w:r>
      <w:r>
        <w:t xml:space="preserve">, aby umożliwić ludności Ukrainy łatwiejszy dostęp do podstawowych produktów, w szczególności wody, żywności, leków i energii elektrycznej. Zwraca się do wszystkich rządów, aby dołożyły wszelkich możliwych starań, żeby zapewnić </w:t>
      </w:r>
      <w:r>
        <w:rPr>
          <w:b/>
        </w:rPr>
        <w:t>zaopatrzenie w żywność i bezpieczeństwo żywności</w:t>
      </w:r>
      <w:r>
        <w:t xml:space="preserve"> w strefach objętych wojną poprzez dostarczanie żywności i czystej wody.</w:t>
      </w:r>
      <w:r w:rsidR="00CD26AC">
        <w:t xml:space="preserve"> </w:t>
      </w:r>
      <w:r>
        <w:rPr>
          <w:b/>
        </w:rPr>
        <w:t>Wzywa Rosję, by umożliwiła udzielanie pomocy humanitarnej mieszkańcom Ukrainy.</w:t>
      </w:r>
      <w:r>
        <w:t xml:space="preserve"> Ostrzega, że wiele osób nie dostanie wynagrodzenia lub nie będzie miało dostępu do swoich oszczędności, dlatego apeluje, by przedsięwziąć odpowiednie środki ekonomiczne w celu zapobieżenia załamaniu gospodarki. </w:t>
      </w:r>
    </w:p>
    <w:p w14:paraId="54B88C6A" w14:textId="77777777" w:rsidR="009D55E2" w:rsidRPr="00BB580D" w:rsidRDefault="009D55E2" w:rsidP="00BA0B74">
      <w:pPr>
        <w:suppressAutoHyphens/>
        <w:ind w:left="567"/>
        <w:rPr>
          <w:lang w:val="en-GB"/>
        </w:rPr>
      </w:pPr>
    </w:p>
    <w:p w14:paraId="46EFA4EF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</w:pPr>
      <w:r>
        <w:t xml:space="preserve">Z zadowoleniem przyjmuje </w:t>
      </w:r>
      <w:r>
        <w:rPr>
          <w:b/>
        </w:rPr>
        <w:t>aktywne podejście wszystkich rządów UE</w:t>
      </w:r>
      <w:r>
        <w:t xml:space="preserve">, zwłaszcza Polski, Węgier, Rumunii, Bułgarii i Słowacji, a także rządu Mołdawii, jeśli chodzi o </w:t>
      </w:r>
      <w:r>
        <w:rPr>
          <w:b/>
        </w:rPr>
        <w:t>utrzymanie otwartych granic</w:t>
      </w:r>
      <w:r>
        <w:t xml:space="preserve"> i zapewnianie środków ewakuacji, schronienia, pomocy doraźnej, pomocy medycznej i azylu osobom uciekającym przed wojną w Ukrainie, w tym zarówno obywatelom Ukrainy, jak i z innych krajów. Wzywa Radę i Komisję do zapewnienia tym krajom dodatkowych środków finansowych, ponieważ są one pierwszymi punktami wjazdu uchodźczyń i uchodźców ukraińskich do UE i przez najbliższe miesiące pozostaną również głównymi krajami ich pobytu.</w:t>
      </w:r>
    </w:p>
    <w:p w14:paraId="72974A46" w14:textId="77777777" w:rsidR="009D55E2" w:rsidRPr="00BB580D" w:rsidRDefault="009D55E2" w:rsidP="00BA0B74">
      <w:pPr>
        <w:suppressAutoHyphens/>
        <w:ind w:left="567"/>
        <w:rPr>
          <w:lang w:val="en-GB"/>
        </w:rPr>
      </w:pPr>
    </w:p>
    <w:p w14:paraId="31095D63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</w:pPr>
      <w:r>
        <w:t xml:space="preserve">Ponownie apeluje o taką </w:t>
      </w:r>
      <w:r>
        <w:rPr>
          <w:b/>
        </w:rPr>
        <w:t>politykę imigracyjną, która zagwarantuje, że żaden kraj nie będzie ponosił nieproporcjonalnych obciążeń</w:t>
      </w:r>
      <w:r>
        <w:t>, gdyż będą one równomiernie dzielone między państwa członkowskie.</w:t>
      </w:r>
    </w:p>
    <w:p w14:paraId="4F505F7A" w14:textId="77777777" w:rsidR="009D55E2" w:rsidRPr="00BB580D" w:rsidRDefault="009D55E2" w:rsidP="00BA0B74">
      <w:pPr>
        <w:suppressAutoHyphens/>
        <w:ind w:left="567"/>
        <w:rPr>
          <w:lang w:val="en-GB"/>
        </w:rPr>
      </w:pPr>
    </w:p>
    <w:p w14:paraId="596BB438" w14:textId="77777777" w:rsidR="009D55E2" w:rsidRPr="00085073" w:rsidRDefault="009D55E2" w:rsidP="00BA0B74">
      <w:pPr>
        <w:numPr>
          <w:ilvl w:val="0"/>
          <w:numId w:val="3"/>
        </w:numPr>
        <w:suppressAutoHyphens/>
        <w:ind w:left="567" w:hanging="567"/>
      </w:pPr>
      <w:r>
        <w:t xml:space="preserve">Popiera </w:t>
      </w:r>
      <w:r>
        <w:rPr>
          <w:b/>
        </w:rPr>
        <w:t>zobowiązanie UE do udzielania pomocy uchodźcom z Ukrainy</w:t>
      </w:r>
      <w:r>
        <w:t>, jak określono w</w:t>
      </w:r>
      <w:r w:rsidR="00601FCB">
        <w:t> </w:t>
      </w:r>
      <w:r>
        <w:t xml:space="preserve">komunikacie Komisji </w:t>
      </w:r>
      <w:r>
        <w:rPr>
          <w:i/>
          <w:iCs/>
        </w:rPr>
        <w:t>Europejska solidarność z uchodźcami i osobami uciekającymi z</w:t>
      </w:r>
      <w:r w:rsidR="00601FCB">
        <w:t> </w:t>
      </w:r>
      <w:r>
        <w:rPr>
          <w:i/>
          <w:iCs/>
        </w:rPr>
        <w:t>Ukrainy</w:t>
      </w:r>
      <w:r w:rsidRPr="00BB580D">
        <w:rPr>
          <w:vertAlign w:val="superscript"/>
          <w:lang w:val="en-GB"/>
        </w:rPr>
        <w:footnoteReference w:id="1"/>
      </w:r>
      <w:r>
        <w:t>, oraz podkreśla, że fundusze dostępne poprzez działanie w ramach polityki spójności na rzecz uchodźców w Europie i REACT</w:t>
      </w:r>
      <w:r w:rsidRPr="00BB580D">
        <w:rPr>
          <w:vertAlign w:val="superscript"/>
          <w:lang w:val="en-GB"/>
        </w:rPr>
        <w:footnoteReference w:id="2"/>
      </w:r>
      <w:r>
        <w:t xml:space="preserve"> powinny być przyznawane elastycznie i szybko. Z</w:t>
      </w:r>
      <w:r w:rsidR="00601FCB">
        <w:t> </w:t>
      </w:r>
      <w:r>
        <w:t xml:space="preserve">zadowoleniem przyjmuje to, że </w:t>
      </w:r>
      <w:r>
        <w:rPr>
          <w:b/>
        </w:rPr>
        <w:t>UE uruchomiła już Unijny Mechanizm Ochrony Ludności</w:t>
      </w:r>
      <w:r>
        <w:t xml:space="preserve"> i utworzyła centra logistyczne w krajach sąsiadujących, aby móc kierować pomoc do Ukrainy. </w:t>
      </w:r>
    </w:p>
    <w:p w14:paraId="13EDAD93" w14:textId="77777777" w:rsidR="009D55E2" w:rsidRPr="00534D55" w:rsidRDefault="009D55E2" w:rsidP="00BA0B74">
      <w:pPr>
        <w:suppressAutoHyphens/>
        <w:ind w:left="567"/>
        <w:rPr>
          <w:lang w:val="en-GB"/>
        </w:rPr>
      </w:pPr>
    </w:p>
    <w:p w14:paraId="2028A317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</w:pPr>
      <w:r>
        <w:t xml:space="preserve">Jest pokrzepiony </w:t>
      </w:r>
      <w:r>
        <w:rPr>
          <w:b/>
        </w:rPr>
        <w:t>ogromną solidarnością organizacji społeczeństwa obywatelskiego z</w:t>
      </w:r>
      <w:r w:rsidR="00601FCB">
        <w:t> </w:t>
      </w:r>
      <w:r>
        <w:rPr>
          <w:b/>
        </w:rPr>
        <w:t>państw UE oraz krajów sąsiadujących</w:t>
      </w:r>
      <w:r>
        <w:t xml:space="preserve"> oraz ich nieustającymi wysiłkami od pierwszego dnia rosyjskiej agresji. Podkreśla, że UE powinna </w:t>
      </w:r>
      <w:r>
        <w:rPr>
          <w:b/>
        </w:rPr>
        <w:t>wesprzeć finansowo zarówno rządy, jak i</w:t>
      </w:r>
      <w:r w:rsidR="00601FCB">
        <w:t> </w:t>
      </w:r>
      <w:r>
        <w:rPr>
          <w:b/>
        </w:rPr>
        <w:t>organizacje społeczeństwa obywatelskiego</w:t>
      </w:r>
      <w:r>
        <w:t xml:space="preserve"> działające w terenie.</w:t>
      </w:r>
    </w:p>
    <w:p w14:paraId="52057628" w14:textId="77777777" w:rsidR="009D55E2" w:rsidRPr="00BB580D" w:rsidRDefault="009D55E2" w:rsidP="00BA0B74">
      <w:pPr>
        <w:suppressAutoHyphens/>
        <w:ind w:left="567"/>
        <w:rPr>
          <w:lang w:val="en-GB"/>
        </w:rPr>
      </w:pPr>
    </w:p>
    <w:p w14:paraId="3692BD57" w14:textId="77777777" w:rsidR="009D55E2" w:rsidRPr="00BB580D" w:rsidRDefault="009D55E2" w:rsidP="00601FCB">
      <w:pPr>
        <w:keepLines/>
        <w:numPr>
          <w:ilvl w:val="0"/>
          <w:numId w:val="3"/>
        </w:numPr>
        <w:suppressAutoHyphens/>
        <w:ind w:left="567" w:hanging="567"/>
      </w:pPr>
      <w:r>
        <w:lastRenderedPageBreak/>
        <w:t xml:space="preserve">Wzywa do </w:t>
      </w:r>
      <w:r>
        <w:rPr>
          <w:b/>
        </w:rPr>
        <w:t>pełnego wdrożenia dyrektywy w sprawie tymczasowej ochrony</w:t>
      </w:r>
      <w:r>
        <w:t xml:space="preserve"> (która została uruchomiona po raz pierwszy przez Radę Europejską 4 marca 2022 r. na wniosek Komisji Europejskiej). Należy tego dokonać poprzez solidarność i wspólną odpowiedzialność państw członkowskich UE, </w:t>
      </w:r>
      <w:r>
        <w:rPr>
          <w:b/>
        </w:rPr>
        <w:t>poprzez zagwarantowanie pełnego zakresu praw przewidzianych w</w:t>
      </w:r>
      <w:r w:rsidR="00601FCB">
        <w:t> </w:t>
      </w:r>
      <w:r>
        <w:rPr>
          <w:b/>
        </w:rPr>
        <w:t>dyrektywie</w:t>
      </w:r>
      <w:r>
        <w:t>, obejmujących dostęp do rynku pracy, mieszkań, opieki zdrowotnej, edukacji i</w:t>
      </w:r>
      <w:r w:rsidR="00601FCB">
        <w:t> </w:t>
      </w:r>
      <w:r>
        <w:t>wsparcia socjalnego dla wszystkich osób uprawnionych do tej ochrony. Ważne jest przy tym odpowiednie uwzględnienie potrzeb słabszych grup, zwłaszcza dzieci, kobiet, osób starszych i</w:t>
      </w:r>
      <w:r w:rsidR="00601FCB">
        <w:t> </w:t>
      </w:r>
      <w:r>
        <w:t>osób z niepełnosprawnościami. Zachęca kraje przyjmujące, by zatwierdziły tworzenie i</w:t>
      </w:r>
      <w:r w:rsidR="00601FCB">
        <w:t> </w:t>
      </w:r>
      <w:r>
        <w:t>respektowanie tych samych korytarzy humanitarnych dla wszystkich uchodźców uciekających przed wojną na Ukrainie, niezależnie od ich obywatelstwa.</w:t>
      </w:r>
    </w:p>
    <w:p w14:paraId="36768028" w14:textId="77777777" w:rsidR="009D55E2" w:rsidRPr="00BB580D" w:rsidRDefault="009D55E2" w:rsidP="00BA0B74">
      <w:pPr>
        <w:suppressAutoHyphens/>
        <w:ind w:left="567"/>
        <w:rPr>
          <w:lang w:val="en-GB"/>
        </w:rPr>
      </w:pPr>
    </w:p>
    <w:p w14:paraId="7B1F584B" w14:textId="77777777" w:rsidR="009D55E2" w:rsidRPr="00630748" w:rsidRDefault="009D55E2" w:rsidP="00BA0B74">
      <w:pPr>
        <w:numPr>
          <w:ilvl w:val="0"/>
          <w:numId w:val="3"/>
        </w:numPr>
        <w:suppressAutoHyphens/>
        <w:ind w:left="567" w:hanging="567"/>
      </w:pPr>
      <w:r>
        <w:t xml:space="preserve">Zdaje sobie sprawę, że </w:t>
      </w:r>
      <w:r>
        <w:rPr>
          <w:b/>
        </w:rPr>
        <w:t>kraje przyjmujące mogą mieć trudności</w:t>
      </w:r>
      <w:r>
        <w:t xml:space="preserve"> z szybką </w:t>
      </w:r>
      <w:r>
        <w:rPr>
          <w:b/>
        </w:rPr>
        <w:t>integracją uchodźczyń i uchodźców na swoich rynkach pracy</w:t>
      </w:r>
      <w:r>
        <w:t xml:space="preserve">. Zauważa, że gospodarki Unii są w stanie zasymilować napływ ludności z Ukrainy pod warunkiem właściwego zarządzania przesiedleniami. Apeluje, aby </w:t>
      </w:r>
      <w:r>
        <w:rPr>
          <w:b/>
        </w:rPr>
        <w:t>mechanizmy integracji uwzględniały aspekt płci i wieku</w:t>
      </w:r>
      <w:r>
        <w:t xml:space="preserve">. Wzywa Europejski Urząd ds. Pracy, by zgodnie ze swym mandatem monitorował integrację uchodźców na rynku pracy oraz przedstawiał regularne sprawozdania na ten temat. Przypomina w tym kontekście, że </w:t>
      </w:r>
      <w:r>
        <w:rPr>
          <w:b/>
        </w:rPr>
        <w:t>gospodarka społeczna i gospodarka solidarna</w:t>
      </w:r>
      <w:r>
        <w:t>, w ramach działań państwa opiekuńczego, mają potencjał utrzymania i zwiększenia liczby miejsc pracy nawet w</w:t>
      </w:r>
      <w:r w:rsidR="00601FCB">
        <w:t> </w:t>
      </w:r>
      <w:r>
        <w:t>czasach kryzysu. Zachęca zatem państwa członkowskie do szukania rozwiązań służących lepszej integracji uchodźców z Ukrainy na ich rynku pracy. Odnotowuje szczególną sytuację kobiet i dzieci w strefach konfliktu i po przybyciu do krajów przyjmujących, w tym ryzyko wykorzystywania i przemocy ze względu na płeć, zwłaszcza przemocy seksualnej i handlu ludźmi. Dodaje, że Europejskie Forum Migracji będzie stale monitorowało i uwzględniało sytuację obywatelek i obywateli Ukrainy, którym przyznano tymczasową ochronę w Unii Europejskiej lub którym przysługuje prawo do ubiegania się o taki status.</w:t>
      </w:r>
    </w:p>
    <w:p w14:paraId="7C8B264F" w14:textId="77777777" w:rsidR="009D55E2" w:rsidRPr="00BB580D" w:rsidRDefault="009D55E2" w:rsidP="00BA0B74">
      <w:pPr>
        <w:suppressAutoHyphens/>
        <w:ind w:left="567"/>
        <w:rPr>
          <w:lang w:val="en-GB"/>
        </w:rPr>
      </w:pPr>
    </w:p>
    <w:p w14:paraId="0149A8A7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</w:pPr>
      <w:r>
        <w:t xml:space="preserve">Domaga się większego </w:t>
      </w:r>
      <w:r>
        <w:rPr>
          <w:b/>
        </w:rPr>
        <w:t>wsparcia dla ukraińskiego społeczeństwa obywatelskiego</w:t>
      </w:r>
      <w:r>
        <w:t xml:space="preserve">, zarówno </w:t>
      </w:r>
      <w:r>
        <w:rPr>
          <w:b/>
          <w:bCs/>
        </w:rPr>
        <w:t>w</w:t>
      </w:r>
      <w:r w:rsidR="00601FCB">
        <w:t> </w:t>
      </w:r>
      <w:r>
        <w:rPr>
          <w:b/>
          <w:bCs/>
        </w:rPr>
        <w:t>Ukrainie, jak i poza jej granicami</w:t>
      </w:r>
      <w:r>
        <w:t>. Uważa, że UE powinna rozważyć zaangażowanie ukraińskiego społeczeństwa obywatelskiego we wszystkie dyskusje na temat Ukrainy, ponieważ to ono będzie bezpośrednio zaangażowane w usuwanie skutków wojny i społeczno-gospodarczą odbudowę kraju. W związku z tym wzywa do konsolidacji i wzmocnienia istniejących mechanizmów finansowania, które mają wspierać społeczeństwo obywatelskie w Ukrainie.</w:t>
      </w:r>
    </w:p>
    <w:p w14:paraId="01D7BD34" w14:textId="77777777" w:rsidR="009D55E2" w:rsidRPr="00BB580D" w:rsidRDefault="009D55E2" w:rsidP="00BA0B74">
      <w:pPr>
        <w:suppressAutoHyphens/>
        <w:ind w:left="567"/>
        <w:rPr>
          <w:lang w:val="en-GB"/>
        </w:rPr>
      </w:pPr>
    </w:p>
    <w:p w14:paraId="4C821FA6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</w:pPr>
      <w:r>
        <w:t xml:space="preserve">Nawiązując do ostatnich deklaracji przewodniczącej Komisji Europejskiej, wzywa instytucje unijne i państwa członkowskie do </w:t>
      </w:r>
      <w:r>
        <w:rPr>
          <w:b/>
        </w:rPr>
        <w:t>pełnej współpracy z Ukrainą oraz do otwarcia dla tego kraju wszystkich odpowiednich funduszy i programów UE</w:t>
      </w:r>
      <w:r>
        <w:t>.</w:t>
      </w:r>
    </w:p>
    <w:p w14:paraId="37050BA4" w14:textId="77777777" w:rsidR="009D55E2" w:rsidRPr="00BB580D" w:rsidRDefault="009D55E2" w:rsidP="00BA0B74">
      <w:pPr>
        <w:suppressAutoHyphens/>
        <w:ind w:left="567"/>
        <w:rPr>
          <w:lang w:val="en-GB"/>
        </w:rPr>
      </w:pPr>
    </w:p>
    <w:p w14:paraId="579C661F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  <w:rPr>
          <w:b/>
        </w:rPr>
      </w:pPr>
      <w:r>
        <w:t xml:space="preserve">Domaga się, by instytucje UE </w:t>
      </w:r>
      <w:r>
        <w:rPr>
          <w:b/>
        </w:rPr>
        <w:t>rozpoczęły konkretny dialog z Ukrainą na temat jej jak najszybszego przystąpienia do Unii Europejskiej</w:t>
      </w:r>
      <w:r>
        <w:t xml:space="preserve">, na podstawie osiągnięć i zgodnie z art. 49 TUE, oraz by niezwłocznie udzieliły pomocy finansowej w celu zapewnienia Ukrainie wsparcia humanitarnego. Wzywa ponadto do </w:t>
      </w:r>
      <w:r>
        <w:rPr>
          <w:b/>
        </w:rPr>
        <w:t>otwarcia takiego samego dialogu z innymi krajami stowarzyszonymi z UE, takimi jak Gruzja i Mołdawia</w:t>
      </w:r>
      <w:r>
        <w:t>, aby zagwarantować im stabilność i</w:t>
      </w:r>
      <w:r w:rsidR="00601FCB">
        <w:t> </w:t>
      </w:r>
      <w:r>
        <w:t xml:space="preserve">równe traktowanie. Nie może się to jednak odbywać </w:t>
      </w:r>
      <w:r>
        <w:rPr>
          <w:b/>
        </w:rPr>
        <w:t>kosztem trwającego już procesu akcesyjnego Bałkanów Zachodnich</w:t>
      </w:r>
      <w:r>
        <w:t>.</w:t>
      </w:r>
      <w:r w:rsidR="00CD26AC">
        <w:t xml:space="preserve"> </w:t>
      </w:r>
      <w:r>
        <w:t>W międzyczasie wzywa do dalszego dążenia do integracji Ukrainy z jednolitym rynkiem UE zgodnie z układem o stowarzyszeniu.</w:t>
      </w:r>
    </w:p>
    <w:p w14:paraId="2606A169" w14:textId="77777777" w:rsidR="009D55E2" w:rsidRPr="00BB580D" w:rsidRDefault="009D55E2" w:rsidP="00BA0B74">
      <w:pPr>
        <w:suppressAutoHyphens/>
        <w:ind w:left="567"/>
        <w:rPr>
          <w:lang w:val="en-GB"/>
        </w:rPr>
      </w:pPr>
    </w:p>
    <w:p w14:paraId="676AED11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</w:pPr>
      <w:r>
        <w:t xml:space="preserve">Wyraża głębokie zaniepokojenie </w:t>
      </w:r>
      <w:r>
        <w:rPr>
          <w:b/>
        </w:rPr>
        <w:t>masowym stosowaniem propagandy i dezinformacji przez rosyjski rząd</w:t>
      </w:r>
      <w:r>
        <w:t xml:space="preserve"> w celu uzasadnienia i zawoalowania agresji na Ukrainę. Dlatego zwraca uwagę, że UE musi być bardziej odporna na cyberataki i że konieczne jest opracowanie globalnej strategii przeciwdziałania dezinformacji. W tym zakresie UE musi odgrywać wiodącą rolę na arenie międzynarodowej.</w:t>
      </w:r>
    </w:p>
    <w:p w14:paraId="0C15A0A9" w14:textId="77777777" w:rsidR="009D55E2" w:rsidRPr="00BB580D" w:rsidRDefault="009D55E2" w:rsidP="00BA0B74">
      <w:pPr>
        <w:suppressAutoHyphens/>
        <w:ind w:left="567"/>
        <w:rPr>
          <w:lang w:val="en-GB"/>
        </w:rPr>
      </w:pPr>
    </w:p>
    <w:p w14:paraId="34C1340F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</w:pPr>
      <w:r>
        <w:t xml:space="preserve">Podkreśla potrzebę </w:t>
      </w:r>
      <w:r>
        <w:rPr>
          <w:b/>
        </w:rPr>
        <w:t>wspierania niezależnego rosyjskiego i białoruskiego społeczeństwa obywatelskiego i dziennikarzy</w:t>
      </w:r>
      <w:r>
        <w:t xml:space="preserve"> oraz utrzymania istniejących jeszcze kanałów komunikacji z</w:t>
      </w:r>
      <w:r w:rsidR="00601FCB">
        <w:t> </w:t>
      </w:r>
      <w:r>
        <w:t xml:space="preserve">nimi. Zdecydowanie potępia falę represji w Rosji, a także aresztowania pokojowych demonstrantów, kneblowanie mediów i uciszanie społeczeństwa obywatelskiego. </w:t>
      </w:r>
    </w:p>
    <w:p w14:paraId="72F6F3EB" w14:textId="77777777" w:rsidR="009D55E2" w:rsidRPr="00BB580D" w:rsidRDefault="009D55E2" w:rsidP="00BA0B74">
      <w:pPr>
        <w:suppressAutoHyphens/>
        <w:ind w:left="567"/>
        <w:rPr>
          <w:lang w:val="en-GB"/>
        </w:rPr>
      </w:pPr>
    </w:p>
    <w:p w14:paraId="06F881B9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</w:pPr>
      <w:r>
        <w:t xml:space="preserve">Apeluje o wspólne, solidarne działania służące bojkotowi produktów i usług z Rosji. Nalega na </w:t>
      </w:r>
      <w:r>
        <w:rPr>
          <w:b/>
        </w:rPr>
        <w:t>konieczność przerwania współpracy z rosyjskimi przedsiębiorstwami i organizacjami wspierającymi politykę Władimira Putina</w:t>
      </w:r>
      <w:r>
        <w:t>. Potępia obchodzenie powszechnego bojkotu, podyktowane chęciami uzyskania jakichkolwiek korzyści.</w:t>
      </w:r>
    </w:p>
    <w:p w14:paraId="069559B9" w14:textId="77777777" w:rsidR="009D55E2" w:rsidRPr="00BB580D" w:rsidRDefault="009D55E2" w:rsidP="00BA0B74">
      <w:pPr>
        <w:suppressAutoHyphens/>
        <w:ind w:left="567"/>
        <w:rPr>
          <w:lang w:val="en-GB"/>
        </w:rPr>
      </w:pPr>
    </w:p>
    <w:p w14:paraId="2A9FB492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</w:pPr>
      <w:r>
        <w:t xml:space="preserve">Zdaje sobie sprawę, że wojna i wszystkie związane z nią środki, a mianowicie sankcje, będą miały </w:t>
      </w:r>
      <w:r>
        <w:rPr>
          <w:b/>
        </w:rPr>
        <w:t>skutki społeczno-gospodarcze</w:t>
      </w:r>
      <w:r>
        <w:t xml:space="preserve"> dla państw członkowskich i krajów sąsiadujących oraz że UE musi być gotowa stawić im czoła. Zwraca uwagę, że ten kryzys pokazuje potrzebę wzmocnienia rynku wewnętrznego i jego funkcjonowania. Podkreśla znaczenie kompensowania strat poniesionych przez europejskie przedsiębiorstwa dotknięte sankcjami oraz konieczność dogłębnej analizy skutków tych sankcji, aby móc złagodzić ich oddziaływanie na gospodarkę i</w:t>
      </w:r>
      <w:r w:rsidR="00601FCB">
        <w:t> </w:t>
      </w:r>
      <w:r>
        <w:t xml:space="preserve">społeczeństwa. </w:t>
      </w:r>
    </w:p>
    <w:p w14:paraId="4BDF1EE1" w14:textId="77777777" w:rsidR="009D55E2" w:rsidRPr="00BB580D" w:rsidRDefault="009D55E2" w:rsidP="00BA0B74">
      <w:pPr>
        <w:suppressAutoHyphens/>
        <w:ind w:left="567"/>
        <w:rPr>
          <w:lang w:val="en-GB"/>
        </w:rPr>
      </w:pPr>
    </w:p>
    <w:p w14:paraId="49B06F69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  <w:rPr>
          <w:rFonts w:ascii="Calibri" w:eastAsia="MS Mincho" w:hAnsi="Calibri"/>
        </w:rPr>
      </w:pPr>
      <w:r>
        <w:t xml:space="preserve">Podkreśla, że dla niektórych </w:t>
      </w:r>
      <w:r>
        <w:rPr>
          <w:b/>
        </w:rPr>
        <w:t>sektorów przemysłu</w:t>
      </w:r>
      <w:r>
        <w:t xml:space="preserve"> skutki sankcji będą bardzo dotkliwe. Zwraca uwagę, że poza eksportowaniem energii Rosja i Ukraina mają także znaczny udział w imporcie do UE metali, takich jak nikiel, miedź i żelazo, oraz podstawowych surowców, takich jak neon, pallad, tytan i platyna, które mają zasadnicze znaczenie dla szeregu strategicznych gałęzi przemysłu, w tym przemysłu obronnego i produkcji </w:t>
      </w:r>
      <w:proofErr w:type="spellStart"/>
      <w:r>
        <w:t>mikroczipów</w:t>
      </w:r>
      <w:proofErr w:type="spellEnd"/>
      <w:r>
        <w:t>.</w:t>
      </w:r>
    </w:p>
    <w:p w14:paraId="10AEE88A" w14:textId="77777777" w:rsidR="009D55E2" w:rsidRPr="00BB580D" w:rsidRDefault="009D55E2" w:rsidP="00BA0B74">
      <w:pPr>
        <w:suppressAutoHyphens/>
        <w:ind w:left="567"/>
        <w:rPr>
          <w:rFonts w:eastAsia="MS Mincho"/>
          <w:lang w:val="en-GB"/>
        </w:rPr>
      </w:pPr>
    </w:p>
    <w:p w14:paraId="211B9DFF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  <w:rPr>
          <w:rFonts w:ascii="Calibri" w:hAnsi="Calibri"/>
        </w:rPr>
      </w:pPr>
      <w:r>
        <w:t xml:space="preserve">Podkreśla potrzebę przyspieszenia rozwoju </w:t>
      </w:r>
      <w:r>
        <w:rPr>
          <w:b/>
        </w:rPr>
        <w:t>strategicznej i technologicznej autonomii Europy</w:t>
      </w:r>
      <w:r>
        <w:t xml:space="preserve"> i wzywa przywódców UE do jedności i determinacji, by poprzez zwiększenie naszych zdolności obronnych i ograniczenie zależności w zakresie energii, surowców krytycznych i żywności uczynić z Unii Europejskiej podmiot bardziej niezależny i suwerenny.</w:t>
      </w:r>
    </w:p>
    <w:p w14:paraId="3B890B64" w14:textId="77777777" w:rsidR="009D55E2" w:rsidRPr="00BB580D" w:rsidRDefault="009D55E2" w:rsidP="00BA0B74">
      <w:pPr>
        <w:suppressAutoHyphens/>
        <w:ind w:left="567"/>
        <w:rPr>
          <w:rFonts w:eastAsia="MS Mincho"/>
          <w:lang w:val="en-GB"/>
        </w:rPr>
      </w:pPr>
    </w:p>
    <w:p w14:paraId="1386C74F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  <w:rPr>
          <w:rFonts w:ascii="Calibri" w:hAnsi="Calibri"/>
        </w:rPr>
      </w:pPr>
      <w:r>
        <w:t xml:space="preserve">Akcentuje znaczenie zmniejszenia </w:t>
      </w:r>
      <w:r>
        <w:rPr>
          <w:b/>
        </w:rPr>
        <w:t>zależności energetycznej Unii od stron trzecich, a</w:t>
      </w:r>
      <w:r w:rsidR="00601FCB">
        <w:t> </w:t>
      </w:r>
      <w:r>
        <w:rPr>
          <w:b/>
        </w:rPr>
        <w:t>zwłaszcza od Rosji</w:t>
      </w:r>
      <w:r>
        <w:t>. Wzywa zarazem do opracowania realnego planu dywersyfikacji źródeł energii w ramach koszyka energetycznego państw członkowskich i z zadowoleniem przyjmuje odnośne propozycje zawarte w deklaracji wersalskiej</w:t>
      </w:r>
      <w:r w:rsidRPr="006C4488">
        <w:rPr>
          <w:vertAlign w:val="superscript"/>
          <w:lang w:val="en-GB"/>
        </w:rPr>
        <w:footnoteReference w:id="3"/>
      </w:r>
      <w:r>
        <w:t>. Przyznaje, że bezpieczeństwo i</w:t>
      </w:r>
      <w:r w:rsidR="00601FCB">
        <w:t> </w:t>
      </w:r>
      <w:r>
        <w:t xml:space="preserve">zrównoważony charakter dostaw energii można osiągnąć w pełni w perspektywie długoterminowej jedynie poprzez zwiększenie stosowania niskoemisyjnych lub </w:t>
      </w:r>
      <w:proofErr w:type="spellStart"/>
      <w:r>
        <w:t>bezemisyjnych</w:t>
      </w:r>
      <w:proofErr w:type="spellEnd"/>
      <w:r>
        <w:t xml:space="preserve"> źródeł energii, a zwłaszcza poprzez intensywniejsze korzystanie z lokalnych i odnawialnych </w:t>
      </w:r>
      <w:r>
        <w:lastRenderedPageBreak/>
        <w:t>źródeł energii. Opowiada się zatem za intensywniejszym inwestowaniem w badania naukowe i</w:t>
      </w:r>
      <w:r w:rsidR="00601FCB">
        <w:t> </w:t>
      </w:r>
      <w:r>
        <w:t>opracowaniem nowych ekologicznych technologii, aby zapewnić odporność i zrównoważoną przyszłość europejskiemu systemowi energetycznemu.</w:t>
      </w:r>
    </w:p>
    <w:p w14:paraId="3498DC38" w14:textId="77777777" w:rsidR="009D55E2" w:rsidRPr="00BB580D" w:rsidRDefault="009D55E2" w:rsidP="00BA0B74">
      <w:pPr>
        <w:suppressAutoHyphens/>
        <w:ind w:left="567"/>
        <w:rPr>
          <w:rFonts w:eastAsia="MS Mincho"/>
          <w:lang w:val="en-GB"/>
        </w:rPr>
      </w:pPr>
    </w:p>
    <w:p w14:paraId="674524DC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</w:pPr>
      <w:r>
        <w:t xml:space="preserve">Zwraca uwagę, że trzeba </w:t>
      </w:r>
      <w:r>
        <w:rPr>
          <w:b/>
        </w:rPr>
        <w:t>zróżnicować strategie fiskalne w poszczególnych państwach członkowskich</w:t>
      </w:r>
      <w:r>
        <w:t xml:space="preserve">, aby utrzymać ich zdolność obsługi zadłużenia, zwłaszcza w tych państwach członkowskich, w których dług publiczny jest na wysokim poziomie. Z kolei państwa członkowskie o niskim i średnim poziomie zadłużenia powinny priorytetowo traktować rozwój inwestycji publicznych. Podkreśla priorytetowe znaczenie </w:t>
      </w:r>
      <w:r>
        <w:rPr>
          <w:b/>
        </w:rPr>
        <w:t>zwiększania inwestycji publicznych, służące wzmocnieniu odporności</w:t>
      </w:r>
      <w:r>
        <w:t xml:space="preserve"> gospodarki UE.</w:t>
      </w:r>
    </w:p>
    <w:p w14:paraId="62A407ED" w14:textId="77777777" w:rsidR="009D55E2" w:rsidRPr="00BB580D" w:rsidRDefault="009D55E2" w:rsidP="00BA0B74">
      <w:pPr>
        <w:suppressAutoHyphens/>
        <w:ind w:left="567"/>
        <w:rPr>
          <w:rFonts w:eastAsia="MS Mincho"/>
          <w:lang w:val="en-GB"/>
        </w:rPr>
      </w:pPr>
    </w:p>
    <w:p w14:paraId="49D1008A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  <w:rPr>
          <w:rFonts w:ascii="Calibri" w:eastAsia="MS Mincho" w:hAnsi="Calibri"/>
        </w:rPr>
      </w:pPr>
      <w:r>
        <w:t xml:space="preserve">Wyraża zaniepokojenie trudną sytuacją znacznej części </w:t>
      </w:r>
      <w:r>
        <w:rPr>
          <w:b/>
        </w:rPr>
        <w:t>sektora transportu</w:t>
      </w:r>
      <w:r>
        <w:t>. Nalega, by Komisja, opracowując tymczasowe kryzysowe ramy prawne, o których wspomina w</w:t>
      </w:r>
      <w:r w:rsidR="00601FCB">
        <w:t> </w:t>
      </w:r>
      <w:r>
        <w:t xml:space="preserve">komunikacie </w:t>
      </w:r>
      <w:proofErr w:type="spellStart"/>
      <w:r>
        <w:rPr>
          <w:i/>
        </w:rPr>
        <w:t>REPowerEU</w:t>
      </w:r>
      <w:proofErr w:type="spellEnd"/>
      <w:r>
        <w:rPr>
          <w:i/>
        </w:rPr>
        <w:t>: Wspólne europejskie działania w kierunku bezpiecznej i</w:t>
      </w:r>
      <w:r w:rsidR="00601FCB">
        <w:t> </w:t>
      </w:r>
      <w:r>
        <w:rPr>
          <w:i/>
        </w:rPr>
        <w:t>zrównoważonej energii po przystępnej cenie</w:t>
      </w:r>
      <w:r w:rsidRPr="00BB580D">
        <w:rPr>
          <w:vertAlign w:val="superscript"/>
          <w:lang w:val="en-GB"/>
        </w:rPr>
        <w:footnoteReference w:id="4"/>
      </w:r>
      <w:r>
        <w:t>, z należytą uwagą potraktowała kryzys sektora transportu spowodowany skrajnie wysokimi kosztami paliw i energii elektrycznej. Nawołuje zarazem do ostrożności przy łagodzeniu procedur regulacyjnych, aby nie osłabiać standardów społecznych i środowiskowych.</w:t>
      </w:r>
    </w:p>
    <w:p w14:paraId="720E881E" w14:textId="77777777" w:rsidR="009D55E2" w:rsidRPr="00BB580D" w:rsidRDefault="009D55E2" w:rsidP="00BA0B74">
      <w:pPr>
        <w:suppressAutoHyphens/>
        <w:ind w:left="567"/>
        <w:rPr>
          <w:rFonts w:eastAsia="MS Mincho"/>
          <w:lang w:val="en-GB"/>
        </w:rPr>
      </w:pPr>
    </w:p>
    <w:p w14:paraId="3288ECDF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  <w:rPr>
          <w:rFonts w:eastAsia="MS Mincho"/>
        </w:rPr>
      </w:pPr>
      <w:r>
        <w:t xml:space="preserve">Zaznacza, że konflikt nieuchronnie doprowadzi do poważnych konsekwencji dla unijnego sektora rolno-spożywczego, który będzie potrzebował dodatkowego wsparcia. Dlatego podkreśla, że UE musi wzmocnić swoje zobowiązanie do zapewnienia </w:t>
      </w:r>
      <w:r>
        <w:rPr>
          <w:b/>
        </w:rPr>
        <w:t>zrównoważonych systemów żywnościowych</w:t>
      </w:r>
      <w:r>
        <w:t>, a jednocześnie móc zagwarantować to, że dobrej jakości żywność będzie dla każdego przystępna cenowo. Unia powinna zwłaszcza poprawić swoje bezpieczeństwo żywnościowe poprzez ograniczenie zależności od importu kluczowych produktów rolnych i środków produkcji. Konsumenci we wszystkich państwach członkowskich i tak doświadczą znacznego wzrostu cen żywności i energii, co może przełożyć się na zwiększenie poziomu ubóstwa w UE.</w:t>
      </w:r>
    </w:p>
    <w:p w14:paraId="49F3F829" w14:textId="77777777" w:rsidR="009D55E2" w:rsidRPr="00BB580D" w:rsidRDefault="009D55E2" w:rsidP="00BA0B74">
      <w:pPr>
        <w:suppressAutoHyphens/>
        <w:ind w:left="567"/>
        <w:rPr>
          <w:rFonts w:eastAsia="MS Mincho"/>
          <w:lang w:val="en-GB"/>
        </w:rPr>
      </w:pPr>
    </w:p>
    <w:p w14:paraId="2F840BDF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  <w:rPr>
          <w:rFonts w:eastAsia="MS Mincho"/>
        </w:rPr>
      </w:pPr>
      <w:r>
        <w:t xml:space="preserve">Przypomina, że Ukraina i Rosja są znaczącymi eksporterami szeregu produktów rolnych, takich jak ziarna i nasiona oleiste. Odnotowuje, że zakłócenia w eksporcie z tych krajów już teraz doprowadziły do </w:t>
      </w:r>
      <w:r>
        <w:rPr>
          <w:b/>
        </w:rPr>
        <w:t>ogromnego wzrostu cen towarów rolnych na świecie</w:t>
      </w:r>
      <w:r>
        <w:t xml:space="preserve">, czego konsekwencje uderzają zwłaszcza w najuboższe kraje świata. Najbardziej ucierpią na tym najbiedniejsi. </w:t>
      </w:r>
    </w:p>
    <w:p w14:paraId="77C82EB8" w14:textId="77777777" w:rsidR="009D55E2" w:rsidRPr="00BB580D" w:rsidRDefault="009D55E2" w:rsidP="00BA0B74">
      <w:pPr>
        <w:suppressAutoHyphens/>
        <w:ind w:left="567"/>
        <w:rPr>
          <w:rFonts w:eastAsia="MS Mincho"/>
          <w:lang w:val="en-GB"/>
        </w:rPr>
      </w:pPr>
    </w:p>
    <w:p w14:paraId="55B53856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  <w:rPr>
          <w:rFonts w:ascii="Calibri" w:eastAsia="MS Mincho" w:hAnsi="Calibri"/>
        </w:rPr>
      </w:pPr>
      <w:r>
        <w:t>Podkreśla, że reagowanie na skutki wojny nie powinno odbywać się kosztem działań w</w:t>
      </w:r>
      <w:r w:rsidR="00601FCB">
        <w:t> </w:t>
      </w:r>
      <w:r>
        <w:t xml:space="preserve">dziedzinie klimatu i zrównoważonego rozwoju, określonych w Agendzie ONZ na rzecz zrównoważonego rozwoju 2030, która jest przede wszystkim programem na rzecz pokoju, bezpieczeństwa i ograniczania ubóstwa. Zwraca uwagę, że wciąż potrzebne są postępy we wdrażaniu tej agendy ONZ oraz sprawiedliwej transformacji za pomocą </w:t>
      </w:r>
      <w:r>
        <w:rPr>
          <w:b/>
        </w:rPr>
        <w:t>Europejskiego Zielonego Ładu</w:t>
      </w:r>
      <w:r>
        <w:t>, podkreślając, że pojedyncze odstępstwa można przyznać jedynie na ograniczony okres.</w:t>
      </w:r>
    </w:p>
    <w:p w14:paraId="243F1FDF" w14:textId="77777777" w:rsidR="009D55E2" w:rsidRPr="00BB580D" w:rsidRDefault="009D55E2" w:rsidP="00BA0B74">
      <w:pPr>
        <w:suppressAutoHyphens/>
        <w:ind w:left="567"/>
        <w:rPr>
          <w:rFonts w:eastAsia="MS Mincho"/>
          <w:lang w:val="en-GB"/>
        </w:rPr>
      </w:pPr>
    </w:p>
    <w:p w14:paraId="24B685AE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  <w:rPr>
          <w:rFonts w:ascii="Calibri" w:eastAsia="MS Mincho" w:hAnsi="Calibri"/>
        </w:rPr>
      </w:pPr>
      <w:r>
        <w:t xml:space="preserve">Uważa, że </w:t>
      </w:r>
      <w:r>
        <w:rPr>
          <w:b/>
        </w:rPr>
        <w:t>wpływ konfliktu zbrojnego na środowisko</w:t>
      </w:r>
      <w:r>
        <w:t xml:space="preserve">, wynikający z bombardowań, wycieków ropy i gazu, incydentów w zakładach chemicznych lub elektrowniach jądrowych jest poważnym problemem dla ludności zarówno Ukrainy, jak i UE. Zaznacza, że UE musi pomóc w ochronie </w:t>
      </w:r>
      <w:r>
        <w:lastRenderedPageBreak/>
        <w:t>środowiska i w naprawie szkód środowiskowych poczynionych przez wojnę, a także w karaniu za przestępstwa przeciwko środowisku, jako że w sposób nieunikniony będą one miały długotrwałe konsekwencje.</w:t>
      </w:r>
      <w:r>
        <w:rPr>
          <w:rFonts w:ascii="Calibri" w:hAnsi="Calibri"/>
        </w:rPr>
        <w:t xml:space="preserve"> </w:t>
      </w:r>
    </w:p>
    <w:p w14:paraId="09332B9F" w14:textId="77777777" w:rsidR="009D55E2" w:rsidRPr="00BB580D" w:rsidRDefault="009D55E2" w:rsidP="00BA0B74">
      <w:pPr>
        <w:suppressAutoHyphens/>
        <w:ind w:left="567"/>
        <w:rPr>
          <w:rFonts w:eastAsia="MS Mincho"/>
          <w:lang w:val="en-GB"/>
        </w:rPr>
      </w:pPr>
    </w:p>
    <w:p w14:paraId="0B1D2A36" w14:textId="77777777" w:rsidR="009D55E2" w:rsidRPr="006C4488" w:rsidRDefault="009D55E2" w:rsidP="00BA0B74">
      <w:pPr>
        <w:numPr>
          <w:ilvl w:val="0"/>
          <w:numId w:val="3"/>
        </w:numPr>
        <w:suppressAutoHyphens/>
        <w:ind w:left="567" w:hanging="567"/>
      </w:pPr>
      <w:r>
        <w:t xml:space="preserve">Podkreśla </w:t>
      </w:r>
      <w:r>
        <w:rPr>
          <w:b/>
        </w:rPr>
        <w:t>potrzebę utrzymania solidarności i dalszego rozwijania wspólnej europejskiej reakcji</w:t>
      </w:r>
      <w:r>
        <w:t>, aby podzielić ciężar gospodarczy tych działań i proponuje opracowanie w tym celu elastycznego instrumentu europejskiego. Zauważa, że w przypadku krajów najbardziej dotkniętych kryzysem mogą być konieczne rozpatrzenie oraz przegląd krajowych planów odbudowy i zwiększania odporności, zwłaszcza w obliczu rosnącego ryzyka stagflacji. Zdaje sobie sprawę, że inwazja na Ukrainie będzie bezpośrednio oddziaływać na wszystkie państwa członkowskie UE i ich obywateli. Jednocześnie koszty ludzkie i skutki tej wojny dla Ukraińców będą niemożliwe do oszacowania, stąd absolutna potrzeba solidarności wśród krajów UE i</w:t>
      </w:r>
      <w:r w:rsidR="00601FCB">
        <w:t> </w:t>
      </w:r>
      <w:r>
        <w:t>długofalowej solidarności UE z Ukrainą.</w:t>
      </w:r>
    </w:p>
    <w:p w14:paraId="78E91CF9" w14:textId="77777777" w:rsidR="009D55E2" w:rsidRPr="00BB580D" w:rsidRDefault="009D55E2" w:rsidP="00BA0B74">
      <w:pPr>
        <w:suppressAutoHyphens/>
        <w:ind w:left="567"/>
        <w:rPr>
          <w:rFonts w:eastAsia="MS Mincho"/>
          <w:lang w:val="en-GB"/>
        </w:rPr>
      </w:pPr>
    </w:p>
    <w:p w14:paraId="220987FA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</w:pPr>
      <w:r>
        <w:t>Z zadowoleniem przyjmuje wyrażone w deklaracji wersalskiej</w:t>
      </w:r>
      <w:r w:rsidRPr="00BB580D">
        <w:rPr>
          <w:vertAlign w:val="superscript"/>
          <w:lang w:val="en-GB"/>
        </w:rPr>
        <w:footnoteReference w:id="5"/>
      </w:r>
      <w:r>
        <w:t xml:space="preserve"> zobowiązanie do większego wykorzystania </w:t>
      </w:r>
      <w:r>
        <w:rPr>
          <w:b/>
        </w:rPr>
        <w:t>Europejskiego Instrumentu na rzecz Pokoju</w:t>
      </w:r>
      <w:r>
        <w:t xml:space="preserve">. Podkreśla, że Unia musi dążyć do silniejszej integracji politycznej, która wspierałaby wspólną politykę zagraniczną. Zarazem apeluje do państw członkowskich o natychmiastowe rozpoczęcie prac nad wdrożeniem prawdziwie wspólnego i skutecznego </w:t>
      </w:r>
      <w:r>
        <w:rPr>
          <w:b/>
        </w:rPr>
        <w:t>systemu obronności</w:t>
      </w:r>
      <w:r>
        <w:t>, który znacznie zwiększyłby zdolność Europy do obrony.</w:t>
      </w:r>
    </w:p>
    <w:p w14:paraId="62B23DB0" w14:textId="77777777" w:rsidR="009D55E2" w:rsidRPr="00BB580D" w:rsidRDefault="009D55E2" w:rsidP="00BA0B74">
      <w:pPr>
        <w:suppressAutoHyphens/>
        <w:ind w:left="567"/>
        <w:rPr>
          <w:rFonts w:eastAsia="MS Mincho"/>
          <w:lang w:val="en-GB"/>
        </w:rPr>
      </w:pPr>
    </w:p>
    <w:p w14:paraId="6AF567CB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  <w:rPr>
          <w:rFonts w:eastAsia="Calibri"/>
        </w:rPr>
      </w:pPr>
      <w:r>
        <w:t xml:space="preserve">Przyznaje, że okupacja elektrowni jądrowych budzi niepokój o </w:t>
      </w:r>
      <w:r>
        <w:rPr>
          <w:b/>
        </w:rPr>
        <w:t>bezpieczeństwo jądrowe</w:t>
      </w:r>
      <w:r>
        <w:t xml:space="preserve"> lokalnej ludności i całej Europy. Wzywa do pełnej współpracy ze wszystkimi zaangażowanymi podmiotami oraz z Międzynarodową Agencją Energii Atomowej, aby śledzić sytuację i nie dopuścić do jakiegokolwiek ewentualnego promieniowania.</w:t>
      </w:r>
    </w:p>
    <w:p w14:paraId="639BD54C" w14:textId="77777777" w:rsidR="009D55E2" w:rsidRPr="00BB580D" w:rsidRDefault="009D55E2" w:rsidP="00BA0B74">
      <w:pPr>
        <w:suppressAutoHyphens/>
        <w:ind w:left="567"/>
        <w:rPr>
          <w:rFonts w:eastAsia="MS Mincho"/>
          <w:lang w:val="en-GB"/>
        </w:rPr>
      </w:pPr>
    </w:p>
    <w:p w14:paraId="6C52BCDE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</w:pPr>
      <w:r>
        <w:t xml:space="preserve">Zaznacza, że </w:t>
      </w:r>
      <w:r>
        <w:rPr>
          <w:b/>
        </w:rPr>
        <w:t>przywódcy polityczni muszą jasno komunikować się z obywatelkami i</w:t>
      </w:r>
      <w:r w:rsidR="00601FCB">
        <w:t> </w:t>
      </w:r>
      <w:r>
        <w:rPr>
          <w:b/>
        </w:rPr>
        <w:t>obywatelami Unii</w:t>
      </w:r>
      <w:r>
        <w:t xml:space="preserve"> i uzmysławiać im koszty wojny. Podkreśla, że pokój ma cenę, którą wszyscy musimy zapłacić, dzieląc koszty wśród wszystkich państw członkowskich.</w:t>
      </w:r>
    </w:p>
    <w:p w14:paraId="3D247EF2" w14:textId="77777777" w:rsidR="009D55E2" w:rsidRPr="00BB580D" w:rsidRDefault="009D55E2" w:rsidP="00BA0B74">
      <w:pPr>
        <w:suppressAutoHyphens/>
        <w:ind w:left="567"/>
        <w:rPr>
          <w:rFonts w:eastAsia="MS Mincho"/>
          <w:lang w:val="en-GB"/>
        </w:rPr>
      </w:pPr>
    </w:p>
    <w:p w14:paraId="3C26CBC7" w14:textId="77777777" w:rsidR="009D55E2" w:rsidRPr="00BB580D" w:rsidRDefault="009D55E2" w:rsidP="00BA0B74">
      <w:pPr>
        <w:numPr>
          <w:ilvl w:val="0"/>
          <w:numId w:val="3"/>
        </w:numPr>
        <w:suppressAutoHyphens/>
        <w:ind w:left="567" w:hanging="567"/>
      </w:pPr>
      <w:r>
        <w:t xml:space="preserve">Wzywa </w:t>
      </w:r>
      <w:r>
        <w:rPr>
          <w:b/>
        </w:rPr>
        <w:t>UE i jej państwa członkowskie do przygotowania odpowiedniego planu pomocy i</w:t>
      </w:r>
      <w:r w:rsidR="00601FCB">
        <w:t> </w:t>
      </w:r>
      <w:r>
        <w:rPr>
          <w:b/>
        </w:rPr>
        <w:t>odbudowy dla Ukrainy</w:t>
      </w:r>
      <w:r>
        <w:t>, aby wesprzeć gospodarkę tego kraju i odbudowę jego zniszczonej infrastruktury. Zwraca uwagę, że Federacja Rosyjska musi ponieść odpowiedzialność za zniszczenie ukraińskiej infrastruktury, w tym budynków cywilnych i mieszkalnych, a także za znaczne straty gospodarcze. Rosja będzie zobowiązana do zrekompensowania szkód poczynionych wskutek agresywnych działań.</w:t>
      </w:r>
    </w:p>
    <w:p w14:paraId="37645E2C" w14:textId="77777777" w:rsidR="00202456" w:rsidRPr="00BB580D" w:rsidRDefault="00202456" w:rsidP="00BA0B74">
      <w:pPr>
        <w:suppressAutoHyphens/>
        <w:ind w:left="567"/>
        <w:rPr>
          <w:lang w:val="en-GB"/>
        </w:rPr>
      </w:pPr>
    </w:p>
    <w:p w14:paraId="207D7F66" w14:textId="77777777" w:rsidR="00E2376B" w:rsidRPr="00085073" w:rsidRDefault="009D55E2" w:rsidP="00122E0E">
      <w:pPr>
        <w:keepLines/>
        <w:numPr>
          <w:ilvl w:val="0"/>
          <w:numId w:val="3"/>
        </w:numPr>
        <w:suppressAutoHyphens/>
        <w:ind w:left="567" w:hanging="567"/>
      </w:pPr>
      <w:r>
        <w:lastRenderedPageBreak/>
        <w:t xml:space="preserve">Zobowiązuje się do </w:t>
      </w:r>
      <w:r>
        <w:rPr>
          <w:b/>
        </w:rPr>
        <w:t xml:space="preserve">ścisłego monitorowania sytuacji poprzez zachęcanie do wymiany informacji na temat wspierania europejskich organizacji społeczeństwa obywatelskiego </w:t>
      </w:r>
      <w:r>
        <w:t>w</w:t>
      </w:r>
      <w:r w:rsidR="00601FCB">
        <w:t> </w:t>
      </w:r>
      <w:r>
        <w:t>terenie,</w:t>
      </w:r>
      <w:r>
        <w:rPr>
          <w:b/>
        </w:rPr>
        <w:t xml:space="preserve"> jak i do rzeczywistego dialogu z ukraińskimi organizacjami społeczeństwa obywatelskiego</w:t>
      </w:r>
      <w:r>
        <w:t>, w tym organizacjami pracodawców i związkami zawodowymi, za pośrednictwem ich stałych mechanizmów dialogu. Zobowiązuje się do monitorowania lokalnej sytuacji uchodźców w terenie oraz w krajach sąsiadujących, przy pełnym wsparciu dla narodu ukraińskiego.</w:t>
      </w:r>
    </w:p>
    <w:p w14:paraId="098D357D" w14:textId="77777777" w:rsidR="00202456" w:rsidRPr="00BB580D" w:rsidRDefault="00202456" w:rsidP="00BA0B74">
      <w:pPr>
        <w:suppressAutoHyphens/>
        <w:rPr>
          <w:lang w:val="en-GB"/>
        </w:rPr>
      </w:pPr>
    </w:p>
    <w:p w14:paraId="0949B030" w14:textId="77777777" w:rsidR="00E2376B" w:rsidRPr="006C4488" w:rsidRDefault="00E2376B" w:rsidP="00BA0B74">
      <w:pPr>
        <w:suppressAutoHyphens/>
      </w:pPr>
      <w:r>
        <w:t>Bruksela, dnia 24 marca 2022 r.</w:t>
      </w:r>
    </w:p>
    <w:p w14:paraId="6AF8E89E" w14:textId="77777777" w:rsidR="00E2376B" w:rsidRPr="006C4488" w:rsidRDefault="00E2376B" w:rsidP="00BA0B74">
      <w:pPr>
        <w:suppressAutoHyphens/>
        <w:rPr>
          <w:lang w:val="en-GB"/>
        </w:rPr>
      </w:pPr>
    </w:p>
    <w:p w14:paraId="6A00E4AA" w14:textId="77777777" w:rsidR="00E2376B" w:rsidRDefault="00E2376B" w:rsidP="00BA0B74">
      <w:pPr>
        <w:suppressAutoHyphens/>
        <w:rPr>
          <w:lang w:val="en-GB"/>
        </w:rPr>
      </w:pPr>
    </w:p>
    <w:p w14:paraId="3F5143EC" w14:textId="77777777" w:rsidR="00841988" w:rsidRDefault="00841988" w:rsidP="00BA0B74">
      <w:pPr>
        <w:suppressAutoHyphens/>
        <w:rPr>
          <w:lang w:val="en-GB"/>
        </w:rPr>
      </w:pPr>
    </w:p>
    <w:p w14:paraId="2BA7795F" w14:textId="77777777" w:rsidR="00E2376B" w:rsidRPr="006C4488" w:rsidRDefault="00E2376B" w:rsidP="00BA0B74">
      <w:pPr>
        <w:suppressAutoHyphens/>
        <w:rPr>
          <w:lang w:val="en-GB"/>
        </w:rPr>
      </w:pPr>
    </w:p>
    <w:p w14:paraId="52E7F3AC" w14:textId="77777777" w:rsidR="00E2376B" w:rsidRPr="006C4488" w:rsidRDefault="00862A84" w:rsidP="00BA0B74">
      <w:pPr>
        <w:suppressAutoHyphens/>
        <w:jc w:val="left"/>
      </w:pPr>
      <w:r>
        <w:t>Christa SCHWENG</w:t>
      </w:r>
      <w:r>
        <w:br/>
        <w:t>Przewodnicząca Europejskiego Komitetu Ekonomiczno-Społecznego</w:t>
      </w:r>
    </w:p>
    <w:p w14:paraId="277BF63C" w14:textId="77777777" w:rsidR="00E2376B" w:rsidRPr="006C4488" w:rsidRDefault="00E2376B" w:rsidP="00BA0B74">
      <w:pPr>
        <w:suppressAutoHyphens/>
        <w:rPr>
          <w:lang w:val="en-GB"/>
        </w:rPr>
      </w:pPr>
    </w:p>
    <w:p w14:paraId="59A23316" w14:textId="77777777" w:rsidR="00F53370" w:rsidRPr="00BB580D" w:rsidRDefault="00E2376B" w:rsidP="00BA0B74">
      <w:pPr>
        <w:suppressAutoHyphens/>
        <w:jc w:val="center"/>
      </w:pPr>
      <w:r>
        <w:t>_____________</w:t>
      </w:r>
    </w:p>
    <w:sectPr w:rsidR="00F53370" w:rsidRPr="00BB580D" w:rsidSect="001E74A1">
      <w:headerReference w:type="default" r:id="rId21"/>
      <w:footerReference w:type="default" r:id="rId22"/>
      <w:pgSz w:w="11907" w:h="16839" w:code="9"/>
      <w:pgMar w:top="1418" w:right="1418" w:bottom="1418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E964" w14:textId="77777777" w:rsidR="00F2069F" w:rsidRDefault="00F2069F" w:rsidP="00F53370">
      <w:pPr>
        <w:spacing w:line="240" w:lineRule="auto"/>
      </w:pPr>
      <w:r>
        <w:separator/>
      </w:r>
    </w:p>
  </w:endnote>
  <w:endnote w:type="continuationSeparator" w:id="0">
    <w:p w14:paraId="523B251A" w14:textId="77777777" w:rsidR="00F2069F" w:rsidRDefault="00F2069F" w:rsidP="00F53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11FF" w14:textId="77777777" w:rsidR="00E54115" w:rsidRDefault="00E541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EAE1" w14:textId="77777777" w:rsidR="00E54115" w:rsidRDefault="00E541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85CF" w14:textId="77777777" w:rsidR="00E54115" w:rsidRDefault="00E5411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5425" w14:textId="77777777" w:rsidR="00574C9B" w:rsidRDefault="00574C9B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3C27" w14:textId="3DFA1A01" w:rsidR="0084105C" w:rsidRPr="003065C9" w:rsidRDefault="00E54115" w:rsidP="00E54115">
    <w:pPr>
      <w:pStyle w:val="Stopka"/>
      <w:jc w:val="left"/>
    </w:pPr>
    <w:r>
      <w:t xml:space="preserve">EESC-2022-01473-00-00-RES-TRA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EA6A4B">
      <w:rPr>
        <w:noProof/>
      </w:rPr>
      <w:t>7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944693">
        <w:rPr>
          <w:noProof/>
        </w:rPr>
        <w:instrText>9</w:instrText>
      </w:r>
    </w:fldSimple>
    <w:r>
      <w:instrText xml:space="preserve"> - 2 </w:instrText>
    </w:r>
    <w:r>
      <w:fldChar w:fldCharType="separate"/>
    </w:r>
    <w:r w:rsidR="00944693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F8E4" w14:textId="77777777" w:rsidR="00F2069F" w:rsidRDefault="00F2069F" w:rsidP="00F53370">
      <w:pPr>
        <w:spacing w:line="240" w:lineRule="auto"/>
      </w:pPr>
      <w:r>
        <w:separator/>
      </w:r>
    </w:p>
  </w:footnote>
  <w:footnote w:type="continuationSeparator" w:id="0">
    <w:p w14:paraId="32206E17" w14:textId="77777777" w:rsidR="00F2069F" w:rsidRDefault="00F2069F" w:rsidP="00F53370">
      <w:pPr>
        <w:spacing w:line="240" w:lineRule="auto"/>
      </w:pPr>
      <w:r>
        <w:continuationSeparator/>
      </w:r>
    </w:p>
  </w:footnote>
  <w:footnote w:id="1">
    <w:p w14:paraId="22FE1324" w14:textId="77777777" w:rsidR="009D55E2" w:rsidRPr="007D3C7C" w:rsidRDefault="009D55E2" w:rsidP="009D55E2">
      <w:pPr>
        <w:pStyle w:val="Tekstprzypisudolnego"/>
        <w:tabs>
          <w:tab w:val="left" w:pos="567"/>
        </w:tabs>
        <w:rPr>
          <w:szCs w:val="16"/>
        </w:rPr>
      </w:pPr>
      <w:r>
        <w:rPr>
          <w:rStyle w:val="Odwoanieprzypisudolnego"/>
          <w:szCs w:val="24"/>
        </w:rPr>
        <w:footnoteRef/>
      </w:r>
      <w:r>
        <w:tab/>
        <w:t xml:space="preserve">COM(2022) 107 final – </w:t>
      </w:r>
      <w:r>
        <w:rPr>
          <w:i/>
          <w:iCs/>
        </w:rPr>
        <w:t>Europejska solidarność z uchodźcami i osobami uciekającymi z Ukrainy</w:t>
      </w:r>
      <w:r>
        <w:t>.</w:t>
      </w:r>
    </w:p>
  </w:footnote>
  <w:footnote w:id="2">
    <w:p w14:paraId="083121A6" w14:textId="77777777" w:rsidR="009D55E2" w:rsidRPr="007D3C7C" w:rsidRDefault="009D55E2" w:rsidP="009D55E2">
      <w:pPr>
        <w:pStyle w:val="Tekstprzypisudolnego"/>
        <w:tabs>
          <w:tab w:val="left" w:pos="567"/>
        </w:tabs>
        <w:rPr>
          <w:szCs w:val="16"/>
        </w:rPr>
      </w:pPr>
      <w:r>
        <w:rPr>
          <w:rStyle w:val="Odwoanieprzypisudolnego"/>
          <w:szCs w:val="24"/>
        </w:rPr>
        <w:footnoteRef/>
      </w:r>
      <w:r>
        <w:tab/>
      </w:r>
      <w:hyperlink r:id="rId1">
        <w:r>
          <w:rPr>
            <w:rStyle w:val="Hipercze"/>
          </w:rPr>
          <w:t>COM(2022) 109 final</w:t>
        </w:r>
      </w:hyperlink>
      <w:r>
        <w:t xml:space="preserve"> – </w:t>
      </w:r>
      <w:r>
        <w:rPr>
          <w:i/>
          <w:iCs/>
        </w:rPr>
        <w:t>Działanie w ramach polityki spójności na rzecz uchodźców w Europie (CARE)</w:t>
      </w:r>
      <w:r>
        <w:t>.</w:t>
      </w:r>
    </w:p>
  </w:footnote>
  <w:footnote w:id="3">
    <w:p w14:paraId="5FE4A16A" w14:textId="77777777" w:rsidR="009D55E2" w:rsidRPr="00EB4F0A" w:rsidRDefault="009D55E2" w:rsidP="009D55E2">
      <w:pPr>
        <w:pStyle w:val="Tekstprzypisudolnego"/>
      </w:pPr>
      <w:r>
        <w:rPr>
          <w:rStyle w:val="Odwoanieprzypisudolnego"/>
          <w:szCs w:val="24"/>
        </w:rPr>
        <w:footnoteRef/>
      </w:r>
      <w:r>
        <w:tab/>
        <w:t xml:space="preserve">Deklaracja wersalska przyjęta na nieformalnym posiedzeniu szefów państw lub rządów w dniach 10–11 marca 2022 r., </w:t>
      </w:r>
      <w:hyperlink r:id="rId2" w:history="1">
        <w:r>
          <w:rPr>
            <w:rStyle w:val="Hipercze"/>
          </w:rPr>
          <w:t>https://www.consilium.europa.eu/media/54787/20220311-versailles-declaration-pl.pdf</w:t>
        </w:r>
      </w:hyperlink>
      <w:r>
        <w:t>.</w:t>
      </w:r>
    </w:p>
  </w:footnote>
  <w:footnote w:id="4">
    <w:p w14:paraId="61113D9E" w14:textId="77777777" w:rsidR="009D55E2" w:rsidRPr="00AC7C32" w:rsidRDefault="009D55E2" w:rsidP="009D55E2">
      <w:pPr>
        <w:pStyle w:val="Tekstprzypisudolnego"/>
        <w:tabs>
          <w:tab w:val="left" w:pos="567"/>
        </w:tabs>
        <w:rPr>
          <w:sz w:val="22"/>
        </w:rPr>
      </w:pPr>
      <w:r>
        <w:rPr>
          <w:rStyle w:val="Odwoanieprzypisudolnego"/>
          <w:szCs w:val="24"/>
          <w:lang w:val="en-GB"/>
        </w:rPr>
        <w:footnoteRef/>
      </w:r>
      <w:r>
        <w:tab/>
      </w:r>
      <w:hyperlink r:id="rId3" w:history="1">
        <w:r>
          <w:rPr>
            <w:rStyle w:val="Hipercze"/>
          </w:rPr>
          <w:t>COM(2022) 108 final</w:t>
        </w:r>
      </w:hyperlink>
      <w:r>
        <w:t xml:space="preserve"> – </w:t>
      </w:r>
      <w:r>
        <w:rPr>
          <w:i/>
          <w:iCs/>
        </w:rPr>
        <w:t>REPowerEU: Wspólne europejskie działania w kierunku bezpiecznej i zrównoważonej energii po przystępnej cenie</w:t>
      </w:r>
      <w:r>
        <w:t>.</w:t>
      </w:r>
    </w:p>
  </w:footnote>
  <w:footnote w:id="5">
    <w:p w14:paraId="6D75B5A1" w14:textId="77777777" w:rsidR="009D55E2" w:rsidRPr="002F11F4" w:rsidRDefault="009D55E2" w:rsidP="009D55E2">
      <w:pPr>
        <w:pStyle w:val="Tekstprzypisudolnego"/>
      </w:pPr>
      <w:r>
        <w:rPr>
          <w:rStyle w:val="Odwoanieprzypisudolnego"/>
          <w:szCs w:val="24"/>
          <w:lang w:val="en-GB"/>
        </w:rPr>
        <w:footnoteRef/>
      </w:r>
      <w:r>
        <w:tab/>
        <w:t xml:space="preserve">Deklaracja wersalska przyjęta na nieformalnym posiedzeniu szefów państw lub rządów w dniach 10–11 marca 2022 r., </w:t>
      </w:r>
      <w:hyperlink r:id="rId4" w:history="1">
        <w:r>
          <w:rPr>
            <w:rStyle w:val="Hipercze"/>
          </w:rPr>
          <w:t>https://www.consilium.europa.eu/media/54787/20220311-versailles-declaration-pl.pdf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301F" w14:textId="77777777" w:rsidR="00574C9B" w:rsidRDefault="00944693">
    <w:pPr>
      <w:pStyle w:val="Nagwek"/>
    </w:pPr>
    <w:r>
      <w:pict w14:anchorId="4B6F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4" o:spid="_x0000_s2055" type="#_x0000_t75" style="position:absolute;left:0;text-align:left;margin-left:0;margin-top:0;width:598.15pt;height:843.9pt;z-index:-251658752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3845" w14:textId="77777777" w:rsidR="00BA0B74" w:rsidRDefault="00BA0B74" w:rsidP="00BA0B74">
    <w:pPr>
      <w:pStyle w:val="Nagwek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18FD7487" wp14:editId="4E6C295F">
          <wp:simplePos x="898497" y="453224"/>
          <wp:positionH relativeFrom="page">
            <wp:align>center</wp:align>
          </wp:positionH>
          <wp:positionV relativeFrom="page">
            <wp:posOffset>288290</wp:posOffset>
          </wp:positionV>
          <wp:extent cx="6944398" cy="3344275"/>
          <wp:effectExtent l="0" t="0" r="0" b="8890"/>
          <wp:wrapNone/>
          <wp:docPr id="6" name="Picture 6" title="EESCLogo2021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is-202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398" cy="334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693">
      <w:pict w14:anchorId="267C02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5" o:spid="_x0000_s2059" type="#_x0000_t75" style="position:absolute;left:0;text-align:left;margin-left:0;margin-top:0;width:598.15pt;height:843.9pt;z-index:-251655680;mso-position-horizontal:center;mso-position-horizontal-relative:page;mso-position-vertical:center;mso-position-vertical-relative:page" o:allowincell="f">
          <v:imagedata r:id="rId2" o:title="background watermark with footer"/>
          <w10:wrap anchorx="page" anchory="page"/>
        </v:shape>
      </w:pict>
    </w:r>
  </w:p>
  <w:p w14:paraId="7B918F32" w14:textId="77777777" w:rsidR="00574C9B" w:rsidRPr="00BA0B74" w:rsidRDefault="00574C9B" w:rsidP="00BA0B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A29D" w14:textId="77777777" w:rsidR="00574C9B" w:rsidRDefault="00944693">
    <w:pPr>
      <w:pStyle w:val="Nagwek"/>
    </w:pPr>
    <w:r>
      <w:pict w14:anchorId="7E7A7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3" o:spid="_x0000_s2054" type="#_x0000_t75" style="position:absolute;left:0;text-align:left;margin-left:0;margin-top:0;width:598.15pt;height:843.9pt;z-index:-251659776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7DE3" w14:textId="77777777" w:rsidR="00574C9B" w:rsidRDefault="00944693">
    <w:pPr>
      <w:pStyle w:val="Nagwek"/>
    </w:pPr>
    <w:r>
      <w:pict w14:anchorId="3A4C0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7" o:spid="_x0000_s2058" type="#_x0000_t75" style="position:absolute;left:0;text-align:left;margin-left:0;margin-top:0;width:598.15pt;height:843.9pt;z-index:-251656704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9EDB" w14:textId="77777777" w:rsidR="00574C9B" w:rsidRDefault="00574C9B">
    <w:pPr>
      <w:pStyle w:val="Nagwek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2C387E7" wp14:editId="72415C77">
          <wp:simplePos x="0" y="0"/>
          <wp:positionH relativeFrom="page">
            <wp:posOffset>-10571</wp:posOffset>
          </wp:positionH>
          <wp:positionV relativeFrom="page">
            <wp:posOffset>-221993</wp:posOffset>
          </wp:positionV>
          <wp:extent cx="7581265" cy="10898802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(footer) rec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07" cy="1090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2F21" w14:textId="77777777" w:rsidR="00574C9B" w:rsidRDefault="00944693">
    <w:pPr>
      <w:pStyle w:val="Nagwek"/>
    </w:pPr>
    <w:r>
      <w:pict w14:anchorId="50854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6" o:spid="_x0000_s2057" type="#_x0000_t75" style="position:absolute;left:0;text-align:left;margin-left:0;margin-top:0;width:598.15pt;height:843.9pt;z-index:-251657728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E16B" w14:textId="77777777" w:rsidR="00FA08F8" w:rsidRDefault="009446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DDCE010"/>
    <w:lvl w:ilvl="0">
      <w:start w:val="1"/>
      <w:numFmt w:val="decimal"/>
      <w:pStyle w:val="Nagwek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Nagwek2"/>
      <w:lvlText w:val="%1.%2"/>
      <w:legacy w:legacy="1" w:legacySpace="144" w:legacyIndent="0"/>
      <w:lvlJc w:val="left"/>
    </w:lvl>
    <w:lvl w:ilvl="2">
      <w:start w:val="1"/>
      <w:numFmt w:val="decimal"/>
      <w:pStyle w:val="Nagwek3"/>
      <w:lvlText w:val="%1.%2.%3"/>
      <w:legacy w:legacy="1" w:legacySpace="144" w:legacyIndent="0"/>
      <w:lvlJc w:val="left"/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9ED2CB2"/>
    <w:multiLevelType w:val="hybridMultilevel"/>
    <w:tmpl w:val="275688B2"/>
    <w:lvl w:ilvl="0" w:tplc="9FE0D4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F626D160">
      <w:start w:val="1"/>
      <w:numFmt w:val="lowerLetter"/>
      <w:lvlText w:val="%2."/>
      <w:lvlJc w:val="left"/>
      <w:pPr>
        <w:ind w:left="1440" w:hanging="360"/>
      </w:pPr>
    </w:lvl>
    <w:lvl w:ilvl="2" w:tplc="F3CEEF8A">
      <w:start w:val="1"/>
      <w:numFmt w:val="lowerRoman"/>
      <w:lvlText w:val="%3."/>
      <w:lvlJc w:val="right"/>
      <w:pPr>
        <w:ind w:left="2160" w:hanging="180"/>
      </w:pPr>
    </w:lvl>
    <w:lvl w:ilvl="3" w:tplc="03FAC65E">
      <w:start w:val="1"/>
      <w:numFmt w:val="decimal"/>
      <w:lvlText w:val="%4."/>
      <w:lvlJc w:val="left"/>
      <w:pPr>
        <w:ind w:left="2880" w:hanging="360"/>
      </w:pPr>
    </w:lvl>
    <w:lvl w:ilvl="4" w:tplc="B574D458">
      <w:start w:val="1"/>
      <w:numFmt w:val="lowerLetter"/>
      <w:lvlText w:val="%5."/>
      <w:lvlJc w:val="left"/>
      <w:pPr>
        <w:ind w:left="3600" w:hanging="360"/>
      </w:pPr>
    </w:lvl>
    <w:lvl w:ilvl="5" w:tplc="E5C0AF10">
      <w:start w:val="1"/>
      <w:numFmt w:val="lowerRoman"/>
      <w:lvlText w:val="%6."/>
      <w:lvlJc w:val="right"/>
      <w:pPr>
        <w:ind w:left="4320" w:hanging="180"/>
      </w:pPr>
    </w:lvl>
    <w:lvl w:ilvl="6" w:tplc="77EE630E">
      <w:start w:val="1"/>
      <w:numFmt w:val="decimal"/>
      <w:lvlText w:val="%7."/>
      <w:lvlJc w:val="left"/>
      <w:pPr>
        <w:ind w:left="5040" w:hanging="360"/>
      </w:pPr>
    </w:lvl>
    <w:lvl w:ilvl="7" w:tplc="87927CF4">
      <w:start w:val="1"/>
      <w:numFmt w:val="lowerLetter"/>
      <w:lvlText w:val="%8."/>
      <w:lvlJc w:val="left"/>
      <w:pPr>
        <w:ind w:left="5760" w:hanging="360"/>
      </w:pPr>
    </w:lvl>
    <w:lvl w:ilvl="8" w:tplc="432417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70"/>
    <w:rsid w:val="00010C62"/>
    <w:rsid w:val="00020389"/>
    <w:rsid w:val="00053D00"/>
    <w:rsid w:val="00085073"/>
    <w:rsid w:val="000A0F3B"/>
    <w:rsid w:val="000E55DF"/>
    <w:rsid w:val="00122E0E"/>
    <w:rsid w:val="001307A6"/>
    <w:rsid w:val="0019231D"/>
    <w:rsid w:val="001D61AC"/>
    <w:rsid w:val="001E15AA"/>
    <w:rsid w:val="001E3FA1"/>
    <w:rsid w:val="00202456"/>
    <w:rsid w:val="00214BDC"/>
    <w:rsid w:val="00215E81"/>
    <w:rsid w:val="00224227"/>
    <w:rsid w:val="0024727F"/>
    <w:rsid w:val="00276514"/>
    <w:rsid w:val="00277978"/>
    <w:rsid w:val="002B0863"/>
    <w:rsid w:val="002B6A7B"/>
    <w:rsid w:val="002F6952"/>
    <w:rsid w:val="003353D7"/>
    <w:rsid w:val="003659F9"/>
    <w:rsid w:val="00411F23"/>
    <w:rsid w:val="00534D55"/>
    <w:rsid w:val="00554F5F"/>
    <w:rsid w:val="00566D40"/>
    <w:rsid w:val="00574C9B"/>
    <w:rsid w:val="0058411F"/>
    <w:rsid w:val="005A34B0"/>
    <w:rsid w:val="00601FCB"/>
    <w:rsid w:val="006125A1"/>
    <w:rsid w:val="00630748"/>
    <w:rsid w:val="00653E7D"/>
    <w:rsid w:val="00662207"/>
    <w:rsid w:val="00667F09"/>
    <w:rsid w:val="006B57A6"/>
    <w:rsid w:val="006C4488"/>
    <w:rsid w:val="006E6A1B"/>
    <w:rsid w:val="00787837"/>
    <w:rsid w:val="00787ABB"/>
    <w:rsid w:val="00822952"/>
    <w:rsid w:val="00836505"/>
    <w:rsid w:val="00841988"/>
    <w:rsid w:val="00844B87"/>
    <w:rsid w:val="00862A84"/>
    <w:rsid w:val="008763CD"/>
    <w:rsid w:val="008A6DD4"/>
    <w:rsid w:val="008F74D7"/>
    <w:rsid w:val="00904C42"/>
    <w:rsid w:val="00924C05"/>
    <w:rsid w:val="00937CF2"/>
    <w:rsid w:val="00944693"/>
    <w:rsid w:val="00976645"/>
    <w:rsid w:val="0098228C"/>
    <w:rsid w:val="009D55E2"/>
    <w:rsid w:val="00A36AB0"/>
    <w:rsid w:val="00A52ED3"/>
    <w:rsid w:val="00A864E0"/>
    <w:rsid w:val="00AB37A3"/>
    <w:rsid w:val="00AC5114"/>
    <w:rsid w:val="00B51901"/>
    <w:rsid w:val="00BA0B74"/>
    <w:rsid w:val="00BB580D"/>
    <w:rsid w:val="00BE0DFD"/>
    <w:rsid w:val="00C004D3"/>
    <w:rsid w:val="00C073E1"/>
    <w:rsid w:val="00C66AEA"/>
    <w:rsid w:val="00C9040A"/>
    <w:rsid w:val="00C91E4D"/>
    <w:rsid w:val="00CB110A"/>
    <w:rsid w:val="00CD26AC"/>
    <w:rsid w:val="00D95232"/>
    <w:rsid w:val="00DB7F50"/>
    <w:rsid w:val="00DE30C7"/>
    <w:rsid w:val="00DF400F"/>
    <w:rsid w:val="00E15BF4"/>
    <w:rsid w:val="00E2376B"/>
    <w:rsid w:val="00E27707"/>
    <w:rsid w:val="00E54115"/>
    <w:rsid w:val="00E661B7"/>
    <w:rsid w:val="00EA6A4B"/>
    <w:rsid w:val="00EE4C01"/>
    <w:rsid w:val="00F2069F"/>
    <w:rsid w:val="00F53370"/>
    <w:rsid w:val="00F7278D"/>
    <w:rsid w:val="00F87BD2"/>
    <w:rsid w:val="00F902A2"/>
    <w:rsid w:val="00F9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24E6802"/>
  <w15:chartTrackingRefBased/>
  <w15:docId w15:val="{D381F634-0C15-4454-8DBD-75C4E885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C9B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F53370"/>
    <w:pPr>
      <w:numPr>
        <w:numId w:val="1"/>
      </w:numPr>
      <w:ind w:left="567" w:hanging="567"/>
      <w:outlineLvl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qFormat/>
    <w:rsid w:val="00F53370"/>
    <w:pPr>
      <w:numPr>
        <w:ilvl w:val="1"/>
        <w:numId w:val="1"/>
      </w:numPr>
      <w:ind w:left="567" w:hanging="567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F53370"/>
    <w:pPr>
      <w:numPr>
        <w:ilvl w:val="2"/>
        <w:numId w:val="1"/>
      </w:numPr>
      <w:ind w:left="567" w:hanging="567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F53370"/>
    <w:pPr>
      <w:numPr>
        <w:ilvl w:val="3"/>
        <w:numId w:val="1"/>
      </w:numPr>
      <w:ind w:left="567" w:hanging="567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F53370"/>
    <w:pPr>
      <w:numPr>
        <w:ilvl w:val="4"/>
        <w:numId w:val="1"/>
      </w:numPr>
      <w:ind w:left="567" w:hanging="567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F53370"/>
    <w:pPr>
      <w:numPr>
        <w:ilvl w:val="5"/>
        <w:numId w:val="1"/>
      </w:numPr>
      <w:ind w:left="567" w:hanging="567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F53370"/>
    <w:pPr>
      <w:numPr>
        <w:ilvl w:val="6"/>
        <w:numId w:val="1"/>
      </w:numPr>
      <w:ind w:left="567" w:hanging="567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53370"/>
    <w:pPr>
      <w:numPr>
        <w:ilvl w:val="7"/>
        <w:numId w:val="1"/>
      </w:numPr>
      <w:ind w:left="567" w:hanging="567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F53370"/>
    <w:pPr>
      <w:numPr>
        <w:ilvl w:val="8"/>
        <w:numId w:val="1"/>
      </w:numPr>
      <w:ind w:left="567" w:hanging="567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3370"/>
    <w:rPr>
      <w:rFonts w:ascii="Times New Roman" w:eastAsia="Times New Roman" w:hAnsi="Times New Roman" w:cs="Times New Roman"/>
      <w:kern w:val="28"/>
    </w:rPr>
  </w:style>
  <w:style w:type="character" w:customStyle="1" w:styleId="Nagwek2Znak">
    <w:name w:val="Nagłówek 2 Znak"/>
    <w:basedOn w:val="Domylnaczcionkaakapitu"/>
    <w:link w:val="Nagwek2"/>
    <w:rsid w:val="00F53370"/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rsid w:val="00F53370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basedOn w:val="Domylnaczcionkaakapitu"/>
    <w:link w:val="Nagwek4"/>
    <w:rsid w:val="00F53370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F53370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F53370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rsid w:val="00F53370"/>
    <w:rPr>
      <w:rFonts w:ascii="Times New Roman" w:eastAsia="Times New Roman" w:hAnsi="Times New Roman" w:cs="Times New Roman"/>
    </w:rPr>
  </w:style>
  <w:style w:type="character" w:customStyle="1" w:styleId="Nagwek8Znak">
    <w:name w:val="Nagłówek 8 Znak"/>
    <w:basedOn w:val="Domylnaczcionkaakapitu"/>
    <w:link w:val="Nagwek8"/>
    <w:rsid w:val="00F53370"/>
    <w:rPr>
      <w:rFonts w:ascii="Times New Roman" w:eastAsia="Times New Roman" w:hAnsi="Times New Roman" w:cs="Times New Roman"/>
    </w:rPr>
  </w:style>
  <w:style w:type="character" w:customStyle="1" w:styleId="Nagwek9Znak">
    <w:name w:val="Nagłówek 9 Znak"/>
    <w:basedOn w:val="Domylnaczcionkaakapitu"/>
    <w:link w:val="Nagwek9"/>
    <w:rsid w:val="00F5337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qFormat/>
    <w:rsid w:val="00F53370"/>
  </w:style>
  <w:style w:type="character" w:customStyle="1" w:styleId="StopkaZnak">
    <w:name w:val="Stopka Znak"/>
    <w:basedOn w:val="Domylnaczcionkaakapitu"/>
    <w:link w:val="Stopka"/>
    <w:rsid w:val="00F53370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stile 1,Footnote,Footnote1,Footnote2,Footnote3,Footnote4,Footnote5,Footnote6,Footnote7,Footnote8,Footnote9,Footnote10,Footnote11,Footnote21,Footnote31,Footnote41,Footnote51,Footnote61,Footnote71,Footnote81,Footnote91,FA,FA Fu,fn"/>
    <w:basedOn w:val="Normalny"/>
    <w:link w:val="TekstprzypisudolnegoZnak"/>
    <w:qFormat/>
    <w:rsid w:val="00F5337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TekstprzypisudolnegoZnak">
    <w:name w:val="Tekst przypisu dolnego Znak"/>
    <w:aliases w:val="stile 1 Znak,Footnote Znak,Footnote1 Znak,Footnote2 Znak,Footnote3 Znak,Footnote4 Znak,Footnote5 Znak,Footnote6 Znak,Footnote7 Znak,Footnote8 Znak,Footnote9 Znak,Footnote10 Znak,Footnote11 Znak,Footnote21 Znak,Footnote31 Znak"/>
    <w:basedOn w:val="Domylnaczcionkaakapitu"/>
    <w:link w:val="Tekstprzypisudolnego"/>
    <w:rsid w:val="00F53370"/>
    <w:rPr>
      <w:rFonts w:ascii="Times New Roman" w:eastAsia="Times New Roman" w:hAnsi="Times New Roman" w:cs="Times New Roman"/>
      <w:sz w:val="16"/>
    </w:rPr>
  </w:style>
  <w:style w:type="paragraph" w:styleId="Nagwek">
    <w:name w:val="header"/>
    <w:basedOn w:val="Normalny"/>
    <w:link w:val="NagwekZnak"/>
    <w:qFormat/>
    <w:rsid w:val="00F53370"/>
  </w:style>
  <w:style w:type="character" w:customStyle="1" w:styleId="NagwekZnak">
    <w:name w:val="Nagłówek Znak"/>
    <w:basedOn w:val="Domylnaczcionkaakapitu"/>
    <w:link w:val="Nagwek"/>
    <w:rsid w:val="00F5337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ny"/>
    <w:next w:val="Normalny"/>
    <w:rsid w:val="00F53370"/>
    <w:pPr>
      <w:ind w:left="720"/>
    </w:pPr>
    <w:rPr>
      <w:i/>
    </w:rPr>
  </w:style>
  <w:style w:type="character" w:styleId="Odwoanieprzypisudolnego">
    <w:name w:val="footnote reference"/>
    <w:aliases w:val="Footnote symbol"/>
    <w:basedOn w:val="Domylnaczcionkaakapitu"/>
    <w:unhideWhenUsed/>
    <w:qFormat/>
    <w:rsid w:val="00F53370"/>
    <w:rPr>
      <w:sz w:val="24"/>
      <w:vertAlign w:val="superscript"/>
    </w:rPr>
  </w:style>
  <w:style w:type="table" w:styleId="Tabela-Siatka">
    <w:name w:val="Table Grid"/>
    <w:basedOn w:val="Standardowy"/>
    <w:uiPriority w:val="39"/>
    <w:rsid w:val="00F5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8A6D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9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PL/TXT/PDF/?uri=CELEX:52022DC0108&amp;from=PL" TargetMode="External"/><Relationship Id="rId2" Type="http://schemas.openxmlformats.org/officeDocument/2006/relationships/hyperlink" Target="https://www.consilium.europa.eu/media/54787/20220311-versailles-declaration-pl.pdf" TargetMode="External"/><Relationship Id="rId1" Type="http://schemas.openxmlformats.org/officeDocument/2006/relationships/hyperlink" Target="https://eur-lex.europa.eu/legal-content/PL/TXT/PDF/?uri=CELEX:52022PC0109" TargetMode="External"/><Relationship Id="rId4" Type="http://schemas.openxmlformats.org/officeDocument/2006/relationships/hyperlink" Target="https://www.consilium.europa.eu/media/54787/20220311-versailles-declaration-p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P6FJPSUHKDC2-1211003791-2815</_dlc_DocId>
    <_dlc_DocIdUrl xmlns="1299d781-265f-4ceb-999e-e1eca3df2c90">
      <Url>http://dm2016/eesc/2022/_layouts/15/DocIdRedir.aspx?ID=P6FJPSUHKDC2-1211003791-2815</Url>
      <Description>P6FJPSUHKDC2-1211003791-2815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2022-03-25T12:00:00+00:00</ProductionDate>
    <DocumentNumber xmlns="d51dc14e-0c05-44bd-9dff-3ae522c33107">1473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 xsi:nil="true"/>
    <TaxCatchAll xmlns="1299d781-265f-4ceb-999e-e1eca3df2c90">
      <Value>175</Value>
      <Value>63</Value>
      <Value>55</Value>
      <Value>54</Value>
      <Value>46</Value>
      <Value>45</Value>
      <Value>44</Value>
      <Value>43</Value>
      <Value>42</Value>
      <Value>41</Value>
      <Value>40</Value>
      <Value>38</Value>
      <Value>37</Value>
      <Value>36</Value>
      <Value>35</Value>
      <Value>34</Value>
      <Value>33</Value>
      <Value>32</Value>
      <Value>31</Value>
      <Value>30</Value>
      <Value>29</Value>
      <Value>26</Value>
      <Value>22</Value>
      <Value>11</Value>
      <Value>9</Value>
      <Value>7</Value>
      <Value>6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3899</FicheNumber>
    <OriginalSender xmlns="1299d781-265f-4ceb-999e-e1eca3df2c90">
      <UserInfo>
        <DisplayName>Wisniewska Malgorzata</DisplayName>
        <AccountId>1710</AccountId>
        <AccountType/>
      </UserInfo>
    </OriginalSender>
    <DocumentPart xmlns="1299d781-265f-4ceb-999e-e1eca3df2c90">0</DocumentPart>
    <AdoptionDate xmlns="1299d781-265f-4ceb-999e-e1eca3df2c90">2022-03-24T12:00:00+00:00</AdoptionDate>
    <RequestingService xmlns="1299d781-265f-4ceb-999e-e1eca3df2c90">Relations extérieures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d51dc14e-0c05-44bd-9dff-3ae522c3310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0A67E7817F567C48B0FF98918A0B8F68" ma:contentTypeVersion="4" ma:contentTypeDescription="Defines the documents for Document Manager V2" ma:contentTypeScope="" ma:versionID="9a20ab62d4dade0e5d1170858ddb94ea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d51dc14e-0c05-44bd-9dff-3ae522c33107" targetNamespace="http://schemas.microsoft.com/office/2006/metadata/properties" ma:root="true" ma:fieldsID="d8e1a44498a75392c98bc040d87457de" ns2:_="" ns3:_="" ns4:_="">
    <xsd:import namespace="1299d781-265f-4ceb-999e-e1eca3df2c90"/>
    <xsd:import namespace="http://schemas.microsoft.com/sharepoint/v3/fields"/>
    <xsd:import namespace="d51dc14e-0c05-44bd-9dff-3ae522c331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dc14e-0c05-44bd-9dff-3ae522c33107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3760C-9C19-435B-B912-A9AA31F67D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BCC329-3379-49E2-87F8-E465A0F6E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42620-A335-45D0-B3A1-849785AC093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1299d781-265f-4ceb-999e-e1eca3df2c90"/>
    <ds:schemaRef ds:uri="d51dc14e-0c05-44bd-9dff-3ae522c3310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0882E0-1DCF-4111-9A44-0F632F469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d51dc14e-0c05-44bd-9dff-3ae522c33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Rezolucja: Wojna w Ukrainie i jej skutki gospodarcze, społeczne i środowiskowe</vt:lpstr>
    </vt:vector>
  </TitlesOfParts>
  <Company>CESE-CdR</Company>
  <LinksUpToDate>false</LinksUpToDate>
  <CharactersWithSpaces>18683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Rezolucja: Wojna w Ukrainie i jej skutki gospodarcze, społeczne i środowiskowe</dc:title>
  <dc:subject>RES</dc:subject>
  <dc:creator>Francois Aude</dc:creator>
  <cp:keywords>EESC-2022-01473-00-00-RES-TRA-EN</cp:keywords>
  <dc:description>Rapporteur:  - Original language: EN - Date of document: 25-03-2022 - Date of meeting:  - External documents:  - Administrator: MME ALBRECHTOVA Katarina</dc:description>
  <cp:lastModifiedBy>Adam Dorywalski</cp:lastModifiedBy>
  <cp:revision>2</cp:revision>
  <dcterms:created xsi:type="dcterms:W3CDTF">2022-03-29T13:50:00Z</dcterms:created>
  <dcterms:modified xsi:type="dcterms:W3CDTF">2022-03-29T13:50:00Z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24/03/2022</vt:lpwstr>
  </property>
  <property fmtid="{D5CDD505-2E9C-101B-9397-08002B2CF9AE}" pid="4" name="Pref_Time">
    <vt:lpwstr>16:19:43</vt:lpwstr>
  </property>
  <property fmtid="{D5CDD505-2E9C-101B-9397-08002B2CF9AE}" pid="5" name="Pref_User">
    <vt:lpwstr>enied</vt:lpwstr>
  </property>
  <property fmtid="{D5CDD505-2E9C-101B-9397-08002B2CF9AE}" pid="6" name="Pref_FileName">
    <vt:lpwstr>EESC-2022-01473-00-00-RES-TRA-EN-CRR.docx</vt:lpwstr>
  </property>
  <property fmtid="{D5CDD505-2E9C-101B-9397-08002B2CF9AE}" pid="7" name="ContentTypeId">
    <vt:lpwstr>0x010100EA97B91038054C99906057A708A1480A000A67E7817F567C48B0FF98918A0B8F68</vt:lpwstr>
  </property>
  <property fmtid="{D5CDD505-2E9C-101B-9397-08002B2CF9AE}" pid="8" name="_dlc_DocIdItemGuid">
    <vt:lpwstr>3e7b19de-51f9-493d-b8aa-b3c7025416fc</vt:lpwstr>
  </property>
  <property fmtid="{D5CDD505-2E9C-101B-9397-08002B2CF9AE}" pid="9" name="AvailableTranslations">
    <vt:lpwstr>44;#LT|a7ff5ce7-6123-4f68-865a-a57c31810414;#33;#IT|0774613c-01ed-4e5d-a25d-11d2388de825;#55;#HR|2f555653-ed1a-4fe6-8362-9082d95989e5;#34;#SK|46d9fce0-ef79-4f71-b89b-cd6aa82426b8;#32;#DA|5d49c027-8956-412b-aa16-e85a0f96ad0e;#63;#GA|762d2456-c427-4ecb-b312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1473</vt:i4>
  </property>
  <property fmtid="{D5CDD505-2E9C-101B-9397-08002B2CF9AE}" pid="14" name="DocumentYear">
    <vt:i4>2022</vt:i4>
  </property>
  <property fmtid="{D5CDD505-2E9C-101B-9397-08002B2CF9AE}" pid="15" name="DocumentVersion">
    <vt:i4>0</vt:i4>
  </property>
  <property fmtid="{D5CDD505-2E9C-101B-9397-08002B2CF9AE}" pid="16" name="FicheNumber">
    <vt:i4>3899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AdoptionDate">
    <vt:filetime>2022-03-24T12:00:00Z</vt:filetime>
  </property>
  <property fmtid="{D5CDD505-2E9C-101B-9397-08002B2CF9AE}" pid="22" name="DocumentType">
    <vt:lpwstr>175;#RES|9e3e62eb-6858-4bc7-8a50-3453e395fd01</vt:lpwstr>
  </property>
  <property fmtid="{D5CDD505-2E9C-101B-9397-08002B2CF9AE}" pid="23" name="RequestingService">
    <vt:lpwstr>Relations extérieures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29" name="AvailableTranslations_0">
    <vt:lpwstr>LT|a7ff5ce7-6123-4f68-865a-a57c31810414;HR|2f555653-ed1a-4fe6-8362-9082d95989e5;SK|46d9fce0-ef79-4f71-b89b-cd6aa82426b8;MT|7df99101-6854-4a26-b53a-b88c0da02c26;FR|d2afafd3-4c81-4f60-8f52-ee33f2f54ff3;PT|50ccc04a-eadd-42ae-a0cb-acaf45f812ba;HU|6b229040-c58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36;#HU|6b229040-c589-4408-b4c1-4285663d20a8;#35;#MT|7df99101-6854-4a26-b53a-b88c0da02c26;#34;#SK|46d9fce0-ef79-4f71-b89b-cd6aa82426b8;#175;#RES|9e3e62eb-6858-4bc7-8a50-3453e395fd01;#44;#LT|a7ff5ce7-6123-4f68-865a-a57c31810414;#55;#HR|2f555653-ed1a-4fe6-83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Language">
    <vt:lpwstr>30;#PL|1e03da61-4678-4e07-b136-b5024ca9197b</vt:lpwstr>
  </property>
</Properties>
</file>