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92D2" w14:textId="749E241F" w:rsidR="00A7328D" w:rsidRPr="00663E7E" w:rsidRDefault="006012E4" w:rsidP="00871A71">
      <w:pPr>
        <w:autoSpaceDE w:val="0"/>
        <w:autoSpaceDN w:val="0"/>
        <w:adjustRightInd w:val="0"/>
        <w:spacing w:after="0" w:line="240" w:lineRule="auto"/>
        <w:jc w:val="both"/>
        <w:rPr>
          <w:rFonts w:ascii="TimesNewRomanPSMT" w:hAnsi="TimesNewRomanPSMT" w:cs="TimesNewRomanPSMT"/>
          <w:lang w:eastAsia="pl-PL"/>
        </w:rPr>
      </w:pPr>
      <w:r w:rsidRPr="00A41A0B">
        <w:rPr>
          <w:rFonts w:asciiTheme="minorHAnsi" w:hAnsiTheme="minorHAnsi" w:cs="Arial"/>
          <w:b/>
          <w:sz w:val="24"/>
          <w:szCs w:val="24"/>
        </w:rPr>
        <w:t xml:space="preserve">Uwagi </w:t>
      </w:r>
      <w:r w:rsidR="00A41A0B" w:rsidRPr="00A41A0B">
        <w:rPr>
          <w:rFonts w:asciiTheme="minorHAnsi" w:hAnsiTheme="minorHAnsi" w:cs="Arial"/>
          <w:b/>
          <w:sz w:val="24"/>
          <w:szCs w:val="24"/>
        </w:rPr>
        <w:t xml:space="preserve">Konfederacji Lewiatan </w:t>
      </w:r>
      <w:r w:rsidRPr="00A41A0B">
        <w:rPr>
          <w:rFonts w:asciiTheme="minorHAnsi" w:hAnsiTheme="minorHAnsi" w:cs="Arial"/>
          <w:b/>
          <w:sz w:val="24"/>
          <w:szCs w:val="24"/>
        </w:rPr>
        <w:t>do projektu</w:t>
      </w:r>
      <w:r w:rsidR="00EF0F6C">
        <w:rPr>
          <w:rFonts w:asciiTheme="minorHAnsi" w:hAnsiTheme="minorHAnsi" w:cs="Arial"/>
          <w:b/>
          <w:sz w:val="24"/>
          <w:szCs w:val="24"/>
        </w:rPr>
        <w:t xml:space="preserve"> Ustawy </w:t>
      </w:r>
      <w:r w:rsidR="00EF0F6C" w:rsidRPr="00EF0F6C">
        <w:rPr>
          <w:rFonts w:asciiTheme="minorHAnsi" w:hAnsiTheme="minorHAnsi" w:cs="Arial"/>
          <w:b/>
          <w:sz w:val="24"/>
          <w:szCs w:val="24"/>
        </w:rPr>
        <w:t>o zmianie ustawy o zapasach ropy naftowej, produktów naftowych i gazu ziemnego oraz zasadach postępowania w sytuacjach zagrożenia bezpieczeństwa paliwowego państwa i zakłóceń na rynku naftowym oraz niektórych innych ustaw</w:t>
      </w:r>
      <w:r w:rsidR="00D40C46">
        <w:rPr>
          <w:rFonts w:asciiTheme="minorHAnsi" w:hAnsiTheme="minorHAnsi" w:cs="Arial"/>
          <w:b/>
          <w:sz w:val="24"/>
          <w:szCs w:val="24"/>
        </w:rPr>
        <w:t xml:space="preserve"> </w:t>
      </w:r>
      <w:r w:rsidR="00D40C46" w:rsidRPr="00D40C46">
        <w:rPr>
          <w:rFonts w:asciiTheme="minorHAnsi" w:hAnsiTheme="minorHAnsi" w:cs="Arial"/>
          <w:b/>
          <w:sz w:val="24"/>
          <w:szCs w:val="24"/>
        </w:rPr>
        <w:t>(projekt z dnia 11 kwietnia 2022 r.)</w:t>
      </w:r>
      <w:r w:rsidR="00EF0F6C">
        <w:rPr>
          <w:rFonts w:asciiTheme="minorHAnsi" w:hAnsiTheme="minorHAnsi" w:cs="Arial"/>
          <w:b/>
          <w:sz w:val="24"/>
          <w:szCs w:val="24"/>
        </w:rPr>
        <w:t>.</w:t>
      </w:r>
    </w:p>
    <w:p w14:paraId="29D46A3C" w14:textId="77777777" w:rsidR="005B5584" w:rsidRPr="00A41A0B" w:rsidRDefault="005B5584" w:rsidP="00871A71">
      <w:pPr>
        <w:spacing w:before="60" w:after="60" w:line="252" w:lineRule="auto"/>
        <w:jc w:val="both"/>
        <w:rPr>
          <w:rFonts w:asciiTheme="minorHAnsi" w:hAnsiTheme="minorHAnsi" w:cs="Arial"/>
          <w:b/>
          <w:sz w:val="24"/>
          <w:szCs w:val="24"/>
        </w:rPr>
      </w:pPr>
    </w:p>
    <w:tbl>
      <w:tblPr>
        <w:tblStyle w:val="Tabela-Siatka"/>
        <w:tblW w:w="0" w:type="auto"/>
        <w:tblLook w:val="04A0" w:firstRow="1" w:lastRow="0" w:firstColumn="1" w:lastColumn="0" w:noHBand="0" w:noVBand="1"/>
      </w:tblPr>
      <w:tblGrid>
        <w:gridCol w:w="664"/>
        <w:gridCol w:w="2807"/>
        <w:gridCol w:w="5191"/>
        <w:gridCol w:w="5330"/>
      </w:tblGrid>
      <w:tr w:rsidR="00684DDD" w:rsidRPr="00EF0AE0" w14:paraId="472CBA2E" w14:textId="77777777" w:rsidTr="00ED333B">
        <w:tc>
          <w:tcPr>
            <w:tcW w:w="664" w:type="dxa"/>
            <w:shd w:val="clear" w:color="auto" w:fill="BFBFBF" w:themeFill="background1" w:themeFillShade="BF"/>
            <w:vAlign w:val="center"/>
          </w:tcPr>
          <w:p w14:paraId="4840D583" w14:textId="77777777" w:rsidR="006012E4" w:rsidRPr="00EF0AE0" w:rsidRDefault="006012E4" w:rsidP="00871A71">
            <w:pPr>
              <w:spacing w:before="60" w:after="60" w:line="252" w:lineRule="auto"/>
              <w:jc w:val="center"/>
              <w:rPr>
                <w:rFonts w:asciiTheme="minorHAnsi" w:hAnsiTheme="minorHAnsi" w:cstheme="minorHAnsi"/>
                <w:b/>
              </w:rPr>
            </w:pPr>
            <w:bookmarkStart w:id="0" w:name="_Hlk58314293"/>
            <w:bookmarkStart w:id="1" w:name="_Hlk56350168"/>
            <w:r w:rsidRPr="00EF0AE0">
              <w:rPr>
                <w:rFonts w:asciiTheme="minorHAnsi" w:hAnsiTheme="minorHAnsi" w:cstheme="minorHAnsi"/>
                <w:b/>
              </w:rPr>
              <w:t>Lp.</w:t>
            </w:r>
          </w:p>
        </w:tc>
        <w:tc>
          <w:tcPr>
            <w:tcW w:w="2807" w:type="dxa"/>
            <w:shd w:val="clear" w:color="auto" w:fill="BFBFBF" w:themeFill="background1" w:themeFillShade="BF"/>
            <w:vAlign w:val="center"/>
          </w:tcPr>
          <w:p w14:paraId="3FF19504" w14:textId="77777777" w:rsidR="006012E4" w:rsidRPr="00EF0AE0" w:rsidRDefault="001B6D4A" w:rsidP="00871A71">
            <w:pPr>
              <w:spacing w:before="60" w:after="60" w:line="252" w:lineRule="auto"/>
              <w:jc w:val="center"/>
              <w:rPr>
                <w:rFonts w:asciiTheme="minorHAnsi" w:hAnsiTheme="minorHAnsi" w:cstheme="minorHAnsi"/>
                <w:b/>
              </w:rPr>
            </w:pPr>
            <w:r w:rsidRPr="00EF0AE0">
              <w:rPr>
                <w:rFonts w:asciiTheme="minorHAnsi" w:hAnsiTheme="minorHAnsi" w:cstheme="minorHAnsi"/>
                <w:b/>
              </w:rPr>
              <w:t xml:space="preserve">Jednostka redakcyjna projektu ustawy, do </w:t>
            </w:r>
            <w:r w:rsidR="006012E4" w:rsidRPr="00EF0AE0">
              <w:rPr>
                <w:rFonts w:asciiTheme="minorHAnsi" w:hAnsiTheme="minorHAnsi" w:cstheme="minorHAnsi"/>
                <w:b/>
              </w:rPr>
              <w:t>którego odnosi się uwaga</w:t>
            </w:r>
          </w:p>
        </w:tc>
        <w:tc>
          <w:tcPr>
            <w:tcW w:w="5191" w:type="dxa"/>
            <w:shd w:val="clear" w:color="auto" w:fill="BFBFBF" w:themeFill="background1" w:themeFillShade="BF"/>
            <w:vAlign w:val="center"/>
          </w:tcPr>
          <w:p w14:paraId="099CECEB" w14:textId="77777777" w:rsidR="006012E4" w:rsidRPr="00EF0AE0" w:rsidRDefault="006012E4" w:rsidP="00871A71">
            <w:pPr>
              <w:spacing w:before="60" w:after="60" w:line="252" w:lineRule="auto"/>
              <w:jc w:val="center"/>
              <w:rPr>
                <w:rFonts w:asciiTheme="minorHAnsi" w:hAnsiTheme="minorHAnsi" w:cstheme="minorHAnsi"/>
                <w:b/>
              </w:rPr>
            </w:pPr>
            <w:r w:rsidRPr="00EF0AE0">
              <w:rPr>
                <w:rFonts w:asciiTheme="minorHAnsi" w:hAnsiTheme="minorHAnsi" w:cstheme="minorHAnsi"/>
                <w:b/>
              </w:rPr>
              <w:t>Proponowana zmian</w:t>
            </w:r>
            <w:r w:rsidR="00130987" w:rsidRPr="00EF0AE0">
              <w:rPr>
                <w:rFonts w:asciiTheme="minorHAnsi" w:hAnsiTheme="minorHAnsi" w:cstheme="minorHAnsi"/>
                <w:b/>
              </w:rPr>
              <w:t>a</w:t>
            </w:r>
            <w:r w:rsidRPr="00EF0AE0">
              <w:rPr>
                <w:rFonts w:asciiTheme="minorHAnsi" w:hAnsiTheme="minorHAnsi" w:cstheme="minorHAnsi"/>
                <w:b/>
              </w:rPr>
              <w:t xml:space="preserve"> przepisu</w:t>
            </w:r>
          </w:p>
        </w:tc>
        <w:tc>
          <w:tcPr>
            <w:tcW w:w="5330" w:type="dxa"/>
            <w:shd w:val="clear" w:color="auto" w:fill="BFBFBF" w:themeFill="background1" w:themeFillShade="BF"/>
            <w:vAlign w:val="center"/>
          </w:tcPr>
          <w:p w14:paraId="0F62B3C0" w14:textId="77777777" w:rsidR="006012E4" w:rsidRPr="00EF0AE0" w:rsidRDefault="006012E4" w:rsidP="00871A71">
            <w:pPr>
              <w:spacing w:before="60" w:after="60" w:line="252" w:lineRule="auto"/>
              <w:jc w:val="center"/>
              <w:rPr>
                <w:rFonts w:asciiTheme="minorHAnsi" w:hAnsiTheme="minorHAnsi" w:cstheme="minorHAnsi"/>
                <w:b/>
              </w:rPr>
            </w:pPr>
            <w:r w:rsidRPr="00EF0AE0">
              <w:rPr>
                <w:rFonts w:asciiTheme="minorHAnsi" w:hAnsiTheme="minorHAnsi" w:cstheme="minorHAnsi"/>
                <w:b/>
              </w:rPr>
              <w:t>Uzasadnienie zmiany przepisu</w:t>
            </w:r>
          </w:p>
        </w:tc>
      </w:tr>
      <w:tr w:rsidR="000F1698" w:rsidRPr="00EF0AE0" w14:paraId="4D3759BE" w14:textId="77777777" w:rsidTr="00A101B5">
        <w:tc>
          <w:tcPr>
            <w:tcW w:w="13992" w:type="dxa"/>
            <w:gridSpan w:val="4"/>
            <w:shd w:val="clear" w:color="auto" w:fill="FFFFFF" w:themeFill="background1"/>
          </w:tcPr>
          <w:p w14:paraId="4C6B58B8" w14:textId="62302B57" w:rsidR="000F1698" w:rsidRPr="00EF0AE0" w:rsidRDefault="000F1698" w:rsidP="00871A71">
            <w:pPr>
              <w:spacing w:before="60" w:after="60"/>
              <w:jc w:val="both"/>
              <w:rPr>
                <w:rFonts w:asciiTheme="minorHAnsi" w:hAnsiTheme="minorHAnsi" w:cstheme="minorHAnsi"/>
                <w:b/>
              </w:rPr>
            </w:pPr>
            <w:r w:rsidRPr="00EF0AE0">
              <w:rPr>
                <w:rFonts w:asciiTheme="minorHAnsi" w:hAnsiTheme="minorHAnsi" w:cstheme="minorHAnsi"/>
                <w:b/>
              </w:rPr>
              <w:t>Uwagi ogólne</w:t>
            </w:r>
          </w:p>
        </w:tc>
      </w:tr>
      <w:tr w:rsidR="00C17B80" w:rsidRPr="00EF0AE0" w14:paraId="4F393461" w14:textId="77777777" w:rsidTr="00A16C78">
        <w:tc>
          <w:tcPr>
            <w:tcW w:w="664" w:type="dxa"/>
            <w:shd w:val="clear" w:color="auto" w:fill="FFFFFF" w:themeFill="background1"/>
          </w:tcPr>
          <w:p w14:paraId="1FB399ED" w14:textId="3604A452" w:rsidR="00C17B80" w:rsidRPr="00EF0AE0" w:rsidRDefault="00C17B80" w:rsidP="00871A71">
            <w:pPr>
              <w:spacing w:before="60" w:after="60" w:line="252" w:lineRule="auto"/>
              <w:jc w:val="both"/>
              <w:rPr>
                <w:rFonts w:asciiTheme="minorHAnsi" w:hAnsiTheme="minorHAnsi" w:cstheme="minorHAnsi"/>
                <w:bCs/>
              </w:rPr>
            </w:pPr>
            <w:r w:rsidRPr="00EF0AE0">
              <w:rPr>
                <w:rFonts w:asciiTheme="minorHAnsi" w:hAnsiTheme="minorHAnsi" w:cstheme="minorHAnsi"/>
                <w:bCs/>
              </w:rPr>
              <w:t>1</w:t>
            </w:r>
          </w:p>
        </w:tc>
        <w:tc>
          <w:tcPr>
            <w:tcW w:w="2807" w:type="dxa"/>
            <w:shd w:val="clear" w:color="auto" w:fill="FFFFFF" w:themeFill="background1"/>
          </w:tcPr>
          <w:p w14:paraId="4824E320" w14:textId="6B20A605" w:rsidR="00C17B80" w:rsidRPr="00EF0AE0" w:rsidRDefault="00C17B80" w:rsidP="00871A71">
            <w:pPr>
              <w:spacing w:before="60" w:after="60" w:line="252" w:lineRule="auto"/>
              <w:jc w:val="both"/>
              <w:rPr>
                <w:rFonts w:asciiTheme="minorHAnsi" w:hAnsiTheme="minorHAnsi" w:cstheme="minorHAnsi"/>
                <w:b/>
                <w:bCs/>
              </w:rPr>
            </w:pPr>
            <w:r w:rsidRPr="00EF0AE0">
              <w:rPr>
                <w:rFonts w:asciiTheme="minorHAnsi" w:hAnsiTheme="minorHAnsi" w:cstheme="minorHAnsi"/>
                <w:b/>
                <w:bCs/>
              </w:rPr>
              <w:t>Uwaga ogólna</w:t>
            </w:r>
          </w:p>
        </w:tc>
        <w:tc>
          <w:tcPr>
            <w:tcW w:w="10521" w:type="dxa"/>
            <w:gridSpan w:val="2"/>
            <w:shd w:val="clear" w:color="auto" w:fill="FFFFFF" w:themeFill="background1"/>
          </w:tcPr>
          <w:p w14:paraId="5E8DEB8D" w14:textId="3B30BC8C" w:rsidR="00C17B80" w:rsidRDefault="00C17B80" w:rsidP="00871A71">
            <w:pPr>
              <w:spacing w:before="120" w:after="120"/>
              <w:jc w:val="both"/>
              <w:rPr>
                <w:rFonts w:asciiTheme="minorHAnsi" w:hAnsiTheme="minorHAnsi" w:cstheme="minorHAnsi"/>
              </w:rPr>
            </w:pPr>
            <w:r>
              <w:rPr>
                <w:rFonts w:asciiTheme="minorHAnsi" w:hAnsiTheme="minorHAnsi" w:cstheme="minorHAnsi"/>
              </w:rPr>
              <w:t>Zaproponowaną w p</w:t>
            </w:r>
            <w:r w:rsidRPr="00693125">
              <w:rPr>
                <w:rFonts w:asciiTheme="minorHAnsi" w:hAnsiTheme="minorHAnsi" w:cstheme="minorHAnsi"/>
              </w:rPr>
              <w:t>rojek</w:t>
            </w:r>
            <w:r>
              <w:rPr>
                <w:rFonts w:asciiTheme="minorHAnsi" w:hAnsiTheme="minorHAnsi" w:cstheme="minorHAnsi"/>
              </w:rPr>
              <w:t xml:space="preserve">cie ustawy koncepcję przeniesienia na </w:t>
            </w:r>
            <w:r w:rsidRPr="00693125">
              <w:rPr>
                <w:rFonts w:asciiTheme="minorHAnsi" w:hAnsiTheme="minorHAnsi" w:cstheme="minorHAnsi"/>
              </w:rPr>
              <w:t>Rządow</w:t>
            </w:r>
            <w:r>
              <w:rPr>
                <w:rFonts w:asciiTheme="minorHAnsi" w:hAnsiTheme="minorHAnsi" w:cstheme="minorHAnsi"/>
              </w:rPr>
              <w:t>ą</w:t>
            </w:r>
            <w:r w:rsidRPr="00693125">
              <w:rPr>
                <w:rFonts w:asciiTheme="minorHAnsi" w:hAnsiTheme="minorHAnsi" w:cstheme="minorHAnsi"/>
              </w:rPr>
              <w:t xml:space="preserve"> Agencj</w:t>
            </w:r>
            <w:r>
              <w:rPr>
                <w:rFonts w:asciiTheme="minorHAnsi" w:hAnsiTheme="minorHAnsi" w:cstheme="minorHAnsi"/>
              </w:rPr>
              <w:t>ę</w:t>
            </w:r>
            <w:r w:rsidRPr="00693125">
              <w:rPr>
                <w:rFonts w:asciiTheme="minorHAnsi" w:hAnsiTheme="minorHAnsi" w:cstheme="minorHAnsi"/>
              </w:rPr>
              <w:t xml:space="preserve"> Rezerw Strategicznych </w:t>
            </w:r>
            <w:r w:rsidR="00871A71" w:rsidRPr="005631F3">
              <w:rPr>
                <w:rFonts w:asciiTheme="minorHAnsi" w:hAnsiTheme="minorHAnsi" w:cstheme="minorHAnsi"/>
              </w:rPr>
              <w:t xml:space="preserve">(dalej zwana: „Agencją”) </w:t>
            </w:r>
            <w:r>
              <w:rPr>
                <w:rFonts w:asciiTheme="minorHAnsi" w:hAnsiTheme="minorHAnsi" w:cstheme="minorHAnsi"/>
              </w:rPr>
              <w:t>obowiązku</w:t>
            </w:r>
            <w:r w:rsidRPr="00693125">
              <w:rPr>
                <w:rFonts w:asciiTheme="minorHAnsi" w:hAnsiTheme="minorHAnsi" w:cstheme="minorHAnsi"/>
              </w:rPr>
              <w:t xml:space="preserve"> tworzenia oraz utrzymywania zapasów strategicznych gazu </w:t>
            </w:r>
            <w:r>
              <w:rPr>
                <w:rFonts w:asciiTheme="minorHAnsi" w:hAnsiTheme="minorHAnsi" w:cstheme="minorHAnsi"/>
              </w:rPr>
              <w:t xml:space="preserve">generalnie należy ocenić pozytywnie, </w:t>
            </w:r>
            <w:r w:rsidRPr="00693125">
              <w:rPr>
                <w:rFonts w:asciiTheme="minorHAnsi" w:hAnsiTheme="minorHAnsi" w:cstheme="minorHAnsi"/>
              </w:rPr>
              <w:t>jako rozwiązan</w:t>
            </w:r>
            <w:r>
              <w:rPr>
                <w:rFonts w:asciiTheme="minorHAnsi" w:hAnsiTheme="minorHAnsi" w:cstheme="minorHAnsi"/>
              </w:rPr>
              <w:t>i</w:t>
            </w:r>
            <w:r w:rsidRPr="00693125">
              <w:rPr>
                <w:rFonts w:asciiTheme="minorHAnsi" w:hAnsiTheme="minorHAnsi" w:cstheme="minorHAnsi"/>
              </w:rPr>
              <w:t xml:space="preserve">e ułatwiające </w:t>
            </w:r>
            <w:r>
              <w:rPr>
                <w:rFonts w:asciiTheme="minorHAnsi" w:hAnsiTheme="minorHAnsi" w:cstheme="minorHAnsi"/>
              </w:rPr>
              <w:t xml:space="preserve">przedsiębiorstwom energetycznym </w:t>
            </w:r>
            <w:r w:rsidRPr="00693125">
              <w:rPr>
                <w:rFonts w:asciiTheme="minorHAnsi" w:hAnsiTheme="minorHAnsi" w:cstheme="minorHAnsi"/>
              </w:rPr>
              <w:t xml:space="preserve">działalność </w:t>
            </w:r>
            <w:r>
              <w:rPr>
                <w:rFonts w:asciiTheme="minorHAnsi" w:hAnsiTheme="minorHAnsi" w:cstheme="minorHAnsi"/>
              </w:rPr>
              <w:t>oraz</w:t>
            </w:r>
            <w:r w:rsidRPr="00693125">
              <w:rPr>
                <w:rFonts w:asciiTheme="minorHAnsi" w:hAnsiTheme="minorHAnsi" w:cstheme="minorHAnsi"/>
              </w:rPr>
              <w:t xml:space="preserve"> eliminujące część obowiązków przedsiębiorstw posiadających koncesję </w:t>
            </w:r>
            <w:r>
              <w:rPr>
                <w:rFonts w:asciiTheme="minorHAnsi" w:hAnsiTheme="minorHAnsi" w:cstheme="minorHAnsi"/>
              </w:rPr>
              <w:t>na obrót gazem ziemnym z zagranicą (OGZ)</w:t>
            </w:r>
            <w:r w:rsidRPr="00693125">
              <w:rPr>
                <w:rFonts w:asciiTheme="minorHAnsi" w:hAnsiTheme="minorHAnsi" w:cstheme="minorHAnsi"/>
              </w:rPr>
              <w:t>.</w:t>
            </w:r>
            <w:r>
              <w:rPr>
                <w:rFonts w:asciiTheme="minorHAnsi" w:hAnsiTheme="minorHAnsi" w:cstheme="minorHAnsi"/>
              </w:rPr>
              <w:t xml:space="preserve"> W</w:t>
            </w:r>
            <w:r w:rsidRPr="005631F3">
              <w:rPr>
                <w:rFonts w:asciiTheme="minorHAnsi" w:hAnsiTheme="minorHAnsi" w:cstheme="minorHAnsi"/>
              </w:rPr>
              <w:t xml:space="preserve"> ocenie Konfederacji Lewiatan </w:t>
            </w:r>
            <w:r>
              <w:rPr>
                <w:rFonts w:asciiTheme="minorHAnsi" w:hAnsiTheme="minorHAnsi" w:cstheme="minorHAnsi"/>
              </w:rPr>
              <w:t>jest to krok</w:t>
            </w:r>
            <w:r w:rsidRPr="005631F3">
              <w:rPr>
                <w:rFonts w:asciiTheme="minorHAnsi" w:hAnsiTheme="minorHAnsi" w:cstheme="minorHAnsi"/>
              </w:rPr>
              <w:t xml:space="preserve"> w dobrym kierunku. Zmiana na stałe roli Agencji jako podmiotu, na którym będzie spoczywał wyłączny obowiązek tworzenia oraz utrzymywania zapasów strat</w:t>
            </w:r>
            <w:bookmarkStart w:id="2" w:name="_GoBack"/>
            <w:bookmarkEnd w:id="2"/>
            <w:r w:rsidRPr="005631F3">
              <w:rPr>
                <w:rFonts w:asciiTheme="minorHAnsi" w:hAnsiTheme="minorHAnsi" w:cstheme="minorHAnsi"/>
              </w:rPr>
              <w:t xml:space="preserve">egicznych gazu ziemnego oraz </w:t>
            </w:r>
            <w:r w:rsidRPr="005631F3">
              <w:rPr>
                <w:rFonts w:asciiTheme="minorHAnsi" w:hAnsiTheme="minorHAnsi" w:cstheme="minorHAnsi"/>
              </w:rPr>
              <w:lastRenderedPageBreak/>
              <w:t xml:space="preserve">stworzenie instrumentów prawnych, które pozwolą Agencji na wypełnienie jej nowej roli, uzależnienie wielkości zapasów od łącznej ilości zapotrzebowania odbiorców na gaz ziemny, zniesienie przepisów które wcześniej skutecznie ograniczały wejście nowych podmiotów na rynek gazu </w:t>
            </w:r>
            <w:r w:rsidR="00D40C46">
              <w:rPr>
                <w:rFonts w:asciiTheme="minorHAnsi" w:hAnsiTheme="minorHAnsi" w:cstheme="minorHAnsi"/>
              </w:rPr>
              <w:t>–</w:t>
            </w:r>
            <w:r w:rsidRPr="005631F3">
              <w:rPr>
                <w:rFonts w:asciiTheme="minorHAnsi" w:hAnsiTheme="minorHAnsi" w:cstheme="minorHAnsi"/>
              </w:rPr>
              <w:t xml:space="preserve"> to</w:t>
            </w:r>
            <w:r w:rsidR="00D40C46">
              <w:rPr>
                <w:rFonts w:asciiTheme="minorHAnsi" w:hAnsiTheme="minorHAnsi" w:cstheme="minorHAnsi"/>
              </w:rPr>
              <w:t xml:space="preserve"> </w:t>
            </w:r>
            <w:r w:rsidRPr="005631F3">
              <w:rPr>
                <w:rFonts w:asciiTheme="minorHAnsi" w:hAnsiTheme="minorHAnsi" w:cstheme="minorHAnsi"/>
              </w:rPr>
              <w:t>kilka z zagadnień, które zasługują na pozytywne wyróżnienie.</w:t>
            </w:r>
          </w:p>
          <w:p w14:paraId="4A2A2E26" w14:textId="57BE1AB4" w:rsidR="00C17B80" w:rsidRDefault="00C17B80" w:rsidP="00871A71">
            <w:pPr>
              <w:jc w:val="both"/>
            </w:pPr>
            <w:r>
              <w:rPr>
                <w:rFonts w:asciiTheme="minorHAnsi" w:hAnsiTheme="minorHAnsi" w:cstheme="minorHAnsi"/>
              </w:rPr>
              <w:t>Jednak część proponowanych zmian może budzić dalsze wątpliwości co do idei samych rozwiązań oraz brzmienia zapisów.</w:t>
            </w:r>
          </w:p>
        </w:tc>
      </w:tr>
      <w:tr w:rsidR="00C17B80" w:rsidRPr="00EF0AE0" w14:paraId="031CDB01" w14:textId="77777777" w:rsidTr="00A16C78">
        <w:tc>
          <w:tcPr>
            <w:tcW w:w="664" w:type="dxa"/>
            <w:shd w:val="clear" w:color="auto" w:fill="FFFFFF" w:themeFill="background1"/>
          </w:tcPr>
          <w:p w14:paraId="5C5A0155" w14:textId="31213251" w:rsidR="00C17B80" w:rsidRPr="00EF0AE0" w:rsidRDefault="00C17B80"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2</w:t>
            </w:r>
          </w:p>
        </w:tc>
        <w:tc>
          <w:tcPr>
            <w:tcW w:w="2807" w:type="dxa"/>
            <w:shd w:val="clear" w:color="auto" w:fill="FFFFFF" w:themeFill="background1"/>
          </w:tcPr>
          <w:p w14:paraId="03F2142A" w14:textId="61942A56" w:rsidR="00C17B80" w:rsidRPr="00EF0AE0" w:rsidRDefault="00C17B80" w:rsidP="00871A71">
            <w:pPr>
              <w:spacing w:before="60" w:after="60" w:line="252" w:lineRule="auto"/>
              <w:jc w:val="both"/>
              <w:rPr>
                <w:rFonts w:asciiTheme="minorHAnsi" w:hAnsiTheme="minorHAnsi" w:cstheme="minorHAnsi"/>
                <w:b/>
                <w:bCs/>
              </w:rPr>
            </w:pPr>
            <w:r>
              <w:rPr>
                <w:rFonts w:asciiTheme="minorHAnsi" w:hAnsiTheme="minorHAnsi" w:cstheme="minorHAnsi"/>
                <w:b/>
                <w:bCs/>
              </w:rPr>
              <w:t>Uwaga ogólna</w:t>
            </w:r>
          </w:p>
        </w:tc>
        <w:tc>
          <w:tcPr>
            <w:tcW w:w="10521" w:type="dxa"/>
            <w:gridSpan w:val="2"/>
            <w:shd w:val="clear" w:color="auto" w:fill="FFFFFF" w:themeFill="background1"/>
          </w:tcPr>
          <w:p w14:paraId="0C290813" w14:textId="76678D2B" w:rsidR="00C17B80" w:rsidRDefault="00C17B80" w:rsidP="00871A71">
            <w:pPr>
              <w:spacing w:after="120"/>
              <w:jc w:val="both"/>
              <w:rPr>
                <w:rFonts w:asciiTheme="minorHAnsi" w:hAnsiTheme="minorHAnsi" w:cstheme="minorHAnsi"/>
              </w:rPr>
            </w:pPr>
            <w:r w:rsidRPr="00D744E3">
              <w:rPr>
                <w:rFonts w:asciiTheme="minorHAnsi" w:hAnsiTheme="minorHAnsi" w:cstheme="minorHAnsi"/>
              </w:rPr>
              <w:t>Wielkość zapasów strategicznych gazu ziemnego wynosić ma 35% łącznej wielkości zapotrzebowania odbiorców na gaz ziemny w okresie kolejnych 30 dni nadzwyczajnie wysokiego zapotrzebowania na gaz. W Uzasadnieniu do</w:t>
            </w:r>
            <w:r w:rsidR="00D40C46">
              <w:rPr>
                <w:rFonts w:asciiTheme="minorHAnsi" w:hAnsiTheme="minorHAnsi" w:cstheme="minorHAnsi"/>
              </w:rPr>
              <w:t xml:space="preserve"> ustawy nie wyjaśniono tej liczby</w:t>
            </w:r>
            <w:r w:rsidRPr="00D744E3">
              <w:rPr>
                <w:rFonts w:asciiTheme="minorHAnsi" w:hAnsiTheme="minorHAnsi" w:cstheme="minorHAnsi"/>
              </w:rPr>
              <w:t xml:space="preserve">. </w:t>
            </w:r>
            <w:r w:rsidR="00D40C46">
              <w:rPr>
                <w:rFonts w:asciiTheme="minorHAnsi" w:hAnsiTheme="minorHAnsi" w:cstheme="minorHAnsi"/>
              </w:rPr>
              <w:t>Należy rozważyć, c</w:t>
            </w:r>
            <w:r w:rsidRPr="00D744E3">
              <w:rPr>
                <w:rFonts w:asciiTheme="minorHAnsi" w:hAnsiTheme="minorHAnsi" w:cstheme="minorHAnsi"/>
              </w:rPr>
              <w:t>zy wielkość ta nie powinna odpowiadać każdorazowo udziałowi zużycia odbiorców chronionych (dla których przecież się tworzy zapasy strategiczne) w łącznym zużyciu gazu dla wszystkich odbiorców / w całym systemie gazowym w roku poprzedzaj</w:t>
            </w:r>
            <w:r w:rsidR="00D40C46">
              <w:rPr>
                <w:rFonts w:asciiTheme="minorHAnsi" w:hAnsiTheme="minorHAnsi" w:cstheme="minorHAnsi"/>
              </w:rPr>
              <w:t>ącym rok ustalenia tego poziomu.</w:t>
            </w:r>
          </w:p>
          <w:p w14:paraId="78FC5384" w14:textId="1D278AC9" w:rsidR="00C17B80" w:rsidRDefault="00C17B80" w:rsidP="00871A71">
            <w:pPr>
              <w:spacing w:before="120" w:after="120"/>
              <w:jc w:val="both"/>
              <w:rPr>
                <w:rFonts w:asciiTheme="minorHAnsi" w:hAnsiTheme="minorHAnsi" w:cstheme="minorHAnsi"/>
              </w:rPr>
            </w:pPr>
            <w:r>
              <w:rPr>
                <w:rFonts w:asciiTheme="minorHAnsi" w:hAnsiTheme="minorHAnsi" w:cstheme="minorHAnsi"/>
              </w:rPr>
              <w:t>Ponadto wielkość ta powinna być w jakiś sposób związana z projektowanymi regulacjami UE w zakresie minimalnego poziomu wypełnienia magazynów gazu, na 1.11.2022 poziom wypełnienia magazynów gazem w Polsce powinien wynieść 80%. W projekcie nie ma żadnego odniesienia do tej kwestii.</w:t>
            </w:r>
          </w:p>
        </w:tc>
      </w:tr>
      <w:tr w:rsidR="00C17B80" w:rsidRPr="00EF0AE0" w14:paraId="150F71AF" w14:textId="77777777" w:rsidTr="00A16C78">
        <w:tc>
          <w:tcPr>
            <w:tcW w:w="664" w:type="dxa"/>
            <w:shd w:val="clear" w:color="auto" w:fill="FFFFFF" w:themeFill="background1"/>
          </w:tcPr>
          <w:p w14:paraId="6087FE93" w14:textId="7EA8AE9D" w:rsidR="00C17B80" w:rsidRDefault="00C17B80"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3</w:t>
            </w:r>
          </w:p>
        </w:tc>
        <w:tc>
          <w:tcPr>
            <w:tcW w:w="2807" w:type="dxa"/>
            <w:shd w:val="clear" w:color="auto" w:fill="FFFFFF" w:themeFill="background1"/>
          </w:tcPr>
          <w:p w14:paraId="5C3E27D7" w14:textId="283FC495" w:rsidR="00C17B80" w:rsidRDefault="00C17B80" w:rsidP="00871A71">
            <w:pPr>
              <w:spacing w:before="60" w:after="60" w:line="252" w:lineRule="auto"/>
              <w:jc w:val="both"/>
              <w:rPr>
                <w:rFonts w:asciiTheme="minorHAnsi" w:hAnsiTheme="minorHAnsi" w:cstheme="minorHAnsi"/>
                <w:b/>
                <w:bCs/>
              </w:rPr>
            </w:pPr>
            <w:r>
              <w:rPr>
                <w:rFonts w:asciiTheme="minorHAnsi" w:hAnsiTheme="minorHAnsi" w:cstheme="minorHAnsi"/>
                <w:b/>
                <w:bCs/>
              </w:rPr>
              <w:t>Uwaga ogólna</w:t>
            </w:r>
          </w:p>
        </w:tc>
        <w:tc>
          <w:tcPr>
            <w:tcW w:w="10521" w:type="dxa"/>
            <w:gridSpan w:val="2"/>
            <w:shd w:val="clear" w:color="auto" w:fill="FFFFFF" w:themeFill="background1"/>
          </w:tcPr>
          <w:p w14:paraId="578B4629" w14:textId="3165523C" w:rsidR="00C17B80" w:rsidRPr="00D744E3" w:rsidRDefault="00C17B80" w:rsidP="00871A71">
            <w:pPr>
              <w:spacing w:after="120"/>
              <w:jc w:val="both"/>
              <w:rPr>
                <w:rFonts w:asciiTheme="minorHAnsi" w:hAnsiTheme="minorHAnsi" w:cstheme="minorHAnsi"/>
              </w:rPr>
            </w:pPr>
            <w:r>
              <w:rPr>
                <w:rFonts w:cstheme="minorHAnsi"/>
              </w:rPr>
              <w:t>Wątpliwości budzi fakt, że projektowana opłata gazowa ma dotyczyć całości gazu zużywanego w kraju niezależnie od charakteru odbiorcy, któremu ten gaz ma być dostarczany. Dlaczego odbiorcy inni niż chronieni, nie podlegający obowiązkowi tworzenia dla nich zapasów strategicznych mają ponosić koszty, które ich nie dotyczą? Takie podejście może oznaczać w rezultacie subsydiowanie kosztów obowiązku utrzymywania zapasów na rzecz odbiorców chronionych przez odbiorców innych niż chronieni. Rodzi to roszczenia klientów niechronionych w zakresie dostępu do gazu w magazynach, skoro klient poniósł koszt magazynowania.</w:t>
            </w:r>
          </w:p>
        </w:tc>
      </w:tr>
      <w:tr w:rsidR="00C17B80" w:rsidRPr="00EF0AE0" w14:paraId="5839854D" w14:textId="77777777" w:rsidTr="00A16C78">
        <w:tc>
          <w:tcPr>
            <w:tcW w:w="664" w:type="dxa"/>
            <w:shd w:val="clear" w:color="auto" w:fill="FFFFFF" w:themeFill="background1"/>
          </w:tcPr>
          <w:p w14:paraId="499366D4" w14:textId="4A6BE1DB" w:rsidR="00C17B80" w:rsidRDefault="00C17B80" w:rsidP="00871A71">
            <w:pPr>
              <w:spacing w:before="60" w:after="60" w:line="252" w:lineRule="auto"/>
              <w:jc w:val="both"/>
              <w:rPr>
                <w:rFonts w:asciiTheme="minorHAnsi" w:hAnsiTheme="minorHAnsi" w:cstheme="minorHAnsi"/>
                <w:bCs/>
              </w:rPr>
            </w:pPr>
            <w:r>
              <w:rPr>
                <w:rFonts w:asciiTheme="minorHAnsi" w:hAnsiTheme="minorHAnsi" w:cstheme="minorHAnsi"/>
                <w:bCs/>
              </w:rPr>
              <w:t>4</w:t>
            </w:r>
          </w:p>
        </w:tc>
        <w:tc>
          <w:tcPr>
            <w:tcW w:w="2807" w:type="dxa"/>
            <w:shd w:val="clear" w:color="auto" w:fill="FFFFFF" w:themeFill="background1"/>
          </w:tcPr>
          <w:p w14:paraId="36DCA4FD" w14:textId="27C45E22" w:rsidR="00C17B80" w:rsidRDefault="00C17B80" w:rsidP="00871A71">
            <w:pPr>
              <w:spacing w:before="60" w:after="60" w:line="252" w:lineRule="auto"/>
              <w:jc w:val="both"/>
              <w:rPr>
                <w:rFonts w:asciiTheme="minorHAnsi" w:hAnsiTheme="minorHAnsi" w:cstheme="minorHAnsi"/>
                <w:b/>
                <w:bCs/>
              </w:rPr>
            </w:pPr>
            <w:r>
              <w:rPr>
                <w:rFonts w:asciiTheme="minorHAnsi" w:hAnsiTheme="minorHAnsi" w:cstheme="minorHAnsi"/>
                <w:b/>
                <w:bCs/>
              </w:rPr>
              <w:t>Uwaga ogólna</w:t>
            </w:r>
          </w:p>
        </w:tc>
        <w:tc>
          <w:tcPr>
            <w:tcW w:w="10521" w:type="dxa"/>
            <w:gridSpan w:val="2"/>
            <w:shd w:val="clear" w:color="auto" w:fill="FFFFFF" w:themeFill="background1"/>
          </w:tcPr>
          <w:p w14:paraId="49B24CCF" w14:textId="1CE97DBC" w:rsidR="00C17B80" w:rsidRDefault="00C17B80" w:rsidP="00D40C46">
            <w:pPr>
              <w:spacing w:after="120"/>
              <w:jc w:val="both"/>
              <w:rPr>
                <w:rFonts w:cstheme="minorHAnsi"/>
              </w:rPr>
            </w:pPr>
            <w:r>
              <w:rPr>
                <w:rFonts w:cstheme="minorHAnsi"/>
              </w:rPr>
              <w:t>Wątpliwości może budzić zwolnienie z obowiązku posiadania przez Agencję koncesji na obrót paliwami gazowymi w sytuacji, kiedy organ nadzorujący funkcjonowanie rynku gazu (URE) nie ma właściwie żadnej kontroli nad Agencją i jej poczynaniami (przynajmniej tak czytamy prop</w:t>
            </w:r>
            <w:r w:rsidR="00D40C46">
              <w:rPr>
                <w:rFonts w:cstheme="minorHAnsi"/>
              </w:rPr>
              <w:t>onowane w Ustawie rozwiązania). Pojawia się zatem pytanie, czy nie poddać Agencji</w:t>
            </w:r>
            <w:r>
              <w:rPr>
                <w:rFonts w:cstheme="minorHAnsi"/>
              </w:rPr>
              <w:t xml:space="preserve"> stosownym obowiązk</w:t>
            </w:r>
            <w:r w:rsidR="00D40C46">
              <w:rPr>
                <w:rFonts w:cstheme="minorHAnsi"/>
              </w:rPr>
              <w:t>om koncesyjnym i sprawozdawczym.</w:t>
            </w:r>
          </w:p>
        </w:tc>
      </w:tr>
      <w:tr w:rsidR="00C17B80" w:rsidRPr="00EF0AE0" w14:paraId="4B0659A4" w14:textId="77777777" w:rsidTr="00A16C78">
        <w:tc>
          <w:tcPr>
            <w:tcW w:w="664" w:type="dxa"/>
            <w:shd w:val="clear" w:color="auto" w:fill="FFFFFF" w:themeFill="background1"/>
          </w:tcPr>
          <w:p w14:paraId="07789520" w14:textId="3CA7116C" w:rsidR="00C17B80" w:rsidRDefault="00C17B80" w:rsidP="00871A71">
            <w:pPr>
              <w:spacing w:before="60" w:after="60" w:line="252" w:lineRule="auto"/>
              <w:jc w:val="both"/>
              <w:rPr>
                <w:rFonts w:asciiTheme="minorHAnsi" w:hAnsiTheme="minorHAnsi" w:cstheme="minorHAnsi"/>
                <w:bCs/>
              </w:rPr>
            </w:pPr>
            <w:r>
              <w:rPr>
                <w:rFonts w:asciiTheme="minorHAnsi" w:hAnsiTheme="minorHAnsi" w:cstheme="minorHAnsi"/>
                <w:bCs/>
              </w:rPr>
              <w:t>5</w:t>
            </w:r>
          </w:p>
        </w:tc>
        <w:tc>
          <w:tcPr>
            <w:tcW w:w="2807" w:type="dxa"/>
            <w:shd w:val="clear" w:color="auto" w:fill="FFFFFF" w:themeFill="background1"/>
          </w:tcPr>
          <w:p w14:paraId="37FDAEF0" w14:textId="705432D9" w:rsidR="00C17B80" w:rsidRDefault="00C17B80" w:rsidP="00871A71">
            <w:pPr>
              <w:spacing w:before="60" w:after="60" w:line="252" w:lineRule="auto"/>
              <w:jc w:val="both"/>
              <w:rPr>
                <w:rFonts w:asciiTheme="minorHAnsi" w:hAnsiTheme="minorHAnsi" w:cstheme="minorHAnsi"/>
                <w:b/>
                <w:bCs/>
              </w:rPr>
            </w:pPr>
            <w:r w:rsidRPr="00EF0AE0">
              <w:rPr>
                <w:rFonts w:asciiTheme="minorHAnsi" w:hAnsiTheme="minorHAnsi" w:cstheme="minorHAnsi"/>
                <w:b/>
                <w:bCs/>
              </w:rPr>
              <w:t>Uwaga ogólna</w:t>
            </w:r>
          </w:p>
        </w:tc>
        <w:tc>
          <w:tcPr>
            <w:tcW w:w="10521" w:type="dxa"/>
            <w:gridSpan w:val="2"/>
            <w:shd w:val="clear" w:color="auto" w:fill="FFFFFF" w:themeFill="background1"/>
          </w:tcPr>
          <w:p w14:paraId="1A2CFD83" w14:textId="692FAE22" w:rsidR="00C17B80" w:rsidRDefault="00C17B80" w:rsidP="00871A71">
            <w:pPr>
              <w:spacing w:after="120"/>
              <w:jc w:val="both"/>
              <w:rPr>
                <w:rFonts w:cstheme="minorHAnsi"/>
              </w:rPr>
            </w:pPr>
            <w:r>
              <w:rPr>
                <w:rFonts w:cstheme="minorHAnsi"/>
              </w:rPr>
              <w:t xml:space="preserve">Wątpliwości budzą zapisy umożliwiające budowę i rozbudowę przez Agencję istniejących magazynów gazu, które nie należą przecież do Agencji. Należy wyjaśnić na jakich zasadach Agencja ma to wykonywać. Dodatkowo jakie mają w takiej sytuacji być obowiązki i zadania </w:t>
            </w:r>
            <w:proofErr w:type="spellStart"/>
            <w:r>
              <w:rPr>
                <w:rFonts w:cstheme="minorHAnsi"/>
              </w:rPr>
              <w:t>Gas</w:t>
            </w:r>
            <w:proofErr w:type="spellEnd"/>
            <w:r>
              <w:rPr>
                <w:rFonts w:cstheme="minorHAnsi"/>
              </w:rPr>
              <w:t xml:space="preserve"> Storage Poland będącego Operatorem Systemu Magazynowania w Polsce?</w:t>
            </w:r>
          </w:p>
        </w:tc>
      </w:tr>
      <w:tr w:rsidR="000F1698" w:rsidRPr="00EF0AE0" w14:paraId="2856D124" w14:textId="77777777" w:rsidTr="00A16C78">
        <w:tc>
          <w:tcPr>
            <w:tcW w:w="664" w:type="dxa"/>
            <w:shd w:val="clear" w:color="auto" w:fill="FFFFFF" w:themeFill="background1"/>
          </w:tcPr>
          <w:p w14:paraId="1E9D3486" w14:textId="2C542651" w:rsidR="000F1698" w:rsidRPr="00F279AD" w:rsidRDefault="00F279AD" w:rsidP="00871A71">
            <w:pPr>
              <w:spacing w:before="60" w:after="60" w:line="252" w:lineRule="auto"/>
              <w:jc w:val="both"/>
              <w:rPr>
                <w:rFonts w:asciiTheme="minorHAnsi" w:hAnsiTheme="minorHAnsi" w:cstheme="minorHAnsi"/>
                <w:bCs/>
              </w:rPr>
            </w:pPr>
            <w:r>
              <w:rPr>
                <w:rFonts w:asciiTheme="minorHAnsi" w:hAnsiTheme="minorHAnsi" w:cstheme="minorHAnsi"/>
                <w:bCs/>
              </w:rPr>
              <w:t>6</w:t>
            </w:r>
          </w:p>
        </w:tc>
        <w:tc>
          <w:tcPr>
            <w:tcW w:w="2807" w:type="dxa"/>
            <w:shd w:val="clear" w:color="auto" w:fill="FFFFFF" w:themeFill="background1"/>
          </w:tcPr>
          <w:p w14:paraId="0FF4BB38" w14:textId="5857D556" w:rsidR="000F1698" w:rsidRPr="00F279AD" w:rsidRDefault="000F1698" w:rsidP="00871A71">
            <w:pPr>
              <w:spacing w:before="60" w:after="60" w:line="252" w:lineRule="auto"/>
              <w:jc w:val="both"/>
              <w:rPr>
                <w:rFonts w:asciiTheme="minorHAnsi" w:hAnsiTheme="minorHAnsi" w:cstheme="minorHAnsi"/>
                <w:b/>
                <w:bCs/>
              </w:rPr>
            </w:pPr>
            <w:r w:rsidRPr="00F279AD">
              <w:rPr>
                <w:rFonts w:asciiTheme="minorHAnsi" w:hAnsiTheme="minorHAnsi" w:cstheme="minorHAnsi"/>
                <w:b/>
                <w:bCs/>
              </w:rPr>
              <w:t>Uwaga ogólna</w:t>
            </w:r>
          </w:p>
        </w:tc>
        <w:tc>
          <w:tcPr>
            <w:tcW w:w="10521" w:type="dxa"/>
            <w:gridSpan w:val="2"/>
            <w:shd w:val="clear" w:color="auto" w:fill="FFFFFF" w:themeFill="background1"/>
          </w:tcPr>
          <w:p w14:paraId="4F2A644E" w14:textId="39F79E0C" w:rsidR="000F1698" w:rsidRPr="00F279AD" w:rsidRDefault="008407F4" w:rsidP="00871A71">
            <w:pPr>
              <w:jc w:val="both"/>
            </w:pPr>
            <w:r w:rsidRPr="00F279AD">
              <w:t xml:space="preserve">Zgodnie z proponowaną treścią art. 25a Agencja kupuje oraz sprzedaje gaz na giełdzie, a więc wpływy z tej działalności powinny być również uwzględniane w kalkulacji stawki opłaty gazowej, zgodnie z proponowanym </w:t>
            </w:r>
            <w:r w:rsidRPr="00F279AD">
              <w:lastRenderedPageBreak/>
              <w:t>zapisem art. 25d ust. 6. (podczas gdy, zgodnie z proponowaną treścią art. 28b, wpływy te mają zasilać Fundusz Zapasów Interwencyjnych).</w:t>
            </w:r>
          </w:p>
        </w:tc>
      </w:tr>
      <w:tr w:rsidR="00137BCE" w:rsidRPr="00EF0AE0" w14:paraId="4CFC91A7" w14:textId="77777777" w:rsidTr="00A16C78">
        <w:tc>
          <w:tcPr>
            <w:tcW w:w="664" w:type="dxa"/>
            <w:shd w:val="clear" w:color="auto" w:fill="FFFFFF" w:themeFill="background1"/>
          </w:tcPr>
          <w:p w14:paraId="24FAF8B6" w14:textId="714B6AB8" w:rsidR="00137BCE" w:rsidRDefault="00137BCE"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7</w:t>
            </w:r>
          </w:p>
        </w:tc>
        <w:tc>
          <w:tcPr>
            <w:tcW w:w="2807" w:type="dxa"/>
            <w:shd w:val="clear" w:color="auto" w:fill="FFFFFF" w:themeFill="background1"/>
          </w:tcPr>
          <w:p w14:paraId="4B242898" w14:textId="269590E9" w:rsidR="00137BCE" w:rsidRPr="00F279AD" w:rsidRDefault="00137BCE" w:rsidP="00871A71">
            <w:pPr>
              <w:spacing w:before="60" w:after="60" w:line="252" w:lineRule="auto"/>
              <w:jc w:val="both"/>
              <w:rPr>
                <w:rFonts w:asciiTheme="minorHAnsi" w:hAnsiTheme="minorHAnsi" w:cstheme="minorHAnsi"/>
                <w:b/>
                <w:bCs/>
              </w:rPr>
            </w:pPr>
            <w:r>
              <w:rPr>
                <w:rFonts w:asciiTheme="minorHAnsi" w:hAnsiTheme="minorHAnsi" w:cstheme="minorHAnsi"/>
                <w:b/>
                <w:bCs/>
              </w:rPr>
              <w:t>Uwaga ogólna</w:t>
            </w:r>
          </w:p>
        </w:tc>
        <w:tc>
          <w:tcPr>
            <w:tcW w:w="10521" w:type="dxa"/>
            <w:gridSpan w:val="2"/>
            <w:shd w:val="clear" w:color="auto" w:fill="FFFFFF" w:themeFill="background1"/>
          </w:tcPr>
          <w:p w14:paraId="2C569ABF" w14:textId="47546C7A" w:rsidR="00137BCE" w:rsidRPr="00137BCE" w:rsidRDefault="00137BCE" w:rsidP="00DD624A">
            <w:pPr>
              <w:jc w:val="both"/>
            </w:pPr>
            <w:r w:rsidRPr="00137BCE">
              <w:t xml:space="preserve">W świetle projektu nowelizacji, nie będzie obowiązku utrzymania zapasów gazu w okresie 1.10.2023 – </w:t>
            </w:r>
            <w:r w:rsidR="00C25B45" w:rsidRPr="00C25B45">
              <w:t>30.09.2024 r.</w:t>
            </w:r>
            <w:r w:rsidRPr="00137BCE">
              <w:t>, dla którego okresem referencyjnym jest okres 1.04.2022 – 31.03.2023</w:t>
            </w:r>
            <w:r>
              <w:t xml:space="preserve">. </w:t>
            </w:r>
            <w:r w:rsidRPr="00137BCE">
              <w:t>Wynika to stąd, że właściwymi przepisami w tym zakresie są art. 25 ust. 2 Ustawy (okres referencyjny) oraz art. 25 ust. 4 Ustawy (okres obowiązku utrzymania zapasów). Przepisy te zostaną uchylone na podstawie art. 1 pkt 6) lit. c) ustawy nowelizującej, który ma wejść w życie z dniem 1.10.2023 r.</w:t>
            </w:r>
            <w:r w:rsidR="00DD624A">
              <w:t xml:space="preserve"> </w:t>
            </w:r>
          </w:p>
          <w:p w14:paraId="45363E30" w14:textId="5A040292" w:rsidR="00137BCE" w:rsidRPr="00137BCE" w:rsidRDefault="00DD624A" w:rsidP="00DD624A">
            <w:pPr>
              <w:jc w:val="both"/>
            </w:pPr>
            <w:r>
              <w:t xml:space="preserve">Wydaje się, </w:t>
            </w:r>
            <w:r w:rsidR="00137BCE" w:rsidRPr="00137BCE">
              <w:t xml:space="preserve">że w świetle </w:t>
            </w:r>
            <w:r>
              <w:t xml:space="preserve">projektu </w:t>
            </w:r>
            <w:r w:rsidR="00137BCE" w:rsidRPr="00137BCE">
              <w:t>nowelizacji</w:t>
            </w:r>
            <w:r>
              <w:t xml:space="preserve"> sprzedawcy paliw gazowych nadal będą zobowiązani do </w:t>
            </w:r>
            <w:r w:rsidR="00137BCE" w:rsidRPr="00137BCE">
              <w:t>złożenia do 15 maja 2023 r. do Prezesa URE informacji o wielkości zapasów gazu ziemnego, zgodnie z art. 25 ust. 3 Ustawy, który zostanie dopiero uchylony 1.10.2023 r.</w:t>
            </w:r>
            <w:r>
              <w:t xml:space="preserve">, co staje się </w:t>
            </w:r>
            <w:r w:rsidR="00137BCE" w:rsidRPr="00137BCE">
              <w:t xml:space="preserve">bezprzedmiotowe. </w:t>
            </w:r>
            <w:r>
              <w:t xml:space="preserve">Przepisy te wymagają </w:t>
            </w:r>
            <w:r w:rsidR="00137BCE" w:rsidRPr="00137BCE">
              <w:t>doprecyzowa</w:t>
            </w:r>
            <w:r>
              <w:t xml:space="preserve">nia. </w:t>
            </w:r>
          </w:p>
        </w:tc>
      </w:tr>
      <w:bookmarkEnd w:id="0"/>
      <w:tr w:rsidR="000F1698" w:rsidRPr="00EF0AE0" w14:paraId="2E108EE4" w14:textId="77777777" w:rsidTr="004C6B01">
        <w:tc>
          <w:tcPr>
            <w:tcW w:w="13992" w:type="dxa"/>
            <w:gridSpan w:val="4"/>
            <w:shd w:val="clear" w:color="auto" w:fill="FFFFFF" w:themeFill="background1"/>
          </w:tcPr>
          <w:p w14:paraId="6086CA6D" w14:textId="032EB047" w:rsidR="000F1698" w:rsidRPr="00EF0AE0" w:rsidRDefault="000F1698" w:rsidP="00871A71">
            <w:pPr>
              <w:spacing w:before="60" w:after="60"/>
              <w:jc w:val="both"/>
              <w:rPr>
                <w:rFonts w:asciiTheme="minorHAnsi" w:hAnsiTheme="minorHAnsi" w:cstheme="minorHAnsi"/>
                <w:b/>
              </w:rPr>
            </w:pPr>
            <w:r w:rsidRPr="00EF0AE0">
              <w:rPr>
                <w:rFonts w:asciiTheme="minorHAnsi" w:hAnsiTheme="minorHAnsi" w:cstheme="minorHAnsi"/>
                <w:b/>
              </w:rPr>
              <w:t>Uwagi szczegółowe</w:t>
            </w:r>
          </w:p>
        </w:tc>
      </w:tr>
      <w:tr w:rsidR="000F1698" w:rsidRPr="00EF0AE0" w14:paraId="221977B0" w14:textId="3C9ECC87" w:rsidTr="000F1698">
        <w:tc>
          <w:tcPr>
            <w:tcW w:w="664" w:type="dxa"/>
            <w:shd w:val="clear" w:color="auto" w:fill="FFFFFF" w:themeFill="background1"/>
          </w:tcPr>
          <w:p w14:paraId="6D58696A" w14:textId="2D77B691" w:rsidR="000F1698" w:rsidRPr="00EF0AE0" w:rsidRDefault="000F1698" w:rsidP="00871A71">
            <w:pPr>
              <w:spacing w:before="60" w:after="60" w:line="252" w:lineRule="auto"/>
              <w:jc w:val="both"/>
              <w:rPr>
                <w:rFonts w:asciiTheme="minorHAnsi" w:hAnsiTheme="minorHAnsi" w:cstheme="minorHAnsi"/>
                <w:bCs/>
              </w:rPr>
            </w:pPr>
            <w:r w:rsidRPr="00EF0AE0">
              <w:rPr>
                <w:rFonts w:asciiTheme="minorHAnsi" w:hAnsiTheme="minorHAnsi" w:cstheme="minorHAnsi"/>
                <w:bCs/>
              </w:rPr>
              <w:t>1</w:t>
            </w:r>
          </w:p>
        </w:tc>
        <w:tc>
          <w:tcPr>
            <w:tcW w:w="2807" w:type="dxa"/>
            <w:shd w:val="clear" w:color="auto" w:fill="FFFFFF" w:themeFill="background1"/>
          </w:tcPr>
          <w:p w14:paraId="73D103E3" w14:textId="45341C87" w:rsidR="000F1698" w:rsidRPr="00F279AD" w:rsidRDefault="00C17B80" w:rsidP="00871A71">
            <w:pPr>
              <w:spacing w:before="60" w:after="60" w:line="252" w:lineRule="auto"/>
              <w:jc w:val="both"/>
              <w:rPr>
                <w:rFonts w:asciiTheme="minorHAnsi" w:eastAsia="Times New Roman" w:hAnsiTheme="minorHAnsi" w:cstheme="minorHAnsi"/>
                <w:lang w:eastAsia="ar-SA"/>
              </w:rPr>
            </w:pPr>
            <w:r w:rsidRPr="00F0590C">
              <w:rPr>
                <w:rFonts w:asciiTheme="minorHAnsi" w:eastAsia="Times New Roman" w:hAnsiTheme="minorHAnsi" w:cstheme="minorHAnsi"/>
                <w:lang w:eastAsia="ar-SA"/>
              </w:rPr>
              <w:t>Art. 1 pkt 2) lit b)</w:t>
            </w:r>
            <w:r w:rsidR="00F279AD">
              <w:rPr>
                <w:rFonts w:asciiTheme="minorHAnsi" w:eastAsia="Times New Roman" w:hAnsiTheme="minorHAnsi" w:cstheme="minorHAnsi"/>
                <w:lang w:eastAsia="ar-SA"/>
              </w:rPr>
              <w:t xml:space="preserve"> projektu ustawy nowelizującej </w:t>
            </w:r>
            <w:r w:rsidR="00F279AD">
              <w:rPr>
                <w:rFonts w:asciiTheme="minorHAnsi" w:eastAsia="Times New Roman" w:hAnsiTheme="minorHAnsi" w:cstheme="minorHAnsi"/>
                <w:lang w:eastAsia="ar-SA"/>
              </w:rPr>
              <w:lastRenderedPageBreak/>
              <w:t>(dotyczący</w:t>
            </w:r>
            <w:r w:rsidRPr="00F0590C">
              <w:rPr>
                <w:rFonts w:asciiTheme="minorHAnsi" w:eastAsia="Times New Roman" w:hAnsiTheme="minorHAnsi" w:cstheme="minorHAnsi"/>
                <w:lang w:eastAsia="ar-SA"/>
              </w:rPr>
              <w:t xml:space="preserve"> art. 2 pkt 32)</w:t>
            </w:r>
            <w:r w:rsidR="00F279AD">
              <w:rPr>
                <w:rFonts w:asciiTheme="minorHAnsi" w:eastAsia="Times New Roman" w:hAnsiTheme="minorHAnsi" w:cstheme="minorHAnsi"/>
                <w:lang w:eastAsia="ar-SA"/>
              </w:rPr>
              <w:t xml:space="preserve"> ustawy o zapasach)</w:t>
            </w:r>
          </w:p>
        </w:tc>
        <w:tc>
          <w:tcPr>
            <w:tcW w:w="5191" w:type="dxa"/>
            <w:shd w:val="clear" w:color="auto" w:fill="FFFFFF" w:themeFill="background1"/>
            <w:vAlign w:val="center"/>
          </w:tcPr>
          <w:p w14:paraId="348F0963" w14:textId="73B23E25" w:rsidR="000F1698" w:rsidRPr="00EF0AE0" w:rsidRDefault="00C17B80" w:rsidP="006B2100">
            <w:pPr>
              <w:suppressAutoHyphens/>
              <w:snapToGrid w:val="0"/>
              <w:spacing w:before="60" w:after="60" w:line="252" w:lineRule="auto"/>
              <w:jc w:val="both"/>
              <w:rPr>
                <w:rFonts w:asciiTheme="minorHAnsi" w:hAnsiTheme="minorHAnsi" w:cstheme="minorHAnsi"/>
                <w:bCs/>
                <w:lang w:eastAsia="ar-SA"/>
              </w:rPr>
            </w:pPr>
            <w:r>
              <w:rPr>
                <w:rFonts w:asciiTheme="minorHAnsi" w:hAnsiTheme="minorHAnsi" w:cstheme="minorHAnsi"/>
                <w:bCs/>
                <w:lang w:eastAsia="ar-SA"/>
              </w:rPr>
              <w:lastRenderedPageBreak/>
              <w:t xml:space="preserve">Przepis wymaga doprecyzowania w zakresie dot. </w:t>
            </w:r>
            <w:r w:rsidR="00D40C46">
              <w:rPr>
                <w:rFonts w:asciiTheme="minorHAnsi" w:hAnsiTheme="minorHAnsi" w:cstheme="minorHAnsi"/>
                <w:bCs/>
                <w:lang w:eastAsia="ar-SA"/>
              </w:rPr>
              <w:t xml:space="preserve"> definicji </w:t>
            </w:r>
            <w:r>
              <w:rPr>
                <w:rFonts w:asciiTheme="minorHAnsi" w:hAnsiTheme="minorHAnsi" w:cstheme="minorHAnsi"/>
                <w:bCs/>
                <w:lang w:eastAsia="ar-SA"/>
              </w:rPr>
              <w:t>przedsiębiorstwa zobowiązanego.</w:t>
            </w:r>
          </w:p>
        </w:tc>
        <w:tc>
          <w:tcPr>
            <w:tcW w:w="5330" w:type="dxa"/>
            <w:shd w:val="clear" w:color="auto" w:fill="FFFFFF" w:themeFill="background1"/>
          </w:tcPr>
          <w:p w14:paraId="676C5F53" w14:textId="59EEF108" w:rsidR="00C17B80" w:rsidRPr="00C17B80" w:rsidRDefault="00C17B80" w:rsidP="00871A71">
            <w:pPr>
              <w:spacing w:before="60" w:after="60"/>
              <w:jc w:val="both"/>
              <w:rPr>
                <w:rFonts w:asciiTheme="minorHAnsi" w:hAnsiTheme="minorHAnsi" w:cstheme="minorHAnsi"/>
              </w:rPr>
            </w:pPr>
            <w:r>
              <w:rPr>
                <w:rFonts w:asciiTheme="minorHAnsi" w:hAnsiTheme="minorHAnsi" w:cstheme="minorHAnsi"/>
              </w:rPr>
              <w:t xml:space="preserve">Przepis </w:t>
            </w:r>
            <w:r w:rsidRPr="00C17B80">
              <w:rPr>
                <w:rFonts w:asciiTheme="minorHAnsi" w:hAnsiTheme="minorHAnsi" w:cstheme="minorHAnsi"/>
              </w:rPr>
              <w:t>art. 2 pkt 32) budzi wątpliwości co do tego</w:t>
            </w:r>
            <w:r w:rsidR="00CF713E">
              <w:rPr>
                <w:rFonts w:asciiTheme="minorHAnsi" w:hAnsiTheme="minorHAnsi" w:cstheme="minorHAnsi"/>
              </w:rPr>
              <w:t>,</w:t>
            </w:r>
            <w:r w:rsidRPr="00C17B80">
              <w:rPr>
                <w:rFonts w:asciiTheme="minorHAnsi" w:hAnsiTheme="minorHAnsi" w:cstheme="minorHAnsi"/>
              </w:rPr>
              <w:t xml:space="preserve"> jakie podmioty kryją się faktycznie pod sformułowaniem: „podmiot będący zleceniodawcą usługi przesyłania lub </w:t>
            </w:r>
            <w:r w:rsidRPr="00C17B80">
              <w:rPr>
                <w:rFonts w:asciiTheme="minorHAnsi" w:hAnsiTheme="minorHAnsi" w:cstheme="minorHAnsi"/>
              </w:rPr>
              <w:lastRenderedPageBreak/>
              <w:t>dystrybucji gazu ziemnego, który odbiera gaz ziemny wysokometanowy w punkcie wyjścia z systemu przesyłowego gazowego do systemu dystrybucyjnego gazowego lub punkcie wyjścia z systemu przesyłowego gazowego do odbiorcy końcowego”, ponieważ zlecającym usługę dystrybucji jest też sprzedawca gazu (spółka obrotu) w ramach usługi kompleksowej</w:t>
            </w:r>
            <w:r w:rsidR="00D40C46">
              <w:rPr>
                <w:rFonts w:asciiTheme="minorHAnsi" w:hAnsiTheme="minorHAnsi" w:cstheme="minorHAnsi"/>
              </w:rPr>
              <w:t>,</w:t>
            </w:r>
            <w:r w:rsidRPr="00C17B80">
              <w:rPr>
                <w:rFonts w:asciiTheme="minorHAnsi" w:hAnsiTheme="minorHAnsi" w:cstheme="minorHAnsi"/>
              </w:rPr>
              <w:t xml:space="preserve"> ale z drugiej strony gdyby tak było, to od tej samej ilości gazu uiszczana by była dwukrotnie opłata gazowa (jako OSD i jako podmiot zlecający), więc byłoby to nieracjonalne ustawodawczo.</w:t>
            </w:r>
          </w:p>
          <w:p w14:paraId="6E67E06C" w14:textId="5C888DFE" w:rsidR="000F1698" w:rsidRPr="00EF0AE0" w:rsidRDefault="00C17B80" w:rsidP="006B2100">
            <w:pPr>
              <w:spacing w:before="60" w:after="60"/>
              <w:jc w:val="both"/>
              <w:rPr>
                <w:rFonts w:asciiTheme="minorHAnsi" w:hAnsiTheme="minorHAnsi" w:cstheme="minorHAnsi"/>
              </w:rPr>
            </w:pPr>
            <w:r w:rsidRPr="00C17B80">
              <w:rPr>
                <w:rFonts w:asciiTheme="minorHAnsi" w:hAnsiTheme="minorHAnsi" w:cstheme="minorHAnsi"/>
              </w:rPr>
              <w:t>Dlatego przepis wymaga doprecyzowani</w:t>
            </w:r>
            <w:r w:rsidR="006B2100">
              <w:rPr>
                <w:rFonts w:asciiTheme="minorHAnsi" w:hAnsiTheme="minorHAnsi" w:cstheme="minorHAnsi"/>
              </w:rPr>
              <w:t>a</w:t>
            </w:r>
            <w:r w:rsidRPr="00C17B80">
              <w:rPr>
                <w:rFonts w:asciiTheme="minorHAnsi" w:hAnsiTheme="minorHAnsi" w:cstheme="minorHAnsi"/>
              </w:rPr>
              <w:t>.</w:t>
            </w:r>
          </w:p>
        </w:tc>
      </w:tr>
      <w:bookmarkEnd w:id="1"/>
      <w:tr w:rsidR="00C17B80" w:rsidRPr="00EF0AE0" w14:paraId="2531FD60" w14:textId="77777777" w:rsidTr="000F1698">
        <w:tc>
          <w:tcPr>
            <w:tcW w:w="664" w:type="dxa"/>
            <w:shd w:val="clear" w:color="auto" w:fill="FFFFFF" w:themeFill="background1"/>
          </w:tcPr>
          <w:p w14:paraId="6BB44698" w14:textId="059F118B" w:rsidR="00C17B80" w:rsidRPr="00EF0AE0" w:rsidRDefault="00C17B80"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2</w:t>
            </w:r>
          </w:p>
        </w:tc>
        <w:tc>
          <w:tcPr>
            <w:tcW w:w="2807" w:type="dxa"/>
            <w:shd w:val="clear" w:color="auto" w:fill="FFFFFF" w:themeFill="background1"/>
          </w:tcPr>
          <w:p w14:paraId="7E052289" w14:textId="7B831C50" w:rsidR="00C17B80" w:rsidRPr="00F279AD" w:rsidRDefault="00C17B80" w:rsidP="00871A71">
            <w:pPr>
              <w:spacing w:before="60" w:after="60" w:line="252" w:lineRule="auto"/>
              <w:jc w:val="both"/>
              <w:rPr>
                <w:rFonts w:asciiTheme="minorHAnsi" w:hAnsiTheme="minorHAnsi" w:cstheme="minorHAnsi"/>
              </w:rPr>
            </w:pPr>
            <w:r w:rsidRPr="00F279AD">
              <w:rPr>
                <w:rFonts w:asciiTheme="minorHAnsi" w:hAnsiTheme="minorHAnsi" w:cstheme="minorHAnsi"/>
                <w:lang w:eastAsia="ar-SA"/>
              </w:rPr>
              <w:t xml:space="preserve">art. 1 punkt </w:t>
            </w:r>
            <w:r w:rsidRPr="00F279AD">
              <w:rPr>
                <w:rFonts w:asciiTheme="minorHAnsi" w:eastAsia="Times New Roman" w:hAnsiTheme="minorHAnsi" w:cstheme="minorHAnsi"/>
                <w:bCs/>
                <w:lang w:eastAsia="ar-SA"/>
              </w:rPr>
              <w:t xml:space="preserve">7) </w:t>
            </w:r>
            <w:r w:rsidR="00F279AD" w:rsidRPr="00F279AD">
              <w:rPr>
                <w:rFonts w:asciiTheme="minorHAnsi" w:eastAsia="Times New Roman" w:hAnsiTheme="minorHAnsi" w:cstheme="minorHAnsi"/>
                <w:lang w:eastAsia="ar-SA"/>
              </w:rPr>
              <w:t xml:space="preserve">projektu ustawy nowelizującej </w:t>
            </w:r>
            <w:r w:rsidRPr="00F279AD">
              <w:rPr>
                <w:rFonts w:asciiTheme="minorHAnsi" w:eastAsia="Times New Roman" w:hAnsiTheme="minorHAnsi" w:cstheme="minorHAnsi"/>
                <w:bCs/>
                <w:lang w:eastAsia="ar-SA"/>
              </w:rPr>
              <w:t xml:space="preserve">(dotyczący </w:t>
            </w:r>
            <w:r w:rsidR="00D40C46">
              <w:rPr>
                <w:rFonts w:asciiTheme="minorHAnsi" w:eastAsia="Times New Roman" w:hAnsiTheme="minorHAnsi" w:cstheme="minorHAnsi"/>
                <w:bCs/>
                <w:lang w:eastAsia="ar-SA"/>
              </w:rPr>
              <w:t xml:space="preserve">projektowanego </w:t>
            </w:r>
            <w:r w:rsidRPr="00F279AD">
              <w:rPr>
                <w:rFonts w:asciiTheme="minorHAnsi" w:eastAsia="Times New Roman" w:hAnsiTheme="minorHAnsi" w:cstheme="minorHAnsi"/>
                <w:bCs/>
                <w:lang w:eastAsia="ar-SA"/>
              </w:rPr>
              <w:lastRenderedPageBreak/>
              <w:t>art. 25d ust. 4 ustawy o zapasach)</w:t>
            </w:r>
          </w:p>
        </w:tc>
        <w:tc>
          <w:tcPr>
            <w:tcW w:w="5191" w:type="dxa"/>
            <w:shd w:val="clear" w:color="auto" w:fill="FFFFFF" w:themeFill="background1"/>
          </w:tcPr>
          <w:p w14:paraId="260AE293" w14:textId="43851ECB" w:rsidR="00C17B80" w:rsidRPr="00196795" w:rsidRDefault="006B2100" w:rsidP="00871A71">
            <w:pPr>
              <w:suppressAutoHyphens/>
              <w:snapToGrid w:val="0"/>
              <w:spacing w:before="20" w:after="120"/>
              <w:jc w:val="both"/>
              <w:rPr>
                <w:rFonts w:eastAsia="Times New Roman" w:cstheme="minorHAnsi"/>
                <w:b/>
                <w:bCs/>
                <w:color w:val="C00000"/>
                <w:lang w:eastAsia="ar-SA"/>
              </w:rPr>
            </w:pPr>
            <w:r>
              <w:rPr>
                <w:rFonts w:asciiTheme="minorHAnsi" w:hAnsiTheme="minorHAnsi" w:cstheme="minorHAnsi"/>
                <w:lang w:eastAsia="ar-SA"/>
              </w:rPr>
              <w:lastRenderedPageBreak/>
              <w:t>Proponujemy usunięcie przedmiotowego przepisu.</w:t>
            </w:r>
          </w:p>
        </w:tc>
        <w:tc>
          <w:tcPr>
            <w:tcW w:w="5330" w:type="dxa"/>
            <w:shd w:val="clear" w:color="auto" w:fill="FFFFFF" w:themeFill="background1"/>
          </w:tcPr>
          <w:p w14:paraId="5F798003" w14:textId="64FB2836" w:rsidR="00C17B80" w:rsidRDefault="00C17B80" w:rsidP="00871A71">
            <w:pPr>
              <w:spacing w:after="120"/>
              <w:jc w:val="both"/>
              <w:rPr>
                <w:rFonts w:cstheme="minorHAnsi"/>
              </w:rPr>
            </w:pPr>
            <w:r>
              <w:rPr>
                <w:rFonts w:cstheme="minorHAnsi"/>
              </w:rPr>
              <w:t xml:space="preserve">Zauważamy, że zaproponowany maksymalny poziom opłaty </w:t>
            </w:r>
            <w:r w:rsidR="0046405E">
              <w:rPr>
                <w:rFonts w:cstheme="minorHAnsi"/>
              </w:rPr>
              <w:t>gazowej</w:t>
            </w:r>
            <w:r>
              <w:rPr>
                <w:rFonts w:cstheme="minorHAnsi"/>
              </w:rPr>
              <w:t xml:space="preserve"> – w naszej ocenie – nie odzwierciedla kosztów, które w rzeczywistości zostaną poniesione przez </w:t>
            </w:r>
            <w:r>
              <w:rPr>
                <w:rFonts w:cstheme="minorHAnsi"/>
              </w:rPr>
              <w:lastRenderedPageBreak/>
              <w:t xml:space="preserve">Agencję – czyli kosztu zakupu gazu, jego magazynowania, kosztów ewentualnych inwestycji i innych. </w:t>
            </w:r>
          </w:p>
          <w:p w14:paraId="0AA2DE2C" w14:textId="5330E6DA" w:rsidR="00C17B80" w:rsidRPr="00EF0AE0" w:rsidRDefault="00C17B80" w:rsidP="00871A71">
            <w:pPr>
              <w:spacing w:before="60" w:after="60" w:line="252" w:lineRule="auto"/>
              <w:jc w:val="both"/>
              <w:rPr>
                <w:rFonts w:asciiTheme="minorHAnsi" w:hAnsiTheme="minorHAnsi" w:cstheme="minorHAnsi"/>
              </w:rPr>
            </w:pPr>
            <w:r>
              <w:rPr>
                <w:rFonts w:cstheme="minorHAnsi"/>
              </w:rPr>
              <w:t>Zaznaczamy, że stawka w zaproponowanej przez ustawodawcę wysokości (150 zł/MWh) zostanie potem przeniesiona na odbiorcę gazu i przyjęta w jego planach budżetowych na kolejny rok (w dużej większości – na rok kalendarzowy) na takim właśnie, zawyżonym poziomie.</w:t>
            </w:r>
          </w:p>
        </w:tc>
      </w:tr>
      <w:tr w:rsidR="00F279AD" w:rsidRPr="00EF0AE0" w14:paraId="0DFE0691" w14:textId="77777777" w:rsidTr="00DB5C18">
        <w:tc>
          <w:tcPr>
            <w:tcW w:w="664" w:type="dxa"/>
            <w:shd w:val="clear" w:color="auto" w:fill="FFFFFF" w:themeFill="background1"/>
          </w:tcPr>
          <w:p w14:paraId="7E13BDCC" w14:textId="4270B45F" w:rsidR="00F279AD" w:rsidRPr="00EF0AE0" w:rsidRDefault="00F279AD"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3</w:t>
            </w:r>
          </w:p>
        </w:tc>
        <w:tc>
          <w:tcPr>
            <w:tcW w:w="2807" w:type="dxa"/>
            <w:shd w:val="clear" w:color="auto" w:fill="FFFFFF" w:themeFill="background1"/>
          </w:tcPr>
          <w:p w14:paraId="566546A0" w14:textId="6FE21D20" w:rsidR="00F279AD" w:rsidRPr="00EF0AE0" w:rsidRDefault="00F279AD" w:rsidP="00871A71">
            <w:pPr>
              <w:spacing w:before="60" w:after="60" w:line="252" w:lineRule="auto"/>
              <w:jc w:val="both"/>
              <w:rPr>
                <w:rFonts w:asciiTheme="minorHAnsi" w:eastAsia="Times New Roman" w:hAnsiTheme="minorHAnsi" w:cstheme="minorHAnsi"/>
                <w:b/>
                <w:bCs/>
                <w:lang w:eastAsia="ar-SA"/>
              </w:rPr>
            </w:pPr>
            <w:r w:rsidRPr="00F279AD">
              <w:rPr>
                <w:rFonts w:asciiTheme="minorHAnsi" w:eastAsia="Times New Roman" w:hAnsiTheme="minorHAnsi" w:cstheme="minorHAnsi"/>
                <w:bCs/>
                <w:lang w:eastAsia="ar-SA"/>
              </w:rPr>
              <w:t xml:space="preserve">art. 1 punkt 7) </w:t>
            </w:r>
            <w:r w:rsidRPr="00F279AD">
              <w:rPr>
                <w:rFonts w:asciiTheme="minorHAnsi" w:eastAsia="Times New Roman" w:hAnsiTheme="minorHAnsi" w:cstheme="minorHAnsi"/>
                <w:lang w:eastAsia="ar-SA"/>
              </w:rPr>
              <w:t xml:space="preserve">projektu ustawy nowelizującej </w:t>
            </w:r>
            <w:r w:rsidRPr="00F279AD">
              <w:rPr>
                <w:rFonts w:asciiTheme="minorHAnsi" w:eastAsia="Times New Roman" w:hAnsiTheme="minorHAnsi" w:cstheme="minorHAnsi"/>
                <w:bCs/>
                <w:lang w:eastAsia="ar-SA"/>
              </w:rPr>
              <w:t xml:space="preserve">(dotyczący </w:t>
            </w:r>
            <w:r w:rsidR="00D40C46">
              <w:rPr>
                <w:rFonts w:asciiTheme="minorHAnsi" w:eastAsia="Times New Roman" w:hAnsiTheme="minorHAnsi" w:cstheme="minorHAnsi"/>
                <w:bCs/>
                <w:lang w:eastAsia="ar-SA"/>
              </w:rPr>
              <w:t xml:space="preserve">projektowanego </w:t>
            </w:r>
            <w:r w:rsidRPr="00F279AD">
              <w:rPr>
                <w:rFonts w:asciiTheme="minorHAnsi" w:eastAsia="Times New Roman" w:hAnsiTheme="minorHAnsi" w:cstheme="minorHAnsi"/>
                <w:bCs/>
                <w:lang w:eastAsia="ar-SA"/>
              </w:rPr>
              <w:t>art. 25d ust. 5 oraz 6 ustawy o zapasach)</w:t>
            </w:r>
          </w:p>
        </w:tc>
        <w:tc>
          <w:tcPr>
            <w:tcW w:w="5191" w:type="dxa"/>
            <w:shd w:val="clear" w:color="auto" w:fill="FFFFFF" w:themeFill="background1"/>
            <w:vAlign w:val="center"/>
          </w:tcPr>
          <w:p w14:paraId="0E38829C" w14:textId="60DCCB87" w:rsidR="00F279AD" w:rsidRDefault="00D40C46" w:rsidP="00871A71">
            <w:pPr>
              <w:suppressAutoHyphens/>
              <w:snapToGrid w:val="0"/>
              <w:spacing w:before="60" w:after="60" w:line="252" w:lineRule="auto"/>
              <w:jc w:val="both"/>
              <w:rPr>
                <w:rFonts w:asciiTheme="minorHAnsi" w:hAnsiTheme="minorHAnsi" w:cstheme="minorHAnsi"/>
                <w:bCs/>
                <w:lang w:eastAsia="ar-SA"/>
              </w:rPr>
            </w:pPr>
            <w:r>
              <w:rPr>
                <w:rFonts w:asciiTheme="minorHAnsi" w:hAnsiTheme="minorHAnsi" w:cstheme="minorHAnsi"/>
                <w:bCs/>
                <w:lang w:eastAsia="ar-SA"/>
              </w:rPr>
              <w:t>Art. 25 d</w:t>
            </w:r>
            <w:r w:rsidR="00F279AD">
              <w:rPr>
                <w:rFonts w:asciiTheme="minorHAnsi" w:hAnsiTheme="minorHAnsi" w:cstheme="minorHAnsi"/>
                <w:bCs/>
                <w:lang w:eastAsia="ar-SA"/>
              </w:rPr>
              <w:t xml:space="preserve"> ust. 5 powinien przyjąć brzmienie:</w:t>
            </w:r>
          </w:p>
          <w:p w14:paraId="06534A5C" w14:textId="28F74635" w:rsidR="00F279AD" w:rsidRPr="00EF0AE0" w:rsidRDefault="00F279AD" w:rsidP="00871A71">
            <w:pPr>
              <w:suppressAutoHyphens/>
              <w:snapToGrid w:val="0"/>
              <w:spacing w:before="60" w:after="60" w:line="252" w:lineRule="auto"/>
              <w:jc w:val="both"/>
              <w:rPr>
                <w:rFonts w:asciiTheme="minorHAnsi" w:hAnsiTheme="minorHAnsi" w:cstheme="minorHAnsi"/>
                <w:bCs/>
                <w:lang w:eastAsia="ar-SA"/>
              </w:rPr>
            </w:pPr>
            <w:r w:rsidRPr="001367E0">
              <w:rPr>
                <w:rFonts w:asciiTheme="minorHAnsi" w:hAnsiTheme="minorHAnsi" w:cstheme="minorHAnsi"/>
                <w:bCs/>
                <w:lang w:eastAsia="ar-SA"/>
              </w:rPr>
              <w:t xml:space="preserve">Minister właściwy do spraw energii </w:t>
            </w:r>
            <w:r w:rsidRPr="000A1A6E">
              <w:rPr>
                <w:rFonts w:asciiTheme="minorHAnsi" w:hAnsiTheme="minorHAnsi" w:cstheme="minorHAnsi"/>
                <w:b/>
                <w:u w:val="single"/>
                <w:lang w:eastAsia="ar-SA"/>
              </w:rPr>
              <w:t xml:space="preserve">określi stawkę opłaty gazowej w terminie </w:t>
            </w:r>
            <w:r w:rsidRPr="00B262D7">
              <w:rPr>
                <w:rFonts w:asciiTheme="minorHAnsi" w:hAnsiTheme="minorHAnsi" w:cstheme="minorHAnsi"/>
                <w:b/>
                <w:u w:val="single"/>
                <w:lang w:eastAsia="ar-SA"/>
              </w:rPr>
              <w:t>do 30 września danego roku przed rokiem kalendarzowym, w którym będzie obowiązywać</w:t>
            </w:r>
            <w:r w:rsidRPr="001367E0">
              <w:rPr>
                <w:rFonts w:asciiTheme="minorHAnsi" w:hAnsiTheme="minorHAnsi" w:cstheme="minorHAnsi"/>
                <w:bCs/>
                <w:lang w:eastAsia="ar-SA"/>
              </w:rPr>
              <w:t>, w drodze rozporządzenia</w:t>
            </w:r>
            <w:r>
              <w:rPr>
                <w:rFonts w:asciiTheme="minorHAnsi" w:hAnsiTheme="minorHAnsi" w:cstheme="minorHAnsi"/>
                <w:bCs/>
                <w:lang w:eastAsia="ar-SA"/>
              </w:rPr>
              <w:t xml:space="preserve">, </w:t>
            </w:r>
            <w:r w:rsidRPr="001367E0">
              <w:rPr>
                <w:rFonts w:asciiTheme="minorHAnsi" w:hAnsiTheme="minorHAnsi" w:cstheme="minorHAnsi"/>
                <w:bCs/>
                <w:lang w:eastAsia="ar-SA"/>
              </w:rPr>
              <w:t xml:space="preserve">mając na uwadze koszt realizacji przez Agencję zadań w zakresie utworzenia i utrzymywania zapasów strategicznych gazu ziemnego w celu zaspokojenia zapotrzebowania </w:t>
            </w:r>
            <w:r w:rsidRPr="001367E0">
              <w:rPr>
                <w:rFonts w:asciiTheme="minorHAnsi" w:hAnsiTheme="minorHAnsi" w:cstheme="minorHAnsi"/>
                <w:bCs/>
                <w:lang w:eastAsia="ar-SA"/>
              </w:rPr>
              <w:lastRenderedPageBreak/>
              <w:t>odbiorców na gaz ziemny.</w:t>
            </w:r>
            <w:r>
              <w:rPr>
                <w:rFonts w:asciiTheme="minorHAnsi" w:hAnsiTheme="minorHAnsi" w:cstheme="minorHAnsi"/>
                <w:bCs/>
                <w:lang w:eastAsia="ar-SA"/>
              </w:rPr>
              <w:t xml:space="preserve"> </w:t>
            </w:r>
            <w:r w:rsidRPr="00B262D7">
              <w:rPr>
                <w:rFonts w:asciiTheme="minorHAnsi" w:hAnsiTheme="minorHAnsi" w:cstheme="minorHAnsi"/>
                <w:b/>
                <w:u w:val="single"/>
                <w:lang w:eastAsia="ar-SA"/>
              </w:rPr>
              <w:t>Tak ustalona stawka opłaty gazowej będzie obowiązywać w kolejnym roku kalendarzowym.</w:t>
            </w:r>
            <w:r w:rsidRPr="00B262D7">
              <w:rPr>
                <w:rFonts w:asciiTheme="minorHAnsi" w:hAnsiTheme="minorHAnsi" w:cstheme="minorHAnsi"/>
                <w:b/>
                <w:lang w:eastAsia="ar-SA"/>
              </w:rPr>
              <w:t>”</w:t>
            </w:r>
          </w:p>
        </w:tc>
        <w:tc>
          <w:tcPr>
            <w:tcW w:w="5330" w:type="dxa"/>
            <w:shd w:val="clear" w:color="auto" w:fill="FFFFFF" w:themeFill="background1"/>
          </w:tcPr>
          <w:p w14:paraId="314D2730" w14:textId="0E171A06" w:rsidR="00F279AD" w:rsidRDefault="00F279AD" w:rsidP="00871A71">
            <w:pPr>
              <w:spacing w:before="60" w:after="60"/>
              <w:jc w:val="both"/>
              <w:rPr>
                <w:rFonts w:asciiTheme="minorHAnsi" w:hAnsiTheme="minorHAnsi" w:cstheme="minorHAnsi"/>
                <w:bCs/>
                <w:lang w:eastAsia="ar-SA"/>
              </w:rPr>
            </w:pPr>
            <w:r>
              <w:rPr>
                <w:rFonts w:asciiTheme="minorHAnsi" w:hAnsiTheme="minorHAnsi" w:cstheme="minorHAnsi"/>
                <w:bCs/>
                <w:lang w:eastAsia="ar-SA"/>
              </w:rPr>
              <w:lastRenderedPageBreak/>
              <w:t xml:space="preserve">W ustawie należy doprecyzować, w jakim terminie i na jaki okres zostanie wyznaczona stawka opłaty gazowej przez właściwego ministra </w:t>
            </w:r>
            <w:r w:rsidR="00D40C46">
              <w:rPr>
                <w:rFonts w:asciiTheme="minorHAnsi" w:hAnsiTheme="minorHAnsi" w:cstheme="minorHAnsi"/>
                <w:bCs/>
                <w:lang w:eastAsia="ar-SA"/>
              </w:rPr>
              <w:t>–</w:t>
            </w:r>
            <w:r>
              <w:rPr>
                <w:rFonts w:asciiTheme="minorHAnsi" w:hAnsiTheme="minorHAnsi" w:cstheme="minorHAnsi"/>
                <w:bCs/>
                <w:lang w:eastAsia="ar-SA"/>
              </w:rPr>
              <w:t xml:space="preserve"> podobnie</w:t>
            </w:r>
            <w:r w:rsidR="00D40C46">
              <w:rPr>
                <w:rFonts w:asciiTheme="minorHAnsi" w:hAnsiTheme="minorHAnsi" w:cstheme="minorHAnsi"/>
                <w:bCs/>
                <w:lang w:eastAsia="ar-SA"/>
              </w:rPr>
              <w:t xml:space="preserve"> </w:t>
            </w:r>
            <w:r>
              <w:rPr>
                <w:rFonts w:asciiTheme="minorHAnsi" w:hAnsiTheme="minorHAnsi" w:cstheme="minorHAnsi"/>
                <w:bCs/>
                <w:lang w:eastAsia="ar-SA"/>
              </w:rPr>
              <w:t>jak w projekcie ustawy został podany termin obliczenia / ustalenia wielkości zapasów strategicznych czy termin składania deklaracji przez przedsiębiorstwa zobowiązane.</w:t>
            </w:r>
          </w:p>
          <w:p w14:paraId="445863EB" w14:textId="274E0896" w:rsidR="00F279AD" w:rsidRPr="00EF0AE0" w:rsidRDefault="00F279AD" w:rsidP="00D40C46">
            <w:pPr>
              <w:spacing w:before="60" w:after="60"/>
              <w:jc w:val="both"/>
              <w:rPr>
                <w:rFonts w:asciiTheme="minorHAnsi" w:hAnsiTheme="minorHAnsi" w:cstheme="minorHAnsi"/>
              </w:rPr>
            </w:pPr>
            <w:r>
              <w:rPr>
                <w:rFonts w:asciiTheme="minorHAnsi" w:hAnsiTheme="minorHAnsi" w:cstheme="minorHAnsi"/>
              </w:rPr>
              <w:t xml:space="preserve">Zauważamy ponadto, że w art. 25d ust. 6 projektu ustawy mowa jest o planowanych kosztach na kolejny rok </w:t>
            </w:r>
            <w:r>
              <w:rPr>
                <w:rFonts w:asciiTheme="minorHAnsi" w:hAnsiTheme="minorHAnsi" w:cstheme="minorHAnsi"/>
              </w:rPr>
              <w:lastRenderedPageBreak/>
              <w:t>kalendarzowy. Stąd też w naszej ocenie stawka opłaty gazowej powinna być również określona na rok kalendarzowy.</w:t>
            </w:r>
          </w:p>
        </w:tc>
      </w:tr>
      <w:tr w:rsidR="00F279AD" w:rsidRPr="00EF0AE0" w14:paraId="2C4CC84A" w14:textId="77777777" w:rsidTr="00952F82">
        <w:tc>
          <w:tcPr>
            <w:tcW w:w="664" w:type="dxa"/>
            <w:shd w:val="clear" w:color="auto" w:fill="FFFFFF" w:themeFill="background1"/>
          </w:tcPr>
          <w:p w14:paraId="2867C130" w14:textId="124290FD" w:rsidR="00F279AD" w:rsidRPr="00EF0AE0" w:rsidRDefault="007214E3"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4</w:t>
            </w:r>
          </w:p>
        </w:tc>
        <w:tc>
          <w:tcPr>
            <w:tcW w:w="2807" w:type="dxa"/>
            <w:shd w:val="clear" w:color="auto" w:fill="FFFFFF" w:themeFill="background1"/>
          </w:tcPr>
          <w:p w14:paraId="2F6B1AB7" w14:textId="367CE56B" w:rsidR="00F279AD" w:rsidRPr="00F279AD" w:rsidRDefault="00F279AD" w:rsidP="00871A71">
            <w:pPr>
              <w:spacing w:before="60" w:after="60" w:line="252" w:lineRule="auto"/>
              <w:jc w:val="both"/>
              <w:rPr>
                <w:rFonts w:asciiTheme="minorHAnsi" w:hAnsiTheme="minorHAnsi" w:cstheme="minorHAnsi"/>
              </w:rPr>
            </w:pPr>
            <w:r w:rsidRPr="00F279AD">
              <w:rPr>
                <w:rFonts w:asciiTheme="minorHAnsi" w:hAnsiTheme="minorHAnsi" w:cstheme="minorHAnsi"/>
                <w:lang w:eastAsia="ar-SA"/>
              </w:rPr>
              <w:t>Nowy artykuł, po artykule 7 projektu ustawy nowelizującej</w:t>
            </w:r>
          </w:p>
        </w:tc>
        <w:tc>
          <w:tcPr>
            <w:tcW w:w="5191" w:type="dxa"/>
            <w:shd w:val="clear" w:color="auto" w:fill="FFFFFF" w:themeFill="background1"/>
          </w:tcPr>
          <w:p w14:paraId="39B235B6" w14:textId="77777777" w:rsidR="00F279AD" w:rsidRDefault="00F279AD" w:rsidP="00871A71">
            <w:pPr>
              <w:suppressAutoHyphens/>
              <w:snapToGrid w:val="0"/>
              <w:spacing w:before="20" w:after="120"/>
              <w:jc w:val="both"/>
              <w:rPr>
                <w:rStyle w:val="Ppogrubienie"/>
                <w:bCs/>
              </w:rPr>
            </w:pPr>
            <w:r>
              <w:rPr>
                <w:rStyle w:val="Ppogrubienie"/>
                <w:bCs/>
              </w:rPr>
              <w:t>Po obecnym art. 7 proponujemy dodać nowy art. w brzmieniu:</w:t>
            </w:r>
          </w:p>
          <w:p w14:paraId="3AECB4E0" w14:textId="30A36EEB" w:rsidR="00F279AD" w:rsidRPr="00F279AD" w:rsidRDefault="00F279AD" w:rsidP="00871A71">
            <w:pPr>
              <w:suppressAutoHyphens/>
              <w:snapToGrid w:val="0"/>
              <w:spacing w:before="20" w:after="120"/>
              <w:jc w:val="both"/>
              <w:rPr>
                <w:bCs/>
              </w:rPr>
            </w:pPr>
            <w:r>
              <w:rPr>
                <w:rStyle w:val="Ppogrubienie"/>
                <w:bCs/>
              </w:rPr>
              <w:t>„</w:t>
            </w:r>
            <w:r w:rsidRPr="00491A46">
              <w:rPr>
                <w:rFonts w:asciiTheme="minorHAnsi" w:hAnsiTheme="minorHAnsi" w:cstheme="minorHAnsi"/>
                <w:bCs/>
                <w:lang w:eastAsia="ar-SA"/>
              </w:rPr>
              <w:t xml:space="preserve">Minister właściwy do spraw energii określi po raz pierwszy </w:t>
            </w:r>
            <w:r>
              <w:rPr>
                <w:rFonts w:asciiTheme="minorHAnsi" w:hAnsiTheme="minorHAnsi" w:cstheme="minorHAnsi"/>
                <w:bCs/>
                <w:lang w:eastAsia="ar-SA"/>
              </w:rPr>
              <w:t xml:space="preserve">w drodze rozporządzenia </w:t>
            </w:r>
            <w:r w:rsidRPr="00491A46">
              <w:rPr>
                <w:rFonts w:asciiTheme="minorHAnsi" w:hAnsiTheme="minorHAnsi" w:cstheme="minorHAnsi"/>
                <w:bCs/>
                <w:lang w:eastAsia="ar-SA"/>
              </w:rPr>
              <w:t xml:space="preserve">stawkę opłaty gazowej w terminie do </w:t>
            </w:r>
            <w:r>
              <w:rPr>
                <w:rFonts w:asciiTheme="minorHAnsi" w:hAnsiTheme="minorHAnsi" w:cstheme="minorHAnsi"/>
                <w:bCs/>
                <w:lang w:eastAsia="ar-SA"/>
              </w:rPr>
              <w:t>dwóch miesięcy od daty wejścia w życie ustawy</w:t>
            </w:r>
            <w:r w:rsidRPr="001367E0">
              <w:rPr>
                <w:rFonts w:asciiTheme="minorHAnsi" w:hAnsiTheme="minorHAnsi" w:cstheme="minorHAnsi"/>
                <w:bCs/>
                <w:lang w:eastAsia="ar-SA"/>
              </w:rPr>
              <w:t>.</w:t>
            </w:r>
            <w:r>
              <w:rPr>
                <w:rFonts w:asciiTheme="minorHAnsi" w:hAnsiTheme="minorHAnsi" w:cstheme="minorHAnsi"/>
                <w:bCs/>
                <w:lang w:eastAsia="ar-SA"/>
              </w:rPr>
              <w:t xml:space="preserve">” </w:t>
            </w:r>
          </w:p>
        </w:tc>
        <w:tc>
          <w:tcPr>
            <w:tcW w:w="5330" w:type="dxa"/>
            <w:shd w:val="clear" w:color="auto" w:fill="FFFFFF" w:themeFill="background1"/>
          </w:tcPr>
          <w:p w14:paraId="25E3B969" w14:textId="22E6872F" w:rsidR="00F279AD" w:rsidRPr="00EF0AE0" w:rsidRDefault="00F279AD" w:rsidP="00871A71">
            <w:pPr>
              <w:spacing w:before="60" w:after="60" w:line="252" w:lineRule="auto"/>
              <w:jc w:val="both"/>
              <w:rPr>
                <w:rFonts w:asciiTheme="minorHAnsi" w:hAnsiTheme="minorHAnsi" w:cstheme="minorHAnsi"/>
              </w:rPr>
            </w:pPr>
            <w:r>
              <w:rPr>
                <w:rFonts w:cstheme="minorHAnsi"/>
              </w:rPr>
              <w:t>Zauważamy brak przepisu dotyczącego terminu określenia przez ministra pierwszej stawki opłaty gazowej.</w:t>
            </w:r>
          </w:p>
        </w:tc>
      </w:tr>
      <w:tr w:rsidR="00F279AD" w:rsidRPr="00EF0AE0" w14:paraId="596189EC" w14:textId="77777777" w:rsidTr="00952F82">
        <w:tc>
          <w:tcPr>
            <w:tcW w:w="664" w:type="dxa"/>
            <w:shd w:val="clear" w:color="auto" w:fill="FFFFFF" w:themeFill="background1"/>
          </w:tcPr>
          <w:p w14:paraId="125DC52A" w14:textId="1EC0E692" w:rsidR="00F279AD" w:rsidRDefault="007214E3" w:rsidP="00871A71">
            <w:pPr>
              <w:spacing w:before="60" w:after="60" w:line="252" w:lineRule="auto"/>
              <w:jc w:val="both"/>
              <w:rPr>
                <w:rFonts w:asciiTheme="minorHAnsi" w:hAnsiTheme="minorHAnsi" w:cstheme="minorHAnsi"/>
                <w:bCs/>
              </w:rPr>
            </w:pPr>
            <w:r>
              <w:rPr>
                <w:rFonts w:asciiTheme="minorHAnsi" w:hAnsiTheme="minorHAnsi" w:cstheme="minorHAnsi"/>
                <w:bCs/>
              </w:rPr>
              <w:t>5</w:t>
            </w:r>
          </w:p>
        </w:tc>
        <w:tc>
          <w:tcPr>
            <w:tcW w:w="2807" w:type="dxa"/>
            <w:shd w:val="clear" w:color="auto" w:fill="FFFFFF" w:themeFill="background1"/>
          </w:tcPr>
          <w:p w14:paraId="3261A158" w14:textId="707A1787" w:rsidR="00F279AD" w:rsidRPr="00F279AD" w:rsidRDefault="00F279AD" w:rsidP="00871A71">
            <w:pPr>
              <w:spacing w:before="60" w:after="60" w:line="252" w:lineRule="auto"/>
              <w:jc w:val="both"/>
              <w:rPr>
                <w:rFonts w:asciiTheme="minorHAnsi" w:hAnsiTheme="minorHAnsi" w:cstheme="minorHAnsi"/>
                <w:lang w:eastAsia="ar-SA"/>
              </w:rPr>
            </w:pPr>
            <w:r w:rsidRPr="00F279AD">
              <w:rPr>
                <w:rFonts w:asciiTheme="minorHAnsi" w:hAnsiTheme="minorHAnsi" w:cstheme="minorHAnsi"/>
                <w:lang w:eastAsia="ar-SA"/>
              </w:rPr>
              <w:t>art. 8 projektu ustawy nowelizującej</w:t>
            </w:r>
          </w:p>
        </w:tc>
        <w:tc>
          <w:tcPr>
            <w:tcW w:w="5191" w:type="dxa"/>
            <w:shd w:val="clear" w:color="auto" w:fill="FFFFFF" w:themeFill="background1"/>
          </w:tcPr>
          <w:p w14:paraId="34C6EEA8" w14:textId="77777777" w:rsidR="00F279AD" w:rsidRDefault="00F279AD" w:rsidP="00871A71">
            <w:pPr>
              <w:suppressAutoHyphens/>
              <w:snapToGrid w:val="0"/>
              <w:spacing w:before="20" w:after="120"/>
              <w:jc w:val="both"/>
              <w:rPr>
                <w:rStyle w:val="Ppogrubienie"/>
                <w:b w:val="0"/>
                <w:bCs/>
              </w:rPr>
            </w:pPr>
            <w:r w:rsidRPr="00877A05">
              <w:rPr>
                <w:rStyle w:val="Ppogrubienie"/>
                <w:bCs/>
              </w:rPr>
              <w:t>W art. 8, po zdaniu „W roku gazowym zaczynającym się w dniu 1 październi</w:t>
            </w:r>
            <w:r w:rsidRPr="00D63BF7">
              <w:rPr>
                <w:rStyle w:val="Ppogrubienie"/>
                <w:bCs/>
              </w:rPr>
              <w:t>ka 202</w:t>
            </w:r>
            <w:r>
              <w:rPr>
                <w:rStyle w:val="Ppogrubienie"/>
                <w:bCs/>
              </w:rPr>
              <w:t>2 r.</w:t>
            </w:r>
            <w:r w:rsidRPr="00D63BF7">
              <w:rPr>
                <w:rStyle w:val="Ppogrubienie"/>
                <w:bCs/>
              </w:rPr>
              <w:t xml:space="preserve"> </w:t>
            </w:r>
            <w:r>
              <w:rPr>
                <w:rStyle w:val="Ppogrubienie"/>
                <w:bCs/>
              </w:rPr>
              <w:t>zapasy gazu ziemnego tworzy się i utrzymuje na podstawie ustawy zmienianej w art. 1 w brzmieniu dotychczasowym.” należy dodać:</w:t>
            </w:r>
          </w:p>
          <w:p w14:paraId="4EBE7693" w14:textId="77777777" w:rsidR="00F279AD" w:rsidRPr="00877A05" w:rsidRDefault="00F279AD" w:rsidP="00871A71">
            <w:pPr>
              <w:pStyle w:val="Default"/>
              <w:jc w:val="both"/>
              <w:rPr>
                <w:rStyle w:val="Ppogrubienie"/>
                <w:rFonts w:ascii="Calibri" w:hAnsi="Calibri"/>
                <w:b w:val="0"/>
                <w:bCs/>
                <w:color w:val="auto"/>
                <w:sz w:val="22"/>
                <w:szCs w:val="22"/>
                <w:lang w:eastAsia="en-US"/>
              </w:rPr>
            </w:pPr>
            <w:r w:rsidRPr="00877A05">
              <w:rPr>
                <w:rStyle w:val="Ppogrubienie"/>
                <w:rFonts w:ascii="Calibri" w:hAnsi="Calibri"/>
                <w:bCs/>
                <w:color w:val="auto"/>
                <w:sz w:val="22"/>
                <w:szCs w:val="22"/>
                <w:lang w:eastAsia="en-US"/>
              </w:rPr>
              <w:lastRenderedPageBreak/>
              <w:t xml:space="preserve">„Maksymalny limit wydatków Rządowej Agencji Rezerw Strategicznych na realizację działania, o którym mowa w art. 70c ust. 3 pkt 1 ustawy </w:t>
            </w:r>
            <w:r>
              <w:rPr>
                <w:rStyle w:val="Ppogrubienie"/>
                <w:rFonts w:ascii="Calibri" w:hAnsi="Calibri"/>
                <w:bCs/>
                <w:color w:val="auto"/>
                <w:sz w:val="22"/>
                <w:szCs w:val="22"/>
                <w:lang w:eastAsia="en-US"/>
              </w:rPr>
              <w:t xml:space="preserve">o </w:t>
            </w:r>
            <w:r w:rsidRPr="00877A05">
              <w:rPr>
                <w:rStyle w:val="Ppogrubienie"/>
                <w:rFonts w:ascii="Calibri" w:hAnsi="Calibri"/>
                <w:bCs/>
                <w:color w:val="auto"/>
                <w:sz w:val="22"/>
                <w:szCs w:val="22"/>
                <w:lang w:eastAsia="en-US"/>
              </w:rPr>
              <w:t xml:space="preserve">zmienianej w art. </w:t>
            </w:r>
            <w:r>
              <w:rPr>
                <w:rStyle w:val="Ppogrubienie"/>
                <w:rFonts w:ascii="Calibri" w:hAnsi="Calibri"/>
                <w:bCs/>
                <w:color w:val="auto"/>
                <w:sz w:val="22"/>
                <w:szCs w:val="22"/>
                <w:lang w:eastAsia="en-US"/>
              </w:rPr>
              <w:t>1</w:t>
            </w:r>
            <w:r w:rsidRPr="00877A05">
              <w:rPr>
                <w:rStyle w:val="Ppogrubienie"/>
                <w:rFonts w:ascii="Calibri" w:hAnsi="Calibri"/>
                <w:bCs/>
                <w:color w:val="auto"/>
                <w:sz w:val="22"/>
                <w:szCs w:val="22"/>
                <w:lang w:eastAsia="en-US"/>
              </w:rPr>
              <w:t xml:space="preserve">, wynosi: </w:t>
            </w:r>
          </w:p>
          <w:p w14:paraId="7BD7D38B" w14:textId="77777777" w:rsidR="00F279AD" w:rsidRPr="00877A05" w:rsidRDefault="00F279AD" w:rsidP="00871A71">
            <w:pPr>
              <w:pStyle w:val="Default"/>
              <w:jc w:val="both"/>
              <w:rPr>
                <w:rStyle w:val="Ppogrubienie"/>
                <w:rFonts w:ascii="Calibri" w:hAnsi="Calibri"/>
                <w:b w:val="0"/>
                <w:bCs/>
                <w:color w:val="auto"/>
                <w:sz w:val="22"/>
                <w:szCs w:val="22"/>
                <w:lang w:eastAsia="en-US"/>
              </w:rPr>
            </w:pPr>
            <w:r w:rsidRPr="00877A05">
              <w:rPr>
                <w:rStyle w:val="Ppogrubienie"/>
                <w:rFonts w:ascii="Calibri" w:hAnsi="Calibri"/>
                <w:bCs/>
                <w:color w:val="auto"/>
                <w:sz w:val="22"/>
                <w:szCs w:val="22"/>
                <w:lang w:eastAsia="en-US"/>
              </w:rPr>
              <w:t xml:space="preserve">1) w 2022 r. – </w:t>
            </w:r>
            <w:r w:rsidRPr="00B262D7">
              <w:rPr>
                <w:rStyle w:val="Ppogrubienie"/>
                <w:rFonts w:ascii="Calibri" w:hAnsi="Calibri"/>
                <w:color w:val="auto"/>
                <w:sz w:val="22"/>
                <w:szCs w:val="22"/>
                <w:u w:val="single"/>
                <w:lang w:eastAsia="en-US"/>
              </w:rPr>
              <w:t>7 920 000 000 zł;</w:t>
            </w:r>
            <w:r w:rsidRPr="00877A05">
              <w:rPr>
                <w:rStyle w:val="Ppogrubienie"/>
                <w:rFonts w:ascii="Calibri" w:hAnsi="Calibri"/>
                <w:bCs/>
                <w:color w:val="auto"/>
                <w:sz w:val="22"/>
                <w:szCs w:val="22"/>
                <w:lang w:eastAsia="en-US"/>
              </w:rPr>
              <w:t xml:space="preserve"> </w:t>
            </w:r>
          </w:p>
          <w:p w14:paraId="21DB7C26" w14:textId="77777777" w:rsidR="00F279AD" w:rsidRPr="00877A05" w:rsidRDefault="00F279AD" w:rsidP="00871A71">
            <w:pPr>
              <w:suppressAutoHyphens/>
              <w:snapToGrid w:val="0"/>
              <w:spacing w:before="20" w:after="120"/>
              <w:jc w:val="both"/>
              <w:rPr>
                <w:rStyle w:val="Ppogrubienie"/>
                <w:b w:val="0"/>
                <w:bCs/>
              </w:rPr>
            </w:pPr>
            <w:r w:rsidRPr="00877A05">
              <w:rPr>
                <w:rStyle w:val="Ppogrubienie"/>
                <w:bCs/>
              </w:rPr>
              <w:t>2) w latach 2023–2031 – 0 zł.</w:t>
            </w:r>
            <w:r>
              <w:rPr>
                <w:rStyle w:val="Ppogrubienie"/>
                <w:bCs/>
              </w:rPr>
              <w:t>”</w:t>
            </w:r>
          </w:p>
          <w:p w14:paraId="66777293" w14:textId="77777777" w:rsidR="00F279AD" w:rsidRDefault="00F279AD" w:rsidP="00871A71">
            <w:pPr>
              <w:suppressAutoHyphens/>
              <w:snapToGrid w:val="0"/>
              <w:spacing w:before="20" w:after="120"/>
              <w:jc w:val="both"/>
              <w:rPr>
                <w:rStyle w:val="Ppogrubienie"/>
                <w:bCs/>
              </w:rPr>
            </w:pPr>
          </w:p>
        </w:tc>
        <w:tc>
          <w:tcPr>
            <w:tcW w:w="5330" w:type="dxa"/>
            <w:shd w:val="clear" w:color="auto" w:fill="FFFFFF" w:themeFill="background1"/>
          </w:tcPr>
          <w:p w14:paraId="7C3692FF" w14:textId="77777777" w:rsidR="00F279AD" w:rsidRDefault="00F279AD" w:rsidP="00871A71">
            <w:pPr>
              <w:spacing w:after="120"/>
              <w:jc w:val="both"/>
              <w:rPr>
                <w:rFonts w:cstheme="minorHAnsi"/>
              </w:rPr>
            </w:pPr>
            <w:r>
              <w:rPr>
                <w:rFonts w:cstheme="minorHAnsi"/>
              </w:rPr>
              <w:lastRenderedPageBreak/>
              <w:t>Zauważam</w:t>
            </w:r>
            <w:r w:rsidRPr="008B4BE4">
              <w:rPr>
                <w:rFonts w:cstheme="minorHAnsi"/>
              </w:rPr>
              <w:t>y jednocześnie lukę w chronologii podejścia do tematu zapasów obowiązkowych gazu ziemnego.</w:t>
            </w:r>
            <w:r>
              <w:rPr>
                <w:rFonts w:cstheme="minorHAnsi"/>
              </w:rPr>
              <w:t xml:space="preserve"> </w:t>
            </w:r>
          </w:p>
          <w:p w14:paraId="54B22EA1" w14:textId="77777777" w:rsidR="00F279AD" w:rsidRDefault="00F279AD" w:rsidP="00871A71">
            <w:pPr>
              <w:spacing w:after="120"/>
              <w:jc w:val="both"/>
              <w:rPr>
                <w:rFonts w:cstheme="minorHAnsi"/>
              </w:rPr>
            </w:pPr>
            <w:r>
              <w:rPr>
                <w:rFonts w:cstheme="minorHAnsi"/>
              </w:rPr>
              <w:t xml:space="preserve">Do tej pory, obowiązkowe zapasy gazu ziemnego były utrzymywane na podstawie przepisów tak zwanej ustawy o zapasach, która została znowelizowana ustawą </w:t>
            </w:r>
            <w:r w:rsidRPr="008B4BE4">
              <w:rPr>
                <w:rFonts w:cstheme="minorHAnsi"/>
              </w:rPr>
              <w:t xml:space="preserve">z dnia 26 </w:t>
            </w:r>
            <w:r w:rsidRPr="008B4BE4">
              <w:rPr>
                <w:rFonts w:cstheme="minorHAnsi"/>
              </w:rPr>
              <w:lastRenderedPageBreak/>
              <w:t>stycznia 2022 r. o szczególnych rozwiązaniach służących ochronie odbiorców paliw gazowych w związku z sytuacją na rynku gazu</w:t>
            </w:r>
            <w:r>
              <w:rPr>
                <w:rFonts w:cstheme="minorHAnsi"/>
              </w:rPr>
              <w:t>.</w:t>
            </w:r>
          </w:p>
          <w:p w14:paraId="52B3C934" w14:textId="77777777" w:rsidR="00F279AD" w:rsidRDefault="00F279AD" w:rsidP="00871A71">
            <w:pPr>
              <w:pStyle w:val="NormalnyWeb"/>
              <w:shd w:val="clear" w:color="auto" w:fill="FFFFFF"/>
              <w:spacing w:before="120" w:beforeAutospacing="0" w:after="120" w:afterAutospacing="0" w:line="276" w:lineRule="auto"/>
              <w:jc w:val="both"/>
              <w:textAlignment w:val="baseline"/>
              <w:rPr>
                <w:rFonts w:ascii="Calibri" w:eastAsia="Calibri" w:hAnsi="Calibri" w:cstheme="minorHAnsi"/>
                <w:sz w:val="22"/>
                <w:szCs w:val="22"/>
                <w:lang w:eastAsia="en-US"/>
              </w:rPr>
            </w:pPr>
            <w:r w:rsidRPr="008B4BE4">
              <w:rPr>
                <w:rFonts w:ascii="Calibri" w:eastAsia="Calibri" w:hAnsi="Calibri" w:cstheme="minorHAnsi"/>
                <w:sz w:val="22"/>
                <w:szCs w:val="22"/>
                <w:lang w:eastAsia="en-US"/>
              </w:rPr>
              <w:t>W obecnym stanie prawnym (ograniczenie budżetowe</w:t>
            </w:r>
            <w:r>
              <w:rPr>
                <w:rFonts w:ascii="Calibri" w:eastAsia="Calibri" w:hAnsi="Calibri" w:cstheme="minorHAnsi"/>
                <w:sz w:val="22"/>
                <w:szCs w:val="22"/>
                <w:lang w:eastAsia="en-US"/>
              </w:rPr>
              <w:t xml:space="preserve"> ww. ustawy z dnia 26 stycznia 2022 r.</w:t>
            </w:r>
            <w:r w:rsidRPr="008B4BE4">
              <w:rPr>
                <w:rFonts w:ascii="Calibri" w:eastAsia="Calibri" w:hAnsi="Calibri" w:cstheme="minorHAnsi"/>
                <w:sz w:val="22"/>
                <w:szCs w:val="22"/>
                <w:lang w:eastAsia="en-US"/>
              </w:rPr>
              <w:t xml:space="preserve">) i faktycznym (poziom cen na rynku gazu) nie jest realnie możliwe kontynuowanie nabycia przez Agencję gazu ziemnego, na rzecz Skarbu Państwa, od podmiotu zobowiązanego, jak to zostało przewidziane w </w:t>
            </w:r>
            <w:r>
              <w:rPr>
                <w:rFonts w:ascii="Calibri" w:eastAsia="Calibri" w:hAnsi="Calibri" w:cstheme="minorHAnsi"/>
                <w:sz w:val="22"/>
                <w:szCs w:val="22"/>
                <w:lang w:eastAsia="en-US"/>
              </w:rPr>
              <w:t xml:space="preserve">tej </w:t>
            </w:r>
            <w:r w:rsidRPr="008B4BE4">
              <w:rPr>
                <w:rFonts w:ascii="Calibri" w:eastAsia="Calibri" w:hAnsi="Calibri" w:cstheme="minorHAnsi"/>
                <w:sz w:val="22"/>
                <w:szCs w:val="22"/>
                <w:lang w:eastAsia="en-US"/>
              </w:rPr>
              <w:t xml:space="preserve">nowelizacji ustawy. </w:t>
            </w:r>
          </w:p>
          <w:p w14:paraId="563AAD40" w14:textId="77777777" w:rsidR="00F279AD" w:rsidRDefault="00F279AD" w:rsidP="00871A71">
            <w:pPr>
              <w:pStyle w:val="NormalnyWeb"/>
              <w:shd w:val="clear" w:color="auto" w:fill="FFFFFF"/>
              <w:spacing w:before="120" w:beforeAutospacing="0" w:after="120" w:afterAutospacing="0" w:line="276" w:lineRule="auto"/>
              <w:jc w:val="both"/>
              <w:textAlignment w:val="baseline"/>
              <w:rPr>
                <w:rFonts w:ascii="Calibri" w:eastAsia="Calibri" w:hAnsi="Calibri" w:cstheme="minorHAnsi"/>
                <w:sz w:val="22"/>
                <w:szCs w:val="22"/>
                <w:lang w:eastAsia="en-US"/>
              </w:rPr>
            </w:pPr>
            <w:r>
              <w:rPr>
                <w:rFonts w:ascii="Calibri" w:eastAsia="Calibri" w:hAnsi="Calibri" w:cstheme="minorHAnsi"/>
                <w:sz w:val="22"/>
                <w:szCs w:val="22"/>
                <w:lang w:eastAsia="en-US"/>
              </w:rPr>
              <w:t xml:space="preserve">Oznacza to, że umowy biletowe z Agencją dotyczyć będą tak zwanego pierwszego okresu dostaw, to jest okresu do dnia 30 września 2022 r. Z kolei w  okresie od 1 października 2022 r. do 30 września 2023 r., zakup gazu </w:t>
            </w:r>
            <w:r>
              <w:rPr>
                <w:rFonts w:ascii="Calibri" w:eastAsia="Calibri" w:hAnsi="Calibri" w:cstheme="minorHAnsi"/>
                <w:sz w:val="22"/>
                <w:szCs w:val="22"/>
                <w:lang w:eastAsia="en-US"/>
              </w:rPr>
              <w:lastRenderedPageBreak/>
              <w:t xml:space="preserve">przez Agencję nie będzie realizowany, ze względu na brak odpowiedniego budżetu. </w:t>
            </w:r>
          </w:p>
          <w:p w14:paraId="24155687" w14:textId="77777777" w:rsidR="00F279AD" w:rsidRDefault="00F279AD" w:rsidP="00871A71">
            <w:pPr>
              <w:pStyle w:val="NormalnyWeb"/>
              <w:shd w:val="clear" w:color="auto" w:fill="FFFFFF"/>
              <w:spacing w:before="120" w:beforeAutospacing="0" w:after="120" w:afterAutospacing="0" w:line="276" w:lineRule="auto"/>
              <w:jc w:val="both"/>
              <w:textAlignment w:val="baseline"/>
              <w:rPr>
                <w:rFonts w:ascii="Calibri" w:eastAsia="Calibri" w:hAnsi="Calibri" w:cstheme="minorHAnsi"/>
                <w:sz w:val="22"/>
                <w:szCs w:val="22"/>
                <w:lang w:eastAsia="en-US"/>
              </w:rPr>
            </w:pPr>
            <w:r>
              <w:rPr>
                <w:rFonts w:ascii="Calibri" w:eastAsia="Calibri" w:hAnsi="Calibri" w:cstheme="minorHAnsi"/>
                <w:sz w:val="22"/>
                <w:szCs w:val="22"/>
                <w:lang w:eastAsia="en-US"/>
              </w:rPr>
              <w:t>Z dniem 1 października 2023 r. Agencja nabywa zapasy obowiązkowe gazu ziemnego utrzymywane przez podmioty zobowiązane (na podstawie art. 14 ust. 2 analizowanego projektu ustawy).</w:t>
            </w:r>
          </w:p>
          <w:p w14:paraId="0F7367CB" w14:textId="21C7C644" w:rsidR="00F279AD" w:rsidRDefault="00F279AD" w:rsidP="00871A71">
            <w:pPr>
              <w:pStyle w:val="NormalnyWeb"/>
              <w:shd w:val="clear" w:color="auto" w:fill="FFFFFF"/>
              <w:spacing w:before="120" w:beforeAutospacing="0" w:after="120" w:afterAutospacing="0" w:line="276" w:lineRule="auto"/>
              <w:jc w:val="both"/>
              <w:textAlignment w:val="baseline"/>
              <w:rPr>
                <w:rFonts w:cstheme="minorHAnsi"/>
              </w:rPr>
            </w:pPr>
            <w:r>
              <w:rPr>
                <w:rFonts w:ascii="Calibri" w:eastAsia="Calibri" w:hAnsi="Calibri" w:cstheme="minorHAnsi"/>
                <w:sz w:val="22"/>
                <w:szCs w:val="22"/>
                <w:lang w:eastAsia="en-US"/>
              </w:rPr>
              <w:t>W nasze</w:t>
            </w:r>
            <w:r w:rsidR="00D40C46">
              <w:rPr>
                <w:rFonts w:ascii="Calibri" w:eastAsia="Calibri" w:hAnsi="Calibri" w:cstheme="minorHAnsi"/>
                <w:sz w:val="22"/>
                <w:szCs w:val="22"/>
                <w:lang w:eastAsia="en-US"/>
              </w:rPr>
              <w:t xml:space="preserve">j ocenie należy zmienić art. 8 </w:t>
            </w:r>
            <w:r>
              <w:rPr>
                <w:rFonts w:ascii="Calibri" w:eastAsia="Calibri" w:hAnsi="Calibri" w:cstheme="minorHAnsi"/>
                <w:sz w:val="22"/>
                <w:szCs w:val="22"/>
                <w:lang w:eastAsia="en-US"/>
              </w:rPr>
              <w:t>analizowanego projektu ustawy i dodać zapis dotyczący zwiększenia budżetu na  zakup gazu ziemnego z zapasów obowiązkowych w tak zwanym drugim okresie dostaw, to jest  od 1 października 2022 r. do 30 września 2023 r.</w:t>
            </w:r>
            <w:r>
              <w:rPr>
                <w:rFonts w:cstheme="minorHAnsi"/>
              </w:rPr>
              <w:t xml:space="preserve"> </w:t>
            </w:r>
          </w:p>
        </w:tc>
      </w:tr>
      <w:tr w:rsidR="00F279AD" w:rsidRPr="00EF0AE0" w14:paraId="1B4D65F2" w14:textId="77777777" w:rsidTr="00952F82">
        <w:tc>
          <w:tcPr>
            <w:tcW w:w="664" w:type="dxa"/>
            <w:shd w:val="clear" w:color="auto" w:fill="FFFFFF" w:themeFill="background1"/>
          </w:tcPr>
          <w:p w14:paraId="65A3F497" w14:textId="695A2C67" w:rsidR="00F279AD" w:rsidRDefault="007214E3"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6</w:t>
            </w:r>
          </w:p>
        </w:tc>
        <w:tc>
          <w:tcPr>
            <w:tcW w:w="2807" w:type="dxa"/>
            <w:shd w:val="clear" w:color="auto" w:fill="FFFFFF" w:themeFill="background1"/>
          </w:tcPr>
          <w:p w14:paraId="5DEB30C0" w14:textId="576B8B6D" w:rsidR="00F279AD" w:rsidRPr="00F279AD" w:rsidRDefault="00F279AD" w:rsidP="00871A71">
            <w:pPr>
              <w:spacing w:before="60" w:after="60" w:line="252" w:lineRule="auto"/>
              <w:jc w:val="both"/>
              <w:rPr>
                <w:rFonts w:asciiTheme="minorHAnsi" w:hAnsiTheme="minorHAnsi" w:cstheme="minorHAnsi"/>
                <w:lang w:eastAsia="ar-SA"/>
              </w:rPr>
            </w:pPr>
            <w:r w:rsidRPr="00F279AD">
              <w:rPr>
                <w:rFonts w:asciiTheme="minorHAnsi" w:hAnsiTheme="minorHAnsi" w:cstheme="minorHAnsi"/>
                <w:lang w:eastAsia="ar-SA"/>
              </w:rPr>
              <w:t>art. 14 ust. 1 projektu ustawy nowelizującej</w:t>
            </w:r>
          </w:p>
        </w:tc>
        <w:tc>
          <w:tcPr>
            <w:tcW w:w="5191" w:type="dxa"/>
            <w:shd w:val="clear" w:color="auto" w:fill="FFFFFF" w:themeFill="background1"/>
          </w:tcPr>
          <w:p w14:paraId="4EFBEE20" w14:textId="77777777" w:rsidR="00F279AD" w:rsidRPr="00610687" w:rsidRDefault="00F279AD" w:rsidP="00871A71">
            <w:pPr>
              <w:suppressAutoHyphens/>
              <w:snapToGrid w:val="0"/>
              <w:spacing w:before="20" w:after="120"/>
              <w:jc w:val="both"/>
              <w:rPr>
                <w:rFonts w:asciiTheme="minorHAnsi" w:hAnsiTheme="minorHAnsi" w:cstheme="minorHAnsi"/>
                <w:bCs/>
                <w:lang w:eastAsia="ar-SA"/>
              </w:rPr>
            </w:pPr>
            <w:r w:rsidRPr="00610687">
              <w:rPr>
                <w:rFonts w:asciiTheme="minorHAnsi" w:hAnsiTheme="minorHAnsi" w:cstheme="minorHAnsi"/>
                <w:bCs/>
                <w:lang w:eastAsia="ar-SA"/>
              </w:rPr>
              <w:t>Art. 14 ust. 1 ustawy powinien otrzymać brzmienie:</w:t>
            </w:r>
          </w:p>
          <w:p w14:paraId="22BA252C" w14:textId="31EB225C" w:rsidR="00F279AD" w:rsidRPr="00877A05" w:rsidRDefault="00F279AD" w:rsidP="00871A71">
            <w:pPr>
              <w:suppressAutoHyphens/>
              <w:snapToGrid w:val="0"/>
              <w:spacing w:before="20" w:after="120"/>
              <w:jc w:val="both"/>
              <w:rPr>
                <w:rStyle w:val="Ppogrubienie"/>
                <w:bCs/>
              </w:rPr>
            </w:pPr>
            <w:r>
              <w:rPr>
                <w:rFonts w:asciiTheme="minorHAnsi" w:hAnsiTheme="minorHAnsi" w:cstheme="minorHAnsi"/>
                <w:bCs/>
                <w:lang w:eastAsia="ar-SA"/>
              </w:rPr>
              <w:lastRenderedPageBreak/>
              <w:t>„</w:t>
            </w:r>
            <w:r w:rsidRPr="00610687">
              <w:rPr>
                <w:rFonts w:asciiTheme="minorHAnsi" w:hAnsiTheme="minorHAnsi" w:cstheme="minorHAnsi"/>
                <w:bCs/>
                <w:lang w:eastAsia="ar-SA"/>
              </w:rPr>
              <w:t xml:space="preserve">Przedsiębiorstwo energetyczne wykonujące działalność gospodarczą w zakresie obrotu gazem ziemnym z zagranicą i podmiot dokonujący przywozu gazu ziemnego, </w:t>
            </w:r>
            <w:r w:rsidRPr="00610687">
              <w:rPr>
                <w:rFonts w:asciiTheme="minorHAnsi" w:hAnsiTheme="minorHAnsi" w:cstheme="minorHAnsi"/>
                <w:b/>
                <w:u w:val="single"/>
                <w:lang w:eastAsia="ar-SA"/>
              </w:rPr>
              <w:t>w zakresie w którym dotychczas</w:t>
            </w:r>
            <w:r>
              <w:rPr>
                <w:rFonts w:asciiTheme="minorHAnsi" w:hAnsiTheme="minorHAnsi" w:cstheme="minorHAnsi"/>
                <w:bCs/>
                <w:lang w:eastAsia="ar-SA"/>
              </w:rPr>
              <w:t xml:space="preserve"> </w:t>
            </w:r>
            <w:r w:rsidRPr="00610687">
              <w:rPr>
                <w:rFonts w:asciiTheme="minorHAnsi" w:hAnsiTheme="minorHAnsi" w:cstheme="minorHAnsi"/>
                <w:bCs/>
                <w:lang w:eastAsia="ar-SA"/>
              </w:rPr>
              <w:t>nie zleciły, na podstawie umowy, o której mowa w art. 70c ust. 1 ustawy zmienianej w art. 1 w brzmieniu nadanym niniejszą ustawą, wykonywania zadań w zakresie utrzymywania zapasów obowiązkowych gazu ziemnego Agencji, zawierają z Agencją, w terminie do dnia 30 kwietnia 2023 r., umowę, w której dokonują przeniesienia własności gazu ziemnego stanowiącego zapasy obowiązkowe utrzymywanych na terytorium Rzeczpospolitej Polski.</w:t>
            </w:r>
            <w:r>
              <w:rPr>
                <w:rFonts w:asciiTheme="minorHAnsi" w:hAnsiTheme="minorHAnsi" w:cstheme="minorHAnsi"/>
                <w:bCs/>
                <w:lang w:eastAsia="ar-SA"/>
              </w:rPr>
              <w:t>”</w:t>
            </w:r>
          </w:p>
        </w:tc>
        <w:tc>
          <w:tcPr>
            <w:tcW w:w="5330" w:type="dxa"/>
            <w:shd w:val="clear" w:color="auto" w:fill="FFFFFF" w:themeFill="background1"/>
          </w:tcPr>
          <w:p w14:paraId="2491EA02" w14:textId="5882C6D5" w:rsidR="00F279AD" w:rsidRDefault="00F279AD" w:rsidP="00871A71">
            <w:pPr>
              <w:spacing w:before="60" w:after="60" w:line="252" w:lineRule="auto"/>
              <w:jc w:val="both"/>
              <w:rPr>
                <w:rFonts w:asciiTheme="minorHAnsi" w:hAnsiTheme="minorHAnsi" w:cstheme="minorHAnsi"/>
              </w:rPr>
            </w:pPr>
            <w:r>
              <w:rPr>
                <w:rFonts w:asciiTheme="minorHAnsi" w:hAnsiTheme="minorHAnsi" w:cstheme="minorHAnsi"/>
              </w:rPr>
              <w:lastRenderedPageBreak/>
              <w:t xml:space="preserve">Należy doprecyzować treść, ponieważ w </w:t>
            </w:r>
            <w:r w:rsidR="00CF713E">
              <w:rPr>
                <w:rFonts w:asciiTheme="minorHAnsi" w:hAnsiTheme="minorHAnsi" w:cstheme="minorHAnsi"/>
              </w:rPr>
              <w:t>obecnym brzmieniu</w:t>
            </w:r>
            <w:r>
              <w:rPr>
                <w:rFonts w:asciiTheme="minorHAnsi" w:hAnsiTheme="minorHAnsi" w:cstheme="minorHAnsi"/>
              </w:rPr>
              <w:t xml:space="preserve"> przepis nie jest klarowny i może skutkować </w:t>
            </w:r>
            <w:r>
              <w:rPr>
                <w:rFonts w:asciiTheme="minorHAnsi" w:hAnsiTheme="minorHAnsi" w:cstheme="minorHAnsi"/>
              </w:rPr>
              <w:lastRenderedPageBreak/>
              <w:t>różnymi (w szczególności: sprzecznymi) interpretacjami przez podmioty zobowiązane.</w:t>
            </w:r>
          </w:p>
          <w:p w14:paraId="0CCB0640" w14:textId="4E8FE159" w:rsidR="00F279AD" w:rsidRDefault="00F279AD" w:rsidP="00871A71">
            <w:pPr>
              <w:spacing w:before="60" w:after="60" w:line="252" w:lineRule="auto"/>
              <w:jc w:val="both"/>
              <w:rPr>
                <w:rFonts w:asciiTheme="minorHAnsi" w:hAnsiTheme="minorHAnsi" w:cstheme="minorHAnsi"/>
              </w:rPr>
            </w:pPr>
            <w:r>
              <w:rPr>
                <w:rFonts w:asciiTheme="minorHAnsi" w:hAnsiTheme="minorHAnsi" w:cstheme="minorHAnsi"/>
              </w:rPr>
              <w:t>Zakładamy, że intencją ustawodawcy konstruującego ten przepis, jest przeniesienie na Agencję własności wolumenu gazu, pozostającego – po zawarciu umowy biletowej z Rządową Agencją Rezerw Strategicznych – we własności podmiotów zobowią</w:t>
            </w:r>
            <w:r w:rsidR="0027133A">
              <w:rPr>
                <w:rFonts w:asciiTheme="minorHAnsi" w:hAnsiTheme="minorHAnsi" w:cstheme="minorHAnsi"/>
              </w:rPr>
              <w:t>zanych. Przykład: z</w:t>
            </w:r>
            <w:r>
              <w:rPr>
                <w:rFonts w:asciiTheme="minorHAnsi" w:hAnsiTheme="minorHAnsi" w:cstheme="minorHAnsi"/>
              </w:rPr>
              <w:t xml:space="preserve">apas obowiązkowy podmiotu zobowiązanego wyniósł 100 </w:t>
            </w:r>
            <w:proofErr w:type="spellStart"/>
            <w:r>
              <w:rPr>
                <w:rFonts w:asciiTheme="minorHAnsi" w:hAnsiTheme="minorHAnsi" w:cstheme="minorHAnsi"/>
              </w:rPr>
              <w:t>GWh</w:t>
            </w:r>
            <w:proofErr w:type="spellEnd"/>
            <w:r>
              <w:rPr>
                <w:rFonts w:asciiTheme="minorHAnsi" w:hAnsiTheme="minorHAnsi" w:cstheme="minorHAnsi"/>
              </w:rPr>
              <w:t xml:space="preserve"> i był </w:t>
            </w:r>
            <w:r w:rsidR="0027133A">
              <w:rPr>
                <w:rFonts w:asciiTheme="minorHAnsi" w:hAnsiTheme="minorHAnsi" w:cstheme="minorHAnsi"/>
              </w:rPr>
              <w:t xml:space="preserve">utrzymywany na podstawie umowy </w:t>
            </w:r>
            <w:r>
              <w:rPr>
                <w:rFonts w:asciiTheme="minorHAnsi" w:hAnsiTheme="minorHAnsi" w:cstheme="minorHAnsi"/>
              </w:rPr>
              <w:t xml:space="preserve">o świadczenie usług magazynowych z </w:t>
            </w:r>
            <w:proofErr w:type="spellStart"/>
            <w:r>
              <w:rPr>
                <w:rFonts w:asciiTheme="minorHAnsi" w:hAnsiTheme="minorHAnsi" w:cstheme="minorHAnsi"/>
              </w:rPr>
              <w:t>Gas</w:t>
            </w:r>
            <w:proofErr w:type="spellEnd"/>
            <w:r>
              <w:rPr>
                <w:rFonts w:asciiTheme="minorHAnsi" w:hAnsiTheme="minorHAnsi" w:cstheme="minorHAnsi"/>
              </w:rPr>
              <w:t xml:space="preserve"> Storage Poland, potem ten p</w:t>
            </w:r>
            <w:r w:rsidR="0027133A">
              <w:rPr>
                <w:rFonts w:asciiTheme="minorHAnsi" w:hAnsiTheme="minorHAnsi" w:cstheme="minorHAnsi"/>
              </w:rPr>
              <w:t xml:space="preserve">odmiot zawarł umowę biletową z </w:t>
            </w:r>
            <w:r>
              <w:rPr>
                <w:rFonts w:asciiTheme="minorHAnsi" w:hAnsiTheme="minorHAnsi" w:cstheme="minorHAnsi"/>
              </w:rPr>
              <w:t xml:space="preserve">Rządową Agencją Rezerw Strategicznych na tak zwany pierwszy okres dostaw na 70 </w:t>
            </w:r>
            <w:proofErr w:type="spellStart"/>
            <w:r>
              <w:rPr>
                <w:rFonts w:asciiTheme="minorHAnsi" w:hAnsiTheme="minorHAnsi" w:cstheme="minorHAnsi"/>
              </w:rPr>
              <w:t>GWh</w:t>
            </w:r>
            <w:proofErr w:type="spellEnd"/>
            <w:r>
              <w:rPr>
                <w:rFonts w:asciiTheme="minorHAnsi" w:hAnsiTheme="minorHAnsi" w:cstheme="minorHAnsi"/>
              </w:rPr>
              <w:t xml:space="preserve">. Na podstawie analizowanej ustawy, obowiązkowe będzie zawarcie umowy z Agencją na pozostały wolumen zapasu obowiązkowego, to jest 30 MWh. </w:t>
            </w:r>
          </w:p>
          <w:p w14:paraId="5A30C048" w14:textId="2D8001CD" w:rsidR="00F279AD" w:rsidRPr="00F279AD" w:rsidRDefault="00F279AD" w:rsidP="00871A71">
            <w:pPr>
              <w:spacing w:before="60" w:after="60" w:line="252" w:lineRule="auto"/>
              <w:jc w:val="both"/>
              <w:rPr>
                <w:rFonts w:asciiTheme="minorHAnsi" w:hAnsiTheme="minorHAnsi" w:cstheme="minorHAnsi"/>
              </w:rPr>
            </w:pPr>
            <w:r>
              <w:rPr>
                <w:rFonts w:asciiTheme="minorHAnsi" w:hAnsiTheme="minorHAnsi" w:cstheme="minorHAnsi"/>
              </w:rPr>
              <w:lastRenderedPageBreak/>
              <w:t>Prosimy o weryfikację takiego toku rozumowania treści art. 14 ust. 1.</w:t>
            </w:r>
          </w:p>
        </w:tc>
      </w:tr>
      <w:tr w:rsidR="00F279AD" w:rsidRPr="00EF0AE0" w14:paraId="10BD6801" w14:textId="77777777" w:rsidTr="00952F82">
        <w:tc>
          <w:tcPr>
            <w:tcW w:w="664" w:type="dxa"/>
            <w:shd w:val="clear" w:color="auto" w:fill="FFFFFF" w:themeFill="background1"/>
          </w:tcPr>
          <w:p w14:paraId="4F93E185" w14:textId="4366628E" w:rsidR="00F279AD" w:rsidRDefault="007214E3" w:rsidP="00871A71">
            <w:pPr>
              <w:spacing w:before="60" w:after="60" w:line="252" w:lineRule="auto"/>
              <w:jc w:val="both"/>
              <w:rPr>
                <w:rFonts w:asciiTheme="minorHAnsi" w:hAnsiTheme="minorHAnsi" w:cstheme="minorHAnsi"/>
                <w:bCs/>
              </w:rPr>
            </w:pPr>
            <w:r>
              <w:rPr>
                <w:rFonts w:asciiTheme="minorHAnsi" w:hAnsiTheme="minorHAnsi" w:cstheme="minorHAnsi"/>
                <w:bCs/>
              </w:rPr>
              <w:lastRenderedPageBreak/>
              <w:t>7</w:t>
            </w:r>
          </w:p>
        </w:tc>
        <w:tc>
          <w:tcPr>
            <w:tcW w:w="2807" w:type="dxa"/>
            <w:shd w:val="clear" w:color="auto" w:fill="FFFFFF" w:themeFill="background1"/>
          </w:tcPr>
          <w:p w14:paraId="773F8035" w14:textId="09CED8B2" w:rsidR="00F279AD" w:rsidRPr="00F279AD" w:rsidRDefault="00F279AD" w:rsidP="00871A71">
            <w:pPr>
              <w:spacing w:before="60" w:after="60" w:line="252" w:lineRule="auto"/>
              <w:jc w:val="both"/>
              <w:rPr>
                <w:rFonts w:asciiTheme="minorHAnsi" w:hAnsiTheme="minorHAnsi" w:cstheme="minorHAnsi"/>
                <w:lang w:eastAsia="ar-SA"/>
              </w:rPr>
            </w:pPr>
            <w:r w:rsidRPr="00F279AD">
              <w:rPr>
                <w:rFonts w:asciiTheme="minorHAnsi" w:hAnsiTheme="minorHAnsi" w:cstheme="minorHAnsi"/>
                <w:lang w:eastAsia="ar-SA"/>
              </w:rPr>
              <w:t>art. 14 ust. 2 projektu ustawy nowelizującej</w:t>
            </w:r>
          </w:p>
        </w:tc>
        <w:tc>
          <w:tcPr>
            <w:tcW w:w="5191" w:type="dxa"/>
            <w:shd w:val="clear" w:color="auto" w:fill="FFFFFF" w:themeFill="background1"/>
          </w:tcPr>
          <w:p w14:paraId="5891C454" w14:textId="77777777" w:rsidR="00F279AD" w:rsidRDefault="00F279AD" w:rsidP="00871A71">
            <w:pPr>
              <w:jc w:val="both"/>
            </w:pPr>
            <w:r>
              <w:t xml:space="preserve">Proponujemy następującą modyfikację objaśnienia symbolu TGE: </w:t>
            </w:r>
          </w:p>
          <w:p w14:paraId="6B25AFF8" w14:textId="77777777" w:rsidR="00F279AD" w:rsidRPr="00B262D7" w:rsidRDefault="00F279AD" w:rsidP="00871A71">
            <w:pPr>
              <w:jc w:val="both"/>
              <w:rPr>
                <w:b/>
                <w:bCs/>
                <w:u w:val="single"/>
              </w:rPr>
            </w:pPr>
            <w:r>
              <w:rPr>
                <w:b/>
                <w:bCs/>
                <w:u w:val="single"/>
              </w:rPr>
              <w:t>„</w:t>
            </w:r>
            <w:r w:rsidRPr="00B262D7">
              <w:rPr>
                <w:b/>
                <w:bCs/>
                <w:u w:val="single"/>
              </w:rPr>
              <w:t xml:space="preserve">TGE –   średnia arytmetyczna </w:t>
            </w:r>
            <w:bookmarkStart w:id="3" w:name="_Hlk102125262"/>
            <w:r w:rsidRPr="00B262D7">
              <w:rPr>
                <w:b/>
                <w:bCs/>
                <w:u w:val="single"/>
              </w:rPr>
              <w:t>cen rozliczeniowych w kontraktach z dostawą planowaną w III i IV kwartale 2023 r., notowanych  w ostatnich 30 dniach kalendarzowych bezpośrednio poprzedzających ostatni dzień obrotu na TGE tymi  instrumentami tj. odpowiednio dla GAS_BASE_Q-3-23 w okresie 30.05.2023-28.06.2023 oraz GAS_BASE-Q-4-</w:t>
            </w:r>
            <w:bookmarkEnd w:id="3"/>
            <w:r w:rsidRPr="00B262D7">
              <w:rPr>
                <w:b/>
                <w:bCs/>
                <w:u w:val="single"/>
              </w:rPr>
              <w:t>23 w okresie 30.08.2023-28.09.2023 r.</w:t>
            </w:r>
            <w:r>
              <w:rPr>
                <w:b/>
                <w:bCs/>
                <w:u w:val="single"/>
              </w:rPr>
              <w:t>”</w:t>
            </w:r>
          </w:p>
          <w:p w14:paraId="5A2669BD" w14:textId="77777777" w:rsidR="00F279AD" w:rsidRPr="00610687" w:rsidRDefault="00F279AD" w:rsidP="00871A71">
            <w:pPr>
              <w:suppressAutoHyphens/>
              <w:snapToGrid w:val="0"/>
              <w:spacing w:before="20" w:after="120"/>
              <w:jc w:val="both"/>
              <w:rPr>
                <w:rFonts w:asciiTheme="minorHAnsi" w:hAnsiTheme="minorHAnsi" w:cstheme="minorHAnsi"/>
                <w:bCs/>
                <w:lang w:eastAsia="ar-SA"/>
              </w:rPr>
            </w:pPr>
          </w:p>
        </w:tc>
        <w:tc>
          <w:tcPr>
            <w:tcW w:w="5330" w:type="dxa"/>
            <w:shd w:val="clear" w:color="auto" w:fill="FFFFFF" w:themeFill="background1"/>
          </w:tcPr>
          <w:p w14:paraId="1FDCA027" w14:textId="73C61E0E" w:rsidR="00F279AD" w:rsidRDefault="00F279AD" w:rsidP="00871A71">
            <w:pPr>
              <w:jc w:val="both"/>
            </w:pPr>
            <w:r>
              <w:t xml:space="preserve">Zwracamy uwagę, że </w:t>
            </w:r>
            <w:r w:rsidR="0027133A">
              <w:t>–</w:t>
            </w:r>
            <w:r>
              <w:t xml:space="preserve"> zgodnie</w:t>
            </w:r>
            <w:r w:rsidR="0027133A">
              <w:t xml:space="preserve"> </w:t>
            </w:r>
            <w:r>
              <w:t xml:space="preserve">z kalendarzem notowań TGE </w:t>
            </w:r>
            <w:r w:rsidR="0027133A">
              <w:t>–</w:t>
            </w:r>
            <w:r>
              <w:t xml:space="preserve"> ostatni</w:t>
            </w:r>
            <w:r w:rsidR="0027133A">
              <w:t xml:space="preserve"> </w:t>
            </w:r>
            <w:r>
              <w:t>dzień obrotu kontraktami z dostawą planowaną w III  kwartale 2023 r. przypada na dzień 29.06.2023 r., natomiast ostatni dzień obrotu kontraktami z dostawą w IV kwartale 2023 r. mija 28.09.2023 r.</w:t>
            </w:r>
          </w:p>
          <w:p w14:paraId="0EB35480" w14:textId="5F5BE4CD" w:rsidR="00F279AD" w:rsidRPr="00F279AD" w:rsidRDefault="00F279AD" w:rsidP="00871A71">
            <w:pPr>
              <w:jc w:val="both"/>
            </w:pPr>
            <w:r>
              <w:t xml:space="preserve">Dzień przeniesienia własności gazu, został w proponowanej Ustawie ustalony na 01.10.2023 r, a cena ma zostać wyznaczona jako średnia arytmetyczna  cen rozliczeniowych w kontraktach z dostawą planowaną w III i IV kwartale 2023 r., notowanych </w:t>
            </w:r>
            <w:r>
              <w:rPr>
                <w:b/>
                <w:bCs/>
              </w:rPr>
              <w:t>w ostatnich 30 dniach kalendarzowych bezpośrednio poprzedzających dzień przeniesienia własności gazu</w:t>
            </w:r>
            <w:r>
              <w:t xml:space="preserve"> – czyli w okresie, w którym </w:t>
            </w:r>
            <w:r>
              <w:lastRenderedPageBreak/>
              <w:t xml:space="preserve">instrument </w:t>
            </w:r>
            <w:r>
              <w:rPr>
                <w:i/>
                <w:iCs/>
              </w:rPr>
              <w:t xml:space="preserve">GAS_BASE_Q-3-23, </w:t>
            </w:r>
            <w:r>
              <w:t>nie będzie już przedmiotem obrotu na TGE.</w:t>
            </w:r>
          </w:p>
        </w:tc>
      </w:tr>
    </w:tbl>
    <w:p w14:paraId="5F51420A" w14:textId="25035676" w:rsidR="75FFFD57" w:rsidRPr="00C90B51" w:rsidRDefault="75FFFD57" w:rsidP="00871A71">
      <w:pPr>
        <w:spacing w:before="60" w:after="60" w:line="252" w:lineRule="auto"/>
        <w:jc w:val="both"/>
        <w:rPr>
          <w:rFonts w:asciiTheme="minorHAnsi" w:eastAsia="Arial Narrow" w:hAnsiTheme="minorHAnsi" w:cs="Arial Narrow"/>
        </w:rPr>
      </w:pPr>
    </w:p>
    <w:sectPr w:rsidR="75FFFD57" w:rsidRPr="00C90B51" w:rsidSect="007F0813">
      <w:headerReference w:type="default" r:id="rId8"/>
      <w:footerReference w:type="default" r:id="rId9"/>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03B5" w16cex:dateUtc="2022-05-11T07:43:00Z"/>
  <w16cex:commentExtensible w16cex:durableId="2625F687" w16cex:dateUtc="2022-05-11T06:47:00Z"/>
  <w16cex:commentExtensible w16cex:durableId="2625F667" w16cex:dateUtc="2022-05-11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B21EA" w16cid:durableId="262603B5"/>
  <w16cid:commentId w16cid:paraId="4775CB06" w16cid:durableId="2625F5A5"/>
  <w16cid:commentId w16cid:paraId="44F48F5F" w16cid:durableId="2625F687"/>
  <w16cid:commentId w16cid:paraId="0F31F8FD" w16cid:durableId="2625F5A6"/>
  <w16cid:commentId w16cid:paraId="36948F89" w16cid:durableId="2625F6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6DF1" w14:textId="77777777" w:rsidR="00113ADC" w:rsidRDefault="00113ADC" w:rsidP="00097903">
      <w:pPr>
        <w:spacing w:after="0" w:line="240" w:lineRule="auto"/>
      </w:pPr>
      <w:r>
        <w:separator/>
      </w:r>
    </w:p>
  </w:endnote>
  <w:endnote w:type="continuationSeparator" w:id="0">
    <w:p w14:paraId="4ACA8278" w14:textId="77777777" w:rsidR="00113ADC" w:rsidRDefault="00113ADC" w:rsidP="0009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Arial"/>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96C7" w14:textId="29FD6105" w:rsidR="00E94C28" w:rsidRDefault="00E94C28" w:rsidP="00B90816">
    <w:pPr>
      <w:pStyle w:val="Stopka"/>
      <w:tabs>
        <w:tab w:val="clear" w:pos="9072"/>
        <w:tab w:val="right" w:pos="8505"/>
      </w:tabs>
      <w:ind w:firstLine="9498"/>
    </w:pPr>
    <w:r w:rsidRPr="005F32E7">
      <w:rPr>
        <w:rFonts w:ascii="Arial" w:hAnsi="Arial" w:cs="Arial"/>
        <w:noProof/>
        <w:sz w:val="14"/>
        <w:szCs w:val="14"/>
      </w:rPr>
      <w:drawing>
        <wp:inline distT="0" distB="0" distL="0" distR="0" wp14:anchorId="787FD813" wp14:editId="5B915A3F">
          <wp:extent cx="1164590" cy="201295"/>
          <wp:effectExtent l="0" t="0" r="0" b="8255"/>
          <wp:docPr id="29"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p>
  <w:p w14:paraId="5D2A98F4" w14:textId="2EC04EA9" w:rsidR="00E94C28" w:rsidRDefault="00E94C28" w:rsidP="00B90816">
    <w:pPr>
      <w:pStyle w:val="Stopka"/>
      <w:tabs>
        <w:tab w:val="clear" w:pos="9072"/>
        <w:tab w:val="right" w:pos="8505"/>
      </w:tabs>
      <w:ind w:firstLine="2127"/>
    </w:pPr>
    <w:r>
      <w:rPr>
        <w:rFonts w:ascii="Arial" w:hAnsi="Arial" w:cs="Arial"/>
        <w:noProof/>
        <w:sz w:val="14"/>
        <w:szCs w:val="14"/>
      </w:rPr>
      <w:drawing>
        <wp:inline distT="0" distB="0" distL="0" distR="0" wp14:anchorId="22966736" wp14:editId="7F0256D5">
          <wp:extent cx="5912026" cy="814387"/>
          <wp:effectExtent l="0" t="0" r="0" b="508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p>
  <w:p w14:paraId="1B5E4A82" w14:textId="52F12C59" w:rsidR="00E94C28" w:rsidRDefault="00E94C28" w:rsidP="00E94C28">
    <w:pPr>
      <w:pStyle w:val="Stopka"/>
    </w:pPr>
    <w:r>
      <w:tab/>
    </w:r>
    <w:r>
      <w:tab/>
    </w:r>
    <w:r>
      <w:tab/>
    </w:r>
    <w:r>
      <w:tab/>
    </w:r>
    <w:r>
      <w:tab/>
    </w:r>
    <w:r>
      <w:tab/>
    </w:r>
  </w:p>
  <w:p w14:paraId="23EB45B2" w14:textId="175C1B3A" w:rsidR="00E94C28" w:rsidRDefault="00E94C28">
    <w:pPr>
      <w:pStyle w:val="Stopka"/>
    </w:pPr>
    <w:r>
      <w:tab/>
    </w:r>
    <w:r>
      <w:tab/>
    </w:r>
    <w:r>
      <w:tab/>
    </w:r>
    <w:r>
      <w:tab/>
    </w:r>
    <w:r>
      <w:tab/>
    </w:r>
    <w:r>
      <w:tab/>
    </w:r>
    <w:r>
      <w:tab/>
    </w:r>
    <w:r>
      <w:tab/>
    </w:r>
    <w:r>
      <w:tab/>
    </w:r>
    <w:r>
      <w:tab/>
    </w:r>
    <w:r>
      <w:tab/>
    </w:r>
    <w:r>
      <w:tab/>
    </w:r>
    <w:r>
      <w:tab/>
    </w:r>
    <w:r>
      <w:tab/>
    </w:r>
    <w:r>
      <w:tab/>
    </w:r>
    <w:r>
      <w:tab/>
    </w:r>
  </w:p>
  <w:p w14:paraId="2BDD8B43" w14:textId="77777777" w:rsidR="00C7381A" w:rsidRDefault="00C738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77FC" w14:textId="77777777" w:rsidR="00113ADC" w:rsidRDefault="00113ADC" w:rsidP="00097903">
      <w:pPr>
        <w:spacing w:after="0" w:line="240" w:lineRule="auto"/>
      </w:pPr>
      <w:r>
        <w:separator/>
      </w:r>
    </w:p>
  </w:footnote>
  <w:footnote w:type="continuationSeparator" w:id="0">
    <w:p w14:paraId="5876DF60" w14:textId="77777777" w:rsidR="00113ADC" w:rsidRDefault="00113ADC" w:rsidP="0009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840B" w14:textId="2320EC0B" w:rsidR="00E94C28" w:rsidRDefault="00E94C28">
    <w:pPr>
      <w:pStyle w:val="Nagwek"/>
    </w:pPr>
    <w:r w:rsidRPr="00DE7F9D">
      <w:rPr>
        <w:noProof/>
      </w:rPr>
      <w:drawing>
        <wp:inline distT="0" distB="0" distL="0" distR="0" wp14:anchorId="1271AADD" wp14:editId="2DB49D34">
          <wp:extent cx="713105" cy="932815"/>
          <wp:effectExtent l="0" t="0" r="0" b="635"/>
          <wp:docPr id="28" name="Obraz 2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p w14:paraId="35AC08F8" w14:textId="2CC1A41E" w:rsidR="00C7381A" w:rsidRDefault="00C7381A" w:rsidP="75FFFD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4F8"/>
    <w:multiLevelType w:val="hybridMultilevel"/>
    <w:tmpl w:val="A4B41DDE"/>
    <w:lvl w:ilvl="0" w:tplc="2C92305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C1CED"/>
    <w:multiLevelType w:val="hybridMultilevel"/>
    <w:tmpl w:val="D472CC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6D1301"/>
    <w:multiLevelType w:val="hybridMultilevel"/>
    <w:tmpl w:val="1D628B22"/>
    <w:lvl w:ilvl="0" w:tplc="FF62161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C1FCD"/>
    <w:multiLevelType w:val="hybridMultilevel"/>
    <w:tmpl w:val="2294C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C2358"/>
    <w:multiLevelType w:val="hybridMultilevel"/>
    <w:tmpl w:val="47BEC0FE"/>
    <w:lvl w:ilvl="0" w:tplc="890C26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E24415"/>
    <w:multiLevelType w:val="hybridMultilevel"/>
    <w:tmpl w:val="5C9EB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B44C4"/>
    <w:multiLevelType w:val="hybridMultilevel"/>
    <w:tmpl w:val="CBD2E952"/>
    <w:lvl w:ilvl="0" w:tplc="D67A82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9858FF"/>
    <w:multiLevelType w:val="hybridMultilevel"/>
    <w:tmpl w:val="56FEE42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039BE"/>
    <w:multiLevelType w:val="hybridMultilevel"/>
    <w:tmpl w:val="58AC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984EA4"/>
    <w:multiLevelType w:val="hybridMultilevel"/>
    <w:tmpl w:val="7D4ADE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E575D32"/>
    <w:multiLevelType w:val="hybridMultilevel"/>
    <w:tmpl w:val="049E7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C5215"/>
    <w:multiLevelType w:val="hybridMultilevel"/>
    <w:tmpl w:val="59708828"/>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26D56"/>
    <w:multiLevelType w:val="hybridMultilevel"/>
    <w:tmpl w:val="7CFEB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753660"/>
    <w:multiLevelType w:val="hybridMultilevel"/>
    <w:tmpl w:val="D980ABD4"/>
    <w:lvl w:ilvl="0" w:tplc="521EC7EA">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8332BE"/>
    <w:multiLevelType w:val="hybridMultilevel"/>
    <w:tmpl w:val="26D4F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A65E6"/>
    <w:multiLevelType w:val="hybridMultilevel"/>
    <w:tmpl w:val="E5102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22995"/>
    <w:multiLevelType w:val="hybridMultilevel"/>
    <w:tmpl w:val="D980ABD4"/>
    <w:lvl w:ilvl="0" w:tplc="521EC7EA">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157AE"/>
    <w:multiLevelType w:val="hybridMultilevel"/>
    <w:tmpl w:val="58AC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AC71674"/>
    <w:multiLevelType w:val="hybridMultilevel"/>
    <w:tmpl w:val="8B98AC20"/>
    <w:lvl w:ilvl="0" w:tplc="DEE46B8E">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B5C737C"/>
    <w:multiLevelType w:val="hybridMultilevel"/>
    <w:tmpl w:val="58AC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362DA9"/>
    <w:multiLevelType w:val="hybridMultilevel"/>
    <w:tmpl w:val="BF7C9056"/>
    <w:lvl w:ilvl="0" w:tplc="3CDEA400">
      <w:start w:val="1"/>
      <w:numFmt w:val="bullet"/>
      <w:lvlText w:val="−"/>
      <w:lvlJc w:val="left"/>
      <w:pPr>
        <w:ind w:left="360" w:hanging="360"/>
      </w:pPr>
      <w:rPr>
        <w:rFonts w:ascii="Arial" w:hAnsi="Arial" w:hint="default"/>
        <w:color w:val="auto"/>
        <w:sz w:val="24"/>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8A77ED6"/>
    <w:multiLevelType w:val="hybridMultilevel"/>
    <w:tmpl w:val="3DE85C2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7B9A162D"/>
    <w:multiLevelType w:val="hybridMultilevel"/>
    <w:tmpl w:val="CA0A6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A46D3"/>
    <w:multiLevelType w:val="hybridMultilevel"/>
    <w:tmpl w:val="342CD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19"/>
  </w:num>
  <w:num w:numId="4">
    <w:abstractNumId w:val="20"/>
  </w:num>
  <w:num w:numId="5">
    <w:abstractNumId w:val="21"/>
  </w:num>
  <w:num w:numId="6">
    <w:abstractNumId w:val="5"/>
  </w:num>
  <w:num w:numId="7">
    <w:abstractNumId w:val="7"/>
  </w:num>
  <w:num w:numId="8">
    <w:abstractNumId w:val="1"/>
  </w:num>
  <w:num w:numId="9">
    <w:abstractNumId w:val="3"/>
  </w:num>
  <w:num w:numId="10">
    <w:abstractNumId w:val="10"/>
  </w:num>
  <w:num w:numId="11">
    <w:abstractNumId w:val="22"/>
  </w:num>
  <w:num w:numId="12">
    <w:abstractNumId w:val="23"/>
  </w:num>
  <w:num w:numId="13">
    <w:abstractNumId w:val="18"/>
  </w:num>
  <w:num w:numId="14">
    <w:abstractNumId w:val="15"/>
  </w:num>
  <w:num w:numId="15">
    <w:abstractNumId w:val="0"/>
  </w:num>
  <w:num w:numId="16">
    <w:abstractNumId w:val="12"/>
  </w:num>
  <w:num w:numId="17">
    <w:abstractNumId w:val="4"/>
  </w:num>
  <w:num w:numId="18">
    <w:abstractNumId w:val="2"/>
  </w:num>
  <w:num w:numId="19">
    <w:abstractNumId w:val="14"/>
  </w:num>
  <w:num w:numId="20">
    <w:abstractNumId w:val="13"/>
  </w:num>
  <w:num w:numId="21">
    <w:abstractNumId w:val="11"/>
  </w:num>
  <w:num w:numId="22">
    <w:abstractNumId w:val="16"/>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CA"/>
    <w:rsid w:val="0000472F"/>
    <w:rsid w:val="00005846"/>
    <w:rsid w:val="000064EF"/>
    <w:rsid w:val="00012270"/>
    <w:rsid w:val="00013669"/>
    <w:rsid w:val="00016766"/>
    <w:rsid w:val="0002637F"/>
    <w:rsid w:val="000274D8"/>
    <w:rsid w:val="000512AA"/>
    <w:rsid w:val="000514B4"/>
    <w:rsid w:val="00054B9B"/>
    <w:rsid w:val="00056268"/>
    <w:rsid w:val="000570AF"/>
    <w:rsid w:val="00061C9A"/>
    <w:rsid w:val="0006391A"/>
    <w:rsid w:val="00070342"/>
    <w:rsid w:val="00085618"/>
    <w:rsid w:val="0008607D"/>
    <w:rsid w:val="000912E3"/>
    <w:rsid w:val="00093692"/>
    <w:rsid w:val="00097533"/>
    <w:rsid w:val="00097903"/>
    <w:rsid w:val="000A07CA"/>
    <w:rsid w:val="000A24BF"/>
    <w:rsid w:val="000B7A45"/>
    <w:rsid w:val="000B7B60"/>
    <w:rsid w:val="000C4E58"/>
    <w:rsid w:val="000C5A61"/>
    <w:rsid w:val="000D57B0"/>
    <w:rsid w:val="000E072E"/>
    <w:rsid w:val="000F1698"/>
    <w:rsid w:val="000F4AA9"/>
    <w:rsid w:val="00101FA4"/>
    <w:rsid w:val="00102B7F"/>
    <w:rsid w:val="00104D92"/>
    <w:rsid w:val="00105E69"/>
    <w:rsid w:val="00113ADC"/>
    <w:rsid w:val="00121245"/>
    <w:rsid w:val="001303E5"/>
    <w:rsid w:val="00130987"/>
    <w:rsid w:val="001329EC"/>
    <w:rsid w:val="00134644"/>
    <w:rsid w:val="00137BCE"/>
    <w:rsid w:val="00137F86"/>
    <w:rsid w:val="00143435"/>
    <w:rsid w:val="0015405A"/>
    <w:rsid w:val="0016586D"/>
    <w:rsid w:val="001714AF"/>
    <w:rsid w:val="001745ED"/>
    <w:rsid w:val="00176C9D"/>
    <w:rsid w:val="001840ED"/>
    <w:rsid w:val="00190909"/>
    <w:rsid w:val="00196795"/>
    <w:rsid w:val="001A292C"/>
    <w:rsid w:val="001A78BE"/>
    <w:rsid w:val="001B094E"/>
    <w:rsid w:val="001B1B9E"/>
    <w:rsid w:val="001B6D4A"/>
    <w:rsid w:val="001D4763"/>
    <w:rsid w:val="001D4C6C"/>
    <w:rsid w:val="001D5C95"/>
    <w:rsid w:val="001D6C43"/>
    <w:rsid w:val="001D73DA"/>
    <w:rsid w:val="001E0069"/>
    <w:rsid w:val="001E59A2"/>
    <w:rsid w:val="001E6EEF"/>
    <w:rsid w:val="001F2DFE"/>
    <w:rsid w:val="002357A2"/>
    <w:rsid w:val="00235BDC"/>
    <w:rsid w:val="00250556"/>
    <w:rsid w:val="00252BCE"/>
    <w:rsid w:val="0025738A"/>
    <w:rsid w:val="002573A0"/>
    <w:rsid w:val="00257475"/>
    <w:rsid w:val="00260981"/>
    <w:rsid w:val="00265E00"/>
    <w:rsid w:val="0027133A"/>
    <w:rsid w:val="002753E1"/>
    <w:rsid w:val="0028125E"/>
    <w:rsid w:val="002A487E"/>
    <w:rsid w:val="002A56A3"/>
    <w:rsid w:val="002B34C8"/>
    <w:rsid w:val="002D26A0"/>
    <w:rsid w:val="002D293B"/>
    <w:rsid w:val="002D6A51"/>
    <w:rsid w:val="002E1ED4"/>
    <w:rsid w:val="0031348B"/>
    <w:rsid w:val="00317CB1"/>
    <w:rsid w:val="00324DA2"/>
    <w:rsid w:val="0033343C"/>
    <w:rsid w:val="00364C23"/>
    <w:rsid w:val="0037578C"/>
    <w:rsid w:val="00376A66"/>
    <w:rsid w:val="0038091E"/>
    <w:rsid w:val="003829D1"/>
    <w:rsid w:val="0038365B"/>
    <w:rsid w:val="003841EF"/>
    <w:rsid w:val="0039B0BD"/>
    <w:rsid w:val="003A598C"/>
    <w:rsid w:val="003C24DE"/>
    <w:rsid w:val="003C2A53"/>
    <w:rsid w:val="003D4757"/>
    <w:rsid w:val="003D7948"/>
    <w:rsid w:val="003E345B"/>
    <w:rsid w:val="003E753C"/>
    <w:rsid w:val="003F129D"/>
    <w:rsid w:val="00411F9B"/>
    <w:rsid w:val="0041412F"/>
    <w:rsid w:val="00415E1C"/>
    <w:rsid w:val="00416BDC"/>
    <w:rsid w:val="0044249F"/>
    <w:rsid w:val="00443AF1"/>
    <w:rsid w:val="004441DC"/>
    <w:rsid w:val="004616FB"/>
    <w:rsid w:val="0046235B"/>
    <w:rsid w:val="0046405E"/>
    <w:rsid w:val="004664B1"/>
    <w:rsid w:val="00472877"/>
    <w:rsid w:val="00473860"/>
    <w:rsid w:val="00475D93"/>
    <w:rsid w:val="0048399D"/>
    <w:rsid w:val="00483FA6"/>
    <w:rsid w:val="00484E0E"/>
    <w:rsid w:val="00496D2D"/>
    <w:rsid w:val="004A1239"/>
    <w:rsid w:val="004B1EA4"/>
    <w:rsid w:val="004B73B0"/>
    <w:rsid w:val="004C136B"/>
    <w:rsid w:val="004C6F9F"/>
    <w:rsid w:val="004D1430"/>
    <w:rsid w:val="004D65F8"/>
    <w:rsid w:val="004E0C8A"/>
    <w:rsid w:val="004F25F4"/>
    <w:rsid w:val="004F4A17"/>
    <w:rsid w:val="004F6763"/>
    <w:rsid w:val="00500288"/>
    <w:rsid w:val="00510681"/>
    <w:rsid w:val="00512F6D"/>
    <w:rsid w:val="0051467D"/>
    <w:rsid w:val="005223A7"/>
    <w:rsid w:val="00533A5F"/>
    <w:rsid w:val="0053427F"/>
    <w:rsid w:val="00534352"/>
    <w:rsid w:val="0054783E"/>
    <w:rsid w:val="00547DAE"/>
    <w:rsid w:val="005508F7"/>
    <w:rsid w:val="00551E49"/>
    <w:rsid w:val="0055373A"/>
    <w:rsid w:val="00566304"/>
    <w:rsid w:val="00574D0B"/>
    <w:rsid w:val="0058205D"/>
    <w:rsid w:val="00594796"/>
    <w:rsid w:val="005A3BE9"/>
    <w:rsid w:val="005B5584"/>
    <w:rsid w:val="005B5807"/>
    <w:rsid w:val="005B7A92"/>
    <w:rsid w:val="005C4E9D"/>
    <w:rsid w:val="005D18AA"/>
    <w:rsid w:val="005D7BAA"/>
    <w:rsid w:val="005D7D16"/>
    <w:rsid w:val="005E05DE"/>
    <w:rsid w:val="005E0BCD"/>
    <w:rsid w:val="005E2CDE"/>
    <w:rsid w:val="005E40C8"/>
    <w:rsid w:val="005E50DB"/>
    <w:rsid w:val="005F3A64"/>
    <w:rsid w:val="006012E4"/>
    <w:rsid w:val="006029C1"/>
    <w:rsid w:val="0061242D"/>
    <w:rsid w:val="00612A63"/>
    <w:rsid w:val="00613442"/>
    <w:rsid w:val="00621D16"/>
    <w:rsid w:val="00641B9C"/>
    <w:rsid w:val="00642C92"/>
    <w:rsid w:val="00646F79"/>
    <w:rsid w:val="006511F7"/>
    <w:rsid w:val="006515AC"/>
    <w:rsid w:val="0065296F"/>
    <w:rsid w:val="006551D6"/>
    <w:rsid w:val="00655807"/>
    <w:rsid w:val="0066071B"/>
    <w:rsid w:val="00660FCA"/>
    <w:rsid w:val="00663E7E"/>
    <w:rsid w:val="00664AA0"/>
    <w:rsid w:val="00667025"/>
    <w:rsid w:val="00680B3C"/>
    <w:rsid w:val="00684DDD"/>
    <w:rsid w:val="006855C7"/>
    <w:rsid w:val="00691CA8"/>
    <w:rsid w:val="00694851"/>
    <w:rsid w:val="006B1ACD"/>
    <w:rsid w:val="006B1F12"/>
    <w:rsid w:val="006B2100"/>
    <w:rsid w:val="006B2239"/>
    <w:rsid w:val="006C4EB7"/>
    <w:rsid w:val="006F1A50"/>
    <w:rsid w:val="006F27AA"/>
    <w:rsid w:val="006F7C52"/>
    <w:rsid w:val="00710F01"/>
    <w:rsid w:val="007136CF"/>
    <w:rsid w:val="00713947"/>
    <w:rsid w:val="00715889"/>
    <w:rsid w:val="007214E3"/>
    <w:rsid w:val="0072242A"/>
    <w:rsid w:val="00735D3E"/>
    <w:rsid w:val="007363EB"/>
    <w:rsid w:val="00740B78"/>
    <w:rsid w:val="00744851"/>
    <w:rsid w:val="00746348"/>
    <w:rsid w:val="007472B5"/>
    <w:rsid w:val="00751052"/>
    <w:rsid w:val="00763E3B"/>
    <w:rsid w:val="00781C92"/>
    <w:rsid w:val="007879BB"/>
    <w:rsid w:val="00790D04"/>
    <w:rsid w:val="007910D4"/>
    <w:rsid w:val="007959BD"/>
    <w:rsid w:val="007A75B8"/>
    <w:rsid w:val="007C0B7B"/>
    <w:rsid w:val="007C1ADA"/>
    <w:rsid w:val="007C1EC3"/>
    <w:rsid w:val="007D4A39"/>
    <w:rsid w:val="007E5F3A"/>
    <w:rsid w:val="007E6F7B"/>
    <w:rsid w:val="007F0813"/>
    <w:rsid w:val="00801B71"/>
    <w:rsid w:val="00804B78"/>
    <w:rsid w:val="0080597E"/>
    <w:rsid w:val="00805C77"/>
    <w:rsid w:val="00814179"/>
    <w:rsid w:val="0082004C"/>
    <w:rsid w:val="00820410"/>
    <w:rsid w:val="00821FFF"/>
    <w:rsid w:val="00827690"/>
    <w:rsid w:val="00832F86"/>
    <w:rsid w:val="008407F4"/>
    <w:rsid w:val="00847C6E"/>
    <w:rsid w:val="00854BA8"/>
    <w:rsid w:val="008600B0"/>
    <w:rsid w:val="00866293"/>
    <w:rsid w:val="008678EA"/>
    <w:rsid w:val="00870A05"/>
    <w:rsid w:val="00871830"/>
    <w:rsid w:val="00871A71"/>
    <w:rsid w:val="0088193C"/>
    <w:rsid w:val="00883334"/>
    <w:rsid w:val="00886415"/>
    <w:rsid w:val="008877C7"/>
    <w:rsid w:val="008928D5"/>
    <w:rsid w:val="008C33C3"/>
    <w:rsid w:val="008D36C4"/>
    <w:rsid w:val="008D6FB8"/>
    <w:rsid w:val="008E013F"/>
    <w:rsid w:val="008E1DBC"/>
    <w:rsid w:val="008F4259"/>
    <w:rsid w:val="009013D0"/>
    <w:rsid w:val="00905C18"/>
    <w:rsid w:val="00921A63"/>
    <w:rsid w:val="00924867"/>
    <w:rsid w:val="0092772A"/>
    <w:rsid w:val="00933520"/>
    <w:rsid w:val="00944C30"/>
    <w:rsid w:val="00945094"/>
    <w:rsid w:val="00945C92"/>
    <w:rsid w:val="00952BD8"/>
    <w:rsid w:val="00952F60"/>
    <w:rsid w:val="00952F82"/>
    <w:rsid w:val="0095487F"/>
    <w:rsid w:val="00965D4E"/>
    <w:rsid w:val="00970023"/>
    <w:rsid w:val="00970C3F"/>
    <w:rsid w:val="009767A0"/>
    <w:rsid w:val="00981C80"/>
    <w:rsid w:val="00991480"/>
    <w:rsid w:val="0099171B"/>
    <w:rsid w:val="009939F2"/>
    <w:rsid w:val="009A1C76"/>
    <w:rsid w:val="009B0377"/>
    <w:rsid w:val="009B599C"/>
    <w:rsid w:val="009B6E33"/>
    <w:rsid w:val="009C1475"/>
    <w:rsid w:val="009C304F"/>
    <w:rsid w:val="009D6100"/>
    <w:rsid w:val="009E3E3D"/>
    <w:rsid w:val="009E7E7F"/>
    <w:rsid w:val="009F06B5"/>
    <w:rsid w:val="009F3EBC"/>
    <w:rsid w:val="009F4EAF"/>
    <w:rsid w:val="00A102BC"/>
    <w:rsid w:val="00A14D05"/>
    <w:rsid w:val="00A2041D"/>
    <w:rsid w:val="00A20E18"/>
    <w:rsid w:val="00A22E2F"/>
    <w:rsid w:val="00A31821"/>
    <w:rsid w:val="00A33125"/>
    <w:rsid w:val="00A37A18"/>
    <w:rsid w:val="00A40A0B"/>
    <w:rsid w:val="00A4125A"/>
    <w:rsid w:val="00A419B5"/>
    <w:rsid w:val="00A41A0B"/>
    <w:rsid w:val="00A45BC6"/>
    <w:rsid w:val="00A5100F"/>
    <w:rsid w:val="00A5438F"/>
    <w:rsid w:val="00A56796"/>
    <w:rsid w:val="00A7195C"/>
    <w:rsid w:val="00A73063"/>
    <w:rsid w:val="00A7328D"/>
    <w:rsid w:val="00A74B20"/>
    <w:rsid w:val="00A94137"/>
    <w:rsid w:val="00A94E80"/>
    <w:rsid w:val="00A97361"/>
    <w:rsid w:val="00AA1617"/>
    <w:rsid w:val="00AA717F"/>
    <w:rsid w:val="00AB0C52"/>
    <w:rsid w:val="00AB5B79"/>
    <w:rsid w:val="00AC2623"/>
    <w:rsid w:val="00AC7374"/>
    <w:rsid w:val="00AD2F70"/>
    <w:rsid w:val="00AD5FF9"/>
    <w:rsid w:val="00B07BAA"/>
    <w:rsid w:val="00B20F24"/>
    <w:rsid w:val="00B23172"/>
    <w:rsid w:val="00B25931"/>
    <w:rsid w:val="00B269D1"/>
    <w:rsid w:val="00B30294"/>
    <w:rsid w:val="00B50320"/>
    <w:rsid w:val="00B515A8"/>
    <w:rsid w:val="00B51E10"/>
    <w:rsid w:val="00B6142D"/>
    <w:rsid w:val="00B63EBA"/>
    <w:rsid w:val="00B6655B"/>
    <w:rsid w:val="00B70700"/>
    <w:rsid w:val="00B74D06"/>
    <w:rsid w:val="00B76F60"/>
    <w:rsid w:val="00B8281B"/>
    <w:rsid w:val="00B90816"/>
    <w:rsid w:val="00B9459B"/>
    <w:rsid w:val="00B968E3"/>
    <w:rsid w:val="00BA4BEB"/>
    <w:rsid w:val="00BB0977"/>
    <w:rsid w:val="00BD1C28"/>
    <w:rsid w:val="00BE6EBE"/>
    <w:rsid w:val="00BF17DC"/>
    <w:rsid w:val="00BF20AA"/>
    <w:rsid w:val="00C0055D"/>
    <w:rsid w:val="00C035BD"/>
    <w:rsid w:val="00C037E3"/>
    <w:rsid w:val="00C16562"/>
    <w:rsid w:val="00C17B80"/>
    <w:rsid w:val="00C2133A"/>
    <w:rsid w:val="00C25B45"/>
    <w:rsid w:val="00C30E9E"/>
    <w:rsid w:val="00C35AA9"/>
    <w:rsid w:val="00C37832"/>
    <w:rsid w:val="00C47C98"/>
    <w:rsid w:val="00C514FE"/>
    <w:rsid w:val="00C5464D"/>
    <w:rsid w:val="00C562EE"/>
    <w:rsid w:val="00C57F95"/>
    <w:rsid w:val="00C67A07"/>
    <w:rsid w:val="00C735C5"/>
    <w:rsid w:val="00C7381A"/>
    <w:rsid w:val="00C7502E"/>
    <w:rsid w:val="00C86FCA"/>
    <w:rsid w:val="00C90B51"/>
    <w:rsid w:val="00C912DE"/>
    <w:rsid w:val="00C945E7"/>
    <w:rsid w:val="00C95045"/>
    <w:rsid w:val="00C96428"/>
    <w:rsid w:val="00CA1D73"/>
    <w:rsid w:val="00CB2C28"/>
    <w:rsid w:val="00CC7466"/>
    <w:rsid w:val="00CE04D5"/>
    <w:rsid w:val="00CE770A"/>
    <w:rsid w:val="00CF1D16"/>
    <w:rsid w:val="00CF4A38"/>
    <w:rsid w:val="00CF6162"/>
    <w:rsid w:val="00CF713E"/>
    <w:rsid w:val="00CF7846"/>
    <w:rsid w:val="00D00249"/>
    <w:rsid w:val="00D01542"/>
    <w:rsid w:val="00D1049D"/>
    <w:rsid w:val="00D10615"/>
    <w:rsid w:val="00D12C25"/>
    <w:rsid w:val="00D24439"/>
    <w:rsid w:val="00D2680C"/>
    <w:rsid w:val="00D40C46"/>
    <w:rsid w:val="00D52462"/>
    <w:rsid w:val="00D60BD2"/>
    <w:rsid w:val="00D7285F"/>
    <w:rsid w:val="00D93537"/>
    <w:rsid w:val="00D95285"/>
    <w:rsid w:val="00D97A45"/>
    <w:rsid w:val="00DA3D4F"/>
    <w:rsid w:val="00DA4750"/>
    <w:rsid w:val="00DA6069"/>
    <w:rsid w:val="00DC49C0"/>
    <w:rsid w:val="00DC7678"/>
    <w:rsid w:val="00DD624A"/>
    <w:rsid w:val="00DD76C5"/>
    <w:rsid w:val="00DE05D2"/>
    <w:rsid w:val="00E05470"/>
    <w:rsid w:val="00E06BE0"/>
    <w:rsid w:val="00E14683"/>
    <w:rsid w:val="00E2345E"/>
    <w:rsid w:val="00E31E0E"/>
    <w:rsid w:val="00E455EF"/>
    <w:rsid w:val="00E54785"/>
    <w:rsid w:val="00E62706"/>
    <w:rsid w:val="00E67CEE"/>
    <w:rsid w:val="00E723F1"/>
    <w:rsid w:val="00E742C9"/>
    <w:rsid w:val="00E82964"/>
    <w:rsid w:val="00E83186"/>
    <w:rsid w:val="00E86F77"/>
    <w:rsid w:val="00E8717A"/>
    <w:rsid w:val="00E87316"/>
    <w:rsid w:val="00E9142E"/>
    <w:rsid w:val="00E94C28"/>
    <w:rsid w:val="00EA2E51"/>
    <w:rsid w:val="00EA4EDB"/>
    <w:rsid w:val="00EB4158"/>
    <w:rsid w:val="00EC0DF9"/>
    <w:rsid w:val="00EC3857"/>
    <w:rsid w:val="00ED333B"/>
    <w:rsid w:val="00EE2FD8"/>
    <w:rsid w:val="00EE72BD"/>
    <w:rsid w:val="00EF0AE0"/>
    <w:rsid w:val="00EF0F6C"/>
    <w:rsid w:val="00EF6B33"/>
    <w:rsid w:val="00F05273"/>
    <w:rsid w:val="00F11978"/>
    <w:rsid w:val="00F2487A"/>
    <w:rsid w:val="00F2619A"/>
    <w:rsid w:val="00F279AD"/>
    <w:rsid w:val="00F3341F"/>
    <w:rsid w:val="00F3629C"/>
    <w:rsid w:val="00F36F52"/>
    <w:rsid w:val="00F472DC"/>
    <w:rsid w:val="00F54667"/>
    <w:rsid w:val="00F81B45"/>
    <w:rsid w:val="00F87E9B"/>
    <w:rsid w:val="00F911AC"/>
    <w:rsid w:val="00F93B67"/>
    <w:rsid w:val="00F96CC1"/>
    <w:rsid w:val="00FB298B"/>
    <w:rsid w:val="00FB3D3B"/>
    <w:rsid w:val="00FC1F0E"/>
    <w:rsid w:val="00FC2B0B"/>
    <w:rsid w:val="00FD58D0"/>
    <w:rsid w:val="00FE19D3"/>
    <w:rsid w:val="00FE281C"/>
    <w:rsid w:val="00FF569B"/>
    <w:rsid w:val="00FF6888"/>
    <w:rsid w:val="0AAD4293"/>
    <w:rsid w:val="109738C9"/>
    <w:rsid w:val="224595ED"/>
    <w:rsid w:val="227D55A9"/>
    <w:rsid w:val="23FF05F9"/>
    <w:rsid w:val="25DE732B"/>
    <w:rsid w:val="2842E577"/>
    <w:rsid w:val="2959C45E"/>
    <w:rsid w:val="31B10976"/>
    <w:rsid w:val="376246FD"/>
    <w:rsid w:val="38B619FC"/>
    <w:rsid w:val="3B26B0EB"/>
    <w:rsid w:val="436D6F20"/>
    <w:rsid w:val="437AB2C0"/>
    <w:rsid w:val="450206D1"/>
    <w:rsid w:val="47DE4ACE"/>
    <w:rsid w:val="488AC803"/>
    <w:rsid w:val="4E31327D"/>
    <w:rsid w:val="4E91106D"/>
    <w:rsid w:val="50EF4508"/>
    <w:rsid w:val="5111A7DA"/>
    <w:rsid w:val="544E9762"/>
    <w:rsid w:val="581FD2AC"/>
    <w:rsid w:val="5AB68F5A"/>
    <w:rsid w:val="5BBDA0B6"/>
    <w:rsid w:val="5CDC7F29"/>
    <w:rsid w:val="62D465AF"/>
    <w:rsid w:val="68C66FBB"/>
    <w:rsid w:val="6B72BEF2"/>
    <w:rsid w:val="6C482CF7"/>
    <w:rsid w:val="706E842B"/>
    <w:rsid w:val="73C302BB"/>
    <w:rsid w:val="7403ED9D"/>
    <w:rsid w:val="74AE19F8"/>
    <w:rsid w:val="75FFFD57"/>
    <w:rsid w:val="76076F6C"/>
    <w:rsid w:val="76FCC4D1"/>
    <w:rsid w:val="7713573D"/>
    <w:rsid w:val="782F4465"/>
    <w:rsid w:val="79A0CE7A"/>
    <w:rsid w:val="7ABA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9157"/>
  <w15:chartTrackingRefBased/>
  <w15:docId w15:val="{A17626C4-F39F-4B25-9B28-83AFB32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4">
    <w:name w:val="heading 4"/>
    <w:basedOn w:val="Normalny"/>
    <w:link w:val="Nagwek4Znak"/>
    <w:uiPriority w:val="9"/>
    <w:qFormat/>
    <w:rsid w:val="006C4EB7"/>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97903"/>
    <w:pPr>
      <w:tabs>
        <w:tab w:val="center" w:pos="4536"/>
        <w:tab w:val="right" w:pos="9072"/>
      </w:tabs>
    </w:pPr>
  </w:style>
  <w:style w:type="character" w:customStyle="1" w:styleId="NagwekZnak">
    <w:name w:val="Nagłówek Znak"/>
    <w:link w:val="Nagwek"/>
    <w:uiPriority w:val="99"/>
    <w:rsid w:val="00097903"/>
    <w:rPr>
      <w:sz w:val="22"/>
      <w:szCs w:val="22"/>
      <w:lang w:eastAsia="en-US"/>
    </w:rPr>
  </w:style>
  <w:style w:type="paragraph" w:styleId="Stopka">
    <w:name w:val="footer"/>
    <w:basedOn w:val="Normalny"/>
    <w:link w:val="StopkaZnak"/>
    <w:uiPriority w:val="99"/>
    <w:unhideWhenUsed/>
    <w:rsid w:val="00097903"/>
    <w:pPr>
      <w:tabs>
        <w:tab w:val="center" w:pos="4536"/>
        <w:tab w:val="right" w:pos="9072"/>
      </w:tabs>
    </w:pPr>
  </w:style>
  <w:style w:type="character" w:customStyle="1" w:styleId="StopkaZnak">
    <w:name w:val="Stopka Znak"/>
    <w:link w:val="Stopka"/>
    <w:uiPriority w:val="99"/>
    <w:rsid w:val="00097903"/>
    <w:rPr>
      <w:sz w:val="22"/>
      <w:szCs w:val="22"/>
      <w:lang w:eastAsia="en-US"/>
    </w:rPr>
  </w:style>
  <w:style w:type="paragraph" w:styleId="Tekstprzypisukocowego">
    <w:name w:val="endnote text"/>
    <w:basedOn w:val="Normalny"/>
    <w:link w:val="TekstprzypisukocowegoZnak"/>
    <w:uiPriority w:val="99"/>
    <w:semiHidden/>
    <w:unhideWhenUsed/>
    <w:rsid w:val="00070342"/>
    <w:rPr>
      <w:sz w:val="20"/>
      <w:szCs w:val="20"/>
    </w:rPr>
  </w:style>
  <w:style w:type="character" w:customStyle="1" w:styleId="TekstprzypisukocowegoZnak">
    <w:name w:val="Tekst przypisu końcowego Znak"/>
    <w:link w:val="Tekstprzypisukocowego"/>
    <w:uiPriority w:val="99"/>
    <w:semiHidden/>
    <w:rsid w:val="00070342"/>
    <w:rPr>
      <w:lang w:eastAsia="en-US"/>
    </w:rPr>
  </w:style>
  <w:style w:type="character" w:styleId="Odwoanieprzypisukocowego">
    <w:name w:val="endnote reference"/>
    <w:uiPriority w:val="99"/>
    <w:semiHidden/>
    <w:unhideWhenUsed/>
    <w:rsid w:val="00070342"/>
    <w:rPr>
      <w:vertAlign w:val="superscript"/>
    </w:rPr>
  </w:style>
  <w:style w:type="character" w:styleId="Hipercze">
    <w:name w:val="Hyperlink"/>
    <w:unhideWhenUsed/>
    <w:rsid w:val="009D6100"/>
    <w:rPr>
      <w:color w:val="0000FF"/>
      <w:u w:val="single"/>
    </w:rPr>
  </w:style>
  <w:style w:type="character" w:customStyle="1" w:styleId="Nagwek4Znak">
    <w:name w:val="Nagłówek 4 Znak"/>
    <w:link w:val="Nagwek4"/>
    <w:uiPriority w:val="9"/>
    <w:rsid w:val="006C4EB7"/>
    <w:rPr>
      <w:rFonts w:ascii="Times New Roman" w:eastAsia="Times New Roman" w:hAnsi="Times New Roman"/>
      <w:b/>
      <w:bCs/>
      <w:sz w:val="24"/>
      <w:szCs w:val="24"/>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lang w:eastAsia="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204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410"/>
    <w:rPr>
      <w:rFonts w:ascii="Segoe UI" w:hAnsi="Segoe UI" w:cs="Segoe UI"/>
      <w:sz w:val="18"/>
      <w:szCs w:val="18"/>
      <w:lang w:eastAsia="en-US"/>
    </w:rPr>
  </w:style>
  <w:style w:type="paragraph" w:styleId="Akapitzlist">
    <w:name w:val="List Paragraph"/>
    <w:basedOn w:val="Normalny"/>
    <w:uiPriority w:val="34"/>
    <w:qFormat/>
    <w:rsid w:val="00715889"/>
    <w:pPr>
      <w:spacing w:after="0" w:line="240" w:lineRule="auto"/>
      <w:ind w:left="720"/>
      <w:contextualSpacing/>
      <w:jc w:val="both"/>
    </w:pPr>
    <w:rPr>
      <w:rFonts w:asciiTheme="minorHAnsi" w:eastAsiaTheme="minorHAnsi" w:hAnsiTheme="minorHAnsi" w:cstheme="minorBidi"/>
    </w:rPr>
  </w:style>
  <w:style w:type="paragraph" w:customStyle="1" w:styleId="ZARTzmartartykuempunktem">
    <w:name w:val="Z/ART(§) – zm. art. (§) artykułem (punktem)"/>
    <w:basedOn w:val="Normalny"/>
    <w:uiPriority w:val="30"/>
    <w:qFormat/>
    <w:rsid w:val="00F911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Normalny1">
    <w:name w:val="Normalny1"/>
    <w:basedOn w:val="Normalny"/>
    <w:rsid w:val="00F911A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PKTzmpktartykuempunktem">
    <w:name w:val="Z/PKT – zm. pkt artykułem (punktem)"/>
    <w:basedOn w:val="Normalny"/>
    <w:uiPriority w:val="31"/>
    <w:qFormat/>
    <w:rsid w:val="006B1ACD"/>
    <w:pPr>
      <w:spacing w:after="0" w:line="360" w:lineRule="auto"/>
      <w:ind w:left="102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19090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LITlitera">
    <w:name w:val="LIT – litera"/>
    <w:basedOn w:val="Normalny"/>
    <w:uiPriority w:val="14"/>
    <w:qFormat/>
    <w:rsid w:val="00190909"/>
    <w:pPr>
      <w:spacing w:after="0" w:line="360" w:lineRule="auto"/>
      <w:ind w:left="986" w:hanging="476"/>
      <w:jc w:val="both"/>
    </w:pPr>
    <w:rPr>
      <w:rFonts w:ascii="Times" w:eastAsiaTheme="minorEastAsia" w:hAnsi="Times" w:cs="Arial"/>
      <w:bCs/>
      <w:sz w:val="24"/>
      <w:szCs w:val="20"/>
      <w:lang w:eastAsia="pl-PL"/>
    </w:rPr>
  </w:style>
  <w:style w:type="paragraph" w:customStyle="1" w:styleId="ZLITLITzmlitliter">
    <w:name w:val="Z_LIT/LIT – zm. lit. literą"/>
    <w:basedOn w:val="LITlitera"/>
    <w:uiPriority w:val="48"/>
    <w:qFormat/>
    <w:rsid w:val="00190909"/>
    <w:pPr>
      <w:ind w:left="1463"/>
    </w:pPr>
  </w:style>
  <w:style w:type="paragraph" w:customStyle="1" w:styleId="PKTpunkt">
    <w:name w:val="PKT – punkt"/>
    <w:uiPriority w:val="13"/>
    <w:qFormat/>
    <w:rsid w:val="005D18AA"/>
    <w:pPr>
      <w:spacing w:line="360" w:lineRule="auto"/>
      <w:ind w:left="510" w:hanging="510"/>
      <w:jc w:val="both"/>
    </w:pPr>
    <w:rPr>
      <w:rFonts w:ascii="Times" w:eastAsiaTheme="minorEastAsia" w:hAnsi="Times" w:cs="Arial"/>
      <w:bCs/>
      <w:sz w:val="24"/>
    </w:rPr>
  </w:style>
  <w:style w:type="paragraph" w:customStyle="1" w:styleId="ZUSTzmustartykuempunktem">
    <w:name w:val="Z/UST(§) – zm. ust. (§) artykułem (punktem)"/>
    <w:basedOn w:val="Normalny"/>
    <w:uiPriority w:val="30"/>
    <w:qFormat/>
    <w:rsid w:val="000512A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Tematkomentarza">
    <w:name w:val="annotation subject"/>
    <w:basedOn w:val="Tekstkomentarza"/>
    <w:next w:val="Tekstkomentarza"/>
    <w:link w:val="TematkomentarzaZnak"/>
    <w:uiPriority w:val="99"/>
    <w:semiHidden/>
    <w:unhideWhenUsed/>
    <w:rsid w:val="00B968E3"/>
    <w:rPr>
      <w:b/>
      <w:bCs/>
    </w:rPr>
  </w:style>
  <w:style w:type="character" w:customStyle="1" w:styleId="TematkomentarzaZnak">
    <w:name w:val="Temat komentarza Znak"/>
    <w:basedOn w:val="TekstkomentarzaZnak"/>
    <w:link w:val="Tematkomentarza"/>
    <w:uiPriority w:val="99"/>
    <w:semiHidden/>
    <w:rsid w:val="00B968E3"/>
    <w:rPr>
      <w:b/>
      <w:bCs/>
      <w:lang w:eastAsia="en-US"/>
    </w:rPr>
  </w:style>
  <w:style w:type="character" w:customStyle="1" w:styleId="Nierozpoznanawzmianka1">
    <w:name w:val="Nierozpoznana wzmianka1"/>
    <w:basedOn w:val="Domylnaczcionkaakapitu"/>
    <w:uiPriority w:val="99"/>
    <w:semiHidden/>
    <w:unhideWhenUsed/>
    <w:rsid w:val="0061242D"/>
    <w:rPr>
      <w:color w:val="605E5C"/>
      <w:shd w:val="clear" w:color="auto" w:fill="E1DFDD"/>
    </w:rPr>
  </w:style>
  <w:style w:type="character" w:customStyle="1" w:styleId="Ppogrubienie">
    <w:name w:val="_P_ – pogrubienie"/>
    <w:uiPriority w:val="1"/>
    <w:qFormat/>
    <w:rsid w:val="00C17B80"/>
    <w:rPr>
      <w:b/>
    </w:rPr>
  </w:style>
  <w:style w:type="paragraph" w:customStyle="1" w:styleId="Default">
    <w:name w:val="Default"/>
    <w:rsid w:val="00F279AD"/>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F279AD"/>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13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891">
      <w:bodyDiv w:val="1"/>
      <w:marLeft w:val="0"/>
      <w:marRight w:val="0"/>
      <w:marTop w:val="0"/>
      <w:marBottom w:val="0"/>
      <w:divBdr>
        <w:top w:val="none" w:sz="0" w:space="0" w:color="auto"/>
        <w:left w:val="none" w:sz="0" w:space="0" w:color="auto"/>
        <w:bottom w:val="none" w:sz="0" w:space="0" w:color="auto"/>
        <w:right w:val="none" w:sz="0" w:space="0" w:color="auto"/>
      </w:divBdr>
    </w:div>
    <w:div w:id="201409955">
      <w:bodyDiv w:val="1"/>
      <w:marLeft w:val="0"/>
      <w:marRight w:val="0"/>
      <w:marTop w:val="0"/>
      <w:marBottom w:val="0"/>
      <w:divBdr>
        <w:top w:val="none" w:sz="0" w:space="0" w:color="auto"/>
        <w:left w:val="none" w:sz="0" w:space="0" w:color="auto"/>
        <w:bottom w:val="none" w:sz="0" w:space="0" w:color="auto"/>
        <w:right w:val="none" w:sz="0" w:space="0" w:color="auto"/>
      </w:divBdr>
    </w:div>
    <w:div w:id="233393568">
      <w:bodyDiv w:val="1"/>
      <w:marLeft w:val="0"/>
      <w:marRight w:val="0"/>
      <w:marTop w:val="0"/>
      <w:marBottom w:val="0"/>
      <w:divBdr>
        <w:top w:val="none" w:sz="0" w:space="0" w:color="auto"/>
        <w:left w:val="none" w:sz="0" w:space="0" w:color="auto"/>
        <w:bottom w:val="none" w:sz="0" w:space="0" w:color="auto"/>
        <w:right w:val="none" w:sz="0" w:space="0" w:color="auto"/>
      </w:divBdr>
    </w:div>
    <w:div w:id="783960519">
      <w:bodyDiv w:val="1"/>
      <w:marLeft w:val="0"/>
      <w:marRight w:val="0"/>
      <w:marTop w:val="0"/>
      <w:marBottom w:val="0"/>
      <w:divBdr>
        <w:top w:val="none" w:sz="0" w:space="0" w:color="auto"/>
        <w:left w:val="none" w:sz="0" w:space="0" w:color="auto"/>
        <w:bottom w:val="none" w:sz="0" w:space="0" w:color="auto"/>
        <w:right w:val="none" w:sz="0" w:space="0" w:color="auto"/>
      </w:divBdr>
    </w:div>
    <w:div w:id="1127092018">
      <w:bodyDiv w:val="1"/>
      <w:marLeft w:val="0"/>
      <w:marRight w:val="0"/>
      <w:marTop w:val="0"/>
      <w:marBottom w:val="0"/>
      <w:divBdr>
        <w:top w:val="none" w:sz="0" w:space="0" w:color="auto"/>
        <w:left w:val="none" w:sz="0" w:space="0" w:color="auto"/>
        <w:bottom w:val="none" w:sz="0" w:space="0" w:color="auto"/>
        <w:right w:val="none" w:sz="0" w:space="0" w:color="auto"/>
      </w:divBdr>
    </w:div>
    <w:div w:id="1458989744">
      <w:bodyDiv w:val="1"/>
      <w:marLeft w:val="0"/>
      <w:marRight w:val="0"/>
      <w:marTop w:val="0"/>
      <w:marBottom w:val="0"/>
      <w:divBdr>
        <w:top w:val="none" w:sz="0" w:space="0" w:color="auto"/>
        <w:left w:val="none" w:sz="0" w:space="0" w:color="auto"/>
        <w:bottom w:val="none" w:sz="0" w:space="0" w:color="auto"/>
        <w:right w:val="none" w:sz="0" w:space="0" w:color="auto"/>
      </w:divBdr>
    </w:div>
    <w:div w:id="1804230180">
      <w:bodyDiv w:val="1"/>
      <w:marLeft w:val="0"/>
      <w:marRight w:val="0"/>
      <w:marTop w:val="0"/>
      <w:marBottom w:val="0"/>
      <w:divBdr>
        <w:top w:val="none" w:sz="0" w:space="0" w:color="auto"/>
        <w:left w:val="none" w:sz="0" w:space="0" w:color="auto"/>
        <w:bottom w:val="none" w:sz="0" w:space="0" w:color="auto"/>
        <w:right w:val="none" w:sz="0" w:space="0" w:color="auto"/>
      </w:divBdr>
    </w:div>
    <w:div w:id="18821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71EF-F778-4301-8E36-AB6C3FDE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1835</Words>
  <Characters>11011</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Zawadzka-Stępniak</dc:creator>
  <cp:keywords/>
  <dc:description/>
  <cp:lastModifiedBy>Magdalena Kamińska</cp:lastModifiedBy>
  <cp:revision>5</cp:revision>
  <cp:lastPrinted>2022-05-10T10:20:00Z</cp:lastPrinted>
  <dcterms:created xsi:type="dcterms:W3CDTF">2022-05-11T14:27:00Z</dcterms:created>
  <dcterms:modified xsi:type="dcterms:W3CDTF">2022-05-13T07:58:00Z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135c4ba-2280-41f8-be7d-6f21d368baa3_Enabled">
    <vt:lpwstr>true</vt:lpwstr>
  </property>
  <property fmtid="{D5CDD505-2E9C-101B-9397-08002B2CF9AE}" pid="4" name="MSIP_Label_c135c4ba-2280-41f8-be7d-6f21d368baa3_SetDate">
    <vt:lpwstr>2022-05-05T09:20:57Z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fe05bc33-0a5e-41fa-b325-121d98b0d396</vt:lpwstr>
  </property>
  <property fmtid="{D5CDD505-2E9C-101B-9397-08002B2CF9AE}" pid="9" name="MSIP_Label_c135c4ba-2280-41f8-be7d-6f21d368baa3_ContentBits">
    <vt:lpwstr>0</vt:lpwstr>
  </property>
  <property fmtid="{D5CDD505-2E9C-101B-9397-08002B2CF9AE}" pid="10" name="MSIP_Label_f45044c0-b6aa-4b2b-834d-65c9ef8bb134_Enabled">
    <vt:lpwstr>true</vt:lpwstr>
  </property>
  <property fmtid="{D5CDD505-2E9C-101B-9397-08002B2CF9AE}" pid="11" name="MSIP_Label_f45044c0-b6aa-4b2b-834d-65c9ef8bb134_SetDate">
    <vt:lpwstr>2022-05-11T06:43:20Z</vt:lpwstr>
  </property>
  <property fmtid="{D5CDD505-2E9C-101B-9397-08002B2CF9AE}" pid="12" name="MSIP_Label_f45044c0-b6aa-4b2b-834d-65c9ef8bb134_Method">
    <vt:lpwstr>Standard</vt:lpwstr>
  </property>
  <property fmtid="{D5CDD505-2E9C-101B-9397-08002B2CF9AE}" pid="13" name="MSIP_Label_f45044c0-b6aa-4b2b-834d-65c9ef8bb134_Name">
    <vt:lpwstr>f45044c0-b6aa-4b2b-834d-65c9ef8bb134</vt:lpwstr>
  </property>
  <property fmtid="{D5CDD505-2E9C-101B-9397-08002B2CF9AE}" pid="14" name="MSIP_Label_f45044c0-b6aa-4b2b-834d-65c9ef8bb134_SiteId">
    <vt:lpwstr>62a9c2c8-8b09-43be-a7fb-9a87875714a9</vt:lpwstr>
  </property>
  <property fmtid="{D5CDD505-2E9C-101B-9397-08002B2CF9AE}" pid="15" name="MSIP_Label_f45044c0-b6aa-4b2b-834d-65c9ef8bb134_ActionId">
    <vt:lpwstr>360d4f62-b80c-4d70-88fc-1285a11e59bb</vt:lpwstr>
  </property>
  <property fmtid="{D5CDD505-2E9C-101B-9397-08002B2CF9AE}" pid="16" name="MSIP_Label_f45044c0-b6aa-4b2b-834d-65c9ef8bb134_ContentBits">
    <vt:lpwstr>0</vt:lpwstr>
  </property>
</Properties>
</file>