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049" w14:textId="77777777" w:rsidR="00356170" w:rsidRPr="00757B44" w:rsidRDefault="00356170" w:rsidP="00356170">
      <w:pPr>
        <w:pStyle w:val="Akapitzlist"/>
        <w:spacing w:before="120" w:after="120" w:line="360" w:lineRule="auto"/>
        <w:ind w:left="0"/>
        <w:contextualSpacing w:val="0"/>
        <w:rPr>
          <w:rFonts w:cstheme="minorHAnsi"/>
          <w:b/>
          <w:bCs/>
        </w:rPr>
      </w:pPr>
      <w:r w:rsidRPr="00757B44">
        <w:rPr>
          <w:rFonts w:cstheme="minorHAnsi"/>
          <w:b/>
          <w:bCs/>
        </w:rPr>
        <w:t>Wsparcie dla szkolnictwa wyższego z Europejskiego Funduszu Społecznego + w lata 2021-2027</w:t>
      </w:r>
    </w:p>
    <w:p w14:paraId="17663DF7" w14:textId="77777777" w:rsidR="00356170" w:rsidRPr="00757B44" w:rsidRDefault="00356170" w:rsidP="00356170">
      <w:pPr>
        <w:spacing w:before="120" w:after="120" w:line="360" w:lineRule="auto"/>
        <w:rPr>
          <w:rFonts w:cstheme="minorHAnsi"/>
          <w:b/>
          <w:bCs/>
          <w:u w:val="single"/>
        </w:rPr>
      </w:pPr>
      <w:r w:rsidRPr="00757B44">
        <w:rPr>
          <w:rFonts w:cstheme="minorHAnsi"/>
          <w:b/>
          <w:bCs/>
          <w:u w:val="single"/>
        </w:rPr>
        <w:t xml:space="preserve">Podsumowanie </w:t>
      </w:r>
      <w:r w:rsidR="00F73364" w:rsidRPr="00757B44">
        <w:rPr>
          <w:rFonts w:cstheme="minorHAnsi"/>
          <w:b/>
          <w:bCs/>
          <w:u w:val="single"/>
        </w:rPr>
        <w:t xml:space="preserve">okresu programowania </w:t>
      </w:r>
      <w:r w:rsidRPr="00757B44">
        <w:rPr>
          <w:rFonts w:cstheme="minorHAnsi"/>
          <w:b/>
          <w:bCs/>
          <w:u w:val="single"/>
        </w:rPr>
        <w:t>2014-2020 - największe sukcesy</w:t>
      </w:r>
    </w:p>
    <w:p w14:paraId="4863DA49" w14:textId="77777777" w:rsidR="00356170" w:rsidRPr="00757B44" w:rsidRDefault="00356170" w:rsidP="00356170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 xml:space="preserve">Według stanu na 1.11.2022 r. w Programie Operacyjnym Wiedza Edukacja Rozwój 2014-2020 (PO WER) w obszarze szkolnictwa wyższego (oś III </w:t>
      </w:r>
      <w:r w:rsidRPr="00757B44">
        <w:rPr>
          <w:rFonts w:cstheme="minorHAnsi"/>
          <w:i/>
          <w:iCs/>
        </w:rPr>
        <w:t>Szkolnictwo wyższe dla gospodarki i rozwoju</w:t>
      </w:r>
      <w:r w:rsidRPr="00757B44">
        <w:rPr>
          <w:rFonts w:cstheme="minorHAnsi"/>
        </w:rPr>
        <w:t xml:space="preserve">) zorganizowano 59 naborów i zawarto 1941 umów na kwotę ponad 5,5 mld zł, co stanowi 92% dostępnej alokacji. </w:t>
      </w:r>
    </w:p>
    <w:p w14:paraId="39BA0D25" w14:textId="77777777" w:rsidR="00356170" w:rsidRPr="00757B44" w:rsidRDefault="00356170" w:rsidP="00356170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 xml:space="preserve">Największą popularnością cieszyły się nabory </w:t>
      </w:r>
      <w:r w:rsidR="00F73364" w:rsidRPr="00757B44">
        <w:rPr>
          <w:rFonts w:cstheme="minorHAnsi"/>
        </w:rPr>
        <w:t>dotyczące</w:t>
      </w:r>
      <w:r w:rsidRPr="00757B44">
        <w:rPr>
          <w:rFonts w:cstheme="minorHAnsi"/>
        </w:rPr>
        <w:t xml:space="preserve"> </w:t>
      </w:r>
      <w:r w:rsidRPr="00757B44">
        <w:rPr>
          <w:rFonts w:cstheme="minorHAnsi"/>
          <w:b/>
          <w:bCs/>
        </w:rPr>
        <w:t>Zintegrowanych Programów Rozwoju Uczelni</w:t>
      </w:r>
      <w:r w:rsidRPr="00757B44">
        <w:rPr>
          <w:rFonts w:cstheme="minorHAnsi"/>
        </w:rPr>
        <w:t xml:space="preserve"> – kompleksowych projektów składających się z kilku wzajemnie uzupełniających się elementów. </w:t>
      </w:r>
      <w:r w:rsidR="00F73364" w:rsidRPr="00757B44">
        <w:rPr>
          <w:rFonts w:cstheme="minorHAnsi"/>
        </w:rPr>
        <w:t>Wsparcie to</w:t>
      </w:r>
      <w:r w:rsidRPr="00757B44">
        <w:rPr>
          <w:rFonts w:cstheme="minorHAnsi"/>
        </w:rPr>
        <w:t xml:space="preserve"> umożliwiało wdrażanie projektów zawierających różne elementy dotychczas realizowane osobno (np. programy kształcenia, podnoszenia kompetencji, nowoczesne zarządzanie uczelnią). W dwóch konkursach do dofinansowania wybrano 261 projektów na kwotę ponad 2,4 mld zł.</w:t>
      </w:r>
    </w:p>
    <w:p w14:paraId="31970A20" w14:textId="77777777" w:rsidR="00356170" w:rsidRPr="00757B44" w:rsidRDefault="00356170" w:rsidP="00356170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 xml:space="preserve">Dużym sukcesem okazały się również trzy nabory w konkursie </w:t>
      </w:r>
      <w:r w:rsidRPr="00757B44">
        <w:rPr>
          <w:rFonts w:cstheme="minorHAnsi"/>
          <w:b/>
          <w:bCs/>
        </w:rPr>
        <w:t>Uczelnia dostępna</w:t>
      </w:r>
      <w:r w:rsidRPr="00757B44">
        <w:rPr>
          <w:rFonts w:cstheme="minorHAnsi"/>
        </w:rPr>
        <w:t xml:space="preserve">, który był częścią rządowego Programu „Dostępność Plus”. Celem tego wsparcia było likwidowanie barier w dostępie do kształcenia na poziomie wyższym. Łącznie do dofinansowania wybrano 202 projekty na kwotę prawie 674 mln zł. </w:t>
      </w:r>
    </w:p>
    <w:p w14:paraId="769136D0" w14:textId="77777777" w:rsidR="00356170" w:rsidRPr="00757B44" w:rsidRDefault="00F73364" w:rsidP="00F73364">
      <w:pPr>
        <w:spacing w:before="120" w:after="120" w:line="360" w:lineRule="auto"/>
        <w:rPr>
          <w:rFonts w:cstheme="minorHAnsi"/>
          <w:b/>
          <w:bCs/>
          <w:u w:val="single"/>
        </w:rPr>
      </w:pPr>
      <w:r w:rsidRPr="00757B44">
        <w:rPr>
          <w:rFonts w:cstheme="minorHAnsi"/>
          <w:b/>
          <w:bCs/>
          <w:u w:val="single"/>
        </w:rPr>
        <w:t>Perspektywa finansowa 2021-2027 – co czeka uczelnie?</w:t>
      </w:r>
    </w:p>
    <w:p w14:paraId="3BF0CC76" w14:textId="77777777" w:rsidR="00356170" w:rsidRPr="00757B44" w:rsidRDefault="00356170" w:rsidP="00356170">
      <w:pPr>
        <w:spacing w:before="120" w:after="120" w:line="360" w:lineRule="auto"/>
        <w:rPr>
          <w:rFonts w:cstheme="minorHAnsi"/>
          <w:b/>
          <w:bCs/>
        </w:rPr>
      </w:pPr>
      <w:r w:rsidRPr="00757B44">
        <w:rPr>
          <w:rFonts w:cstheme="minorHAnsi"/>
        </w:rPr>
        <w:t xml:space="preserve">Od początku naszej obecności w UE, EFS wspiera polskie uczelnie, ich kadrę i studentów. Wsparcie ma na celu stwarzanie nowych możliwości </w:t>
      </w:r>
      <w:r w:rsidRPr="00757B44">
        <w:rPr>
          <w:rFonts w:cstheme="minorHAnsi"/>
          <w:b/>
          <w:bCs/>
        </w:rPr>
        <w:t>kształcenia w szkołach wyższych, rozwoju kompetencji kluczowych, współpracy uczelni z biznesem, wzmacniania prozatrudnieniowej roli szkolnictwa wyższego, dostępności, a także umiędzynarodowienia polskich uczelni.</w:t>
      </w:r>
    </w:p>
    <w:p w14:paraId="1FE0B14C" w14:textId="77777777" w:rsidR="00356170" w:rsidRPr="00757B44" w:rsidRDefault="00356170" w:rsidP="00F73364">
      <w:pPr>
        <w:spacing w:before="120" w:after="120" w:line="360" w:lineRule="auto"/>
        <w:rPr>
          <w:rFonts w:cstheme="minorHAnsi"/>
          <w:lang w:eastAsia="pl-PL"/>
        </w:rPr>
      </w:pPr>
      <w:r w:rsidRPr="00757B44">
        <w:rPr>
          <w:rFonts w:cstheme="minorHAnsi"/>
        </w:rPr>
        <w:t xml:space="preserve">Co do zasady działania te będą kontynuowane w nowej perspektywie finansowej 2021-2027 w programie FERS. </w:t>
      </w:r>
      <w:r w:rsidRPr="00757B44">
        <w:rPr>
          <w:rFonts w:cstheme="minorHAnsi"/>
          <w:lang w:eastAsia="pl-PL"/>
        </w:rPr>
        <w:t xml:space="preserve">Na obszar szkolnictwa wyższego </w:t>
      </w:r>
      <w:r w:rsidRPr="00757B44">
        <w:rPr>
          <w:rFonts w:cstheme="minorHAnsi"/>
          <w:b/>
          <w:bCs/>
          <w:lang w:eastAsia="pl-PL"/>
        </w:rPr>
        <w:t>zaplanowano alokację w wysokości aż 700 mln euro (3,29 mld PLN)</w:t>
      </w:r>
      <w:r w:rsidRPr="00757B44">
        <w:rPr>
          <w:rFonts w:cstheme="minorHAnsi"/>
          <w:lang w:eastAsia="pl-PL"/>
        </w:rPr>
        <w:t xml:space="preserve">. </w:t>
      </w:r>
    </w:p>
    <w:p w14:paraId="09FE6FB4" w14:textId="77777777" w:rsidR="00356170" w:rsidRPr="00757B44" w:rsidRDefault="00356170" w:rsidP="00F73364">
      <w:pPr>
        <w:spacing w:before="120" w:after="120" w:line="360" w:lineRule="auto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 xml:space="preserve">W związku z pojawiającymi się, </w:t>
      </w:r>
      <w:r w:rsidRPr="00757B44">
        <w:rPr>
          <w:rFonts w:cstheme="minorHAnsi"/>
          <w:b/>
          <w:bCs/>
          <w:lang w:eastAsia="pl-PL"/>
        </w:rPr>
        <w:t>nowymi wyzwaniami</w:t>
      </w:r>
      <w:r w:rsidR="00F73364" w:rsidRPr="00757B44">
        <w:rPr>
          <w:rFonts w:cstheme="minorHAnsi"/>
          <w:lang w:eastAsia="pl-PL"/>
        </w:rPr>
        <w:t xml:space="preserve"> kluczowe będzie</w:t>
      </w:r>
      <w:r w:rsidRPr="00757B44">
        <w:rPr>
          <w:rFonts w:cstheme="minorHAnsi"/>
          <w:lang w:eastAsia="pl-PL"/>
        </w:rPr>
        <w:t xml:space="preserve"> </w:t>
      </w:r>
      <w:r w:rsidR="00F73364" w:rsidRPr="00757B44">
        <w:rPr>
          <w:rFonts w:cstheme="minorHAnsi"/>
          <w:b/>
          <w:bCs/>
          <w:lang w:eastAsia="pl-PL"/>
        </w:rPr>
        <w:t>podnoszenie jakości</w:t>
      </w:r>
      <w:r w:rsidRPr="00757B44">
        <w:rPr>
          <w:rFonts w:cstheme="minorHAnsi"/>
          <w:b/>
          <w:bCs/>
          <w:lang w:eastAsia="pl-PL"/>
        </w:rPr>
        <w:t xml:space="preserve"> kształcenia</w:t>
      </w:r>
      <w:r w:rsidR="00F73364" w:rsidRPr="00757B44">
        <w:rPr>
          <w:rFonts w:cstheme="minorHAnsi"/>
          <w:b/>
          <w:bCs/>
          <w:lang w:eastAsia="pl-PL"/>
        </w:rPr>
        <w:t xml:space="preserve"> </w:t>
      </w:r>
      <w:r w:rsidR="00F73364" w:rsidRPr="00757B44">
        <w:rPr>
          <w:rFonts w:cstheme="minorHAnsi"/>
          <w:bCs/>
          <w:lang w:eastAsia="pl-PL"/>
        </w:rPr>
        <w:t>z zastrzeżeniem, że należy koncentrować się na:</w:t>
      </w:r>
      <w:r w:rsidRPr="00757B44">
        <w:rPr>
          <w:rFonts w:cstheme="minorHAnsi"/>
          <w:lang w:eastAsia="pl-PL"/>
        </w:rPr>
        <w:t xml:space="preserve"> </w:t>
      </w:r>
    </w:p>
    <w:p w14:paraId="010FFD9F" w14:textId="77777777" w:rsidR="00356170" w:rsidRPr="00757B44" w:rsidRDefault="00356170" w:rsidP="00356170">
      <w:pPr>
        <w:pStyle w:val="Akapitzlist"/>
        <w:numPr>
          <w:ilvl w:val="0"/>
          <w:numId w:val="2"/>
        </w:numPr>
        <w:spacing w:before="120" w:after="120" w:line="360" w:lineRule="auto"/>
        <w:ind w:left="709" w:hanging="283"/>
        <w:contextualSpacing w:val="0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>dostosowani</w:t>
      </w:r>
      <w:r w:rsidR="00F73364" w:rsidRPr="00757B44">
        <w:rPr>
          <w:rFonts w:cstheme="minorHAnsi"/>
          <w:lang w:eastAsia="pl-PL"/>
        </w:rPr>
        <w:t>u</w:t>
      </w:r>
      <w:r w:rsidRPr="00757B44">
        <w:rPr>
          <w:rFonts w:cstheme="minorHAnsi"/>
          <w:lang w:eastAsia="pl-PL"/>
        </w:rPr>
        <w:t xml:space="preserve"> oferty uczelni do potrzeb zielonej i cyfrowej transformacji,</w:t>
      </w:r>
    </w:p>
    <w:p w14:paraId="5D817D33" w14:textId="77777777" w:rsidR="00356170" w:rsidRPr="00757B44" w:rsidRDefault="00F73364" w:rsidP="00356170">
      <w:pPr>
        <w:pStyle w:val="Akapitzlist"/>
        <w:numPr>
          <w:ilvl w:val="0"/>
          <w:numId w:val="2"/>
        </w:numPr>
        <w:spacing w:before="120" w:after="120" w:line="360" w:lineRule="auto"/>
        <w:ind w:left="709" w:hanging="283"/>
        <w:contextualSpacing w:val="0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>kształceniu</w:t>
      </w:r>
      <w:r w:rsidR="00356170" w:rsidRPr="00757B44">
        <w:rPr>
          <w:rFonts w:cstheme="minorHAnsi"/>
          <w:lang w:eastAsia="pl-PL"/>
        </w:rPr>
        <w:t xml:space="preserve"> kadr uczelni, w szczególności dydaktyków, </w:t>
      </w:r>
    </w:p>
    <w:p w14:paraId="4BACEF76" w14:textId="77777777" w:rsidR="00356170" w:rsidRPr="00757B44" w:rsidRDefault="00F73364" w:rsidP="00356170">
      <w:pPr>
        <w:pStyle w:val="Akapitzlist"/>
        <w:numPr>
          <w:ilvl w:val="0"/>
          <w:numId w:val="2"/>
        </w:numPr>
        <w:spacing w:before="120" w:after="120" w:line="360" w:lineRule="auto"/>
        <w:ind w:left="709" w:hanging="283"/>
        <w:contextualSpacing w:val="0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>wzbogaceniu</w:t>
      </w:r>
      <w:r w:rsidR="00356170" w:rsidRPr="00757B44">
        <w:rPr>
          <w:rFonts w:cstheme="minorHAnsi"/>
          <w:lang w:eastAsia="pl-PL"/>
        </w:rPr>
        <w:t xml:space="preserve"> oferty uczelni o różne formy doszkalające dla osób dorosłych, które chcą podnosić swoje kompetencje,</w:t>
      </w:r>
    </w:p>
    <w:p w14:paraId="446B5051" w14:textId="77777777" w:rsidR="00356170" w:rsidRPr="00757B44" w:rsidRDefault="00356170" w:rsidP="00356170">
      <w:pPr>
        <w:pStyle w:val="Akapitzlist"/>
        <w:numPr>
          <w:ilvl w:val="0"/>
          <w:numId w:val="2"/>
        </w:numPr>
        <w:spacing w:before="120" w:after="120" w:line="360" w:lineRule="auto"/>
        <w:ind w:left="709" w:hanging="283"/>
        <w:contextualSpacing w:val="0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lastRenderedPageBreak/>
        <w:t xml:space="preserve">indywidualnych potrzebach, trudnych sytuacjach czy problemach studentów np. </w:t>
      </w:r>
      <w:r w:rsidR="00F73364" w:rsidRPr="00757B44">
        <w:rPr>
          <w:rFonts w:cstheme="minorHAnsi"/>
          <w:lang w:eastAsia="pl-PL"/>
        </w:rPr>
        <w:t>związanych z przedwczesnym</w:t>
      </w:r>
      <w:r w:rsidRPr="00757B44">
        <w:rPr>
          <w:rFonts w:cstheme="minorHAnsi"/>
          <w:lang w:eastAsia="pl-PL"/>
        </w:rPr>
        <w:t xml:space="preserve"> opuszczanie</w:t>
      </w:r>
      <w:r w:rsidR="00F73364" w:rsidRPr="00757B44">
        <w:rPr>
          <w:rFonts w:cstheme="minorHAnsi"/>
          <w:lang w:eastAsia="pl-PL"/>
        </w:rPr>
        <w:t>m</w:t>
      </w:r>
      <w:r w:rsidRPr="00757B44">
        <w:rPr>
          <w:rFonts w:cstheme="minorHAnsi"/>
          <w:lang w:eastAsia="pl-PL"/>
        </w:rPr>
        <w:t xml:space="preserve"> uczelni przed zakończeniem studiów, studentach ze specjalnymi potrzebami. </w:t>
      </w:r>
    </w:p>
    <w:p w14:paraId="63F51415" w14:textId="77777777" w:rsidR="00356170" w:rsidRPr="00757B44" w:rsidRDefault="00F73364" w:rsidP="00F73364">
      <w:pPr>
        <w:spacing w:before="120" w:after="120" w:line="360" w:lineRule="auto"/>
        <w:rPr>
          <w:rFonts w:cstheme="minorHAnsi"/>
          <w:b/>
          <w:bCs/>
          <w:lang w:eastAsia="pl-PL"/>
        </w:rPr>
      </w:pPr>
      <w:r w:rsidRPr="00757B44">
        <w:rPr>
          <w:rFonts w:cstheme="minorHAnsi"/>
          <w:lang w:eastAsia="pl-PL"/>
        </w:rPr>
        <w:t xml:space="preserve">Ważne będzie także </w:t>
      </w:r>
      <w:r w:rsidR="00356170" w:rsidRPr="00757B44">
        <w:rPr>
          <w:rFonts w:cstheme="minorHAnsi"/>
          <w:lang w:eastAsia="pl-PL"/>
        </w:rPr>
        <w:t xml:space="preserve">budowanie wysokiej jakości szkolnictwa wyższego </w:t>
      </w:r>
      <w:r w:rsidRPr="00757B44">
        <w:rPr>
          <w:rFonts w:cstheme="minorHAnsi"/>
          <w:lang w:eastAsia="pl-PL"/>
        </w:rPr>
        <w:t xml:space="preserve">w </w:t>
      </w:r>
      <w:r w:rsidR="00356170" w:rsidRPr="00757B44">
        <w:rPr>
          <w:rFonts w:cstheme="minorHAnsi"/>
          <w:b/>
          <w:bCs/>
          <w:lang w:eastAsia="pl-PL"/>
        </w:rPr>
        <w:t>ścisłej współpracy z pracodawcami.</w:t>
      </w:r>
    </w:p>
    <w:p w14:paraId="4C104F9B" w14:textId="77777777" w:rsidR="00356170" w:rsidRPr="00757B44" w:rsidRDefault="00F73364" w:rsidP="00F73364">
      <w:pPr>
        <w:tabs>
          <w:tab w:val="left" w:pos="426"/>
        </w:tabs>
        <w:spacing w:before="120" w:after="120" w:line="360" w:lineRule="auto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 xml:space="preserve">Skończy się natomiast </w:t>
      </w:r>
      <w:r w:rsidR="00356170" w:rsidRPr="00757B44">
        <w:rPr>
          <w:rFonts w:cstheme="minorHAnsi"/>
          <w:lang w:eastAsia="pl-PL"/>
        </w:rPr>
        <w:t>finansowanie dużych projektów instytucjonalnych rozwoju uczelni jako takich. Z</w:t>
      </w:r>
      <w:r w:rsidRPr="00757B44">
        <w:rPr>
          <w:rFonts w:cstheme="minorHAnsi"/>
          <w:lang w:eastAsia="pl-PL"/>
        </w:rPr>
        <w:t>godnie z nowymi regulacjami dotyczącymi</w:t>
      </w:r>
      <w:r w:rsidR="00356170" w:rsidRPr="00757B44">
        <w:rPr>
          <w:rFonts w:cstheme="minorHAnsi"/>
          <w:lang w:eastAsia="pl-PL"/>
        </w:rPr>
        <w:t xml:space="preserve"> EFS+ oraz linią orzeczniczą KE </w:t>
      </w:r>
      <w:r w:rsidR="00356170" w:rsidRPr="00757B44">
        <w:rPr>
          <w:rFonts w:cstheme="minorHAnsi"/>
          <w:u w:val="single"/>
          <w:lang w:eastAsia="pl-PL"/>
        </w:rPr>
        <w:t>punkt ciężkości</w:t>
      </w:r>
      <w:r w:rsidR="00356170" w:rsidRPr="00757B44">
        <w:rPr>
          <w:rFonts w:cstheme="minorHAnsi"/>
          <w:lang w:eastAsia="pl-PL"/>
        </w:rPr>
        <w:t xml:space="preserve"> </w:t>
      </w:r>
      <w:r w:rsidR="00356170" w:rsidRPr="00757B44">
        <w:rPr>
          <w:rFonts w:cstheme="minorHAnsi"/>
          <w:u w:val="single"/>
          <w:lang w:eastAsia="pl-PL"/>
        </w:rPr>
        <w:t>przenosi się z instytucji/uczelni</w:t>
      </w:r>
      <w:r w:rsidR="00356170" w:rsidRPr="00757B44">
        <w:rPr>
          <w:rFonts w:cstheme="minorHAnsi"/>
          <w:lang w:eastAsia="pl-PL"/>
        </w:rPr>
        <w:t xml:space="preserve">, jako organizatora procesu kształcenia i dostarczyciela usług edukacyjnych, </w:t>
      </w:r>
      <w:r w:rsidR="00356170" w:rsidRPr="00757B44">
        <w:rPr>
          <w:rFonts w:cstheme="minorHAnsi"/>
          <w:u w:val="single"/>
          <w:lang w:eastAsia="pl-PL"/>
        </w:rPr>
        <w:t>na odbiorcę tych usług/studenta</w:t>
      </w:r>
      <w:r w:rsidR="00356170" w:rsidRPr="00757B44">
        <w:rPr>
          <w:rFonts w:cstheme="minorHAnsi"/>
          <w:lang w:eastAsia="pl-PL"/>
        </w:rPr>
        <w:t xml:space="preserve"> i na jego indywidualne potrzeby i indywidualne możliwości. </w:t>
      </w:r>
    </w:p>
    <w:p w14:paraId="28CACF51" w14:textId="77777777" w:rsidR="00356170" w:rsidRPr="00757B44" w:rsidRDefault="00F73364" w:rsidP="00F73364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>Wobec tego w</w:t>
      </w:r>
      <w:r w:rsidR="00356170" w:rsidRPr="00757B44">
        <w:rPr>
          <w:rFonts w:cstheme="minorHAnsi"/>
          <w:lang w:eastAsia="pl-PL"/>
        </w:rPr>
        <w:t xml:space="preserve"> FERS </w:t>
      </w:r>
      <w:r w:rsidRPr="00757B44">
        <w:rPr>
          <w:rFonts w:cstheme="minorHAnsi"/>
          <w:lang w:eastAsia="pl-PL"/>
        </w:rPr>
        <w:t xml:space="preserve">finansowanie znajdą następujące </w:t>
      </w:r>
      <w:r w:rsidR="00356170" w:rsidRPr="00757B44">
        <w:rPr>
          <w:rFonts w:cstheme="minorHAnsi"/>
          <w:lang w:eastAsia="pl-PL"/>
        </w:rPr>
        <w:t>działania:</w:t>
      </w:r>
    </w:p>
    <w:p w14:paraId="07802062" w14:textId="77777777" w:rsidR="00356170" w:rsidRPr="00757B44" w:rsidRDefault="00F73364" w:rsidP="0035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426"/>
        <w:contextualSpacing w:val="0"/>
        <w:rPr>
          <w:rFonts w:cstheme="minorHAnsi"/>
          <w:lang w:eastAsia="pl-PL"/>
        </w:rPr>
      </w:pPr>
      <w:r w:rsidRPr="00757B44">
        <w:rPr>
          <w:rFonts w:cstheme="minorHAnsi"/>
          <w:lang w:eastAsia="pl-PL"/>
        </w:rPr>
        <w:t>tworzenie lub modyfikacja</w:t>
      </w:r>
      <w:r w:rsidR="00356170" w:rsidRPr="00757B44">
        <w:rPr>
          <w:rFonts w:cstheme="minorHAnsi"/>
          <w:lang w:eastAsia="pl-PL"/>
        </w:rPr>
        <w:t xml:space="preserve"> </w:t>
      </w:r>
      <w:r w:rsidR="00356170" w:rsidRPr="00757B44">
        <w:rPr>
          <w:rFonts w:cstheme="minorHAnsi"/>
          <w:u w:val="single"/>
          <w:lang w:eastAsia="pl-PL"/>
        </w:rPr>
        <w:t>programów kształcenia</w:t>
      </w:r>
      <w:r w:rsidR="00356170" w:rsidRPr="00757B44">
        <w:rPr>
          <w:rFonts w:cstheme="minorHAnsi"/>
        </w:rPr>
        <w:t xml:space="preserve"> </w:t>
      </w:r>
      <w:r w:rsidR="00356170" w:rsidRPr="00757B44">
        <w:rPr>
          <w:rFonts w:cstheme="minorHAnsi"/>
          <w:lang w:eastAsia="pl-PL"/>
        </w:rPr>
        <w:t xml:space="preserve">przy uwzględnieniu wyzwań rozwojowych oraz potrzeb regionalnych rynków pracy, kompleksowe </w:t>
      </w:r>
      <w:r w:rsidR="00356170" w:rsidRPr="00757B44">
        <w:rPr>
          <w:rFonts w:cstheme="minorHAnsi"/>
          <w:u w:val="single"/>
          <w:lang w:eastAsia="pl-PL"/>
        </w:rPr>
        <w:t>wsparcie studentów</w:t>
      </w:r>
      <w:r w:rsidR="00356170" w:rsidRPr="00757B44">
        <w:rPr>
          <w:rFonts w:cstheme="minorHAnsi"/>
          <w:lang w:eastAsia="pl-PL"/>
        </w:rPr>
        <w:t xml:space="preserve">, w tym staże i zajęcia praktyczne u pracodawców, wsparcie kompetencji dydaktycznych </w:t>
      </w:r>
      <w:r w:rsidR="00356170" w:rsidRPr="00757B44">
        <w:rPr>
          <w:rFonts w:cstheme="minorHAnsi"/>
          <w:u w:val="single"/>
          <w:lang w:eastAsia="pl-PL"/>
        </w:rPr>
        <w:t>doktorantów</w:t>
      </w:r>
      <w:r w:rsidR="00356170" w:rsidRPr="00757B44">
        <w:rPr>
          <w:rFonts w:cstheme="minorHAnsi"/>
          <w:lang w:eastAsia="pl-PL"/>
        </w:rPr>
        <w:t xml:space="preserve"> oraz kształcenia na potrzeby zielonej i cyfrowej gospodarki, wzmacnianie kompetencji </w:t>
      </w:r>
      <w:r w:rsidR="00356170" w:rsidRPr="00757B44">
        <w:rPr>
          <w:rFonts w:cstheme="minorHAnsi"/>
          <w:u w:val="single"/>
          <w:lang w:eastAsia="pl-PL"/>
        </w:rPr>
        <w:t>kadry uczelni</w:t>
      </w:r>
      <w:r w:rsidR="00356170" w:rsidRPr="00757B44">
        <w:rPr>
          <w:rFonts w:cstheme="minorHAnsi"/>
          <w:lang w:eastAsia="pl-PL"/>
        </w:rPr>
        <w:t xml:space="preserve">, działania </w:t>
      </w:r>
      <w:r w:rsidR="00356170" w:rsidRPr="00757B44">
        <w:rPr>
          <w:rFonts w:cstheme="minorHAnsi"/>
          <w:u w:val="single"/>
          <w:lang w:eastAsia="pl-PL"/>
        </w:rPr>
        <w:t>ograniczające przerywanie nauki</w:t>
      </w:r>
      <w:r w:rsidR="00356170" w:rsidRPr="00757B44">
        <w:rPr>
          <w:rFonts w:cstheme="minorHAnsi"/>
          <w:lang w:eastAsia="pl-PL"/>
        </w:rPr>
        <w:t xml:space="preserve">, zmiany w zakresie </w:t>
      </w:r>
      <w:r w:rsidR="00356170" w:rsidRPr="00757B44">
        <w:rPr>
          <w:rFonts w:cstheme="minorHAnsi"/>
          <w:u w:val="single"/>
          <w:lang w:eastAsia="pl-PL"/>
        </w:rPr>
        <w:t>realizacji procesu kształcenia na uczelniach</w:t>
      </w:r>
      <w:r w:rsidR="00356170" w:rsidRPr="00757B44">
        <w:rPr>
          <w:rFonts w:cstheme="minorHAnsi"/>
          <w:lang w:eastAsia="pl-PL"/>
        </w:rPr>
        <w:t xml:space="preserve"> (m.in. system kształcenia na odległość, dostosowanie systemów i procedur oraz wsparcie cyfryzacji procesu kształcenia). Zaplanowano na to wsparcie w wysokości ok. </w:t>
      </w:r>
      <w:r w:rsidR="00356170" w:rsidRPr="00757B44">
        <w:rPr>
          <w:rFonts w:cstheme="minorHAnsi"/>
          <w:b/>
          <w:bCs/>
          <w:lang w:eastAsia="pl-PL"/>
        </w:rPr>
        <w:t xml:space="preserve">331 mln euro. </w:t>
      </w:r>
      <w:r w:rsidR="00356170" w:rsidRPr="00757B44">
        <w:rPr>
          <w:rFonts w:cstheme="minorHAnsi"/>
          <w:lang w:eastAsia="pl-PL"/>
        </w:rPr>
        <w:t xml:space="preserve">Wsparciem zostanie objętych ok. </w:t>
      </w:r>
      <w:r w:rsidR="00356170" w:rsidRPr="00757B44">
        <w:rPr>
          <w:rFonts w:cstheme="minorHAnsi"/>
          <w:b/>
          <w:bCs/>
          <w:lang w:eastAsia="pl-PL"/>
        </w:rPr>
        <w:t>55 tys. osób i 230 podmiotów</w:t>
      </w:r>
      <w:r w:rsidR="00356170" w:rsidRPr="00757B44">
        <w:rPr>
          <w:rFonts w:cstheme="minorHAnsi"/>
          <w:lang w:eastAsia="pl-PL"/>
        </w:rPr>
        <w:t xml:space="preserve"> systemu szkolnictwa wyższego i nauki;</w:t>
      </w:r>
    </w:p>
    <w:p w14:paraId="59670DCA" w14:textId="77777777" w:rsidR="00356170" w:rsidRPr="00757B44" w:rsidRDefault="00356170" w:rsidP="003561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425"/>
        <w:contextualSpacing w:val="0"/>
        <w:rPr>
          <w:rFonts w:cstheme="minorHAnsi"/>
          <w:b/>
          <w:bCs/>
          <w:lang w:eastAsia="pl-PL"/>
        </w:rPr>
      </w:pPr>
      <w:r w:rsidRPr="00757B44">
        <w:rPr>
          <w:rFonts w:cstheme="minorHAnsi"/>
          <w:lang w:eastAsia="pl-PL"/>
        </w:rPr>
        <w:t xml:space="preserve">szersze zaangażowanie uczelni w </w:t>
      </w:r>
      <w:r w:rsidRPr="00757B44">
        <w:rPr>
          <w:rFonts w:cstheme="minorHAnsi"/>
          <w:u w:val="single"/>
          <w:lang w:eastAsia="pl-PL"/>
        </w:rPr>
        <w:t>edukację dorosłych</w:t>
      </w:r>
      <w:r w:rsidRPr="00757B44">
        <w:rPr>
          <w:rFonts w:cstheme="minorHAnsi"/>
          <w:lang w:eastAsia="pl-PL"/>
        </w:rPr>
        <w:t>,</w:t>
      </w:r>
      <w:r w:rsidRPr="00757B44">
        <w:rPr>
          <w:rFonts w:cstheme="minorHAnsi"/>
        </w:rPr>
        <w:t xml:space="preserve"> </w:t>
      </w:r>
      <w:r w:rsidRPr="00757B44">
        <w:rPr>
          <w:rFonts w:cstheme="minorHAnsi"/>
          <w:lang w:eastAsia="pl-PL"/>
        </w:rPr>
        <w:t xml:space="preserve">wzbogacenie oferty dydaktycznej uczelni o krótkie, bardziej elastyczne i odpowiadające na oczekiwania pracodawców </w:t>
      </w:r>
      <w:r w:rsidRPr="00757B44">
        <w:rPr>
          <w:rFonts w:cstheme="minorHAnsi"/>
          <w:u w:val="single"/>
          <w:lang w:eastAsia="pl-PL"/>
        </w:rPr>
        <w:t>formy doszkalające</w:t>
      </w:r>
      <w:r w:rsidRPr="00757B44">
        <w:rPr>
          <w:rFonts w:cstheme="minorHAnsi"/>
          <w:lang w:eastAsia="pl-PL"/>
        </w:rPr>
        <w:t xml:space="preserve"> (np. kursy, szkolenia).</w:t>
      </w:r>
      <w:r w:rsidRPr="00757B44">
        <w:rPr>
          <w:rFonts w:cstheme="minorHAnsi"/>
        </w:rPr>
        <w:t xml:space="preserve"> </w:t>
      </w:r>
      <w:r w:rsidRPr="00757B44">
        <w:rPr>
          <w:rFonts w:cstheme="minorHAnsi"/>
          <w:lang w:eastAsia="pl-PL"/>
        </w:rPr>
        <w:t xml:space="preserve">Wspierane kształcenia zawodowego oraz uruchamianie </w:t>
      </w:r>
      <w:r w:rsidRPr="00757B44">
        <w:rPr>
          <w:rFonts w:cstheme="minorHAnsi"/>
          <w:u w:val="single"/>
          <w:lang w:eastAsia="pl-PL"/>
        </w:rPr>
        <w:t>kształcenia specjalistycznego na 5 poziomie PRK</w:t>
      </w:r>
      <w:r w:rsidRPr="00757B44">
        <w:rPr>
          <w:rFonts w:cstheme="minorHAnsi"/>
          <w:lang w:eastAsia="pl-PL"/>
        </w:rPr>
        <w:t xml:space="preserve"> i </w:t>
      </w:r>
      <w:r w:rsidRPr="00757B44">
        <w:rPr>
          <w:rFonts w:cstheme="minorHAnsi"/>
          <w:u w:val="single"/>
          <w:lang w:eastAsia="pl-PL"/>
        </w:rPr>
        <w:t>kursów zawodowych</w:t>
      </w:r>
      <w:r w:rsidRPr="00757B44">
        <w:rPr>
          <w:rFonts w:cstheme="minorHAnsi"/>
          <w:lang w:eastAsia="pl-PL"/>
        </w:rPr>
        <w:t xml:space="preserve"> dopasowanych do potrzeb rynku pracy, z wykorzystaniem m. in. mikrokwalifikacji.  Przeznaczono na to ok. </w:t>
      </w:r>
      <w:r w:rsidRPr="00757B44">
        <w:rPr>
          <w:rFonts w:cstheme="minorHAnsi"/>
          <w:b/>
          <w:bCs/>
          <w:lang w:eastAsia="pl-PL"/>
        </w:rPr>
        <w:t xml:space="preserve">78 mln euro. </w:t>
      </w:r>
      <w:r w:rsidRPr="00757B44">
        <w:rPr>
          <w:rFonts w:cstheme="minorHAnsi"/>
          <w:lang w:eastAsia="pl-PL"/>
        </w:rPr>
        <w:t>Wsparcie otrzyma</w:t>
      </w:r>
      <w:r w:rsidRPr="00757B44">
        <w:rPr>
          <w:rFonts w:cstheme="minorHAnsi"/>
          <w:b/>
          <w:bCs/>
          <w:lang w:eastAsia="pl-PL"/>
        </w:rPr>
        <w:t xml:space="preserve"> 20 tys. osób dorosłych;</w:t>
      </w:r>
    </w:p>
    <w:p w14:paraId="6188F571" w14:textId="77777777" w:rsidR="00356170" w:rsidRPr="00757B44" w:rsidRDefault="00F73364" w:rsidP="00356170">
      <w:pPr>
        <w:pStyle w:val="Akapitzlist"/>
        <w:numPr>
          <w:ilvl w:val="0"/>
          <w:numId w:val="1"/>
        </w:numPr>
        <w:spacing w:before="120" w:after="120" w:line="360" w:lineRule="auto"/>
        <w:ind w:left="567" w:hanging="425"/>
        <w:contextualSpacing w:val="0"/>
        <w:rPr>
          <w:rFonts w:cstheme="minorHAnsi"/>
        </w:rPr>
      </w:pPr>
      <w:r w:rsidRPr="00757B44">
        <w:rPr>
          <w:rFonts w:cstheme="minorHAnsi"/>
          <w:lang w:eastAsia="pl-PL"/>
        </w:rPr>
        <w:t>kontynuacja działań dotyczących</w:t>
      </w:r>
      <w:r w:rsidR="00356170" w:rsidRPr="00757B44">
        <w:rPr>
          <w:rFonts w:cstheme="minorHAnsi"/>
          <w:lang w:eastAsia="pl-PL"/>
        </w:rPr>
        <w:t xml:space="preserve"> poprawy </w:t>
      </w:r>
      <w:r w:rsidR="00356170" w:rsidRPr="00757B44">
        <w:rPr>
          <w:rFonts w:cstheme="minorHAnsi"/>
          <w:u w:val="single"/>
          <w:lang w:eastAsia="pl-PL"/>
        </w:rPr>
        <w:t>dostępności szkolnictwa wyższego</w:t>
      </w:r>
      <w:r w:rsidR="00356170" w:rsidRPr="00757B44">
        <w:rPr>
          <w:rFonts w:cstheme="minorHAnsi"/>
          <w:lang w:eastAsia="pl-PL"/>
        </w:rPr>
        <w:t xml:space="preserve"> dla osób z niepełnosprawnościami. </w:t>
      </w:r>
      <w:r w:rsidR="00356170" w:rsidRPr="00757B44">
        <w:rPr>
          <w:rFonts w:cstheme="minorHAnsi"/>
        </w:rPr>
        <w:t xml:space="preserve">Działania obejmą </w:t>
      </w:r>
      <w:r w:rsidR="00356170" w:rsidRPr="00757B44">
        <w:rPr>
          <w:rFonts w:cstheme="minorHAnsi"/>
          <w:u w:val="single"/>
        </w:rPr>
        <w:t>dostosowanie struktur i procedur</w:t>
      </w:r>
      <w:r w:rsidR="00356170" w:rsidRPr="00757B44">
        <w:rPr>
          <w:rFonts w:cstheme="minorHAnsi"/>
        </w:rPr>
        <w:t xml:space="preserve"> uczelni, dostosowanie </w:t>
      </w:r>
      <w:r w:rsidR="00356170" w:rsidRPr="00757B44">
        <w:rPr>
          <w:rFonts w:cstheme="minorHAnsi"/>
          <w:u w:val="single"/>
        </w:rPr>
        <w:t>materiałów dydaktycznych</w:t>
      </w:r>
      <w:r w:rsidR="00356170" w:rsidRPr="00757B44">
        <w:rPr>
          <w:rFonts w:cstheme="minorHAnsi"/>
        </w:rPr>
        <w:t xml:space="preserve"> do potrzeb OzN oraz zwiększanie świadomości i kompetencji </w:t>
      </w:r>
      <w:r w:rsidR="00356170" w:rsidRPr="00757B44">
        <w:rPr>
          <w:rFonts w:cstheme="minorHAnsi"/>
          <w:u w:val="single"/>
        </w:rPr>
        <w:t>kadry uczelni</w:t>
      </w:r>
      <w:r w:rsidR="00356170" w:rsidRPr="00757B44">
        <w:rPr>
          <w:rFonts w:cstheme="minorHAnsi"/>
        </w:rPr>
        <w:t xml:space="preserve">. </w:t>
      </w:r>
      <w:r w:rsidR="00356170" w:rsidRPr="00757B44">
        <w:rPr>
          <w:rFonts w:cstheme="minorHAnsi"/>
          <w:lang w:eastAsia="pl-PL"/>
        </w:rPr>
        <w:t xml:space="preserve">Przeznaczono na to ok. </w:t>
      </w:r>
      <w:r w:rsidR="00356170" w:rsidRPr="00757B44">
        <w:rPr>
          <w:rFonts w:cstheme="minorHAnsi"/>
          <w:b/>
          <w:bCs/>
          <w:lang w:eastAsia="pl-PL"/>
        </w:rPr>
        <w:t xml:space="preserve">180 mln euro. </w:t>
      </w:r>
      <w:r w:rsidR="00356170" w:rsidRPr="00757B44">
        <w:rPr>
          <w:rFonts w:cstheme="minorHAnsi"/>
          <w:lang w:eastAsia="pl-PL"/>
        </w:rPr>
        <w:t>Wsparcie otrzyma</w:t>
      </w:r>
      <w:r w:rsidR="00356170" w:rsidRPr="00757B44">
        <w:rPr>
          <w:rFonts w:cstheme="minorHAnsi"/>
          <w:b/>
          <w:bCs/>
          <w:lang w:eastAsia="pl-PL"/>
        </w:rPr>
        <w:t xml:space="preserve"> </w:t>
      </w:r>
      <w:r w:rsidR="00356170" w:rsidRPr="00757B44">
        <w:rPr>
          <w:rFonts w:cstheme="minorHAnsi"/>
          <w:b/>
          <w:bCs/>
        </w:rPr>
        <w:t>100 podmiotów</w:t>
      </w:r>
      <w:r w:rsidR="00356170" w:rsidRPr="00757B44">
        <w:rPr>
          <w:rFonts w:cstheme="minorHAnsi"/>
        </w:rPr>
        <w:t xml:space="preserve"> systemu szkolnictwa wyższego i nauki;</w:t>
      </w:r>
    </w:p>
    <w:p w14:paraId="5E3CE1F1" w14:textId="77777777" w:rsidR="00356170" w:rsidRPr="00757B44" w:rsidRDefault="00356170" w:rsidP="00356170">
      <w:pPr>
        <w:pStyle w:val="Akapitzlist"/>
        <w:numPr>
          <w:ilvl w:val="0"/>
          <w:numId w:val="1"/>
        </w:numPr>
        <w:spacing w:before="120" w:after="120" w:line="360" w:lineRule="auto"/>
        <w:ind w:left="567" w:hanging="425"/>
        <w:contextualSpacing w:val="0"/>
        <w:rPr>
          <w:rFonts w:cstheme="minorHAnsi"/>
        </w:rPr>
      </w:pPr>
      <w:r w:rsidRPr="00757B44">
        <w:rPr>
          <w:rFonts w:cstheme="minorHAnsi"/>
          <w:lang w:eastAsia="pl-PL"/>
        </w:rPr>
        <w:t xml:space="preserve">dalsze </w:t>
      </w:r>
      <w:r w:rsidRPr="00757B44">
        <w:rPr>
          <w:rFonts w:cstheme="minorHAnsi"/>
          <w:u w:val="single"/>
          <w:lang w:eastAsia="pl-PL"/>
        </w:rPr>
        <w:t xml:space="preserve">umiędzynarodowianie </w:t>
      </w:r>
      <w:r w:rsidRPr="00757B44">
        <w:rPr>
          <w:rFonts w:cstheme="minorHAnsi"/>
          <w:lang w:eastAsia="pl-PL"/>
        </w:rPr>
        <w:t xml:space="preserve">szkolnictwa wyższego, w tym wsparcie </w:t>
      </w:r>
      <w:r w:rsidRPr="00757B44">
        <w:rPr>
          <w:rFonts w:cstheme="minorHAnsi"/>
          <w:u w:val="single"/>
          <w:lang w:eastAsia="pl-PL"/>
        </w:rPr>
        <w:t>krótkookresowej akademickiej mobilności międzynarodowej</w:t>
      </w:r>
      <w:r w:rsidRPr="00757B44">
        <w:rPr>
          <w:rFonts w:cstheme="minorHAnsi"/>
          <w:lang w:eastAsia="pl-PL"/>
        </w:rPr>
        <w:t xml:space="preserve">, wsparcie tworzenia i realizacji </w:t>
      </w:r>
      <w:r w:rsidRPr="00757B44">
        <w:rPr>
          <w:rFonts w:cstheme="minorHAnsi"/>
          <w:u w:val="single"/>
          <w:lang w:eastAsia="pl-PL"/>
        </w:rPr>
        <w:t>międzynarodowych programów kształcenia</w:t>
      </w:r>
      <w:r w:rsidRPr="00757B44">
        <w:rPr>
          <w:rFonts w:cstheme="minorHAnsi"/>
          <w:lang w:eastAsia="pl-PL"/>
        </w:rPr>
        <w:t xml:space="preserve">, wzmocnienie rozwiązań w zakresie uznawalności wykształcenia, </w:t>
      </w:r>
      <w:r w:rsidRPr="00757B44">
        <w:rPr>
          <w:rFonts w:cstheme="minorHAnsi"/>
          <w:lang w:eastAsia="pl-PL"/>
        </w:rPr>
        <w:lastRenderedPageBreak/>
        <w:t xml:space="preserve">wsparcie tworzenia </w:t>
      </w:r>
      <w:r w:rsidRPr="00757B44">
        <w:rPr>
          <w:rFonts w:cstheme="minorHAnsi"/>
          <w:u w:val="single"/>
          <w:lang w:eastAsia="pl-PL"/>
        </w:rPr>
        <w:t>międzynarodowych partnerstw akademickich</w:t>
      </w:r>
      <w:r w:rsidRPr="00757B44">
        <w:rPr>
          <w:rFonts w:cstheme="minorHAnsi"/>
          <w:lang w:eastAsia="pl-PL"/>
        </w:rPr>
        <w:t xml:space="preserve">. Przeznaczono na to ok. </w:t>
      </w:r>
      <w:r w:rsidRPr="00757B44">
        <w:rPr>
          <w:rFonts w:cstheme="minorHAnsi"/>
          <w:b/>
          <w:bCs/>
          <w:lang w:eastAsia="pl-PL"/>
        </w:rPr>
        <w:t xml:space="preserve">132 mln euro. </w:t>
      </w:r>
      <w:r w:rsidRPr="00757B44">
        <w:rPr>
          <w:rFonts w:cstheme="minorHAnsi"/>
          <w:lang w:eastAsia="pl-PL"/>
        </w:rPr>
        <w:t>Wsparciem zostanie objętych</w:t>
      </w:r>
      <w:r w:rsidRPr="00757B44">
        <w:rPr>
          <w:rFonts w:cstheme="minorHAnsi"/>
          <w:b/>
          <w:bCs/>
          <w:lang w:eastAsia="pl-PL"/>
        </w:rPr>
        <w:t xml:space="preserve"> ok. 15 tys. osób</w:t>
      </w:r>
      <w:r w:rsidRPr="00757B44">
        <w:rPr>
          <w:rFonts w:cstheme="minorHAnsi"/>
        </w:rPr>
        <w:t xml:space="preserve"> </w:t>
      </w:r>
      <w:r w:rsidRPr="00757B44">
        <w:rPr>
          <w:rFonts w:cstheme="minorHAnsi"/>
          <w:b/>
          <w:bCs/>
        </w:rPr>
        <w:t>i 100 podmiotów</w:t>
      </w:r>
      <w:r w:rsidRPr="00757B44">
        <w:rPr>
          <w:rFonts w:cstheme="minorHAnsi"/>
        </w:rPr>
        <w:t xml:space="preserve"> systemu szkolnictwa wyższego i nauki. </w:t>
      </w:r>
    </w:p>
    <w:p w14:paraId="60B4B7FC" w14:textId="77777777" w:rsidR="00F73364" w:rsidRPr="00757B44" w:rsidRDefault="00F73364" w:rsidP="00F73364">
      <w:pPr>
        <w:pStyle w:val="Akapitzlist"/>
        <w:spacing w:before="120" w:after="120" w:line="360" w:lineRule="auto"/>
        <w:ind w:left="567"/>
        <w:contextualSpacing w:val="0"/>
        <w:rPr>
          <w:rFonts w:cstheme="minorHAnsi"/>
        </w:rPr>
      </w:pPr>
    </w:p>
    <w:p w14:paraId="10032BCC" w14:textId="77777777" w:rsidR="00F73364" w:rsidRPr="00757B44" w:rsidRDefault="00F73364" w:rsidP="00356170">
      <w:pPr>
        <w:spacing w:before="120" w:after="120" w:line="360" w:lineRule="auto"/>
        <w:rPr>
          <w:rFonts w:cstheme="minorHAnsi"/>
          <w:b/>
          <w:bCs/>
          <w:u w:val="single"/>
        </w:rPr>
      </w:pPr>
      <w:r w:rsidRPr="00757B44">
        <w:rPr>
          <w:rFonts w:cstheme="minorHAnsi"/>
          <w:b/>
          <w:bCs/>
          <w:u w:val="single"/>
        </w:rPr>
        <w:t>Na co szczególnie powinny zwrócić uwagę uczelnie planujące sięgnąć po środki EFS+?</w:t>
      </w:r>
    </w:p>
    <w:p w14:paraId="64B3DE24" w14:textId="77777777" w:rsidR="00356170" w:rsidRPr="00757B44" w:rsidRDefault="00F73364" w:rsidP="00F7336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>P</w:t>
      </w:r>
      <w:r w:rsidR="00356170" w:rsidRPr="00757B44">
        <w:rPr>
          <w:rFonts w:cstheme="minorHAnsi"/>
        </w:rPr>
        <w:t xml:space="preserve">rogram FERS będzie w większej mierze </w:t>
      </w:r>
      <w:r w:rsidR="00356170" w:rsidRPr="00757B44">
        <w:rPr>
          <w:rFonts w:cstheme="minorHAnsi"/>
          <w:b/>
          <w:bCs/>
        </w:rPr>
        <w:t>koncentrował się na indywidualnych potrzebach</w:t>
      </w:r>
      <w:r w:rsidR="00356170" w:rsidRPr="00757B44">
        <w:rPr>
          <w:rFonts w:cstheme="minorHAnsi"/>
        </w:rPr>
        <w:t xml:space="preserve">, trudnych sytuacjach czy problemach typu przedwczesne opuszczanie uczelni przed zakończeniem studiów, studentach ze specjalnymi potrzebami. Tu będzie dużo silniejszy akcent niż dotychczas, a mniejszy nacisk na </w:t>
      </w:r>
      <w:r w:rsidRPr="00757B44">
        <w:rPr>
          <w:rFonts w:cstheme="minorHAnsi"/>
        </w:rPr>
        <w:t>masowe programy rozwoju uczelni.</w:t>
      </w:r>
    </w:p>
    <w:p w14:paraId="635DEB49" w14:textId="77777777" w:rsidR="00356170" w:rsidRPr="00757B44" w:rsidRDefault="00F73364" w:rsidP="00F7336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  <w:b/>
          <w:bCs/>
        </w:rPr>
        <w:t>Kluczowa będzie także o</w:t>
      </w:r>
      <w:r w:rsidR="00356170" w:rsidRPr="00757B44">
        <w:rPr>
          <w:rFonts w:cstheme="minorHAnsi"/>
          <w:b/>
          <w:bCs/>
        </w:rPr>
        <w:t>twartość uczelni na nowe wyzwania i nowe obszary kształcenia</w:t>
      </w:r>
      <w:r w:rsidR="00356170" w:rsidRPr="00757B44">
        <w:rPr>
          <w:rFonts w:cstheme="minorHAnsi"/>
        </w:rPr>
        <w:t>: cyfrow</w:t>
      </w:r>
      <w:r w:rsidRPr="00757B44">
        <w:rPr>
          <w:rFonts w:cstheme="minorHAnsi"/>
        </w:rPr>
        <w:t>ą transformację</w:t>
      </w:r>
      <w:r w:rsidR="00356170" w:rsidRPr="00757B44">
        <w:rPr>
          <w:rFonts w:cstheme="minorHAnsi"/>
        </w:rPr>
        <w:t>, kształcenie na potrzeby zielonej gospodarki, włączanie do programów zagadnień</w:t>
      </w:r>
      <w:r w:rsidRPr="00757B44">
        <w:rPr>
          <w:rFonts w:cstheme="minorHAnsi"/>
        </w:rPr>
        <w:t xml:space="preserve"> dotyczących</w:t>
      </w:r>
      <w:r w:rsidR="00356170" w:rsidRPr="00757B44">
        <w:rPr>
          <w:rFonts w:cstheme="minorHAnsi"/>
        </w:rPr>
        <w:t xml:space="preserve"> m.in. zmian klimatycznych, aspektów środowiskowych, energii odnawialnej i zrównoważonego rozwoju oraz dostępności (w tym projektowania uniwersalnego)</w:t>
      </w:r>
      <w:r w:rsidRPr="00757B44">
        <w:rPr>
          <w:rFonts w:cstheme="minorHAnsi"/>
        </w:rPr>
        <w:t>.</w:t>
      </w:r>
    </w:p>
    <w:p w14:paraId="2518320D" w14:textId="77777777" w:rsidR="00356170" w:rsidRPr="00757B44" w:rsidRDefault="00757B44" w:rsidP="00757B4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  <w:b/>
          <w:bCs/>
        </w:rPr>
        <w:t>Należy postawić na</w:t>
      </w:r>
      <w:r w:rsidR="00356170" w:rsidRPr="00757B44">
        <w:rPr>
          <w:rFonts w:cstheme="minorHAnsi"/>
          <w:b/>
          <w:bCs/>
        </w:rPr>
        <w:t xml:space="preserve"> inwestycje w kształcenie kadr uczelni</w:t>
      </w:r>
      <w:r w:rsidRPr="00757B44">
        <w:rPr>
          <w:rFonts w:cstheme="minorHAnsi"/>
        </w:rPr>
        <w:t>, w tym</w:t>
      </w:r>
      <w:r w:rsidR="00356170" w:rsidRPr="00757B44">
        <w:rPr>
          <w:rFonts w:cstheme="minorHAnsi"/>
        </w:rPr>
        <w:t xml:space="preserve"> </w:t>
      </w:r>
      <w:r w:rsidRPr="00757B44">
        <w:rPr>
          <w:rFonts w:cstheme="minorHAnsi"/>
        </w:rPr>
        <w:t>wykorzystanie</w:t>
      </w:r>
      <w:r w:rsidR="00356170" w:rsidRPr="00757B44">
        <w:rPr>
          <w:rFonts w:cstheme="minorHAnsi"/>
        </w:rPr>
        <w:t xml:space="preserve"> nowoczesnych metod dydaktycznych, kształtowani</w:t>
      </w:r>
      <w:r w:rsidRPr="00757B44">
        <w:rPr>
          <w:rFonts w:cstheme="minorHAnsi"/>
        </w:rPr>
        <w:t>e</w:t>
      </w:r>
      <w:r w:rsidR="00356170" w:rsidRPr="00757B44">
        <w:rPr>
          <w:rFonts w:cstheme="minorHAnsi"/>
        </w:rPr>
        <w:t xml:space="preserve"> kompetencji cyfrowych, umiejętności na rzecz zielonej transformacji, projektowania uniwersalnego, przedsiębiorczości i komercjali</w:t>
      </w:r>
      <w:r w:rsidRPr="00757B44">
        <w:rPr>
          <w:rFonts w:cstheme="minorHAnsi"/>
        </w:rPr>
        <w:t>zacji efektów badań naukowych. Uczelnia musi być gotowa na i</w:t>
      </w:r>
      <w:r w:rsidR="00356170" w:rsidRPr="00757B44">
        <w:rPr>
          <w:rFonts w:cstheme="minorHAnsi"/>
        </w:rPr>
        <w:t>nwestycje w kształcenie dydaktyków dla nowych obszarów, tam gdzie ich teraz brakuje</w:t>
      </w:r>
      <w:r w:rsidRPr="00757B44">
        <w:rPr>
          <w:rFonts w:cstheme="minorHAnsi"/>
        </w:rPr>
        <w:t>. Na wsparcie mogą liczyć także tworzone w uczelniach centra doskonałości dydaktycznej.</w:t>
      </w:r>
    </w:p>
    <w:p w14:paraId="2C44F118" w14:textId="77777777" w:rsidR="00356170" w:rsidRPr="00757B44" w:rsidRDefault="00757B44" w:rsidP="00757B4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  <w:b/>
          <w:bCs/>
        </w:rPr>
        <w:t xml:space="preserve">Ważna będzie także gotowość </w:t>
      </w:r>
      <w:r w:rsidR="00356170" w:rsidRPr="00757B44">
        <w:rPr>
          <w:rFonts w:cstheme="minorHAnsi"/>
          <w:b/>
          <w:bCs/>
        </w:rPr>
        <w:t xml:space="preserve">uczelni </w:t>
      </w:r>
      <w:r w:rsidRPr="00757B44">
        <w:rPr>
          <w:rFonts w:cstheme="minorHAnsi"/>
          <w:b/>
          <w:bCs/>
        </w:rPr>
        <w:t>do</w:t>
      </w:r>
      <w:r w:rsidR="00356170" w:rsidRPr="00757B44">
        <w:rPr>
          <w:rFonts w:cstheme="minorHAnsi"/>
          <w:b/>
          <w:bCs/>
        </w:rPr>
        <w:t xml:space="preserve"> kształcenie osób dorosłych</w:t>
      </w:r>
      <w:r w:rsidR="00356170" w:rsidRPr="00757B44">
        <w:rPr>
          <w:rFonts w:cstheme="minorHAnsi"/>
        </w:rPr>
        <w:t xml:space="preserve"> jako niestandardowych odbiorców sz</w:t>
      </w:r>
      <w:r w:rsidRPr="00757B44">
        <w:rPr>
          <w:rFonts w:cstheme="minorHAnsi"/>
        </w:rPr>
        <w:t>kolnictwa wyższego, uruchamiania</w:t>
      </w:r>
      <w:r w:rsidR="00356170" w:rsidRPr="00757B44">
        <w:rPr>
          <w:rFonts w:cstheme="minorHAnsi"/>
        </w:rPr>
        <w:t xml:space="preserve"> krótszych form kształcenia dopasowanych do potrzeb rynku pracy (np. kształcenia specjalistycznego na 5 poziomie PRK);</w:t>
      </w:r>
    </w:p>
    <w:p w14:paraId="6BE1ED6C" w14:textId="77777777" w:rsidR="00356170" w:rsidRPr="00757B44" w:rsidRDefault="00757B44" w:rsidP="00757B4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 xml:space="preserve">Kluczowa rekomendacja jaka płynie z Ministerstwa Funduszy i Polityki Regionalne oraz Narodowego Centrum Badań i Rozwoju to </w:t>
      </w:r>
      <w:r w:rsidR="00356170" w:rsidRPr="00757B44">
        <w:rPr>
          <w:rFonts w:cstheme="minorHAnsi"/>
        </w:rPr>
        <w:t xml:space="preserve">zmiana podejścia przez uczelnie do </w:t>
      </w:r>
      <w:r w:rsidR="00356170" w:rsidRPr="00757B44">
        <w:rPr>
          <w:rFonts w:cstheme="minorHAnsi"/>
          <w:b/>
          <w:bCs/>
        </w:rPr>
        <w:t>korzystania ze środków unijnych</w:t>
      </w:r>
      <w:r w:rsidR="00356170" w:rsidRPr="00757B44">
        <w:rPr>
          <w:rFonts w:cstheme="minorHAnsi"/>
        </w:rPr>
        <w:t xml:space="preserve"> – odejście od finansowania bieżących potrzeb, </w:t>
      </w:r>
      <w:r w:rsidRPr="00757B44">
        <w:rPr>
          <w:rFonts w:cstheme="minorHAnsi"/>
        </w:rPr>
        <w:t>na rzecz</w:t>
      </w:r>
      <w:r w:rsidR="00356170" w:rsidRPr="00757B44">
        <w:rPr>
          <w:rFonts w:cstheme="minorHAnsi"/>
        </w:rPr>
        <w:t xml:space="preserve"> </w:t>
      </w:r>
      <w:r w:rsidRPr="00757B44">
        <w:rPr>
          <w:rFonts w:cstheme="minorHAnsi"/>
        </w:rPr>
        <w:t>wdrażania strategicznych, perspektywicznych przedsięwzięć</w:t>
      </w:r>
      <w:r w:rsidR="00356170" w:rsidRPr="00757B44">
        <w:rPr>
          <w:rFonts w:cstheme="minorHAnsi"/>
        </w:rPr>
        <w:t xml:space="preserve"> – tak</w:t>
      </w:r>
      <w:r w:rsidRPr="00757B44">
        <w:rPr>
          <w:rFonts w:cstheme="minorHAnsi"/>
        </w:rPr>
        <w:t>,</w:t>
      </w:r>
      <w:r w:rsidR="00356170" w:rsidRPr="00757B44">
        <w:rPr>
          <w:rFonts w:cstheme="minorHAnsi"/>
        </w:rPr>
        <w:t xml:space="preserve"> aby te inwestycje w przysz</w:t>
      </w:r>
      <w:r w:rsidRPr="00757B44">
        <w:rPr>
          <w:rFonts w:cstheme="minorHAnsi"/>
        </w:rPr>
        <w:t xml:space="preserve">łości procentowały i były trwałe – z korzyścią dla samych uczelni, ale także rynku pracy i gospodarki. </w:t>
      </w:r>
    </w:p>
    <w:p w14:paraId="555E41EB" w14:textId="77777777" w:rsidR="00757B44" w:rsidRPr="00757B44" w:rsidRDefault="00757B44" w:rsidP="00757B44">
      <w:pPr>
        <w:spacing w:before="120" w:after="120" w:line="360" w:lineRule="auto"/>
        <w:rPr>
          <w:rFonts w:cstheme="minorHAnsi"/>
        </w:rPr>
      </w:pPr>
    </w:p>
    <w:p w14:paraId="1C13AD9D" w14:textId="77777777" w:rsidR="00757B44" w:rsidRPr="00757B44" w:rsidRDefault="00757B44" w:rsidP="00757B44">
      <w:pPr>
        <w:spacing w:before="120" w:after="120" w:line="360" w:lineRule="auto"/>
        <w:rPr>
          <w:rFonts w:cstheme="minorHAnsi"/>
        </w:rPr>
      </w:pPr>
      <w:r w:rsidRPr="00757B44">
        <w:rPr>
          <w:rFonts w:cstheme="minorHAnsi"/>
        </w:rPr>
        <w:t>Materiał powstał w oparciu o dane przygotowane przez Departament Europejskiego Funduszu Społecznego w Ministerstwie Funduszy i Polityki Regionalnej w związku z udziałem wicedyrektorki tego Departament</w:t>
      </w:r>
      <w:r>
        <w:rPr>
          <w:rFonts w:cstheme="minorHAnsi"/>
        </w:rPr>
        <w:t xml:space="preserve">u - </w:t>
      </w:r>
      <w:r w:rsidRPr="00757B44">
        <w:rPr>
          <w:rFonts w:cstheme="minorHAnsi"/>
        </w:rPr>
        <w:t>Małgorzaty Miki w panelu „Rozwój uczelni z wykorzystaniem środków unijnych w perspektywie finansowej 2017-2021”  w czasie V</w:t>
      </w:r>
      <w:r w:rsidR="00356170" w:rsidRPr="00757B44">
        <w:rPr>
          <w:rFonts w:cstheme="minorHAnsi"/>
        </w:rPr>
        <w:t xml:space="preserve">III Konferencja Liderzy Zarządzania Uczelnią </w:t>
      </w:r>
      <w:r w:rsidR="00356170" w:rsidRPr="00757B44">
        <w:rPr>
          <w:rFonts w:cstheme="minorHAnsi"/>
        </w:rPr>
        <w:lastRenderedPageBreak/>
        <w:t>LUMEN 2022</w:t>
      </w:r>
      <w:r w:rsidRPr="00757B44">
        <w:rPr>
          <w:rFonts w:cstheme="minorHAnsi"/>
        </w:rPr>
        <w:t>. Panel prowadziła Małgorzata Lelińska, dyrektorka departamentu funduszy unijnych i edukacji technologicznej</w:t>
      </w:r>
      <w:r w:rsidR="002160BE">
        <w:rPr>
          <w:rFonts w:cstheme="minorHAnsi"/>
        </w:rPr>
        <w:t>, koordynatorka Rady ds. EdTech w</w:t>
      </w:r>
      <w:r w:rsidRPr="00757B44">
        <w:rPr>
          <w:rFonts w:cstheme="minorHAnsi"/>
        </w:rPr>
        <w:t xml:space="preserve"> Konfederacji Lewiatan. Zapis panelu dostępny jest na stronie organizatora konferencji: </w:t>
      </w:r>
      <w:hyperlink r:id="rId7" w:history="1">
        <w:r w:rsidRPr="00757B44">
          <w:rPr>
            <w:rStyle w:val="Hipercze"/>
            <w:rFonts w:cstheme="minorHAnsi"/>
            <w:shd w:val="clear" w:color="auto" w:fill="F2F2F2"/>
          </w:rPr>
          <w:t>https://pcgacademia.pl/aktualnosci/podsumowanie-viii-konferencji-lumen-2022/</w:t>
        </w:r>
      </w:hyperlink>
    </w:p>
    <w:p w14:paraId="39F82053" w14:textId="77777777" w:rsidR="00757B44" w:rsidRPr="00757B44" w:rsidRDefault="00757B44" w:rsidP="00757B44">
      <w:pPr>
        <w:spacing w:before="120" w:after="120" w:line="360" w:lineRule="auto"/>
        <w:rPr>
          <w:rFonts w:cstheme="minorHAnsi"/>
          <w:b/>
          <w:bCs/>
        </w:rPr>
      </w:pPr>
      <w:r w:rsidRPr="00757B44">
        <w:rPr>
          <w:rFonts w:cstheme="minorHAnsi"/>
        </w:rPr>
        <w:t>Konfederacja Lewiatan objęła patronatem to wydarzenie.</w:t>
      </w:r>
    </w:p>
    <w:sectPr w:rsidR="00757B44" w:rsidRPr="0075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EA49" w14:textId="77777777" w:rsidR="001424A3" w:rsidRDefault="001424A3" w:rsidP="00356170">
      <w:pPr>
        <w:spacing w:after="0" w:line="240" w:lineRule="auto"/>
      </w:pPr>
      <w:r>
        <w:separator/>
      </w:r>
    </w:p>
  </w:endnote>
  <w:endnote w:type="continuationSeparator" w:id="0">
    <w:p w14:paraId="0947B602" w14:textId="77777777" w:rsidR="001424A3" w:rsidRDefault="001424A3" w:rsidP="003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E425" w14:textId="77777777" w:rsidR="001424A3" w:rsidRDefault="001424A3" w:rsidP="00356170">
      <w:pPr>
        <w:spacing w:after="0" w:line="240" w:lineRule="auto"/>
      </w:pPr>
      <w:r>
        <w:separator/>
      </w:r>
    </w:p>
  </w:footnote>
  <w:footnote w:type="continuationSeparator" w:id="0">
    <w:p w14:paraId="343687D5" w14:textId="77777777" w:rsidR="001424A3" w:rsidRDefault="001424A3" w:rsidP="0035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EC"/>
    <w:multiLevelType w:val="hybridMultilevel"/>
    <w:tmpl w:val="C114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3287"/>
    <w:multiLevelType w:val="hybridMultilevel"/>
    <w:tmpl w:val="A3FE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03DF"/>
    <w:multiLevelType w:val="hybridMultilevel"/>
    <w:tmpl w:val="7BD8B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2A0"/>
    <w:multiLevelType w:val="hybridMultilevel"/>
    <w:tmpl w:val="3D66BD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31812"/>
    <w:multiLevelType w:val="hybridMultilevel"/>
    <w:tmpl w:val="28441BA6"/>
    <w:lvl w:ilvl="0" w:tplc="1A2A46D0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4D43"/>
    <w:multiLevelType w:val="hybridMultilevel"/>
    <w:tmpl w:val="8E3299D8"/>
    <w:lvl w:ilvl="0" w:tplc="46628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99440577">
    <w:abstractNumId w:val="2"/>
  </w:num>
  <w:num w:numId="2" w16cid:durableId="647975430">
    <w:abstractNumId w:val="3"/>
  </w:num>
  <w:num w:numId="3" w16cid:durableId="1351689174">
    <w:abstractNumId w:val="1"/>
  </w:num>
  <w:num w:numId="4" w16cid:durableId="6952300">
    <w:abstractNumId w:val="0"/>
  </w:num>
  <w:num w:numId="5" w16cid:durableId="76102000">
    <w:abstractNumId w:val="4"/>
  </w:num>
  <w:num w:numId="6" w16cid:durableId="405618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70"/>
    <w:rsid w:val="001424A3"/>
    <w:rsid w:val="002160BE"/>
    <w:rsid w:val="00356170"/>
    <w:rsid w:val="00757B44"/>
    <w:rsid w:val="00E748BE"/>
    <w:rsid w:val="00F73364"/>
    <w:rsid w:val="00FA012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F8A"/>
  <w15:chartTrackingRefBased/>
  <w15:docId w15:val="{53E8681D-F54B-4558-8185-8AA0C849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57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gacademia.pl/aktualnosci/podsumowanie-viii-konferencji-lumen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Lelińska</dc:creator>
  <cp:keywords/>
  <dc:description/>
  <cp:lastModifiedBy>Katarzyna Kubicka-Żach</cp:lastModifiedBy>
  <cp:revision>2</cp:revision>
  <dcterms:created xsi:type="dcterms:W3CDTF">2022-12-01T14:55:00Z</dcterms:created>
  <dcterms:modified xsi:type="dcterms:W3CDTF">2022-12-01T14:55:00Z</dcterms:modified>
</cp:coreProperties>
</file>