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344B" w14:textId="545E68D4" w:rsidR="00BE60C1" w:rsidRPr="005E5E81" w:rsidRDefault="00BE60C1" w:rsidP="001E5CEB">
      <w:pPr>
        <w:tabs>
          <w:tab w:val="right" w:pos="10206"/>
        </w:tabs>
        <w:ind w:left="851" w:right="56"/>
        <w:jc w:val="right"/>
        <w:rPr>
          <w:rFonts w:asciiTheme="minorHAnsi" w:hAnsiTheme="minorHAnsi" w:cstheme="minorHAnsi"/>
          <w:noProof/>
          <w:color w:val="5B5B5E"/>
          <w:sz w:val="20"/>
          <w:szCs w:val="20"/>
        </w:rPr>
      </w:pPr>
      <w:r w:rsidRPr="005E5E81">
        <w:rPr>
          <w:rFonts w:asciiTheme="minorHAnsi" w:hAnsiTheme="minorHAnsi" w:cstheme="minorHAnsi"/>
          <w:noProof/>
          <w:color w:val="5B5B5E"/>
          <w:sz w:val="20"/>
          <w:szCs w:val="20"/>
        </w:rPr>
        <w:t xml:space="preserve">Warszawa, </w:t>
      </w:r>
      <w:r w:rsidR="00EA3A2D" w:rsidRPr="005E5E81">
        <w:rPr>
          <w:rFonts w:asciiTheme="minorHAnsi" w:hAnsiTheme="minorHAnsi" w:cstheme="minorHAnsi"/>
          <w:noProof/>
          <w:color w:val="5B5B5E"/>
          <w:sz w:val="20"/>
          <w:szCs w:val="20"/>
        </w:rPr>
        <w:t xml:space="preserve">23 czerwca </w:t>
      </w:r>
      <w:r w:rsidRPr="005E5E81">
        <w:rPr>
          <w:rFonts w:asciiTheme="minorHAnsi" w:hAnsiTheme="minorHAnsi" w:cstheme="minorHAnsi"/>
          <w:noProof/>
          <w:color w:val="5B5B5E"/>
          <w:sz w:val="20"/>
          <w:szCs w:val="20"/>
        </w:rPr>
        <w:t>202</w:t>
      </w:r>
      <w:r w:rsidR="004B7384" w:rsidRPr="005E5E81">
        <w:rPr>
          <w:rFonts w:asciiTheme="minorHAnsi" w:hAnsiTheme="minorHAnsi" w:cstheme="minorHAnsi"/>
          <w:noProof/>
          <w:color w:val="5B5B5E"/>
          <w:sz w:val="20"/>
          <w:szCs w:val="20"/>
        </w:rPr>
        <w:t>3</w:t>
      </w:r>
      <w:r w:rsidRPr="005E5E81">
        <w:rPr>
          <w:rFonts w:asciiTheme="minorHAnsi" w:hAnsiTheme="minorHAnsi" w:cstheme="minorHAnsi"/>
          <w:noProof/>
          <w:color w:val="5B5B5E"/>
          <w:sz w:val="20"/>
          <w:szCs w:val="20"/>
        </w:rPr>
        <w:t xml:space="preserve"> r.</w:t>
      </w:r>
    </w:p>
    <w:p w14:paraId="48AD38BA" w14:textId="76A21253" w:rsidR="005F6DE7" w:rsidRPr="005E5E81" w:rsidRDefault="00F4078C" w:rsidP="001E5CEB">
      <w:pPr>
        <w:tabs>
          <w:tab w:val="right" w:pos="10206"/>
        </w:tabs>
        <w:ind w:left="851" w:right="56"/>
        <w:jc w:val="right"/>
        <w:rPr>
          <w:rFonts w:asciiTheme="minorHAnsi" w:hAnsiTheme="minorHAnsi" w:cstheme="minorHAnsi"/>
          <w:noProof/>
          <w:color w:val="5B5B5E"/>
          <w:sz w:val="20"/>
          <w:szCs w:val="20"/>
        </w:rPr>
      </w:pPr>
      <w:r w:rsidRPr="005E5E81">
        <w:rPr>
          <w:rFonts w:asciiTheme="minorHAnsi" w:hAnsiTheme="minorHAnsi" w:cstheme="minorHAnsi"/>
          <w:noProof/>
          <w:color w:val="5B5B5E"/>
          <w:sz w:val="20"/>
          <w:szCs w:val="20"/>
        </w:rPr>
        <w:t>KL/</w:t>
      </w:r>
      <w:r w:rsidR="001E5CEB">
        <w:rPr>
          <w:rFonts w:asciiTheme="minorHAnsi" w:hAnsiTheme="minorHAnsi" w:cstheme="minorHAnsi"/>
          <w:noProof/>
          <w:color w:val="5B5B5E"/>
          <w:sz w:val="20"/>
          <w:szCs w:val="20"/>
        </w:rPr>
        <w:t>241</w:t>
      </w:r>
      <w:r w:rsidR="005F6DE7" w:rsidRPr="005E5E81">
        <w:rPr>
          <w:rFonts w:asciiTheme="minorHAnsi" w:hAnsiTheme="minorHAnsi" w:cstheme="minorHAnsi"/>
          <w:noProof/>
          <w:color w:val="5B5B5E"/>
          <w:sz w:val="20"/>
          <w:szCs w:val="20"/>
        </w:rPr>
        <w:t>/</w:t>
      </w:r>
      <w:r w:rsidR="001E5CEB">
        <w:rPr>
          <w:rFonts w:asciiTheme="minorHAnsi" w:hAnsiTheme="minorHAnsi" w:cstheme="minorHAnsi"/>
          <w:noProof/>
          <w:color w:val="5B5B5E"/>
          <w:sz w:val="20"/>
          <w:szCs w:val="20"/>
        </w:rPr>
        <w:t>105</w:t>
      </w:r>
      <w:r w:rsidR="005F6DE7" w:rsidRPr="005E5E81">
        <w:rPr>
          <w:rFonts w:asciiTheme="minorHAnsi" w:hAnsiTheme="minorHAnsi" w:cstheme="minorHAnsi"/>
          <w:noProof/>
          <w:color w:val="5B5B5E"/>
          <w:sz w:val="20"/>
          <w:szCs w:val="20"/>
        </w:rPr>
        <w:t>/</w:t>
      </w:r>
      <w:r w:rsidR="001E5CEB">
        <w:rPr>
          <w:rFonts w:asciiTheme="minorHAnsi" w:hAnsiTheme="minorHAnsi" w:cstheme="minorHAnsi"/>
          <w:noProof/>
          <w:color w:val="5B5B5E"/>
          <w:sz w:val="20"/>
          <w:szCs w:val="20"/>
        </w:rPr>
        <w:t>RL/</w:t>
      </w:r>
      <w:r w:rsidR="005F6DE7" w:rsidRPr="005E5E81">
        <w:rPr>
          <w:rFonts w:asciiTheme="minorHAnsi" w:hAnsiTheme="minorHAnsi" w:cstheme="minorHAnsi"/>
          <w:noProof/>
          <w:color w:val="5B5B5E"/>
          <w:sz w:val="20"/>
          <w:szCs w:val="20"/>
        </w:rPr>
        <w:t>2023</w:t>
      </w:r>
    </w:p>
    <w:p w14:paraId="06680FC7" w14:textId="0C43C737" w:rsidR="005F6DE7" w:rsidRPr="005E5E81" w:rsidRDefault="005F6DE7" w:rsidP="001E5CEB">
      <w:pPr>
        <w:tabs>
          <w:tab w:val="right" w:pos="10206"/>
        </w:tabs>
        <w:ind w:left="851" w:right="56"/>
        <w:rPr>
          <w:rFonts w:asciiTheme="minorHAnsi" w:hAnsiTheme="minorHAnsi" w:cstheme="minorHAnsi"/>
          <w:noProof/>
          <w:color w:val="5B5B5E"/>
        </w:rPr>
      </w:pPr>
    </w:p>
    <w:p w14:paraId="1F3E3830" w14:textId="5C87E467" w:rsidR="005F6DE7" w:rsidRPr="005E5E81" w:rsidRDefault="005F6DE7" w:rsidP="001E5CEB">
      <w:pPr>
        <w:tabs>
          <w:tab w:val="right" w:pos="10206"/>
        </w:tabs>
        <w:ind w:left="851" w:right="56"/>
        <w:rPr>
          <w:rFonts w:asciiTheme="minorHAnsi" w:hAnsiTheme="minorHAnsi" w:cstheme="minorHAnsi"/>
          <w:noProof/>
          <w:color w:val="002060"/>
        </w:rPr>
      </w:pPr>
    </w:p>
    <w:p w14:paraId="6A000743" w14:textId="77777777" w:rsidR="00EA3A2D" w:rsidRPr="005E5E81" w:rsidRDefault="00EA3A2D" w:rsidP="001E5CEB">
      <w:pPr>
        <w:tabs>
          <w:tab w:val="right" w:pos="10206"/>
        </w:tabs>
        <w:spacing w:line="276" w:lineRule="auto"/>
        <w:ind w:left="851" w:right="56"/>
        <w:jc w:val="both"/>
        <w:rPr>
          <w:rFonts w:asciiTheme="minorHAnsi" w:hAnsiTheme="minorHAnsi" w:cstheme="minorHAnsi"/>
          <w:noProof/>
          <w:color w:val="002060"/>
          <w:sz w:val="22"/>
          <w:szCs w:val="22"/>
        </w:rPr>
      </w:pPr>
      <w:r w:rsidRPr="005E5E81">
        <w:rPr>
          <w:rFonts w:asciiTheme="minorHAnsi" w:hAnsiTheme="minorHAnsi" w:cstheme="minorHAnsi"/>
          <w:noProof/>
          <w:color w:val="002060"/>
          <w:sz w:val="22"/>
          <w:szCs w:val="22"/>
        </w:rPr>
        <w:t xml:space="preserve">Pani </w:t>
      </w:r>
    </w:p>
    <w:p w14:paraId="1E239804" w14:textId="77777777" w:rsidR="00EA3A2D" w:rsidRPr="001E5CEB" w:rsidRDefault="00EA3A2D" w:rsidP="001E5CEB">
      <w:pPr>
        <w:tabs>
          <w:tab w:val="right" w:pos="10206"/>
        </w:tabs>
        <w:spacing w:line="276" w:lineRule="auto"/>
        <w:ind w:left="851" w:right="56"/>
        <w:jc w:val="both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  <w:r w:rsidRPr="001E5CEB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Marlena Maląg</w:t>
      </w:r>
    </w:p>
    <w:p w14:paraId="568BA2E6" w14:textId="77777777" w:rsidR="00EA3A2D" w:rsidRPr="005E5E81" w:rsidRDefault="00EA3A2D" w:rsidP="001E5CEB">
      <w:pPr>
        <w:tabs>
          <w:tab w:val="right" w:pos="10206"/>
        </w:tabs>
        <w:spacing w:line="276" w:lineRule="auto"/>
        <w:ind w:left="851" w:right="56"/>
        <w:jc w:val="both"/>
        <w:rPr>
          <w:rFonts w:asciiTheme="minorHAnsi" w:hAnsiTheme="minorHAnsi" w:cstheme="minorHAnsi"/>
          <w:noProof/>
          <w:color w:val="002060"/>
          <w:sz w:val="22"/>
          <w:szCs w:val="22"/>
        </w:rPr>
      </w:pPr>
      <w:r w:rsidRPr="005E5E81">
        <w:rPr>
          <w:rFonts w:asciiTheme="minorHAnsi" w:hAnsiTheme="minorHAnsi" w:cstheme="minorHAnsi"/>
          <w:noProof/>
          <w:color w:val="002060"/>
          <w:sz w:val="22"/>
          <w:szCs w:val="22"/>
        </w:rPr>
        <w:t>Minister Rodziny i Polityki Społecznej</w:t>
      </w:r>
    </w:p>
    <w:p w14:paraId="09CAF817" w14:textId="77777777" w:rsidR="00DE69F0" w:rsidRPr="005E5E81" w:rsidRDefault="00DE69F0" w:rsidP="001E5CEB">
      <w:pPr>
        <w:tabs>
          <w:tab w:val="right" w:pos="10206"/>
        </w:tabs>
        <w:spacing w:line="276" w:lineRule="auto"/>
        <w:ind w:left="851" w:right="56"/>
        <w:jc w:val="both"/>
        <w:rPr>
          <w:rFonts w:asciiTheme="minorHAnsi" w:hAnsiTheme="minorHAnsi" w:cstheme="minorHAnsi"/>
          <w:noProof/>
          <w:color w:val="002060"/>
          <w:sz w:val="22"/>
          <w:szCs w:val="22"/>
        </w:rPr>
      </w:pPr>
    </w:p>
    <w:p w14:paraId="67925F53" w14:textId="77777777" w:rsidR="00DE69F0" w:rsidRPr="005E5E81" w:rsidRDefault="00DE69F0" w:rsidP="001E5CEB">
      <w:pPr>
        <w:tabs>
          <w:tab w:val="right" w:pos="10206"/>
        </w:tabs>
        <w:spacing w:line="276" w:lineRule="auto"/>
        <w:ind w:left="851" w:right="56"/>
        <w:jc w:val="both"/>
        <w:rPr>
          <w:rFonts w:asciiTheme="minorHAnsi" w:hAnsiTheme="minorHAnsi" w:cstheme="minorHAnsi"/>
          <w:noProof/>
          <w:color w:val="002060"/>
          <w:sz w:val="22"/>
          <w:szCs w:val="22"/>
        </w:rPr>
      </w:pPr>
    </w:p>
    <w:p w14:paraId="6C1B1601" w14:textId="4A9C41BA" w:rsidR="00EA3A2D" w:rsidRPr="005E5E81" w:rsidRDefault="00EA3A2D" w:rsidP="001E5CEB">
      <w:pPr>
        <w:tabs>
          <w:tab w:val="right" w:pos="10206"/>
        </w:tabs>
        <w:spacing w:line="276" w:lineRule="auto"/>
        <w:ind w:left="851" w:right="56"/>
        <w:jc w:val="both"/>
        <w:rPr>
          <w:rFonts w:asciiTheme="minorHAnsi" w:hAnsiTheme="minorHAnsi" w:cstheme="minorHAnsi"/>
          <w:i/>
          <w:iCs/>
          <w:noProof/>
          <w:color w:val="002060"/>
          <w:sz w:val="22"/>
          <w:szCs w:val="22"/>
        </w:rPr>
      </w:pPr>
      <w:r w:rsidRPr="005E5E81">
        <w:rPr>
          <w:rFonts w:asciiTheme="minorHAnsi" w:hAnsiTheme="minorHAnsi" w:cstheme="minorHAnsi"/>
          <w:i/>
          <w:iCs/>
          <w:noProof/>
          <w:color w:val="002060"/>
          <w:sz w:val="22"/>
          <w:szCs w:val="22"/>
        </w:rPr>
        <w:t>Szanowna Pani Minister,</w:t>
      </w:r>
    </w:p>
    <w:p w14:paraId="4C38D84D" w14:textId="77777777" w:rsidR="00DE69F0" w:rsidRPr="005E5E81" w:rsidRDefault="00DE69F0" w:rsidP="001E5CEB">
      <w:pPr>
        <w:tabs>
          <w:tab w:val="right" w:pos="10206"/>
        </w:tabs>
        <w:spacing w:line="276" w:lineRule="auto"/>
        <w:ind w:left="851" w:right="56"/>
        <w:jc w:val="both"/>
        <w:rPr>
          <w:rFonts w:asciiTheme="minorHAnsi" w:hAnsiTheme="minorHAnsi" w:cstheme="minorHAnsi"/>
          <w:noProof/>
          <w:color w:val="002060"/>
          <w:sz w:val="22"/>
          <w:szCs w:val="22"/>
        </w:rPr>
      </w:pPr>
    </w:p>
    <w:p w14:paraId="4EE3B0CD" w14:textId="3E927455" w:rsidR="00EA3A2D" w:rsidRDefault="00EA3A2D" w:rsidP="001E5CEB">
      <w:pPr>
        <w:tabs>
          <w:tab w:val="right" w:pos="10206"/>
        </w:tabs>
        <w:spacing w:line="276" w:lineRule="auto"/>
        <w:ind w:left="851" w:right="5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E5E81">
        <w:rPr>
          <w:rFonts w:asciiTheme="minorHAnsi" w:hAnsiTheme="minorHAnsi" w:cstheme="minorHAnsi"/>
          <w:color w:val="002060"/>
          <w:sz w:val="22"/>
          <w:szCs w:val="22"/>
        </w:rPr>
        <w:t xml:space="preserve">w nawiązaniu do pisma z dnia 25 maja  br. (znak: DRP-VI.6014.7.2023.JF), przy którym przekazano </w:t>
      </w:r>
      <w:bookmarkStart w:id="0" w:name="_Hlk138356919"/>
      <w:r w:rsidRPr="005E5E81">
        <w:rPr>
          <w:rFonts w:asciiTheme="minorHAnsi" w:hAnsiTheme="minorHAnsi" w:cstheme="minorHAnsi"/>
          <w:color w:val="002060"/>
          <w:sz w:val="22"/>
          <w:szCs w:val="22"/>
        </w:rPr>
        <w:t>projekt rozporządzenia Ministra Rodziny i Polityki Społecznej zmieniającego rozporządzenie w sprawie bezpieczeństwa i higieny pracy na stanowiskach wyposażonych w monitory ekranowe wraz z załącznikiem</w:t>
      </w:r>
      <w:bookmarkEnd w:id="0"/>
      <w:r w:rsidRPr="005E5E81">
        <w:rPr>
          <w:rFonts w:asciiTheme="minorHAnsi" w:hAnsiTheme="minorHAnsi" w:cstheme="minorHAnsi"/>
          <w:color w:val="002060"/>
          <w:sz w:val="22"/>
          <w:szCs w:val="22"/>
        </w:rPr>
        <w:t>, uzasadnieniem i OSR (numer w wykazie prac legislacyjnych: 135), uprzejmie przedstawiam uwagi Konfederacji Lewiatan.</w:t>
      </w:r>
    </w:p>
    <w:p w14:paraId="49047357" w14:textId="77777777" w:rsidR="00FC30A3" w:rsidRDefault="00FC30A3" w:rsidP="001E5CEB">
      <w:pPr>
        <w:tabs>
          <w:tab w:val="right" w:pos="10206"/>
        </w:tabs>
        <w:spacing w:line="276" w:lineRule="auto"/>
        <w:ind w:left="851" w:right="56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4B164B8" w14:textId="63F8117A" w:rsidR="00FC30A3" w:rsidRPr="005E5E81" w:rsidRDefault="00FC30A3" w:rsidP="001E5CEB">
      <w:pPr>
        <w:tabs>
          <w:tab w:val="right" w:pos="10206"/>
        </w:tabs>
        <w:spacing w:line="276" w:lineRule="auto"/>
        <w:ind w:left="851" w:right="56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Fonts w:asciiTheme="minorHAnsi" w:hAnsiTheme="minorHAnsi" w:cstheme="minorHAnsi"/>
          <w:color w:val="002060"/>
          <w:sz w:val="22"/>
          <w:szCs w:val="22"/>
        </w:rPr>
        <w:t xml:space="preserve">Ponadto będę zobowiązany za umożliwienie zorganizowania spotkania ekspertów ministerstwa z przedstawicielami pracodawców w celu omówienia szeregu wątpliwości jakie zostały przedstawione w trakcie konsultacji projektu rozporządzenia. </w:t>
      </w:r>
    </w:p>
    <w:p w14:paraId="47793850" w14:textId="5EB92218" w:rsidR="00DE69F0" w:rsidRPr="005E5E81" w:rsidRDefault="00DE69F0" w:rsidP="001E5CEB">
      <w:pPr>
        <w:tabs>
          <w:tab w:val="right" w:pos="10206"/>
        </w:tabs>
        <w:spacing w:line="276" w:lineRule="auto"/>
        <w:ind w:right="56"/>
        <w:rPr>
          <w:rFonts w:asciiTheme="minorHAnsi" w:hAnsiTheme="minorHAnsi" w:cstheme="minorHAnsi"/>
          <w:noProof/>
          <w:color w:val="002060"/>
          <w:sz w:val="22"/>
          <w:szCs w:val="22"/>
        </w:rPr>
      </w:pPr>
    </w:p>
    <w:p w14:paraId="10723E57" w14:textId="33D7F276" w:rsidR="00DE69F0" w:rsidRPr="005E5E81" w:rsidRDefault="001E5CEB" w:rsidP="001E5CEB">
      <w:pPr>
        <w:tabs>
          <w:tab w:val="right" w:pos="10206"/>
        </w:tabs>
        <w:spacing w:line="276" w:lineRule="auto"/>
        <w:ind w:left="851" w:right="56"/>
        <w:rPr>
          <w:rFonts w:asciiTheme="minorHAnsi" w:hAnsiTheme="minorHAnsi" w:cstheme="minorHAnsi"/>
          <w:noProof/>
          <w:color w:val="002060"/>
          <w:sz w:val="22"/>
          <w:szCs w:val="22"/>
        </w:rPr>
      </w:pPr>
      <w:r>
        <w:rPr>
          <w:rFonts w:asciiTheme="minorHAnsi" w:hAnsiTheme="minorHAnsi" w:cstheme="minorHAnsi"/>
          <w:noProof/>
          <w:color w:val="002060"/>
          <w:sz w:val="22"/>
          <w:szCs w:val="22"/>
        </w:rPr>
        <w:t>Z poważaniem,</w:t>
      </w:r>
    </w:p>
    <w:p w14:paraId="748DC649" w14:textId="5C535BC3" w:rsidR="001E5CEB" w:rsidRDefault="001E5CEB" w:rsidP="001E5CEB">
      <w:pPr>
        <w:tabs>
          <w:tab w:val="right" w:pos="10206"/>
        </w:tabs>
        <w:spacing w:line="276" w:lineRule="auto"/>
        <w:ind w:left="851" w:right="56"/>
        <w:rPr>
          <w:rFonts w:asciiTheme="minorHAnsi" w:hAnsiTheme="minorHAnsi" w:cstheme="minorHAnsi"/>
          <w:noProof/>
          <w:color w:val="002060"/>
          <w:sz w:val="22"/>
          <w:szCs w:val="22"/>
        </w:rPr>
      </w:pPr>
    </w:p>
    <w:p w14:paraId="677AE23A" w14:textId="77777777" w:rsidR="001E5CEB" w:rsidRDefault="001E5CEB" w:rsidP="001E5CEB">
      <w:pPr>
        <w:tabs>
          <w:tab w:val="right" w:pos="10206"/>
        </w:tabs>
        <w:spacing w:line="276" w:lineRule="auto"/>
        <w:ind w:left="851" w:right="56"/>
        <w:rPr>
          <w:rFonts w:asciiTheme="minorHAnsi" w:hAnsiTheme="minorHAnsi" w:cstheme="minorHAnsi"/>
          <w:noProof/>
          <w:color w:val="002060"/>
          <w:sz w:val="22"/>
          <w:szCs w:val="22"/>
        </w:rPr>
      </w:pPr>
    </w:p>
    <w:p w14:paraId="3E8325E6" w14:textId="77777777" w:rsidR="001E5CEB" w:rsidRDefault="001E5CEB" w:rsidP="001E5CEB">
      <w:pPr>
        <w:tabs>
          <w:tab w:val="right" w:pos="10206"/>
        </w:tabs>
        <w:spacing w:line="276" w:lineRule="auto"/>
        <w:ind w:left="851" w:right="56"/>
        <w:rPr>
          <w:rFonts w:asciiTheme="minorHAnsi" w:hAnsiTheme="minorHAnsi" w:cstheme="minorHAnsi"/>
          <w:noProof/>
          <w:color w:val="002060"/>
          <w:sz w:val="22"/>
          <w:szCs w:val="22"/>
        </w:rPr>
      </w:pPr>
    </w:p>
    <w:p w14:paraId="09CE4AF4" w14:textId="7045BD7C" w:rsidR="00DE69F0" w:rsidRPr="005E5E81" w:rsidRDefault="00DE69F0" w:rsidP="001E5CEB">
      <w:pPr>
        <w:tabs>
          <w:tab w:val="right" w:pos="10206"/>
        </w:tabs>
        <w:spacing w:line="276" w:lineRule="auto"/>
        <w:ind w:left="851" w:right="56"/>
        <w:rPr>
          <w:rFonts w:asciiTheme="minorHAnsi" w:hAnsiTheme="minorHAnsi" w:cstheme="minorHAnsi"/>
          <w:noProof/>
          <w:color w:val="002060"/>
          <w:sz w:val="22"/>
          <w:szCs w:val="22"/>
        </w:rPr>
      </w:pPr>
      <w:r w:rsidRPr="005E5E81">
        <w:rPr>
          <w:rFonts w:asciiTheme="minorHAnsi" w:hAnsiTheme="minorHAnsi" w:cstheme="minorHAnsi"/>
          <w:noProof/>
          <w:color w:val="002060"/>
          <w:sz w:val="22"/>
          <w:szCs w:val="22"/>
        </w:rPr>
        <w:t>Maciej Witucki</w:t>
      </w:r>
    </w:p>
    <w:p w14:paraId="6DDD6247" w14:textId="4A1E20B9" w:rsidR="00DE69F0" w:rsidRPr="005E5E81" w:rsidRDefault="00DE69F0" w:rsidP="001E5CEB">
      <w:pPr>
        <w:tabs>
          <w:tab w:val="right" w:pos="10206"/>
        </w:tabs>
        <w:spacing w:line="276" w:lineRule="auto"/>
        <w:ind w:left="851" w:right="56"/>
        <w:jc w:val="both"/>
        <w:rPr>
          <w:rFonts w:asciiTheme="minorHAnsi" w:hAnsiTheme="minorHAnsi" w:cstheme="minorHAnsi"/>
          <w:noProof/>
          <w:color w:val="002060"/>
          <w:sz w:val="22"/>
          <w:szCs w:val="22"/>
        </w:rPr>
      </w:pPr>
      <w:r w:rsidRPr="005E5E81">
        <w:rPr>
          <w:rFonts w:asciiTheme="minorHAnsi" w:hAnsiTheme="minorHAnsi" w:cstheme="minorHAnsi"/>
          <w:noProof/>
          <w:color w:val="002060"/>
          <w:sz w:val="22"/>
          <w:szCs w:val="22"/>
        </w:rPr>
        <w:t>Prezydent Konfederacji Lewiatan</w:t>
      </w:r>
    </w:p>
    <w:p w14:paraId="45AEA240" w14:textId="77777777" w:rsidR="00DE69F0" w:rsidRPr="005E5E81" w:rsidRDefault="00DE69F0" w:rsidP="001E5CEB">
      <w:pPr>
        <w:tabs>
          <w:tab w:val="right" w:pos="10206"/>
        </w:tabs>
        <w:spacing w:line="276" w:lineRule="auto"/>
        <w:ind w:left="851" w:right="56"/>
        <w:jc w:val="both"/>
        <w:rPr>
          <w:rFonts w:asciiTheme="minorHAnsi" w:hAnsiTheme="minorHAnsi" w:cstheme="minorHAnsi"/>
          <w:noProof/>
          <w:color w:val="002060"/>
          <w:sz w:val="22"/>
          <w:szCs w:val="22"/>
        </w:rPr>
      </w:pPr>
    </w:p>
    <w:p w14:paraId="490D9F05" w14:textId="77777777" w:rsidR="00DE69F0" w:rsidRPr="005E5E81" w:rsidRDefault="00DE69F0" w:rsidP="001E5CEB">
      <w:pPr>
        <w:tabs>
          <w:tab w:val="right" w:pos="10206"/>
        </w:tabs>
        <w:spacing w:line="276" w:lineRule="auto"/>
        <w:ind w:left="851" w:right="56"/>
        <w:jc w:val="both"/>
        <w:rPr>
          <w:rFonts w:asciiTheme="minorHAnsi" w:hAnsiTheme="minorHAnsi" w:cstheme="minorHAnsi"/>
          <w:noProof/>
          <w:color w:val="002060"/>
          <w:sz w:val="22"/>
          <w:szCs w:val="22"/>
        </w:rPr>
      </w:pPr>
    </w:p>
    <w:p w14:paraId="7CEA6155" w14:textId="77777777" w:rsidR="00DE69F0" w:rsidRPr="005E5E81" w:rsidRDefault="00DE69F0" w:rsidP="001E5CEB">
      <w:pPr>
        <w:tabs>
          <w:tab w:val="right" w:pos="10206"/>
        </w:tabs>
        <w:spacing w:line="276" w:lineRule="auto"/>
        <w:ind w:left="851" w:right="56"/>
        <w:jc w:val="both"/>
        <w:rPr>
          <w:rFonts w:asciiTheme="minorHAnsi" w:hAnsiTheme="minorHAnsi" w:cstheme="minorHAnsi"/>
          <w:noProof/>
          <w:color w:val="002060"/>
          <w:sz w:val="22"/>
          <w:szCs w:val="22"/>
        </w:rPr>
      </w:pPr>
    </w:p>
    <w:p w14:paraId="40E1778C" w14:textId="77777777" w:rsidR="00DE69F0" w:rsidRPr="005E5E81" w:rsidRDefault="00DE69F0" w:rsidP="001E5CEB">
      <w:pPr>
        <w:tabs>
          <w:tab w:val="right" w:pos="10206"/>
        </w:tabs>
        <w:spacing w:line="276" w:lineRule="auto"/>
        <w:ind w:left="851" w:right="56"/>
        <w:jc w:val="both"/>
        <w:rPr>
          <w:rFonts w:asciiTheme="minorHAnsi" w:hAnsiTheme="minorHAnsi" w:cstheme="minorHAnsi"/>
          <w:noProof/>
          <w:color w:val="002060"/>
          <w:sz w:val="22"/>
          <w:szCs w:val="22"/>
        </w:rPr>
      </w:pPr>
    </w:p>
    <w:p w14:paraId="2B2433B1" w14:textId="77777777" w:rsidR="00DE69F0" w:rsidRPr="005E5E81" w:rsidRDefault="00DE69F0" w:rsidP="001E5CEB">
      <w:pPr>
        <w:tabs>
          <w:tab w:val="right" w:pos="10206"/>
        </w:tabs>
        <w:spacing w:line="276" w:lineRule="auto"/>
        <w:ind w:left="851" w:right="56"/>
        <w:jc w:val="both"/>
        <w:rPr>
          <w:rFonts w:asciiTheme="minorHAnsi" w:hAnsiTheme="minorHAnsi" w:cstheme="minorHAnsi"/>
          <w:noProof/>
          <w:color w:val="002060"/>
          <w:sz w:val="22"/>
          <w:szCs w:val="22"/>
        </w:rPr>
      </w:pPr>
    </w:p>
    <w:p w14:paraId="74BC1861" w14:textId="77777777" w:rsidR="00DE69F0" w:rsidRPr="005E5E81" w:rsidRDefault="00DE69F0" w:rsidP="001E5CEB">
      <w:pPr>
        <w:tabs>
          <w:tab w:val="right" w:pos="10206"/>
        </w:tabs>
        <w:spacing w:line="276" w:lineRule="auto"/>
        <w:ind w:left="851" w:right="56"/>
        <w:jc w:val="both"/>
        <w:rPr>
          <w:rFonts w:asciiTheme="minorHAnsi" w:hAnsiTheme="minorHAnsi" w:cstheme="minorHAnsi"/>
          <w:noProof/>
          <w:color w:val="002060"/>
          <w:sz w:val="22"/>
          <w:szCs w:val="22"/>
        </w:rPr>
      </w:pPr>
    </w:p>
    <w:p w14:paraId="76A20BF7" w14:textId="77777777" w:rsidR="00DE69F0" w:rsidRPr="005E5E81" w:rsidRDefault="00DE69F0" w:rsidP="001E5CEB">
      <w:pPr>
        <w:tabs>
          <w:tab w:val="right" w:pos="10206"/>
        </w:tabs>
        <w:spacing w:line="276" w:lineRule="auto"/>
        <w:ind w:left="851" w:right="56"/>
        <w:jc w:val="both"/>
        <w:rPr>
          <w:rFonts w:asciiTheme="minorHAnsi" w:hAnsiTheme="minorHAnsi" w:cstheme="minorHAnsi"/>
          <w:noProof/>
          <w:color w:val="002060"/>
          <w:sz w:val="22"/>
          <w:szCs w:val="22"/>
        </w:rPr>
      </w:pPr>
    </w:p>
    <w:p w14:paraId="6583586E" w14:textId="77777777" w:rsidR="00DE69F0" w:rsidRPr="005E5E81" w:rsidRDefault="00DE69F0" w:rsidP="001E5CEB">
      <w:pPr>
        <w:tabs>
          <w:tab w:val="right" w:pos="10206"/>
        </w:tabs>
        <w:spacing w:line="276" w:lineRule="auto"/>
        <w:ind w:left="851" w:right="56"/>
        <w:jc w:val="both"/>
        <w:rPr>
          <w:rFonts w:asciiTheme="minorHAnsi" w:hAnsiTheme="minorHAnsi" w:cstheme="minorHAnsi"/>
          <w:noProof/>
          <w:color w:val="002060"/>
          <w:sz w:val="22"/>
          <w:szCs w:val="22"/>
        </w:rPr>
      </w:pPr>
    </w:p>
    <w:p w14:paraId="27BF72A6" w14:textId="77777777" w:rsidR="00DE69F0" w:rsidRPr="005E5E81" w:rsidRDefault="00DE69F0" w:rsidP="001E5CEB">
      <w:pPr>
        <w:tabs>
          <w:tab w:val="right" w:pos="10206"/>
        </w:tabs>
        <w:spacing w:line="276" w:lineRule="auto"/>
        <w:ind w:left="851" w:right="56"/>
        <w:jc w:val="both"/>
        <w:rPr>
          <w:rFonts w:asciiTheme="minorHAnsi" w:hAnsiTheme="minorHAnsi" w:cstheme="minorHAnsi"/>
          <w:noProof/>
          <w:color w:val="002060"/>
          <w:sz w:val="22"/>
          <w:szCs w:val="22"/>
        </w:rPr>
      </w:pPr>
    </w:p>
    <w:p w14:paraId="2AE72CC2" w14:textId="77777777" w:rsidR="001E5CEB" w:rsidRDefault="00DE69F0" w:rsidP="001E5CEB">
      <w:pPr>
        <w:tabs>
          <w:tab w:val="right" w:pos="10206"/>
        </w:tabs>
        <w:spacing w:line="276" w:lineRule="auto"/>
        <w:ind w:left="851" w:right="56"/>
        <w:jc w:val="both"/>
        <w:rPr>
          <w:rFonts w:asciiTheme="minorHAnsi" w:hAnsiTheme="minorHAnsi" w:cstheme="minorHAnsi"/>
          <w:noProof/>
          <w:color w:val="002060"/>
          <w:sz w:val="22"/>
          <w:szCs w:val="22"/>
        </w:rPr>
      </w:pPr>
      <w:r w:rsidRPr="005E5E81">
        <w:rPr>
          <w:rFonts w:asciiTheme="minorHAnsi" w:hAnsiTheme="minorHAnsi" w:cstheme="minorHAnsi"/>
          <w:noProof/>
          <w:color w:val="002060"/>
          <w:sz w:val="22"/>
          <w:szCs w:val="22"/>
        </w:rPr>
        <w:t>Za</w:t>
      </w:r>
      <w:r w:rsidR="001E5CEB">
        <w:rPr>
          <w:rFonts w:asciiTheme="minorHAnsi" w:hAnsiTheme="minorHAnsi" w:cstheme="minorHAnsi"/>
          <w:noProof/>
          <w:color w:val="002060"/>
          <w:sz w:val="22"/>
          <w:szCs w:val="22"/>
        </w:rPr>
        <w:t>łącznik:</w:t>
      </w:r>
    </w:p>
    <w:p w14:paraId="6259236E" w14:textId="01ACD00B" w:rsidR="00DE69F0" w:rsidRPr="005E5E81" w:rsidRDefault="00DE69F0" w:rsidP="001E5CEB">
      <w:pPr>
        <w:tabs>
          <w:tab w:val="right" w:pos="10206"/>
        </w:tabs>
        <w:spacing w:line="276" w:lineRule="auto"/>
        <w:ind w:left="851" w:right="56"/>
        <w:jc w:val="both"/>
        <w:rPr>
          <w:rFonts w:asciiTheme="minorHAnsi" w:hAnsiTheme="minorHAnsi" w:cstheme="minorHAnsi"/>
          <w:noProof/>
          <w:color w:val="002060"/>
          <w:sz w:val="22"/>
          <w:szCs w:val="22"/>
        </w:rPr>
      </w:pPr>
      <w:r w:rsidRPr="005E5E81">
        <w:rPr>
          <w:rFonts w:asciiTheme="minorHAnsi" w:hAnsiTheme="minorHAnsi" w:cstheme="minorHAnsi"/>
          <w:noProof/>
          <w:color w:val="002060"/>
          <w:sz w:val="22"/>
          <w:szCs w:val="22"/>
        </w:rPr>
        <w:t>Uwagi Konfederacji Lewiatan do projektu rozporządzenia Ministra Rodziny i Polityki Społecznej zmieniającego rozporządzenie w sprawie bezpieczeństwa i higieny pracy na stanowiskach wyposażonych w monitory ekranowe</w:t>
      </w:r>
      <w:r w:rsidR="001E5CEB">
        <w:rPr>
          <w:rFonts w:asciiTheme="minorHAnsi" w:hAnsiTheme="minorHAnsi" w:cstheme="minorHAnsi"/>
          <w:noProof/>
          <w:color w:val="002060"/>
          <w:sz w:val="22"/>
          <w:szCs w:val="22"/>
        </w:rPr>
        <w:t>.</w:t>
      </w:r>
    </w:p>
    <w:p w14:paraId="1040D0DF" w14:textId="77777777" w:rsidR="00DE69F0" w:rsidRDefault="00DE69F0" w:rsidP="001E5CEB">
      <w:pPr>
        <w:tabs>
          <w:tab w:val="right" w:pos="10206"/>
        </w:tabs>
        <w:spacing w:line="276" w:lineRule="auto"/>
        <w:ind w:right="56"/>
        <w:jc w:val="both"/>
        <w:rPr>
          <w:rFonts w:asciiTheme="minorHAnsi" w:hAnsiTheme="minorHAnsi" w:cstheme="minorHAnsi"/>
          <w:noProof/>
          <w:color w:val="002060"/>
          <w:sz w:val="22"/>
          <w:szCs w:val="22"/>
        </w:rPr>
      </w:pPr>
    </w:p>
    <w:p w14:paraId="6D5E8631" w14:textId="77777777" w:rsidR="001E5CEB" w:rsidRPr="005E5E81" w:rsidRDefault="001E5CEB" w:rsidP="001E5CEB">
      <w:pPr>
        <w:tabs>
          <w:tab w:val="right" w:pos="10206"/>
        </w:tabs>
        <w:spacing w:line="276" w:lineRule="auto"/>
        <w:ind w:right="56"/>
        <w:jc w:val="both"/>
        <w:rPr>
          <w:rFonts w:asciiTheme="minorHAnsi" w:hAnsiTheme="minorHAnsi" w:cstheme="minorHAnsi"/>
          <w:noProof/>
          <w:color w:val="002060"/>
          <w:sz w:val="22"/>
          <w:szCs w:val="22"/>
        </w:rPr>
      </w:pPr>
    </w:p>
    <w:p w14:paraId="1E9CD089" w14:textId="17CEA422" w:rsidR="00DE69F0" w:rsidRPr="005E5E81" w:rsidRDefault="00DE69F0" w:rsidP="001E5CEB">
      <w:pPr>
        <w:tabs>
          <w:tab w:val="right" w:pos="10206"/>
        </w:tabs>
        <w:spacing w:line="276" w:lineRule="auto"/>
        <w:ind w:left="851" w:right="56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  <w:bookmarkStart w:id="1" w:name="_Hlk138356938"/>
      <w:r w:rsidRPr="005E5E81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>Uwagi Konfederacji Lewiatan do</w:t>
      </w:r>
      <w:r w:rsidRPr="005E5E81">
        <w:t xml:space="preserve"> </w:t>
      </w:r>
      <w:r w:rsidRPr="005E5E81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w:t xml:space="preserve">projektu rozporządzenia Ministra Rodziny i Polityki Społecznej zmieniającego rozporządzenie w sprawie bezpieczeństwa i higieny pracy na stanowiskach wyposażonych w monitory ekranowe </w:t>
      </w:r>
    </w:p>
    <w:bookmarkEnd w:id="1"/>
    <w:p w14:paraId="0C367812" w14:textId="77777777" w:rsidR="00EA3A2D" w:rsidRPr="005E5E81" w:rsidRDefault="00EA3A2D" w:rsidP="001E5CEB">
      <w:pPr>
        <w:tabs>
          <w:tab w:val="left" w:pos="2874"/>
        </w:tabs>
        <w:spacing w:line="276" w:lineRule="auto"/>
        <w:ind w:left="851"/>
        <w:jc w:val="both"/>
        <w:rPr>
          <w:rFonts w:ascii="Calibri" w:hAnsi="Calibri" w:cs="Arial"/>
          <w:color w:val="000000"/>
        </w:rPr>
      </w:pPr>
    </w:p>
    <w:p w14:paraId="5F682E9F" w14:textId="77777777" w:rsidR="00DE69F0" w:rsidRPr="005E5E81" w:rsidRDefault="00DE69F0" w:rsidP="001E5CEB">
      <w:pPr>
        <w:numPr>
          <w:ilvl w:val="0"/>
          <w:numId w:val="26"/>
        </w:numPr>
        <w:spacing w:after="120" w:line="260" w:lineRule="atLeast"/>
        <w:ind w:left="851"/>
        <w:contextualSpacing/>
        <w:rPr>
          <w:rFonts w:ascii="Calibri" w:eastAsia="Helvetica 55 Roman" w:hAnsi="Calibri"/>
          <w:b/>
          <w:color w:val="002060"/>
          <w:sz w:val="22"/>
          <w:szCs w:val="22"/>
          <w:lang w:eastAsia="en-US"/>
        </w:rPr>
      </w:pPr>
      <w:r w:rsidRPr="005E5E81">
        <w:rPr>
          <w:rFonts w:ascii="Calibri" w:eastAsia="Helvetica 55 Roman" w:hAnsi="Calibri"/>
          <w:b/>
          <w:color w:val="002060"/>
          <w:sz w:val="22"/>
          <w:szCs w:val="22"/>
          <w:lang w:eastAsia="en-US"/>
        </w:rPr>
        <w:t>Uwagi ogólne</w:t>
      </w:r>
    </w:p>
    <w:p w14:paraId="3AD16FAA" w14:textId="77777777" w:rsidR="00DE69F0" w:rsidRPr="005E5E81" w:rsidRDefault="00DE69F0" w:rsidP="001E5CEB">
      <w:pPr>
        <w:spacing w:after="160" w:line="256" w:lineRule="auto"/>
        <w:ind w:left="851"/>
        <w:jc w:val="both"/>
        <w:rPr>
          <w:rFonts w:ascii="Calibri" w:eastAsia="Helvetica 55 Roman" w:hAnsi="Calibri"/>
          <w:color w:val="002060"/>
          <w:sz w:val="22"/>
          <w:szCs w:val="22"/>
          <w:lang w:eastAsia="en-US"/>
        </w:rPr>
      </w:pPr>
      <w:r w:rsidRPr="005E5E81">
        <w:rPr>
          <w:rFonts w:ascii="Calibri" w:eastAsia="Helvetica 55 Roman" w:hAnsi="Calibri"/>
          <w:color w:val="002060"/>
          <w:sz w:val="22"/>
          <w:szCs w:val="22"/>
          <w:lang w:eastAsia="en-US"/>
        </w:rPr>
        <w:t xml:space="preserve">Zmianę rozporządzenia, w tym ograniczenie nadmiernej szczegółowości przepisów (jak np. regulujących stopnie nachylenia monitora czy charakterystykę powierzchni podnóżka) uważamy za potrzebne z uwagi na upływ czasu i zachodzące zmiany technologiczne. </w:t>
      </w:r>
    </w:p>
    <w:p w14:paraId="0FB5A7CD" w14:textId="2074D6D4" w:rsidR="00DE69F0" w:rsidRPr="005E5E81" w:rsidRDefault="00DE69F0" w:rsidP="001E5CEB">
      <w:pPr>
        <w:spacing w:after="160" w:line="256" w:lineRule="auto"/>
        <w:ind w:left="851"/>
        <w:jc w:val="both"/>
        <w:rPr>
          <w:rFonts w:ascii="Calibri" w:eastAsia="Helvetica 55 Roman" w:hAnsi="Calibri"/>
          <w:color w:val="002060"/>
          <w:sz w:val="22"/>
          <w:szCs w:val="22"/>
          <w:lang w:eastAsia="en-US"/>
        </w:rPr>
      </w:pPr>
      <w:r w:rsidRPr="005E5E81">
        <w:rPr>
          <w:rFonts w:ascii="Calibri" w:eastAsia="Helvetica 55 Roman" w:hAnsi="Calibri"/>
          <w:color w:val="002060"/>
          <w:sz w:val="22"/>
          <w:szCs w:val="22"/>
          <w:lang w:eastAsia="en-US"/>
        </w:rPr>
        <w:t>Należy zwrócić jednak uwagę na fakt, że zmiany rozporządzenia nie zostały przygotowane równolegle do wejścia w życie przepisów o pracy zdalnej do Kodeksu pracy, co powoduje znaczne trudności w</w:t>
      </w:r>
      <w:r w:rsidR="004271E2" w:rsidRPr="005E5E81">
        <w:rPr>
          <w:rFonts w:ascii="Calibri" w:eastAsia="Helvetica 55 Roman" w:hAnsi="Calibri"/>
          <w:color w:val="002060"/>
          <w:sz w:val="22"/>
          <w:szCs w:val="22"/>
          <w:lang w:eastAsia="en-US"/>
        </w:rPr>
        <w:t> </w:t>
      </w:r>
      <w:r w:rsidRPr="005E5E81">
        <w:rPr>
          <w:rFonts w:ascii="Calibri" w:eastAsia="Helvetica 55 Roman" w:hAnsi="Calibri"/>
          <w:color w:val="002060"/>
          <w:sz w:val="22"/>
          <w:szCs w:val="22"/>
          <w:lang w:eastAsia="en-US"/>
        </w:rPr>
        <w:t>zakresie dostosowania się do nowych wymogów i organizacji procesów, które powinny być prowadzone w tym samym czasie. Rozciągnięte w czasie wprowadzanie zmian powoduje nadmierne obciążenie po stronie pracodawców.</w:t>
      </w:r>
    </w:p>
    <w:p w14:paraId="1F9FDF6A" w14:textId="3750BC8B" w:rsidR="00FC5E83" w:rsidRPr="005E5E81" w:rsidRDefault="00FC5E83" w:rsidP="001E5CEB">
      <w:pPr>
        <w:spacing w:after="160" w:line="256" w:lineRule="auto"/>
        <w:ind w:left="851"/>
        <w:jc w:val="both"/>
        <w:rPr>
          <w:rFonts w:ascii="Calibri" w:eastAsia="Helvetica 55 Roman" w:hAnsi="Calibri"/>
          <w:color w:val="002060"/>
          <w:sz w:val="22"/>
          <w:szCs w:val="22"/>
          <w:lang w:eastAsia="en-US"/>
        </w:rPr>
      </w:pPr>
      <w:r w:rsidRPr="005E5E81">
        <w:rPr>
          <w:rFonts w:ascii="Calibri" w:eastAsia="Helvetica 55 Roman" w:hAnsi="Calibri"/>
          <w:color w:val="002060"/>
          <w:sz w:val="22"/>
          <w:szCs w:val="22"/>
          <w:lang w:eastAsia="en-US"/>
        </w:rPr>
        <w:t>Postulujemy zatem dłuższe vacatio legis dla przepisów z uwagi na znaczny wpływ na wydatki pracodawców podczas tworzenia nowych stanowisk pracy jak również dostosowania stanowisk do nowych standardów (dodatkowe monitory bądź odpowiednie podkładki pod komputery osobiste, myszka i klawiatura). Przegląd stanowisk również wymaga czasu. Firmy powinny móc zaplanować takie wydatki w swoich budżetach. Analogiczna sytuacja dotyczy również sektora publicznego.</w:t>
      </w:r>
    </w:p>
    <w:p w14:paraId="46F30B2F" w14:textId="77777777" w:rsidR="00DE69F0" w:rsidRPr="005E5E81" w:rsidRDefault="00DE69F0" w:rsidP="001E5CEB">
      <w:pPr>
        <w:spacing w:after="160" w:line="256" w:lineRule="auto"/>
        <w:ind w:left="851"/>
        <w:rPr>
          <w:rFonts w:ascii="Calibri" w:eastAsia="Helvetica 55 Roman" w:hAnsi="Calibri"/>
          <w:color w:val="002060"/>
          <w:sz w:val="22"/>
          <w:szCs w:val="22"/>
          <w:lang w:eastAsia="en-US"/>
        </w:rPr>
      </w:pPr>
    </w:p>
    <w:p w14:paraId="7500EE40" w14:textId="77777777" w:rsidR="00DE69F0" w:rsidRPr="005E5E81" w:rsidRDefault="00DE69F0" w:rsidP="001E5CEB">
      <w:pPr>
        <w:numPr>
          <w:ilvl w:val="0"/>
          <w:numId w:val="26"/>
        </w:numPr>
        <w:spacing w:after="120" w:line="260" w:lineRule="atLeast"/>
        <w:ind w:left="851"/>
        <w:contextualSpacing/>
        <w:rPr>
          <w:rFonts w:ascii="Calibri" w:eastAsia="Helvetica 55 Roman" w:hAnsi="Calibri"/>
          <w:b/>
          <w:color w:val="002060"/>
          <w:sz w:val="22"/>
          <w:szCs w:val="22"/>
          <w:lang w:eastAsia="en-US"/>
        </w:rPr>
      </w:pPr>
      <w:r w:rsidRPr="005E5E81">
        <w:rPr>
          <w:rFonts w:ascii="Calibri" w:eastAsia="Helvetica 55 Roman" w:hAnsi="Calibri"/>
          <w:b/>
          <w:color w:val="002060"/>
          <w:sz w:val="22"/>
          <w:szCs w:val="22"/>
          <w:lang w:eastAsia="en-US"/>
        </w:rPr>
        <w:t>Definicja pracownika (</w:t>
      </w:r>
      <w:r w:rsidRPr="005E5E81">
        <w:rPr>
          <w:rFonts w:ascii="Calibri" w:eastAsia="Helvetica 55 Roman" w:hAnsi="Calibri"/>
          <w:b/>
          <w:bCs/>
          <w:color w:val="002060"/>
          <w:sz w:val="22"/>
          <w:szCs w:val="22"/>
          <w:lang w:eastAsia="en-US"/>
        </w:rPr>
        <w:t xml:space="preserve">§ 2) </w:t>
      </w:r>
    </w:p>
    <w:p w14:paraId="011B3489" w14:textId="77777777" w:rsidR="004271E2" w:rsidRPr="005E5E81" w:rsidRDefault="004271E2" w:rsidP="001E5CEB">
      <w:pPr>
        <w:spacing w:after="120" w:line="260" w:lineRule="atLeast"/>
        <w:ind w:left="851"/>
        <w:contextualSpacing/>
        <w:rPr>
          <w:rFonts w:ascii="Calibri" w:eastAsia="Helvetica 55 Roman" w:hAnsi="Calibri"/>
          <w:b/>
          <w:color w:val="002060"/>
          <w:sz w:val="22"/>
          <w:szCs w:val="22"/>
          <w:lang w:eastAsia="en-US"/>
        </w:rPr>
      </w:pPr>
    </w:p>
    <w:p w14:paraId="3FC107D5" w14:textId="02403DA1" w:rsidR="00DE69F0" w:rsidRPr="005E5E81" w:rsidRDefault="00DE69F0" w:rsidP="001E5CEB">
      <w:pPr>
        <w:spacing w:after="120"/>
        <w:ind w:left="851"/>
        <w:rPr>
          <w:rFonts w:ascii="Calibri" w:eastAsia="Helvetica 55 Roman" w:hAnsi="Calibri"/>
          <w:bCs/>
          <w:color w:val="002060"/>
          <w:sz w:val="22"/>
          <w:szCs w:val="22"/>
          <w:lang w:eastAsia="en-US"/>
        </w:rPr>
      </w:pPr>
      <w:r w:rsidRPr="005E5E81">
        <w:rPr>
          <w:rFonts w:ascii="Calibri" w:eastAsia="Helvetica 55 Roman" w:hAnsi="Calibri"/>
          <w:bCs/>
          <w:color w:val="002060"/>
          <w:sz w:val="22"/>
          <w:szCs w:val="22"/>
          <w:lang w:eastAsia="en-US"/>
        </w:rPr>
        <w:t xml:space="preserve">W § 2 pkt 4 </w:t>
      </w:r>
      <w:r w:rsidR="00461815" w:rsidRPr="005E5E81">
        <w:rPr>
          <w:rFonts w:ascii="Calibri" w:eastAsia="Helvetica 55 Roman" w:hAnsi="Calibri"/>
          <w:bCs/>
          <w:color w:val="002060"/>
          <w:sz w:val="22"/>
          <w:szCs w:val="22"/>
          <w:lang w:eastAsia="en-US"/>
        </w:rPr>
        <w:t>zmienianego</w:t>
      </w:r>
      <w:r w:rsidRPr="005E5E81">
        <w:rPr>
          <w:rFonts w:ascii="Calibri" w:eastAsia="Helvetica 55 Roman" w:hAnsi="Calibri"/>
          <w:bCs/>
          <w:color w:val="002060"/>
          <w:sz w:val="22"/>
          <w:szCs w:val="22"/>
          <w:lang w:eastAsia="en-US"/>
        </w:rPr>
        <w:t xml:space="preserve"> rozporządzenia proponowana jest następująca definicja „pracownika”:</w:t>
      </w:r>
    </w:p>
    <w:p w14:paraId="6B565682" w14:textId="77777777" w:rsidR="00DE69F0" w:rsidRPr="005E5E81" w:rsidRDefault="00DE69F0" w:rsidP="001E5CEB">
      <w:pPr>
        <w:spacing w:after="120"/>
        <w:ind w:left="851"/>
        <w:jc w:val="both"/>
        <w:rPr>
          <w:rFonts w:ascii="Calibri" w:eastAsia="Helvetica 55 Roman" w:hAnsi="Calibri"/>
          <w:i/>
          <w:color w:val="002060"/>
          <w:sz w:val="22"/>
          <w:szCs w:val="22"/>
          <w:u w:val="single"/>
          <w:lang w:eastAsia="en-US"/>
        </w:rPr>
      </w:pPr>
      <w:r w:rsidRPr="005E5E81">
        <w:rPr>
          <w:rFonts w:ascii="Calibri" w:eastAsia="Helvetica 55 Roman" w:hAnsi="Calibri"/>
          <w:i/>
          <w:color w:val="002060"/>
          <w:sz w:val="22"/>
          <w:szCs w:val="22"/>
          <w:lang w:eastAsia="en-US"/>
        </w:rPr>
        <w:t xml:space="preserve">4) pracowniku - należy przez to rozumieć każdą osobę zatrudnioną przez pracodawcę, w tym praktykanta i stażystę, użytkującą w czasie pracy monitor ekranowy </w:t>
      </w:r>
      <w:r w:rsidRPr="005E5E81">
        <w:rPr>
          <w:rFonts w:ascii="Calibri" w:eastAsia="Helvetica 55 Roman" w:hAnsi="Calibri"/>
          <w:i/>
          <w:color w:val="002060"/>
          <w:sz w:val="22"/>
          <w:szCs w:val="22"/>
          <w:u w:val="single"/>
          <w:lang w:eastAsia="en-US"/>
        </w:rPr>
        <w:t>co najmniej przez połowę dobowego wymiaru czasu pracy.</w:t>
      </w:r>
    </w:p>
    <w:p w14:paraId="6A41BB26" w14:textId="3952C657" w:rsidR="00DE69F0" w:rsidRPr="005E5E81" w:rsidRDefault="00DE69F0" w:rsidP="001E5CEB">
      <w:pPr>
        <w:spacing w:after="120"/>
        <w:ind w:left="851"/>
        <w:jc w:val="both"/>
        <w:rPr>
          <w:rFonts w:ascii="Calibri" w:eastAsia="Helvetica 55 Roman" w:hAnsi="Calibri"/>
          <w:color w:val="002060"/>
          <w:sz w:val="22"/>
          <w:szCs w:val="22"/>
          <w:lang w:eastAsia="en-US"/>
        </w:rPr>
      </w:pPr>
      <w:r w:rsidRPr="005E5E81">
        <w:rPr>
          <w:rFonts w:ascii="Calibri" w:hAnsi="Calibri"/>
          <w:color w:val="002060"/>
          <w:sz w:val="22"/>
          <w:szCs w:val="22"/>
          <w:lang w:eastAsia="en-US"/>
        </w:rPr>
        <w:t>Zwracamy uwagę, że sformułowanie „co najmniej przez połowę dobowego wymiaru czasu pracy” powinno zostać zastąpione przez bardziej precyzyjne i prawidłowe „</w:t>
      </w:r>
      <w:r w:rsidRPr="005E5E81">
        <w:rPr>
          <w:rFonts w:ascii="Calibri" w:hAnsi="Calibri"/>
          <w:b/>
          <w:color w:val="002060"/>
          <w:sz w:val="22"/>
          <w:szCs w:val="22"/>
          <w:lang w:eastAsia="en-US"/>
        </w:rPr>
        <w:t>co najmniej przez 4 godzin</w:t>
      </w:r>
      <w:r w:rsidR="00FC5E83" w:rsidRPr="005E5E81">
        <w:rPr>
          <w:rFonts w:ascii="Calibri" w:hAnsi="Calibri"/>
          <w:b/>
          <w:color w:val="002060"/>
          <w:sz w:val="22"/>
          <w:szCs w:val="22"/>
          <w:lang w:eastAsia="en-US"/>
        </w:rPr>
        <w:t>y</w:t>
      </w:r>
      <w:r w:rsidRPr="005E5E81">
        <w:rPr>
          <w:rFonts w:ascii="Calibri" w:hAnsi="Calibri"/>
          <w:b/>
          <w:color w:val="002060"/>
          <w:sz w:val="22"/>
          <w:szCs w:val="22"/>
          <w:lang w:eastAsia="en-US"/>
        </w:rPr>
        <w:t xml:space="preserve"> </w:t>
      </w:r>
      <w:r w:rsidR="00FC5E83" w:rsidRPr="005E5E81">
        <w:rPr>
          <w:rFonts w:ascii="Calibri" w:hAnsi="Calibri"/>
          <w:b/>
          <w:color w:val="002060"/>
          <w:sz w:val="22"/>
          <w:szCs w:val="22"/>
          <w:lang w:eastAsia="en-US"/>
        </w:rPr>
        <w:t>dziennie</w:t>
      </w:r>
      <w:r w:rsidRPr="005E5E81">
        <w:rPr>
          <w:rFonts w:ascii="Calibri" w:hAnsi="Calibri"/>
          <w:b/>
          <w:color w:val="002060"/>
          <w:sz w:val="22"/>
          <w:szCs w:val="22"/>
          <w:lang w:eastAsia="en-US"/>
        </w:rPr>
        <w:t>”.</w:t>
      </w:r>
      <w:r w:rsidRPr="005E5E81">
        <w:rPr>
          <w:rFonts w:ascii="Calibri" w:hAnsi="Calibri"/>
          <w:color w:val="002060"/>
          <w:sz w:val="22"/>
          <w:szCs w:val="22"/>
          <w:lang w:eastAsia="en-US"/>
        </w:rPr>
        <w:t xml:space="preserve"> </w:t>
      </w:r>
      <w:r w:rsidRPr="005E5E81">
        <w:rPr>
          <w:rFonts w:ascii="Calibri" w:eastAsia="Helvetica 55 Roman" w:hAnsi="Calibri"/>
          <w:color w:val="002060"/>
          <w:sz w:val="22"/>
          <w:szCs w:val="22"/>
          <w:lang w:eastAsia="en-US"/>
        </w:rPr>
        <w:t xml:space="preserve">Zapis odnoszący się do „połowy dobowego wymiaru czasu pracy” stwarza problemy w interpretacji. Taki wymiar czasu pracy może być różny dla poszczególnych pracowników (np. osoby zatrudnione w niepełnym wymiarze czasu pracy) jak i różny dla tego samego pracownika w poszczególnych dniach pracy. </w:t>
      </w:r>
    </w:p>
    <w:p w14:paraId="0EEFE607" w14:textId="33EDC207" w:rsidR="00FD3D8F" w:rsidRPr="005E5E81" w:rsidRDefault="00FD3D8F" w:rsidP="001E5CEB">
      <w:pPr>
        <w:spacing w:after="120"/>
        <w:ind w:left="851"/>
        <w:jc w:val="both"/>
        <w:rPr>
          <w:rFonts w:ascii="Calibri" w:eastAsia="Helvetica 55 Roman" w:hAnsi="Calibri"/>
          <w:color w:val="002060"/>
          <w:sz w:val="22"/>
          <w:szCs w:val="22"/>
          <w:lang w:eastAsia="en-US"/>
        </w:rPr>
      </w:pPr>
      <w:r w:rsidRPr="005E5E81">
        <w:rPr>
          <w:rFonts w:ascii="Calibri" w:eastAsia="Helvetica 55 Roman" w:hAnsi="Calibri"/>
          <w:color w:val="002060"/>
          <w:sz w:val="22"/>
          <w:szCs w:val="22"/>
          <w:lang w:eastAsia="en-US"/>
        </w:rPr>
        <w:t xml:space="preserve">Odnośnie § 2 pkt </w:t>
      </w:r>
      <w:r w:rsidR="00060942" w:rsidRPr="005E5E81">
        <w:rPr>
          <w:rFonts w:ascii="Calibri" w:eastAsia="Helvetica 55 Roman" w:hAnsi="Calibri"/>
          <w:color w:val="002060"/>
          <w:sz w:val="22"/>
          <w:szCs w:val="22"/>
          <w:lang w:eastAsia="en-US"/>
        </w:rPr>
        <w:t>2 proponujemy, aby klawiatura i mysz były opcjonalnym wyposażeniem  przekazywanym na wniosek zainteresowanego pracownika. Powyższe podyktowane jest zachodzącymi zmianami i rozwojem technologii.</w:t>
      </w:r>
    </w:p>
    <w:p w14:paraId="76B59FCE" w14:textId="77777777" w:rsidR="00DE69F0" w:rsidRPr="005E5E81" w:rsidRDefault="00DE69F0" w:rsidP="001E5CEB">
      <w:pPr>
        <w:spacing w:after="120"/>
        <w:ind w:left="851"/>
        <w:rPr>
          <w:rFonts w:ascii="Calibri" w:hAnsi="Calibri"/>
          <w:color w:val="002060"/>
          <w:sz w:val="22"/>
          <w:szCs w:val="22"/>
          <w:lang w:eastAsia="en-US"/>
        </w:rPr>
      </w:pPr>
    </w:p>
    <w:p w14:paraId="30C09D78" w14:textId="77777777" w:rsidR="00DE69F0" w:rsidRPr="005E5E81" w:rsidRDefault="00DE69F0" w:rsidP="001E5CEB">
      <w:pPr>
        <w:numPr>
          <w:ilvl w:val="0"/>
          <w:numId w:val="26"/>
        </w:numPr>
        <w:spacing w:after="120" w:line="256" w:lineRule="auto"/>
        <w:ind w:left="851"/>
        <w:contextualSpacing/>
        <w:rPr>
          <w:rFonts w:ascii="Calibri" w:hAnsi="Calibri"/>
          <w:b/>
          <w:bCs/>
          <w:color w:val="002060"/>
          <w:sz w:val="22"/>
          <w:szCs w:val="22"/>
        </w:rPr>
      </w:pPr>
      <w:r w:rsidRPr="005E5E81">
        <w:rPr>
          <w:rFonts w:ascii="Calibri" w:hAnsi="Calibri"/>
          <w:b/>
          <w:bCs/>
          <w:color w:val="002060"/>
          <w:sz w:val="22"/>
          <w:szCs w:val="22"/>
        </w:rPr>
        <w:lastRenderedPageBreak/>
        <w:t xml:space="preserve">Ocena warunków pracy na stanowiskach pracy </w:t>
      </w:r>
    </w:p>
    <w:p w14:paraId="26EC4B91" w14:textId="77777777" w:rsidR="004271E2" w:rsidRPr="005E5E81" w:rsidRDefault="004271E2" w:rsidP="001E5CEB">
      <w:pPr>
        <w:spacing w:after="120" w:line="256" w:lineRule="auto"/>
        <w:ind w:left="851"/>
        <w:contextualSpacing/>
        <w:rPr>
          <w:rFonts w:ascii="Calibri" w:hAnsi="Calibri"/>
          <w:b/>
          <w:bCs/>
          <w:color w:val="002060"/>
          <w:sz w:val="22"/>
          <w:szCs w:val="22"/>
        </w:rPr>
      </w:pPr>
    </w:p>
    <w:p w14:paraId="6865D357" w14:textId="77777777" w:rsidR="00DE69F0" w:rsidRPr="005E5E81" w:rsidRDefault="00DE69F0" w:rsidP="001E5CEB">
      <w:pPr>
        <w:spacing w:after="120"/>
        <w:ind w:left="851"/>
        <w:jc w:val="both"/>
        <w:rPr>
          <w:rFonts w:ascii="Calibri" w:hAnsi="Calibri"/>
          <w:color w:val="002060"/>
          <w:sz w:val="22"/>
          <w:szCs w:val="22"/>
          <w:lang w:eastAsia="en-US"/>
        </w:rPr>
      </w:pPr>
      <w:r w:rsidRPr="005E5E81">
        <w:rPr>
          <w:rFonts w:ascii="Calibri" w:hAnsi="Calibri"/>
          <w:color w:val="002060"/>
          <w:sz w:val="22"/>
          <w:szCs w:val="22"/>
          <w:lang w:eastAsia="en-US"/>
        </w:rPr>
        <w:t>W § 5 ust. 1 projektowanego rozporządzenia proponowane jest, aby pracodawca był obowiązany do przeprowadzenia oceny warunków pracy na stanowiskach pracy, wyposażonych w monitory ekranowe, m.in. w aspekcie:</w:t>
      </w:r>
    </w:p>
    <w:p w14:paraId="2569AD23" w14:textId="77777777" w:rsidR="00DE69F0" w:rsidRPr="005E5E81" w:rsidRDefault="00DE69F0" w:rsidP="001E5CEB">
      <w:pPr>
        <w:spacing w:after="120"/>
        <w:ind w:left="851"/>
        <w:rPr>
          <w:rFonts w:ascii="Calibri" w:hAnsi="Calibri"/>
          <w:i/>
          <w:color w:val="002060"/>
          <w:sz w:val="22"/>
          <w:szCs w:val="22"/>
        </w:rPr>
      </w:pPr>
      <w:r w:rsidRPr="005E5E81">
        <w:rPr>
          <w:rFonts w:ascii="Calibri" w:hAnsi="Calibri"/>
          <w:i/>
          <w:color w:val="002060"/>
          <w:sz w:val="22"/>
          <w:szCs w:val="22"/>
        </w:rPr>
        <w:t>3) obciążenia narządu wzroku oraz układu mięśniowo-szkieletowego pracowników,</w:t>
      </w:r>
    </w:p>
    <w:p w14:paraId="6223ED35" w14:textId="77777777" w:rsidR="00DE69F0" w:rsidRPr="005E5E81" w:rsidRDefault="00DE69F0" w:rsidP="001E5CEB">
      <w:pPr>
        <w:spacing w:after="120"/>
        <w:ind w:left="851"/>
        <w:rPr>
          <w:rFonts w:ascii="Calibri" w:hAnsi="Calibri"/>
          <w:i/>
          <w:color w:val="002060"/>
          <w:sz w:val="22"/>
          <w:szCs w:val="22"/>
        </w:rPr>
      </w:pPr>
      <w:r w:rsidRPr="005E5E81">
        <w:rPr>
          <w:rFonts w:ascii="Calibri" w:hAnsi="Calibri"/>
          <w:i/>
          <w:color w:val="002060"/>
          <w:sz w:val="22"/>
          <w:szCs w:val="22"/>
        </w:rPr>
        <w:t>5) obciążenia psychicznego pracowników, wynikającego ze sposobu organizacji pracy.</w:t>
      </w:r>
    </w:p>
    <w:p w14:paraId="174FEDC3" w14:textId="77777777" w:rsidR="00DE69F0" w:rsidRPr="005E5E81" w:rsidRDefault="00DE69F0" w:rsidP="001E5CEB">
      <w:pPr>
        <w:spacing w:after="120"/>
        <w:ind w:left="851"/>
        <w:rPr>
          <w:rFonts w:ascii="Calibri" w:hAnsi="Calibri"/>
          <w:i/>
          <w:color w:val="002060"/>
          <w:sz w:val="22"/>
          <w:szCs w:val="22"/>
        </w:rPr>
      </w:pPr>
    </w:p>
    <w:p w14:paraId="70610DB4" w14:textId="77777777" w:rsidR="00DE69F0" w:rsidRPr="005E5E81" w:rsidRDefault="00DE69F0" w:rsidP="001E5CEB">
      <w:pPr>
        <w:spacing w:after="120"/>
        <w:ind w:left="851"/>
        <w:jc w:val="both"/>
        <w:rPr>
          <w:rFonts w:ascii="Calibri" w:hAnsi="Calibri"/>
          <w:color w:val="002060"/>
          <w:sz w:val="22"/>
          <w:szCs w:val="22"/>
        </w:rPr>
      </w:pPr>
      <w:r w:rsidRPr="005E5E81">
        <w:rPr>
          <w:rFonts w:ascii="Calibri" w:hAnsi="Calibri"/>
          <w:color w:val="002060"/>
          <w:sz w:val="22"/>
          <w:szCs w:val="22"/>
        </w:rPr>
        <w:t xml:space="preserve">Proponujemy, aby punkt 3) ograniczyć do oceny obciążenia układu mięśniowo-szkieletowego, a pkt 5) usunąć. </w:t>
      </w:r>
    </w:p>
    <w:p w14:paraId="5657B79D" w14:textId="77777777" w:rsidR="00DE69F0" w:rsidRPr="005E5E81" w:rsidRDefault="00DE69F0" w:rsidP="001E5CEB">
      <w:pPr>
        <w:spacing w:after="120"/>
        <w:ind w:left="851"/>
        <w:jc w:val="both"/>
        <w:rPr>
          <w:rFonts w:ascii="Calibri" w:hAnsi="Calibri"/>
          <w:color w:val="002060"/>
          <w:sz w:val="22"/>
          <w:szCs w:val="22"/>
        </w:rPr>
      </w:pPr>
      <w:r w:rsidRPr="005E5E81">
        <w:rPr>
          <w:rFonts w:ascii="Calibri" w:hAnsi="Calibri"/>
          <w:color w:val="002060"/>
          <w:sz w:val="22"/>
          <w:szCs w:val="22"/>
        </w:rPr>
        <w:t xml:space="preserve">W zakresie proponowanego punktu 3) należy wskazać, że sformułowanie „układ mięśniowo-szkieletowy” obejmuje również narząd wzroku, zatem </w:t>
      </w:r>
      <w:r w:rsidRPr="005E5E81">
        <w:rPr>
          <w:rFonts w:ascii="Calibri" w:hAnsi="Calibri"/>
          <w:b/>
          <w:color w:val="002060"/>
          <w:sz w:val="22"/>
          <w:szCs w:val="22"/>
        </w:rPr>
        <w:t>część dot. narządu wzroku powinna zostać wykreślona.</w:t>
      </w:r>
      <w:r w:rsidRPr="005E5E81">
        <w:rPr>
          <w:rFonts w:ascii="Calibri" w:hAnsi="Calibri"/>
          <w:color w:val="002060"/>
          <w:sz w:val="22"/>
          <w:szCs w:val="22"/>
        </w:rPr>
        <w:t xml:space="preserve"> Również punkt 4) odwołuje się już w swojej treści do „obciążenia pracowników czynnikami fizycznymi, w tym szczególnie nieodpowiednim oświetleniem”, zatem zbędne jest powtórzenie w punkcie 3.</w:t>
      </w:r>
    </w:p>
    <w:p w14:paraId="7E2BDA5F" w14:textId="77777777" w:rsidR="00DE69F0" w:rsidRPr="005E5E81" w:rsidRDefault="00DE69F0" w:rsidP="001E5CEB">
      <w:pPr>
        <w:spacing w:after="120"/>
        <w:ind w:left="851"/>
        <w:jc w:val="both"/>
        <w:rPr>
          <w:rFonts w:ascii="Calibri" w:hAnsi="Calibri"/>
          <w:b/>
          <w:color w:val="002060"/>
          <w:sz w:val="22"/>
          <w:szCs w:val="22"/>
        </w:rPr>
      </w:pPr>
      <w:r w:rsidRPr="005E5E81">
        <w:rPr>
          <w:rFonts w:ascii="Calibri" w:hAnsi="Calibri"/>
          <w:color w:val="002060"/>
          <w:sz w:val="22"/>
          <w:szCs w:val="22"/>
        </w:rPr>
        <w:t xml:space="preserve">W zakresie proponowanego punktu 5) zwracamy uwagę, że obciążenie psychiczne pracowników może wynikać z wielu czynników związanych z pracą, ale również poza nią. </w:t>
      </w:r>
      <w:r w:rsidRPr="005E5E81">
        <w:rPr>
          <w:rFonts w:ascii="Calibri" w:hAnsi="Calibri"/>
          <w:b/>
          <w:color w:val="002060"/>
          <w:sz w:val="22"/>
          <w:szCs w:val="22"/>
        </w:rPr>
        <w:t>Pracodawca nie dysponuje narzędziami, które pozwoliłyby zmierzyć ewentualny poziom obciążenia psychicznego pracowników wynikającego ze sposobu organizacji pracy</w:t>
      </w:r>
      <w:r w:rsidRPr="005E5E81">
        <w:rPr>
          <w:rFonts w:ascii="Calibri" w:hAnsi="Calibri"/>
          <w:color w:val="002060"/>
          <w:sz w:val="22"/>
          <w:szCs w:val="22"/>
        </w:rPr>
        <w:t xml:space="preserve">. Nie ma też możliwości, aby rozgraniczyć obciążenie psychiczne pracowników, które byłoby związane ze sposobem organizacji pracy z np. kwestiami dotyczącymi życia prywatnego, które wpływają na obniżony nastrój pracownika. Ocena warunków pracy przeprowadzana na podstawie rozporządzenia powinna dotyczyć ściśle określonych, mierzalnych aspektów pracy, zatem </w:t>
      </w:r>
      <w:r w:rsidRPr="005E5E81">
        <w:rPr>
          <w:rFonts w:ascii="Calibri" w:hAnsi="Calibri"/>
          <w:b/>
          <w:color w:val="002060"/>
          <w:sz w:val="22"/>
          <w:szCs w:val="22"/>
        </w:rPr>
        <w:t>wnosimy o wykreślenie punktu 5.</w:t>
      </w:r>
    </w:p>
    <w:p w14:paraId="54759DC1" w14:textId="77777777" w:rsidR="00DE69F0" w:rsidRPr="005E5E81" w:rsidRDefault="00DE69F0" w:rsidP="001E5CEB">
      <w:pPr>
        <w:spacing w:after="120"/>
        <w:ind w:left="851"/>
        <w:rPr>
          <w:rFonts w:ascii="Calibri" w:hAnsi="Calibri"/>
          <w:color w:val="002060"/>
          <w:sz w:val="22"/>
          <w:szCs w:val="22"/>
        </w:rPr>
      </w:pPr>
    </w:p>
    <w:p w14:paraId="3F31E761" w14:textId="77777777" w:rsidR="00DE69F0" w:rsidRPr="005E5E81" w:rsidRDefault="00DE69F0" w:rsidP="001E5CEB">
      <w:pPr>
        <w:numPr>
          <w:ilvl w:val="0"/>
          <w:numId w:val="26"/>
        </w:numPr>
        <w:spacing w:after="120" w:line="256" w:lineRule="auto"/>
        <w:ind w:left="851"/>
        <w:rPr>
          <w:rFonts w:ascii="Calibri" w:hAnsi="Calibri"/>
          <w:b/>
          <w:bCs/>
          <w:color w:val="002060"/>
          <w:sz w:val="22"/>
          <w:szCs w:val="22"/>
        </w:rPr>
      </w:pPr>
      <w:r w:rsidRPr="005E5E81">
        <w:rPr>
          <w:rFonts w:ascii="Calibri" w:hAnsi="Calibri"/>
          <w:b/>
          <w:bCs/>
          <w:color w:val="002060"/>
          <w:sz w:val="22"/>
          <w:szCs w:val="22"/>
        </w:rPr>
        <w:t>Obowiązek zapewnienia profilaktycznej opieki zdrowotnej</w:t>
      </w:r>
    </w:p>
    <w:p w14:paraId="78864E26" w14:textId="77777777" w:rsidR="00DE69F0" w:rsidRPr="005E5E81" w:rsidRDefault="00DE69F0" w:rsidP="001E5CEB">
      <w:pPr>
        <w:spacing w:after="120"/>
        <w:ind w:left="851"/>
        <w:jc w:val="both"/>
        <w:rPr>
          <w:rFonts w:ascii="Calibri" w:hAnsi="Calibri"/>
          <w:i/>
          <w:color w:val="002060"/>
          <w:sz w:val="22"/>
          <w:szCs w:val="22"/>
        </w:rPr>
      </w:pPr>
      <w:r w:rsidRPr="005E5E81">
        <w:rPr>
          <w:rFonts w:ascii="Calibri" w:hAnsi="Calibri"/>
          <w:color w:val="002060"/>
          <w:sz w:val="22"/>
          <w:szCs w:val="22"/>
        </w:rPr>
        <w:t xml:space="preserve">W § 8 pkt 1) projektowane rozporządzenie wskazuje, że pracodawca jest obowiązany </w:t>
      </w:r>
      <w:r w:rsidRPr="005E5E81">
        <w:rPr>
          <w:rFonts w:ascii="Calibri" w:hAnsi="Calibri"/>
          <w:i/>
          <w:color w:val="002060"/>
          <w:sz w:val="22"/>
          <w:szCs w:val="22"/>
        </w:rPr>
        <w:t>zapewnić pracownikom zatrudnionym na stanowiskach z monitorami ekranowymi profilaktyczną opiekę zdrowotną, w zakresie i na zasadach określonych w odrębnych przepisach.</w:t>
      </w:r>
    </w:p>
    <w:p w14:paraId="537106CF" w14:textId="01C325C7" w:rsidR="00DE69F0" w:rsidRPr="005E5E81" w:rsidRDefault="00DE69F0" w:rsidP="001E5CEB">
      <w:pPr>
        <w:spacing w:after="120"/>
        <w:ind w:left="851"/>
        <w:jc w:val="both"/>
        <w:rPr>
          <w:rFonts w:ascii="Calibri" w:hAnsi="Calibri"/>
          <w:color w:val="002060"/>
          <w:sz w:val="22"/>
          <w:szCs w:val="22"/>
        </w:rPr>
      </w:pPr>
      <w:r w:rsidRPr="005E5E81">
        <w:rPr>
          <w:rFonts w:ascii="Calibri" w:hAnsi="Calibri"/>
          <w:color w:val="002060"/>
          <w:sz w:val="22"/>
          <w:szCs w:val="22"/>
        </w:rPr>
        <w:t xml:space="preserve">Jak wskazuje sama treść </w:t>
      </w:r>
      <w:r w:rsidR="00461815" w:rsidRPr="005E5E81">
        <w:rPr>
          <w:rFonts w:ascii="Calibri" w:hAnsi="Calibri"/>
          <w:color w:val="002060"/>
          <w:sz w:val="22"/>
          <w:szCs w:val="22"/>
        </w:rPr>
        <w:t>zmienianego</w:t>
      </w:r>
      <w:r w:rsidRPr="005E5E81">
        <w:rPr>
          <w:rFonts w:ascii="Calibri" w:hAnsi="Calibri"/>
          <w:color w:val="002060"/>
          <w:sz w:val="22"/>
          <w:szCs w:val="22"/>
        </w:rPr>
        <w:t xml:space="preserve"> przepisu, obowiązek zapewnienia profilaktycznej opieki zdrowotnej, niezależnie od rodzaju wykonywanej pracy, wynika z odrębnych przepisów, zatem </w:t>
      </w:r>
      <w:r w:rsidRPr="005E5E81">
        <w:rPr>
          <w:rFonts w:ascii="Calibri" w:hAnsi="Calibri"/>
          <w:b/>
          <w:color w:val="002060"/>
          <w:sz w:val="22"/>
          <w:szCs w:val="22"/>
        </w:rPr>
        <w:t>powtarzanie go należy uznać za nadmiarowe i w konsekwencji zbędne</w:t>
      </w:r>
      <w:r w:rsidRPr="005E5E81">
        <w:rPr>
          <w:rFonts w:ascii="Calibri" w:hAnsi="Calibri"/>
          <w:color w:val="002060"/>
          <w:sz w:val="22"/>
          <w:szCs w:val="22"/>
        </w:rPr>
        <w:t>, gdyż może spowodować jedynie niejasność co do zakresu obowiązku wskazanego w  § 8 pkt 1) i przepisach odrębnych. Zwracamy się zatem z prośbą o wykreślenie całego punktu 1 w § 8.</w:t>
      </w:r>
    </w:p>
    <w:p w14:paraId="321F088B" w14:textId="77777777" w:rsidR="00DE69F0" w:rsidRDefault="00DE69F0" w:rsidP="001E5CEB">
      <w:pPr>
        <w:spacing w:after="120"/>
        <w:ind w:left="851"/>
        <w:jc w:val="both"/>
        <w:rPr>
          <w:rFonts w:ascii="Calibri" w:hAnsi="Calibri"/>
          <w:color w:val="002060"/>
          <w:sz w:val="22"/>
          <w:szCs w:val="22"/>
        </w:rPr>
      </w:pPr>
    </w:p>
    <w:p w14:paraId="13FD3BB5" w14:textId="77777777" w:rsidR="001E5CEB" w:rsidRDefault="001E5CEB" w:rsidP="001E5CEB">
      <w:pPr>
        <w:spacing w:after="120"/>
        <w:ind w:left="851"/>
        <w:jc w:val="both"/>
        <w:rPr>
          <w:rFonts w:ascii="Calibri" w:hAnsi="Calibri"/>
          <w:color w:val="002060"/>
          <w:sz w:val="22"/>
          <w:szCs w:val="22"/>
        </w:rPr>
      </w:pPr>
    </w:p>
    <w:p w14:paraId="77A8F79A" w14:textId="77777777" w:rsidR="001E5CEB" w:rsidRDefault="001E5CEB" w:rsidP="001E5CEB">
      <w:pPr>
        <w:spacing w:after="120"/>
        <w:ind w:left="851"/>
        <w:jc w:val="both"/>
        <w:rPr>
          <w:rFonts w:ascii="Calibri" w:hAnsi="Calibri"/>
          <w:color w:val="002060"/>
          <w:sz w:val="22"/>
          <w:szCs w:val="22"/>
        </w:rPr>
      </w:pPr>
    </w:p>
    <w:p w14:paraId="2CD7A9A1" w14:textId="77777777" w:rsidR="001E5CEB" w:rsidRPr="005E5E81" w:rsidRDefault="001E5CEB" w:rsidP="001E5CEB">
      <w:pPr>
        <w:spacing w:after="120"/>
        <w:ind w:left="851"/>
        <w:jc w:val="both"/>
        <w:rPr>
          <w:rFonts w:ascii="Calibri" w:hAnsi="Calibri"/>
          <w:color w:val="002060"/>
          <w:sz w:val="22"/>
          <w:szCs w:val="22"/>
        </w:rPr>
      </w:pPr>
    </w:p>
    <w:p w14:paraId="6B979210" w14:textId="77777777" w:rsidR="00DE69F0" w:rsidRPr="005E5E81" w:rsidRDefault="00DE69F0" w:rsidP="001E5CEB">
      <w:pPr>
        <w:numPr>
          <w:ilvl w:val="0"/>
          <w:numId w:val="26"/>
        </w:numPr>
        <w:spacing w:after="120" w:line="256" w:lineRule="auto"/>
        <w:ind w:left="851" w:hanging="567"/>
        <w:jc w:val="both"/>
        <w:rPr>
          <w:rFonts w:ascii="Calibri" w:hAnsi="Calibri"/>
          <w:b/>
          <w:color w:val="002060"/>
          <w:sz w:val="22"/>
          <w:szCs w:val="22"/>
        </w:rPr>
      </w:pPr>
      <w:r w:rsidRPr="005E5E81">
        <w:rPr>
          <w:rFonts w:ascii="Calibri" w:hAnsi="Calibri"/>
          <w:b/>
          <w:color w:val="002060"/>
          <w:sz w:val="22"/>
          <w:szCs w:val="22"/>
        </w:rPr>
        <w:t>Obowiązek zapewnienia pracownikom okularów korygujących wzrok</w:t>
      </w:r>
    </w:p>
    <w:p w14:paraId="55C5C6F4" w14:textId="444C88F9" w:rsidR="00FC5E83" w:rsidRPr="005E5E81" w:rsidRDefault="00FC5E83" w:rsidP="001E5CEB">
      <w:pPr>
        <w:spacing w:after="120"/>
        <w:ind w:left="851"/>
        <w:jc w:val="both"/>
        <w:rPr>
          <w:rFonts w:ascii="Calibri" w:hAnsi="Calibri"/>
          <w:color w:val="002060"/>
          <w:sz w:val="22"/>
          <w:szCs w:val="22"/>
        </w:rPr>
      </w:pPr>
      <w:r w:rsidRPr="005E5E81">
        <w:rPr>
          <w:rFonts w:ascii="Calibri" w:hAnsi="Calibri"/>
          <w:color w:val="002060"/>
          <w:sz w:val="22"/>
          <w:szCs w:val="22"/>
        </w:rPr>
        <w:t>Zwracamy uwagę, iż w świetle treści dyrektywy unijnej, którą to rozporządzenie niewątpliwie ma za zadanie wdrożyć do polskiego systemu prawnego, należałoby zrewidować sens przepisu obowiązującego obecnie w Polsce, który de facto powoduje że każdy pracownik pracujący z monitorem niejako automatycznie ma mieć zapewnione okulary korygujące wzrok o ile ma wadę wzroku.</w:t>
      </w:r>
      <w:r w:rsidRPr="005E5E81">
        <w:t xml:space="preserve"> </w:t>
      </w:r>
      <w:r w:rsidRPr="005E5E81">
        <w:rPr>
          <w:rFonts w:ascii="Calibri" w:hAnsi="Calibri"/>
          <w:color w:val="002060"/>
          <w:sz w:val="22"/>
          <w:szCs w:val="22"/>
        </w:rPr>
        <w:t xml:space="preserve">Zwrócić należy uwagę na treść dyrektywy która mówi, że jeżeli zwykłe okulary czy zwykłe szkła - takie jakich pracownik używa na co dzień nie mogą być używane (nie spełnią zadania) pracodawca zapewnia "lepsze" szkła, okulary.  </w:t>
      </w:r>
      <w:r w:rsidRPr="005E5E81">
        <w:rPr>
          <w:rFonts w:ascii="Calibri" w:hAnsi="Calibri"/>
          <w:i/>
          <w:iCs/>
          <w:color w:val="002060"/>
          <w:sz w:val="22"/>
          <w:szCs w:val="22"/>
        </w:rPr>
        <w:t xml:space="preserve">Pracownik musi otrzymać specjalne okulary lub szkła kontaktowe korygujące wzrok, odpowiednie do rodzaju pracy, jeżeli w wyniku badania określone w ust. 1 lub badania określone w ust. 2 okaże się to konieczne i </w:t>
      </w:r>
      <w:r w:rsidRPr="005E5E81">
        <w:rPr>
          <w:rFonts w:ascii="Calibri" w:hAnsi="Calibri"/>
          <w:b/>
          <w:bCs/>
          <w:i/>
          <w:iCs/>
          <w:color w:val="002060"/>
          <w:sz w:val="22"/>
          <w:szCs w:val="22"/>
        </w:rPr>
        <w:t>kiedy nie mogą zostać użyte zwykłe okulary lub szkła kontaktowe korygujące wzrok</w:t>
      </w:r>
    </w:p>
    <w:p w14:paraId="66C6BE0B" w14:textId="77777777" w:rsidR="00FC5E83" w:rsidRPr="005E5E81" w:rsidRDefault="00FC5E83" w:rsidP="001E5CEB">
      <w:pPr>
        <w:spacing w:after="120"/>
        <w:ind w:left="851"/>
        <w:jc w:val="both"/>
        <w:rPr>
          <w:rFonts w:ascii="Calibri" w:hAnsi="Calibri"/>
          <w:color w:val="002060"/>
          <w:sz w:val="22"/>
          <w:szCs w:val="22"/>
        </w:rPr>
      </w:pPr>
    </w:p>
    <w:p w14:paraId="30CB5A49" w14:textId="2FF78C97" w:rsidR="00DE69F0" w:rsidRPr="005E5E81" w:rsidRDefault="00136A5D" w:rsidP="001E5CEB">
      <w:pPr>
        <w:spacing w:after="120"/>
        <w:ind w:left="851"/>
        <w:jc w:val="both"/>
        <w:rPr>
          <w:rFonts w:ascii="Calibri" w:hAnsi="Calibri"/>
          <w:color w:val="002060"/>
          <w:sz w:val="22"/>
          <w:szCs w:val="22"/>
        </w:rPr>
      </w:pPr>
      <w:r w:rsidRPr="005E5E81">
        <w:rPr>
          <w:rFonts w:ascii="Calibri" w:hAnsi="Calibri"/>
          <w:color w:val="002060"/>
          <w:sz w:val="22"/>
          <w:szCs w:val="22"/>
        </w:rPr>
        <w:t>W przypadku nieuwzględnienia powyższej uwagi, brzmienie</w:t>
      </w:r>
      <w:r w:rsidR="00DE69F0" w:rsidRPr="005E5E81">
        <w:rPr>
          <w:rFonts w:ascii="Calibri" w:hAnsi="Calibri"/>
          <w:color w:val="002060"/>
          <w:sz w:val="22"/>
          <w:szCs w:val="22"/>
        </w:rPr>
        <w:t xml:space="preserve"> § 8 pkt 2 </w:t>
      </w:r>
      <w:r w:rsidR="00461815" w:rsidRPr="005E5E81">
        <w:rPr>
          <w:rFonts w:ascii="Calibri" w:hAnsi="Calibri"/>
          <w:color w:val="002060"/>
          <w:sz w:val="22"/>
          <w:szCs w:val="22"/>
        </w:rPr>
        <w:t>zmienianego</w:t>
      </w:r>
      <w:r w:rsidR="00DE69F0" w:rsidRPr="005E5E81">
        <w:rPr>
          <w:rFonts w:ascii="Calibri" w:hAnsi="Calibri"/>
          <w:color w:val="002060"/>
          <w:sz w:val="22"/>
          <w:szCs w:val="22"/>
        </w:rPr>
        <w:t xml:space="preserve"> rozporządzenia powinno zostać przeformułowane w sposób uwzględniający następujące aspekty:</w:t>
      </w:r>
    </w:p>
    <w:p w14:paraId="045380B5" w14:textId="77777777" w:rsidR="00DE69F0" w:rsidRPr="005E5E81" w:rsidRDefault="00DE69F0" w:rsidP="001E5CEB">
      <w:pPr>
        <w:numPr>
          <w:ilvl w:val="0"/>
          <w:numId w:val="27"/>
        </w:numPr>
        <w:spacing w:after="120" w:line="256" w:lineRule="auto"/>
        <w:ind w:left="851"/>
        <w:contextualSpacing/>
        <w:jc w:val="both"/>
        <w:rPr>
          <w:rFonts w:ascii="Calibri" w:hAnsi="Calibri"/>
          <w:color w:val="002060"/>
          <w:sz w:val="22"/>
          <w:szCs w:val="22"/>
        </w:rPr>
      </w:pPr>
      <w:r w:rsidRPr="005E5E81">
        <w:rPr>
          <w:rFonts w:ascii="Calibri" w:hAnsi="Calibri"/>
          <w:color w:val="002060"/>
          <w:sz w:val="22"/>
          <w:szCs w:val="22"/>
        </w:rPr>
        <w:t xml:space="preserve">Pojęcie „okulary korygujące wzrok” nie obejmuje soczewek, z których korzysta wielu pracownikom w tym samym celu, co z okularów korygujących wzrok. </w:t>
      </w:r>
      <w:r w:rsidRPr="005E5E81">
        <w:rPr>
          <w:rFonts w:ascii="Calibri" w:hAnsi="Calibri"/>
          <w:b/>
          <w:color w:val="002060"/>
          <w:sz w:val="22"/>
          <w:szCs w:val="22"/>
        </w:rPr>
        <w:t>Proponujemy, aby „okulary korygujące wzrok” zastąpić wyrażeniem „szkieł korygujących wzrok”,</w:t>
      </w:r>
      <w:r w:rsidRPr="005E5E81">
        <w:rPr>
          <w:rFonts w:ascii="Calibri" w:hAnsi="Calibri"/>
          <w:color w:val="002060"/>
          <w:sz w:val="22"/>
          <w:szCs w:val="22"/>
        </w:rPr>
        <w:t xml:space="preserve"> tak aby zapewnić wszystkim pracownikom równe możliwości refundacji zakupu mimo stosowania różnych metod korekcji wzroku; </w:t>
      </w:r>
    </w:p>
    <w:p w14:paraId="127D5F99" w14:textId="77777777" w:rsidR="00DE69F0" w:rsidRPr="005E5E81" w:rsidRDefault="00DE69F0" w:rsidP="001E5CEB">
      <w:pPr>
        <w:numPr>
          <w:ilvl w:val="0"/>
          <w:numId w:val="27"/>
        </w:numPr>
        <w:spacing w:after="120" w:line="256" w:lineRule="auto"/>
        <w:ind w:left="851"/>
        <w:contextualSpacing/>
        <w:jc w:val="both"/>
        <w:rPr>
          <w:rFonts w:ascii="Calibri" w:hAnsi="Calibri"/>
          <w:color w:val="002060"/>
          <w:sz w:val="22"/>
          <w:szCs w:val="22"/>
        </w:rPr>
      </w:pPr>
      <w:r w:rsidRPr="005E5E81">
        <w:rPr>
          <w:rFonts w:ascii="Calibri" w:hAnsi="Calibri"/>
          <w:color w:val="002060"/>
          <w:sz w:val="22"/>
          <w:szCs w:val="22"/>
        </w:rPr>
        <w:t>Również refundacja powinna obejmować nie tylko okulary korekcyjne, ale i soczewki kontaktowe.</w:t>
      </w:r>
    </w:p>
    <w:p w14:paraId="6EC91AC4" w14:textId="77777777" w:rsidR="00DE69F0" w:rsidRPr="005E5E81" w:rsidRDefault="00DE69F0" w:rsidP="001E5CEB">
      <w:pPr>
        <w:numPr>
          <w:ilvl w:val="0"/>
          <w:numId w:val="27"/>
        </w:numPr>
        <w:spacing w:after="120" w:line="256" w:lineRule="auto"/>
        <w:ind w:left="851"/>
        <w:contextualSpacing/>
        <w:jc w:val="both"/>
        <w:rPr>
          <w:rFonts w:ascii="Calibri" w:hAnsi="Calibri"/>
          <w:color w:val="002060"/>
          <w:sz w:val="22"/>
          <w:szCs w:val="22"/>
        </w:rPr>
      </w:pPr>
      <w:r w:rsidRPr="005E5E81">
        <w:rPr>
          <w:rFonts w:ascii="Calibri" w:hAnsi="Calibri"/>
          <w:color w:val="002060"/>
          <w:sz w:val="22"/>
          <w:szCs w:val="22"/>
        </w:rPr>
        <w:t xml:space="preserve">Proponujemy, aby </w:t>
      </w:r>
      <w:r w:rsidRPr="005E5E81">
        <w:rPr>
          <w:rFonts w:ascii="Calibri" w:hAnsi="Calibri"/>
          <w:b/>
          <w:color w:val="002060"/>
          <w:sz w:val="22"/>
          <w:szCs w:val="22"/>
        </w:rPr>
        <w:t>przy możliwości refundacji prawodawca wskazał minimalną wartość</w:t>
      </w:r>
      <w:r w:rsidRPr="005E5E81">
        <w:rPr>
          <w:rFonts w:ascii="Calibri" w:hAnsi="Calibri"/>
          <w:color w:val="002060"/>
          <w:sz w:val="22"/>
          <w:szCs w:val="22"/>
        </w:rPr>
        <w:t xml:space="preserve"> (np. procentową) </w:t>
      </w:r>
      <w:r w:rsidRPr="005E5E81">
        <w:rPr>
          <w:rFonts w:ascii="Calibri" w:hAnsi="Calibri"/>
          <w:b/>
          <w:color w:val="002060"/>
          <w:sz w:val="22"/>
          <w:szCs w:val="22"/>
        </w:rPr>
        <w:t>czy odniesienie do wskaźnika</w:t>
      </w:r>
      <w:r w:rsidRPr="005E5E81">
        <w:rPr>
          <w:rFonts w:ascii="Calibri" w:hAnsi="Calibri"/>
          <w:color w:val="002060"/>
          <w:sz w:val="22"/>
          <w:szCs w:val="22"/>
        </w:rPr>
        <w:t xml:space="preserve">, który określałby wysokość refundacji </w:t>
      </w:r>
    </w:p>
    <w:p w14:paraId="3414B529" w14:textId="77777777" w:rsidR="00DE69F0" w:rsidRPr="005E5E81" w:rsidRDefault="00DE69F0" w:rsidP="001E5CEB">
      <w:pPr>
        <w:numPr>
          <w:ilvl w:val="0"/>
          <w:numId w:val="27"/>
        </w:numPr>
        <w:spacing w:after="120" w:line="256" w:lineRule="auto"/>
        <w:ind w:left="851"/>
        <w:contextualSpacing/>
        <w:jc w:val="both"/>
        <w:rPr>
          <w:rFonts w:ascii="Calibri" w:hAnsi="Calibri"/>
          <w:b/>
          <w:color w:val="002060"/>
          <w:sz w:val="22"/>
          <w:szCs w:val="22"/>
        </w:rPr>
      </w:pPr>
      <w:r w:rsidRPr="005E5E81">
        <w:rPr>
          <w:rFonts w:ascii="Calibri" w:hAnsi="Calibri"/>
          <w:color w:val="002060"/>
          <w:sz w:val="22"/>
          <w:szCs w:val="22"/>
        </w:rPr>
        <w:t xml:space="preserve">Proponujemy, aby potrzeba stosowania szkieł mogła być wskazana jedynie w badaniach wstępnych i okresowych, </w:t>
      </w:r>
      <w:r w:rsidRPr="005E5E81">
        <w:rPr>
          <w:rFonts w:ascii="Calibri" w:hAnsi="Calibri"/>
          <w:b/>
          <w:color w:val="002060"/>
          <w:sz w:val="22"/>
          <w:szCs w:val="22"/>
        </w:rPr>
        <w:t>badaniach</w:t>
      </w:r>
      <w:r w:rsidRPr="005E5E81">
        <w:rPr>
          <w:rFonts w:ascii="Calibri" w:hAnsi="Calibri"/>
          <w:color w:val="002060"/>
          <w:sz w:val="22"/>
          <w:szCs w:val="22"/>
        </w:rPr>
        <w:t xml:space="preserve"> </w:t>
      </w:r>
      <w:r w:rsidRPr="005E5E81">
        <w:rPr>
          <w:rFonts w:ascii="Calibri" w:hAnsi="Calibri"/>
          <w:b/>
          <w:color w:val="002060"/>
          <w:sz w:val="22"/>
          <w:szCs w:val="22"/>
        </w:rPr>
        <w:t>kontrolnych natomiast tylko w sytuacji, gdy wydłużają one ważność badań okresowych.</w:t>
      </w:r>
    </w:p>
    <w:p w14:paraId="475DAC42" w14:textId="77777777" w:rsidR="00FC5E83" w:rsidRPr="005E5E81" w:rsidRDefault="00FC5E83" w:rsidP="001E5CEB">
      <w:pPr>
        <w:spacing w:after="120" w:line="256" w:lineRule="auto"/>
        <w:ind w:left="851"/>
        <w:contextualSpacing/>
        <w:jc w:val="both"/>
        <w:rPr>
          <w:rFonts w:ascii="Calibri" w:hAnsi="Calibri"/>
          <w:b/>
          <w:color w:val="002060"/>
          <w:sz w:val="22"/>
          <w:szCs w:val="22"/>
        </w:rPr>
      </w:pPr>
    </w:p>
    <w:p w14:paraId="7D000425" w14:textId="77777777" w:rsidR="00FC5E83" w:rsidRPr="005E5E81" w:rsidRDefault="00FC5E83" w:rsidP="001E5CEB">
      <w:pPr>
        <w:spacing w:after="120"/>
        <w:ind w:left="851"/>
        <w:jc w:val="both"/>
        <w:rPr>
          <w:rFonts w:ascii="Calibri" w:eastAsia="Helvetica 55 Roman" w:hAnsi="Calibri" w:cs="Calibri"/>
          <w:b/>
          <w:color w:val="002060"/>
          <w:lang w:eastAsia="en-US"/>
        </w:rPr>
      </w:pPr>
    </w:p>
    <w:p w14:paraId="5502741E" w14:textId="77777777" w:rsidR="00FC5E83" w:rsidRDefault="00FC5E83" w:rsidP="001E5CEB">
      <w:pPr>
        <w:spacing w:after="120"/>
        <w:ind w:left="851"/>
        <w:jc w:val="both"/>
        <w:rPr>
          <w:rFonts w:ascii="Calibri" w:eastAsia="Helvetica 55 Roman" w:hAnsi="Calibri" w:cs="Calibri"/>
          <w:b/>
          <w:color w:val="002060"/>
          <w:lang w:eastAsia="en-US"/>
        </w:rPr>
      </w:pPr>
    </w:p>
    <w:p w14:paraId="4925A4DA" w14:textId="77777777" w:rsidR="001E5CEB" w:rsidRDefault="001E5CEB" w:rsidP="001E5CEB">
      <w:pPr>
        <w:spacing w:after="120"/>
        <w:ind w:left="851"/>
        <w:jc w:val="both"/>
        <w:rPr>
          <w:rFonts w:ascii="Calibri" w:eastAsia="Helvetica 55 Roman" w:hAnsi="Calibri" w:cs="Calibri"/>
          <w:b/>
          <w:color w:val="002060"/>
          <w:lang w:eastAsia="en-US"/>
        </w:rPr>
      </w:pPr>
    </w:p>
    <w:p w14:paraId="4ED238A4" w14:textId="77777777" w:rsidR="001E5CEB" w:rsidRDefault="001E5CEB" w:rsidP="001E5CEB">
      <w:pPr>
        <w:spacing w:after="120"/>
        <w:ind w:left="851"/>
        <w:jc w:val="both"/>
        <w:rPr>
          <w:rFonts w:ascii="Calibri" w:eastAsia="Helvetica 55 Roman" w:hAnsi="Calibri" w:cs="Calibri"/>
          <w:b/>
          <w:color w:val="002060"/>
          <w:lang w:eastAsia="en-US"/>
        </w:rPr>
      </w:pPr>
    </w:p>
    <w:p w14:paraId="6731EA0C" w14:textId="77777777" w:rsidR="001E5CEB" w:rsidRDefault="001E5CEB" w:rsidP="001E5CEB">
      <w:pPr>
        <w:spacing w:after="120"/>
        <w:ind w:left="851"/>
        <w:jc w:val="both"/>
        <w:rPr>
          <w:rFonts w:ascii="Calibri" w:eastAsia="Helvetica 55 Roman" w:hAnsi="Calibri" w:cs="Calibri"/>
          <w:b/>
          <w:color w:val="002060"/>
          <w:lang w:eastAsia="en-US"/>
        </w:rPr>
      </w:pPr>
    </w:p>
    <w:p w14:paraId="12F4B315" w14:textId="77777777" w:rsidR="001E5CEB" w:rsidRDefault="001E5CEB" w:rsidP="001E5CEB">
      <w:pPr>
        <w:spacing w:after="120"/>
        <w:ind w:left="851"/>
        <w:jc w:val="both"/>
        <w:rPr>
          <w:rFonts w:ascii="Calibri" w:eastAsia="Helvetica 55 Roman" w:hAnsi="Calibri" w:cs="Calibri"/>
          <w:b/>
          <w:color w:val="002060"/>
          <w:lang w:eastAsia="en-US"/>
        </w:rPr>
      </w:pPr>
    </w:p>
    <w:p w14:paraId="5FE05989" w14:textId="77777777" w:rsidR="001E5CEB" w:rsidRPr="005E5E81" w:rsidRDefault="001E5CEB" w:rsidP="001E5CEB">
      <w:pPr>
        <w:spacing w:after="120"/>
        <w:ind w:left="851"/>
        <w:jc w:val="both"/>
        <w:rPr>
          <w:rFonts w:ascii="Calibri" w:eastAsia="Helvetica 55 Roman" w:hAnsi="Calibri" w:cs="Calibri"/>
          <w:b/>
          <w:color w:val="002060"/>
          <w:lang w:eastAsia="en-US"/>
        </w:rPr>
      </w:pPr>
    </w:p>
    <w:p w14:paraId="77B28E7D" w14:textId="3CD7BB2E" w:rsidR="00DE69F0" w:rsidRPr="005E5E81" w:rsidRDefault="00DE69F0" w:rsidP="001E5CEB">
      <w:pPr>
        <w:spacing w:after="120"/>
        <w:ind w:left="851"/>
        <w:jc w:val="both"/>
        <w:rPr>
          <w:rFonts w:ascii="Calibri" w:hAnsi="Calibri" w:cs="Calibri"/>
          <w:b/>
          <w:bCs/>
          <w:color w:val="002060"/>
        </w:rPr>
      </w:pPr>
      <w:r w:rsidRPr="005E5E81">
        <w:rPr>
          <w:rFonts w:ascii="Calibri" w:eastAsia="Helvetica 55 Roman" w:hAnsi="Calibri" w:cs="Calibri"/>
          <w:b/>
          <w:color w:val="002060"/>
          <w:lang w:eastAsia="en-US"/>
        </w:rPr>
        <w:lastRenderedPageBreak/>
        <w:t>Uwagi do projektu załącznika do rozporządzenia Ministra Rodziny i Polityki Społecznej -MINIMALNE</w:t>
      </w:r>
      <w:r w:rsidRPr="005E5E81">
        <w:rPr>
          <w:rFonts w:ascii="Calibri" w:hAnsi="Calibri" w:cs="Calibri"/>
          <w:b/>
          <w:bCs/>
          <w:color w:val="002060"/>
        </w:rPr>
        <w:t xml:space="preserve"> WYMAGANIA BEZPIECZEŃSTWA I HIGIENY PRACY ORAZ ERGONOMII, JAKIE POWINNY SPEŁNIAĆ STANOWISKA PRACY WYPOSAŻONE </w:t>
      </w:r>
      <w:r w:rsidR="001E5CEB">
        <w:rPr>
          <w:rFonts w:ascii="Calibri" w:hAnsi="Calibri" w:cs="Calibri"/>
          <w:b/>
          <w:bCs/>
          <w:color w:val="002060"/>
        </w:rPr>
        <w:br/>
      </w:r>
      <w:r w:rsidRPr="005E5E81">
        <w:rPr>
          <w:rFonts w:ascii="Calibri" w:hAnsi="Calibri" w:cs="Calibri"/>
          <w:b/>
          <w:bCs/>
          <w:color w:val="002060"/>
        </w:rPr>
        <w:t>W MONITORY EKRANOWE</w:t>
      </w:r>
    </w:p>
    <w:p w14:paraId="181149F9" w14:textId="77777777" w:rsidR="00DE69F0" w:rsidRPr="005E5E81" w:rsidRDefault="00DE69F0" w:rsidP="001E5CEB">
      <w:pPr>
        <w:spacing w:after="160"/>
        <w:ind w:left="851"/>
        <w:rPr>
          <w:rFonts w:ascii="Calibri" w:eastAsia="Helvetica 55 Roman" w:hAnsi="Calibri" w:cs="Tahoma"/>
          <w:color w:val="002060"/>
          <w:sz w:val="22"/>
          <w:szCs w:val="22"/>
        </w:rPr>
      </w:pPr>
    </w:p>
    <w:p w14:paraId="6A4F92F9" w14:textId="77777777" w:rsidR="00DE69F0" w:rsidRPr="005E5E81" w:rsidRDefault="00DE69F0" w:rsidP="001E5CEB">
      <w:pPr>
        <w:numPr>
          <w:ilvl w:val="0"/>
          <w:numId w:val="28"/>
        </w:numPr>
        <w:spacing w:after="120" w:line="256" w:lineRule="auto"/>
        <w:ind w:left="851"/>
        <w:contextualSpacing/>
        <w:rPr>
          <w:rFonts w:ascii="Calibri" w:eastAsia="Helvetica 55 Roman" w:hAnsi="Calibri" w:cs="Tahoma"/>
          <w:b/>
          <w:color w:val="002060"/>
          <w:sz w:val="22"/>
          <w:szCs w:val="22"/>
        </w:rPr>
      </w:pPr>
      <w:r w:rsidRPr="005E5E81">
        <w:rPr>
          <w:rFonts w:ascii="Calibri" w:eastAsia="Helvetica 55 Roman" w:hAnsi="Calibri" w:cs="Tahoma"/>
          <w:b/>
          <w:color w:val="002060"/>
          <w:sz w:val="22"/>
          <w:szCs w:val="22"/>
        </w:rPr>
        <w:t>Ocena nadmiernego obciążenia układu mięśniowo-szkieletowego</w:t>
      </w:r>
    </w:p>
    <w:p w14:paraId="09C6392C" w14:textId="77777777" w:rsidR="00DE69F0" w:rsidRPr="005E5E81" w:rsidRDefault="00DE69F0" w:rsidP="001E5CEB">
      <w:pPr>
        <w:spacing w:after="160"/>
        <w:ind w:left="851"/>
        <w:rPr>
          <w:rFonts w:ascii="Calibri" w:eastAsia="Helvetica 55 Roman" w:hAnsi="Calibri"/>
          <w:bCs/>
          <w:color w:val="002060"/>
          <w:sz w:val="22"/>
          <w:szCs w:val="22"/>
          <w:lang w:eastAsia="en-US"/>
        </w:rPr>
      </w:pPr>
      <w:r w:rsidRPr="005E5E81">
        <w:rPr>
          <w:rFonts w:ascii="Calibri" w:eastAsia="Helvetica 55 Roman" w:hAnsi="Calibri" w:cs="Tahoma"/>
          <w:color w:val="002060"/>
          <w:sz w:val="22"/>
          <w:szCs w:val="22"/>
        </w:rPr>
        <w:t xml:space="preserve">W </w:t>
      </w:r>
      <w:r w:rsidRPr="005E5E81">
        <w:rPr>
          <w:rFonts w:ascii="Calibri" w:eastAsia="Helvetica 55 Roman" w:hAnsi="Calibri"/>
          <w:bCs/>
          <w:color w:val="002060"/>
          <w:sz w:val="22"/>
          <w:szCs w:val="22"/>
          <w:lang w:eastAsia="en-US"/>
        </w:rPr>
        <w:t xml:space="preserve">punkcie 1.1 projektu wskazano, że </w:t>
      </w:r>
    </w:p>
    <w:p w14:paraId="148BF0E1" w14:textId="77777777" w:rsidR="00DE69F0" w:rsidRPr="005E5E81" w:rsidRDefault="00DE69F0" w:rsidP="001E5CEB">
      <w:pPr>
        <w:spacing w:after="160"/>
        <w:ind w:left="851"/>
        <w:jc w:val="both"/>
        <w:rPr>
          <w:rFonts w:ascii="Calibri" w:eastAsia="Helvetica 55 Roman" w:hAnsi="Calibri" w:cs="Tahoma"/>
          <w:i/>
          <w:color w:val="002060"/>
          <w:sz w:val="22"/>
          <w:szCs w:val="22"/>
        </w:rPr>
      </w:pPr>
      <w:r w:rsidRPr="005E5E81">
        <w:rPr>
          <w:rFonts w:ascii="Calibri" w:eastAsia="Helvetica 55 Roman" w:hAnsi="Calibri" w:cs="Tahoma"/>
          <w:i/>
          <w:color w:val="002060"/>
          <w:sz w:val="22"/>
          <w:szCs w:val="22"/>
        </w:rPr>
        <w:t xml:space="preserve">wyposażenie stanowiska pracy oraz sposób rozmieszczenia elementów tego wyposażenia nie może powodować podczas pracy </w:t>
      </w:r>
      <w:r w:rsidRPr="005E5E81">
        <w:rPr>
          <w:rFonts w:ascii="Calibri" w:eastAsia="Helvetica 55 Roman" w:hAnsi="Calibri" w:cs="Tahoma"/>
          <w:b/>
          <w:i/>
          <w:color w:val="002060"/>
          <w:sz w:val="22"/>
          <w:szCs w:val="22"/>
        </w:rPr>
        <w:t>nadmiernego obciążenia układu mięśniowo-szkieletowego i (lub) wzroku oraz być źródłem zagrożeń dla pracownika.</w:t>
      </w:r>
    </w:p>
    <w:p w14:paraId="57A49B70" w14:textId="77777777" w:rsidR="00DE69F0" w:rsidRPr="005E5E81" w:rsidRDefault="00DE69F0" w:rsidP="001E5CEB">
      <w:pPr>
        <w:spacing w:after="160"/>
        <w:ind w:left="851"/>
        <w:jc w:val="both"/>
        <w:rPr>
          <w:rFonts w:ascii="Calibri" w:eastAsia="Helvetica 55 Roman" w:hAnsi="Calibri" w:cs="Tahoma"/>
          <w:color w:val="002060"/>
          <w:sz w:val="22"/>
          <w:szCs w:val="22"/>
        </w:rPr>
      </w:pPr>
      <w:r w:rsidRPr="005E5E81">
        <w:rPr>
          <w:rFonts w:ascii="Calibri" w:eastAsia="Helvetica 55 Roman" w:hAnsi="Calibri" w:cs="Tahoma"/>
          <w:color w:val="002060"/>
          <w:sz w:val="22"/>
          <w:szCs w:val="22"/>
        </w:rPr>
        <w:t xml:space="preserve">W proponowanym przepisie </w:t>
      </w:r>
      <w:r w:rsidRPr="005E5E81">
        <w:rPr>
          <w:rFonts w:ascii="Calibri" w:eastAsia="Helvetica 55 Roman" w:hAnsi="Calibri" w:cs="Tahoma"/>
          <w:b/>
          <w:color w:val="002060"/>
          <w:sz w:val="22"/>
          <w:szCs w:val="22"/>
        </w:rPr>
        <w:t>nie uwzględniono wyjaśnienia, w jaki sposób ocenić „nadmierne obciążenie” ani jak je rozumieć</w:t>
      </w:r>
      <w:r w:rsidRPr="005E5E81">
        <w:rPr>
          <w:rFonts w:ascii="Calibri" w:eastAsia="Helvetica 55 Roman" w:hAnsi="Calibri" w:cs="Tahoma"/>
          <w:color w:val="002060"/>
          <w:sz w:val="22"/>
          <w:szCs w:val="22"/>
        </w:rPr>
        <w:t xml:space="preserve">. Proponujemy, aby do przepisu dodać rozwinięcie wskazując, że </w:t>
      </w:r>
      <w:r w:rsidRPr="005E5E81">
        <w:rPr>
          <w:rFonts w:ascii="Calibri" w:eastAsia="Helvetica 55 Roman" w:hAnsi="Calibri" w:cs="Tahoma"/>
          <w:b/>
          <w:color w:val="002060"/>
          <w:sz w:val="22"/>
          <w:szCs w:val="22"/>
        </w:rPr>
        <w:t>nadmiernemu obciążeniu zapobiega stosowanie się do minimalnych wymagań</w:t>
      </w:r>
      <w:r w:rsidRPr="005E5E81">
        <w:rPr>
          <w:rFonts w:ascii="Calibri" w:eastAsia="Helvetica 55 Roman" w:hAnsi="Calibri" w:cs="Tahoma"/>
          <w:color w:val="002060"/>
          <w:sz w:val="22"/>
          <w:szCs w:val="22"/>
        </w:rPr>
        <w:t>, tak jak stanowi projektowany § 4 rozporządzenia:</w:t>
      </w:r>
    </w:p>
    <w:p w14:paraId="60EBFE43" w14:textId="77777777" w:rsidR="00DE69F0" w:rsidRPr="005E5E81" w:rsidRDefault="00DE69F0" w:rsidP="001E5CEB">
      <w:pPr>
        <w:spacing w:after="160"/>
        <w:ind w:left="851"/>
        <w:jc w:val="both"/>
        <w:rPr>
          <w:rFonts w:ascii="Calibri" w:eastAsia="Helvetica 55 Roman" w:hAnsi="Calibri" w:cs="Tahoma"/>
          <w:i/>
          <w:color w:val="002060"/>
          <w:sz w:val="22"/>
          <w:szCs w:val="22"/>
        </w:rPr>
      </w:pPr>
      <w:r w:rsidRPr="005E5E81">
        <w:rPr>
          <w:rFonts w:ascii="Calibri" w:eastAsia="Helvetica 55 Roman" w:hAnsi="Calibri" w:cs="Tahoma"/>
          <w:i/>
          <w:color w:val="002060"/>
          <w:sz w:val="22"/>
          <w:szCs w:val="22"/>
        </w:rPr>
        <w:t>§ 4</w:t>
      </w:r>
      <w:r w:rsidRPr="005E5E81">
        <w:rPr>
          <w:rFonts w:ascii="Calibri" w:eastAsia="Helvetica 55 Roman" w:hAnsi="Calibri" w:cs="Tahoma"/>
          <w:color w:val="002060"/>
          <w:sz w:val="22"/>
          <w:szCs w:val="22"/>
        </w:rPr>
        <w:t xml:space="preserve"> </w:t>
      </w:r>
      <w:r w:rsidRPr="005E5E81">
        <w:rPr>
          <w:rFonts w:ascii="Calibri" w:eastAsia="Helvetica 55 Roman" w:hAnsi="Calibri" w:cs="Tahoma"/>
          <w:i/>
          <w:color w:val="002060"/>
          <w:sz w:val="22"/>
          <w:szCs w:val="22"/>
        </w:rPr>
        <w:t>Pracodawca jest obowiązany organizować stanowiska pracy z monitorami ekranowymi w taki sposób, aby spełniały one minimalne wymagania bezpieczeństwa i higieny pracy oraz ergonomii, określone w załączniku do niniejszego rozporządzenia.</w:t>
      </w:r>
    </w:p>
    <w:p w14:paraId="22026333" w14:textId="77777777" w:rsidR="00FC5E83" w:rsidRPr="005E5E81" w:rsidRDefault="00FC5E83" w:rsidP="001E5CEB">
      <w:pPr>
        <w:spacing w:after="160"/>
        <w:ind w:left="851"/>
        <w:jc w:val="both"/>
        <w:rPr>
          <w:rFonts w:ascii="Calibri" w:eastAsia="Helvetica 55 Roman" w:hAnsi="Calibri" w:cs="Tahoma"/>
          <w:i/>
          <w:color w:val="002060"/>
          <w:sz w:val="22"/>
          <w:szCs w:val="22"/>
        </w:rPr>
      </w:pPr>
    </w:p>
    <w:p w14:paraId="4D54AA0E" w14:textId="3B34A875" w:rsidR="00FC5E83" w:rsidRPr="005E5E81" w:rsidRDefault="00FC5E83" w:rsidP="001E5CEB">
      <w:pPr>
        <w:spacing w:after="160"/>
        <w:ind w:left="851"/>
        <w:jc w:val="both"/>
        <w:rPr>
          <w:rFonts w:ascii="Calibri" w:eastAsia="Helvetica 55 Roman" w:hAnsi="Calibri" w:cs="Tahoma"/>
          <w:iCs/>
          <w:color w:val="002060"/>
          <w:sz w:val="22"/>
          <w:szCs w:val="22"/>
        </w:rPr>
      </w:pPr>
      <w:r w:rsidRPr="005E5E81">
        <w:rPr>
          <w:rFonts w:ascii="Calibri" w:eastAsia="Helvetica 55 Roman" w:hAnsi="Calibri" w:cs="Tahoma"/>
          <w:iCs/>
          <w:color w:val="002060"/>
          <w:sz w:val="22"/>
          <w:szCs w:val="22"/>
        </w:rPr>
        <w:t xml:space="preserve">Niezależnie zwracamy uwagę, iż analizując przepisy dochodzi się do przekonania - że </w:t>
      </w:r>
      <w:r w:rsidR="001E5CEB">
        <w:rPr>
          <w:rFonts w:ascii="Calibri" w:eastAsia="Helvetica 55 Roman" w:hAnsi="Calibri" w:cs="Tahoma"/>
          <w:iCs/>
          <w:color w:val="002060"/>
          <w:sz w:val="22"/>
          <w:szCs w:val="22"/>
        </w:rPr>
        <w:br/>
      </w:r>
      <w:r w:rsidRPr="005E5E81">
        <w:rPr>
          <w:rFonts w:ascii="Calibri" w:eastAsia="Helvetica 55 Roman" w:hAnsi="Calibri" w:cs="Tahoma"/>
          <w:iCs/>
          <w:color w:val="002060"/>
          <w:sz w:val="22"/>
          <w:szCs w:val="22"/>
        </w:rPr>
        <w:t xml:space="preserve">w sytuacji stanowiska pracy wyposażonego w komputer stacjonarny pracodawca ma obowiązek zapewnić klawiaturę - ale nie musi być oddzielnej myszki – oznacza to, że wówczas pracodawca mógłby zakupić klawiaturę z wbudowanym </w:t>
      </w:r>
      <w:r w:rsidRPr="005E5E81">
        <w:rPr>
          <w:rFonts w:ascii="Calibri" w:eastAsia="Helvetica 55 Roman" w:hAnsi="Calibri" w:cs="Tahoma"/>
          <w:i/>
          <w:color w:val="002060"/>
          <w:sz w:val="22"/>
          <w:szCs w:val="22"/>
        </w:rPr>
        <w:t>touchpadem</w:t>
      </w:r>
      <w:r w:rsidRPr="005E5E81">
        <w:rPr>
          <w:rFonts w:ascii="Calibri" w:eastAsia="Helvetica 55 Roman" w:hAnsi="Calibri" w:cs="Tahoma"/>
          <w:iCs/>
          <w:color w:val="002060"/>
          <w:sz w:val="22"/>
          <w:szCs w:val="22"/>
        </w:rPr>
        <w:t>. Natomiast, gdy mamy do czynienia ze stanowiskiem pracy wyposażonym w laptopa - to pracodawca zobowiązany jest do wyposażenia w oddzielną klawiaturę i myszkę.  (pkt 1.2 oraz 3.1 załącznika)</w:t>
      </w:r>
    </w:p>
    <w:p w14:paraId="7F5F439F" w14:textId="77777777" w:rsidR="00FC5E83" w:rsidRPr="005E5E81" w:rsidRDefault="00FC5E83" w:rsidP="001E5CEB">
      <w:pPr>
        <w:spacing w:after="160"/>
        <w:ind w:left="851"/>
        <w:jc w:val="both"/>
        <w:rPr>
          <w:rFonts w:ascii="Calibri" w:eastAsia="Helvetica 55 Roman" w:hAnsi="Calibri" w:cs="Tahoma"/>
          <w:iCs/>
          <w:color w:val="002060"/>
          <w:sz w:val="22"/>
          <w:szCs w:val="22"/>
        </w:rPr>
      </w:pPr>
    </w:p>
    <w:p w14:paraId="588643BA" w14:textId="77777777" w:rsidR="00DE69F0" w:rsidRPr="005E5E81" w:rsidRDefault="00DE69F0" w:rsidP="001E5CEB">
      <w:pPr>
        <w:numPr>
          <w:ilvl w:val="0"/>
          <w:numId w:val="28"/>
        </w:numPr>
        <w:spacing w:after="120" w:line="256" w:lineRule="auto"/>
        <w:ind w:left="851"/>
        <w:contextualSpacing/>
        <w:rPr>
          <w:rFonts w:ascii="Calibri" w:eastAsia="Helvetica 55 Roman" w:hAnsi="Calibri" w:cs="Tahoma"/>
          <w:b/>
          <w:color w:val="002060"/>
          <w:sz w:val="22"/>
          <w:szCs w:val="22"/>
        </w:rPr>
      </w:pPr>
      <w:r w:rsidRPr="005E5E81">
        <w:rPr>
          <w:rFonts w:ascii="Calibri" w:eastAsia="Helvetica 55 Roman" w:hAnsi="Calibri" w:cs="Tahoma"/>
          <w:b/>
          <w:color w:val="002060"/>
          <w:sz w:val="22"/>
          <w:szCs w:val="22"/>
        </w:rPr>
        <w:t>Niewygodne ruchy głowy</w:t>
      </w:r>
    </w:p>
    <w:p w14:paraId="31E12C49" w14:textId="77777777" w:rsidR="00DE69F0" w:rsidRPr="005E5E81" w:rsidRDefault="00DE69F0" w:rsidP="001E5CEB">
      <w:pPr>
        <w:spacing w:after="160"/>
        <w:ind w:left="851"/>
        <w:rPr>
          <w:rFonts w:ascii="Calibri" w:eastAsia="Helvetica 55 Roman" w:hAnsi="Calibri"/>
          <w:bCs/>
          <w:color w:val="002060"/>
          <w:sz w:val="22"/>
          <w:szCs w:val="22"/>
          <w:lang w:eastAsia="en-US"/>
        </w:rPr>
      </w:pPr>
      <w:r w:rsidRPr="005E5E81">
        <w:rPr>
          <w:rFonts w:ascii="Calibri" w:eastAsia="Helvetica 55 Roman" w:hAnsi="Calibri" w:cs="Tahoma"/>
          <w:color w:val="002060"/>
          <w:sz w:val="22"/>
          <w:szCs w:val="22"/>
        </w:rPr>
        <w:t xml:space="preserve">W </w:t>
      </w:r>
      <w:r w:rsidRPr="005E5E81">
        <w:rPr>
          <w:rFonts w:ascii="Calibri" w:eastAsia="Helvetica 55 Roman" w:hAnsi="Calibri"/>
          <w:bCs/>
          <w:color w:val="002060"/>
          <w:sz w:val="22"/>
          <w:szCs w:val="22"/>
          <w:lang w:eastAsia="en-US"/>
        </w:rPr>
        <w:t xml:space="preserve">punkcie 2.2 projektu wskazano, że </w:t>
      </w:r>
    </w:p>
    <w:p w14:paraId="266CADB6" w14:textId="77777777" w:rsidR="00DE69F0" w:rsidRPr="005E5E81" w:rsidRDefault="00DE69F0" w:rsidP="001E5CEB">
      <w:pPr>
        <w:spacing w:after="160"/>
        <w:ind w:left="851"/>
        <w:rPr>
          <w:rFonts w:ascii="Calibri" w:eastAsia="Helvetica 55 Roman" w:hAnsi="Calibri" w:cs="Tahoma"/>
          <w:i/>
          <w:color w:val="002060"/>
          <w:sz w:val="22"/>
          <w:szCs w:val="22"/>
        </w:rPr>
      </w:pPr>
      <w:r w:rsidRPr="005E5E81">
        <w:rPr>
          <w:rFonts w:ascii="Calibri" w:eastAsia="Helvetica 55 Roman" w:hAnsi="Calibri" w:cs="Tahoma"/>
          <w:i/>
          <w:color w:val="002060"/>
          <w:sz w:val="22"/>
          <w:szCs w:val="22"/>
        </w:rPr>
        <w:t>Ustawienie monitora oraz innych elementów wyposażenia nie powinno wymuszać niewygodnych ruchów głowy i szyi.</w:t>
      </w:r>
    </w:p>
    <w:p w14:paraId="3250D3A5" w14:textId="6E2F54B0" w:rsidR="00DE69F0" w:rsidRPr="005E5E81" w:rsidRDefault="00DE69F0" w:rsidP="001E5CEB">
      <w:pPr>
        <w:spacing w:after="120"/>
        <w:ind w:left="851"/>
        <w:contextualSpacing/>
        <w:jc w:val="both"/>
        <w:rPr>
          <w:rFonts w:ascii="Calibri" w:eastAsia="Helvetica 55 Roman" w:hAnsi="Calibri" w:cs="Tahoma"/>
          <w:color w:val="002060"/>
          <w:sz w:val="22"/>
          <w:szCs w:val="22"/>
        </w:rPr>
      </w:pPr>
      <w:r w:rsidRPr="005E5E81">
        <w:rPr>
          <w:rFonts w:ascii="Calibri" w:eastAsia="Helvetica 55 Roman" w:hAnsi="Calibri" w:cs="Tahoma"/>
          <w:color w:val="002060"/>
          <w:sz w:val="22"/>
          <w:szCs w:val="22"/>
        </w:rPr>
        <w:t xml:space="preserve">Zwracamy uwagę, że </w:t>
      </w:r>
      <w:r w:rsidRPr="005E5E81">
        <w:rPr>
          <w:rFonts w:ascii="Calibri" w:eastAsia="Helvetica 55 Roman" w:hAnsi="Calibri" w:cs="Tahoma"/>
          <w:b/>
          <w:color w:val="002060"/>
          <w:sz w:val="22"/>
          <w:szCs w:val="22"/>
        </w:rPr>
        <w:t xml:space="preserve">sformułowanie „niewygodne ruchy głowy i szyi” jest niezrozumiałe </w:t>
      </w:r>
      <w:r w:rsidR="001E5CEB">
        <w:rPr>
          <w:rFonts w:ascii="Calibri" w:eastAsia="Helvetica 55 Roman" w:hAnsi="Calibri" w:cs="Tahoma"/>
          <w:b/>
          <w:color w:val="002060"/>
          <w:sz w:val="22"/>
          <w:szCs w:val="22"/>
        </w:rPr>
        <w:br/>
      </w:r>
      <w:r w:rsidRPr="005E5E81">
        <w:rPr>
          <w:rFonts w:ascii="Calibri" w:eastAsia="Helvetica 55 Roman" w:hAnsi="Calibri" w:cs="Tahoma"/>
          <w:b/>
          <w:color w:val="002060"/>
          <w:sz w:val="22"/>
          <w:szCs w:val="22"/>
        </w:rPr>
        <w:t>i niejasne</w:t>
      </w:r>
      <w:r w:rsidRPr="005E5E81">
        <w:rPr>
          <w:rFonts w:ascii="Calibri" w:eastAsia="Helvetica 55 Roman" w:hAnsi="Calibri" w:cs="Tahoma"/>
          <w:color w:val="002060"/>
          <w:sz w:val="22"/>
          <w:szCs w:val="22"/>
        </w:rPr>
        <w:t>. Pracodawca nie ma możliwości ocenić, czy dane ruchy są dla pracownika niewygodne. Sformułowanie powinno zostać zmienione lub wykreślone.</w:t>
      </w:r>
    </w:p>
    <w:p w14:paraId="198F6B78" w14:textId="77777777" w:rsidR="00136A5D" w:rsidRPr="005E5E81" w:rsidRDefault="00136A5D" w:rsidP="001E5CEB">
      <w:pPr>
        <w:spacing w:after="120"/>
        <w:ind w:left="851"/>
        <w:contextualSpacing/>
        <w:jc w:val="both"/>
        <w:rPr>
          <w:rFonts w:ascii="Calibri" w:eastAsia="Helvetica 55 Roman" w:hAnsi="Calibri" w:cs="Tahoma"/>
          <w:color w:val="002060"/>
          <w:sz w:val="22"/>
          <w:szCs w:val="22"/>
        </w:rPr>
      </w:pPr>
    </w:p>
    <w:p w14:paraId="61D42114" w14:textId="77777777" w:rsidR="00DE69F0" w:rsidRPr="005E5E81" w:rsidRDefault="00DE69F0" w:rsidP="001E5CEB">
      <w:pPr>
        <w:numPr>
          <w:ilvl w:val="0"/>
          <w:numId w:val="28"/>
        </w:numPr>
        <w:spacing w:after="120" w:line="256" w:lineRule="auto"/>
        <w:ind w:left="851"/>
        <w:contextualSpacing/>
        <w:rPr>
          <w:rFonts w:ascii="Calibri" w:eastAsia="Helvetica 55 Roman" w:hAnsi="Calibri" w:cs="Tahoma"/>
          <w:b/>
          <w:color w:val="002060"/>
          <w:sz w:val="22"/>
          <w:szCs w:val="22"/>
        </w:rPr>
      </w:pPr>
      <w:r w:rsidRPr="005E5E81">
        <w:rPr>
          <w:rFonts w:ascii="Calibri" w:eastAsia="Helvetica 55 Roman" w:hAnsi="Calibri" w:cs="Tahoma"/>
          <w:b/>
          <w:color w:val="002060"/>
          <w:sz w:val="22"/>
          <w:szCs w:val="22"/>
        </w:rPr>
        <w:t>Zróżnicowana wysokość stołu</w:t>
      </w:r>
    </w:p>
    <w:p w14:paraId="2205E8B0" w14:textId="77777777" w:rsidR="00DE69F0" w:rsidRPr="005E5E81" w:rsidRDefault="00DE69F0" w:rsidP="001E5CEB">
      <w:pPr>
        <w:spacing w:after="160"/>
        <w:ind w:left="851"/>
        <w:rPr>
          <w:rFonts w:ascii="Calibri" w:eastAsia="Helvetica 55 Roman" w:hAnsi="Calibri"/>
          <w:bCs/>
          <w:color w:val="002060"/>
          <w:sz w:val="22"/>
          <w:szCs w:val="22"/>
          <w:lang w:eastAsia="en-US"/>
        </w:rPr>
      </w:pPr>
      <w:r w:rsidRPr="005E5E81">
        <w:rPr>
          <w:rFonts w:ascii="Calibri" w:eastAsia="Helvetica 55 Roman" w:hAnsi="Calibri" w:cs="Tahoma"/>
          <w:color w:val="002060"/>
          <w:sz w:val="22"/>
          <w:szCs w:val="22"/>
        </w:rPr>
        <w:t xml:space="preserve">W </w:t>
      </w:r>
      <w:r w:rsidRPr="005E5E81">
        <w:rPr>
          <w:rFonts w:ascii="Calibri" w:eastAsia="Helvetica 55 Roman" w:hAnsi="Calibri"/>
          <w:bCs/>
          <w:color w:val="002060"/>
          <w:sz w:val="22"/>
          <w:szCs w:val="22"/>
          <w:lang w:eastAsia="en-US"/>
        </w:rPr>
        <w:t xml:space="preserve">punkcie 4.1 projektu wskazano, że </w:t>
      </w:r>
    </w:p>
    <w:p w14:paraId="57BC7B68" w14:textId="77777777" w:rsidR="00DE69F0" w:rsidRPr="005E5E81" w:rsidRDefault="00DE69F0" w:rsidP="001E5CEB">
      <w:pPr>
        <w:spacing w:after="160"/>
        <w:ind w:left="851"/>
        <w:jc w:val="both"/>
        <w:rPr>
          <w:rFonts w:ascii="Calibri" w:eastAsia="Helvetica 55 Roman" w:hAnsi="Calibri"/>
          <w:i/>
          <w:color w:val="002060"/>
          <w:sz w:val="22"/>
          <w:szCs w:val="22"/>
          <w:lang w:eastAsia="en-US"/>
        </w:rPr>
      </w:pPr>
      <w:r w:rsidRPr="005E5E81">
        <w:rPr>
          <w:rFonts w:ascii="Calibri" w:eastAsia="Helvetica 55 Roman" w:hAnsi="Calibri"/>
          <w:i/>
          <w:color w:val="002060"/>
          <w:sz w:val="22"/>
          <w:szCs w:val="22"/>
          <w:lang w:eastAsia="en-US"/>
        </w:rPr>
        <w:t xml:space="preserve">Konstrukcja stołu i powierzchnia robocza powinny umożliwiać ergonomiczne ustawienie elementów wyposażenia stanowiska pracy, w tym zróżnicowaną wysokość ustawienia </w:t>
      </w:r>
      <w:r w:rsidRPr="005E5E81">
        <w:rPr>
          <w:rFonts w:ascii="Calibri" w:eastAsia="Helvetica 55 Roman" w:hAnsi="Calibri"/>
          <w:i/>
          <w:color w:val="002060"/>
          <w:sz w:val="22"/>
          <w:szCs w:val="22"/>
          <w:lang w:eastAsia="en-US"/>
        </w:rPr>
        <w:lastRenderedPageBreak/>
        <w:t>monitora ekranowego i klawiatury, a w szczególności powinny zapewniać: zróżnicowana wysokość stołu.</w:t>
      </w:r>
    </w:p>
    <w:p w14:paraId="74D72BF4" w14:textId="28D0C904" w:rsidR="00DE69F0" w:rsidRPr="005E5E81" w:rsidRDefault="00DE69F0" w:rsidP="001E5CEB">
      <w:pPr>
        <w:spacing w:after="120"/>
        <w:ind w:left="851"/>
        <w:contextualSpacing/>
        <w:jc w:val="both"/>
        <w:rPr>
          <w:rFonts w:ascii="Calibri" w:eastAsia="Helvetica 55 Roman" w:hAnsi="Calibri" w:cs="Tahoma"/>
          <w:color w:val="002060"/>
          <w:sz w:val="22"/>
          <w:szCs w:val="22"/>
        </w:rPr>
      </w:pPr>
      <w:r w:rsidRPr="005E5E81">
        <w:rPr>
          <w:rFonts w:ascii="Calibri" w:eastAsia="Helvetica 55 Roman" w:hAnsi="Calibri" w:cs="Tahoma"/>
          <w:color w:val="002060"/>
          <w:sz w:val="22"/>
          <w:szCs w:val="22"/>
        </w:rPr>
        <w:t xml:space="preserve">Wnosimy o doprecyzowanie w projekcie, czy „zróżnicowana wysokość stołu” to funkcja, które powinny spełniać wszystkie biurka. Zwracamy uwagę, że </w:t>
      </w:r>
      <w:r w:rsidRPr="005E5E81">
        <w:rPr>
          <w:rFonts w:ascii="Calibri" w:eastAsia="Helvetica 55 Roman" w:hAnsi="Calibri" w:cs="Tahoma"/>
          <w:b/>
          <w:color w:val="002060"/>
          <w:sz w:val="22"/>
          <w:szCs w:val="22"/>
        </w:rPr>
        <w:t>zapewnienie zróżnicowanej wysokości stołu to obowiązek nadmiarowy i powinien zostać wykreślony z projektu rozporządzenia</w:t>
      </w:r>
      <w:r w:rsidRPr="005E5E81">
        <w:rPr>
          <w:rFonts w:ascii="Calibri" w:eastAsia="Helvetica 55 Roman" w:hAnsi="Calibri" w:cs="Tahoma"/>
          <w:color w:val="002060"/>
          <w:sz w:val="22"/>
          <w:szCs w:val="22"/>
        </w:rPr>
        <w:t xml:space="preserve">. Biurka z możliwością ustawienia zróżnicowanej wysokości stołu to produkty niszowe, stosowane przez wąskie grono ludzi o szczególnych upodobaniach. Regulowane biurka są kilkukrotnie droższe niż biurka standardowe. Ponadto, dostosowanie stanowiska pracy do wzrostu pracownika zapewnia krzesło z funkcją podnoszenia </w:t>
      </w:r>
      <w:r w:rsidR="001E5CEB">
        <w:rPr>
          <w:rFonts w:ascii="Calibri" w:eastAsia="Helvetica 55 Roman" w:hAnsi="Calibri" w:cs="Tahoma"/>
          <w:color w:val="002060"/>
          <w:sz w:val="22"/>
          <w:szCs w:val="22"/>
        </w:rPr>
        <w:br/>
      </w:r>
      <w:r w:rsidRPr="005E5E81">
        <w:rPr>
          <w:rFonts w:ascii="Calibri" w:eastAsia="Helvetica 55 Roman" w:hAnsi="Calibri" w:cs="Tahoma"/>
          <w:color w:val="002060"/>
          <w:sz w:val="22"/>
          <w:szCs w:val="22"/>
        </w:rPr>
        <w:t>i obniżania siedziska. Jest to rozwiązanie w pełni spełniające swoje cele (ergonomia stanowiska pracy).</w:t>
      </w:r>
    </w:p>
    <w:p w14:paraId="7DBE3469" w14:textId="77777777" w:rsidR="00DE69F0" w:rsidRPr="005E5E81" w:rsidRDefault="00DE69F0" w:rsidP="001E5CEB">
      <w:pPr>
        <w:spacing w:after="120"/>
        <w:ind w:left="851"/>
        <w:rPr>
          <w:rFonts w:ascii="Calibri" w:eastAsia="Helvetica 55 Roman" w:hAnsi="Calibri"/>
          <w:color w:val="002060"/>
          <w:sz w:val="22"/>
          <w:szCs w:val="22"/>
          <w:lang w:eastAsia="en-US"/>
        </w:rPr>
      </w:pPr>
    </w:p>
    <w:p w14:paraId="77730170" w14:textId="77777777" w:rsidR="00DE69F0" w:rsidRPr="005E5E81" w:rsidRDefault="00DE69F0" w:rsidP="001E5CEB">
      <w:pPr>
        <w:numPr>
          <w:ilvl w:val="0"/>
          <w:numId w:val="28"/>
        </w:numPr>
        <w:spacing w:after="120" w:line="256" w:lineRule="auto"/>
        <w:ind w:left="851"/>
        <w:contextualSpacing/>
        <w:rPr>
          <w:rFonts w:ascii="Calibri" w:eastAsia="Helvetica 55 Roman" w:hAnsi="Calibri" w:cs="Tahoma"/>
          <w:b/>
          <w:color w:val="002060"/>
          <w:sz w:val="22"/>
          <w:szCs w:val="22"/>
        </w:rPr>
      </w:pPr>
      <w:r w:rsidRPr="005E5E81">
        <w:rPr>
          <w:rFonts w:ascii="Calibri" w:eastAsia="Helvetica 55 Roman" w:hAnsi="Calibri" w:cs="Tahoma"/>
          <w:b/>
          <w:color w:val="002060"/>
          <w:sz w:val="22"/>
          <w:szCs w:val="22"/>
        </w:rPr>
        <w:t>Uchwyt na dokumenty</w:t>
      </w:r>
    </w:p>
    <w:p w14:paraId="120B2179" w14:textId="77777777" w:rsidR="00DE69F0" w:rsidRPr="005E5E81" w:rsidRDefault="00DE69F0" w:rsidP="001E5CEB">
      <w:pPr>
        <w:spacing w:after="160"/>
        <w:ind w:left="851"/>
        <w:rPr>
          <w:rFonts w:ascii="Calibri" w:eastAsia="Helvetica 55 Roman" w:hAnsi="Calibri"/>
          <w:bCs/>
          <w:color w:val="002060"/>
          <w:sz w:val="22"/>
          <w:szCs w:val="22"/>
          <w:lang w:eastAsia="en-US"/>
        </w:rPr>
      </w:pPr>
      <w:r w:rsidRPr="005E5E81">
        <w:rPr>
          <w:rFonts w:ascii="Calibri" w:eastAsia="Helvetica 55 Roman" w:hAnsi="Calibri" w:cs="Tahoma"/>
          <w:color w:val="002060"/>
          <w:sz w:val="22"/>
          <w:szCs w:val="22"/>
        </w:rPr>
        <w:t xml:space="preserve">W </w:t>
      </w:r>
      <w:r w:rsidRPr="005E5E81">
        <w:rPr>
          <w:rFonts w:ascii="Calibri" w:eastAsia="Helvetica 55 Roman" w:hAnsi="Calibri"/>
          <w:bCs/>
          <w:color w:val="002060"/>
          <w:sz w:val="22"/>
          <w:szCs w:val="22"/>
          <w:lang w:eastAsia="en-US"/>
        </w:rPr>
        <w:t xml:space="preserve">punkcie 6 projektu wskazano, że </w:t>
      </w:r>
    </w:p>
    <w:p w14:paraId="500FD521" w14:textId="77777777" w:rsidR="00DE69F0" w:rsidRPr="005E5E81" w:rsidRDefault="00DE69F0" w:rsidP="001E5CEB">
      <w:pPr>
        <w:spacing w:after="120"/>
        <w:ind w:left="851"/>
        <w:jc w:val="both"/>
        <w:rPr>
          <w:rFonts w:ascii="Calibri" w:eastAsia="Helvetica 55 Roman" w:hAnsi="Calibri"/>
          <w:i/>
          <w:color w:val="002060"/>
          <w:sz w:val="22"/>
          <w:szCs w:val="22"/>
        </w:rPr>
      </w:pPr>
      <w:r w:rsidRPr="005E5E81">
        <w:rPr>
          <w:rFonts w:ascii="Calibri" w:eastAsia="Helvetica 55 Roman" w:hAnsi="Calibri"/>
          <w:i/>
          <w:color w:val="002060"/>
          <w:sz w:val="22"/>
          <w:szCs w:val="22"/>
          <w:lang w:eastAsia="en-US"/>
        </w:rPr>
        <w:t>Jeśli przy pracy istnieje konieczność korzystania z dokumentów, stanowisko pracy należy wyposażyć w uchwyt na dokumenty, posiadający regulację ustawienia wysokości, pochylenia oraz odległości od pracownika</w:t>
      </w:r>
    </w:p>
    <w:p w14:paraId="0A703958" w14:textId="628CE9CB" w:rsidR="00DE69F0" w:rsidRDefault="00DE69F0" w:rsidP="001E5CEB">
      <w:pPr>
        <w:spacing w:after="120"/>
        <w:ind w:left="851"/>
        <w:jc w:val="both"/>
        <w:rPr>
          <w:rFonts w:ascii="Calibri" w:eastAsia="Helvetica 55 Roman" w:hAnsi="Calibri"/>
          <w:color w:val="002060"/>
          <w:sz w:val="22"/>
          <w:szCs w:val="22"/>
          <w:lang w:eastAsia="en-US"/>
        </w:rPr>
      </w:pPr>
      <w:r w:rsidRPr="005E5E81">
        <w:rPr>
          <w:rFonts w:ascii="Calibri" w:eastAsia="Helvetica 55 Roman" w:hAnsi="Calibri"/>
          <w:color w:val="002060"/>
          <w:sz w:val="22"/>
          <w:szCs w:val="22"/>
          <w:lang w:eastAsia="en-US"/>
        </w:rPr>
        <w:t xml:space="preserve">Zwracamy uwagę, że sposób w jaki sformułowano przepis budzi uzasadnione wątpliwości jako regulacji nadmiarowej. </w:t>
      </w:r>
      <w:r w:rsidRPr="005E5E81">
        <w:rPr>
          <w:rFonts w:ascii="Calibri" w:eastAsia="Helvetica 55 Roman" w:hAnsi="Calibri"/>
          <w:b/>
          <w:color w:val="002060"/>
          <w:sz w:val="22"/>
          <w:szCs w:val="22"/>
          <w:lang w:eastAsia="en-US"/>
        </w:rPr>
        <w:t>Wyposażenie stanowiska pracy w uchwyt na dokumenty powinno być opcjonalne, a nie obligatoryjne.</w:t>
      </w:r>
      <w:r w:rsidRPr="005E5E81">
        <w:rPr>
          <w:rFonts w:ascii="Calibri" w:eastAsia="Helvetica 55 Roman" w:hAnsi="Calibri"/>
          <w:color w:val="002060"/>
          <w:sz w:val="22"/>
          <w:szCs w:val="22"/>
          <w:lang w:eastAsia="en-US"/>
        </w:rPr>
        <w:t xml:space="preserve"> Obowiązek nie uwzględnia, iż obecnie następuje odejście od pracy na dokumentach papierowych, związane również z poziomem cyfryzacji państwa, jak i samych przedsiębiorstw i usług. Projektowany przepis nie uwzględnia sytuacji pracy, która wymaga sporadycznie korzystania z pojedynczych dokumentów i spowoduje brak jasności co do zakresu obowiązków. Ponadto należy wskazać, że w wielu podmiotach wdrożone zmiany związane z ograniczaniem emisji i śladu węglowego i ochroną klimatu, mają na celu stopniowe odejście od korzystania </w:t>
      </w:r>
      <w:r w:rsidR="001E5CEB">
        <w:rPr>
          <w:rFonts w:ascii="Calibri" w:eastAsia="Helvetica 55 Roman" w:hAnsi="Calibri"/>
          <w:color w:val="002060"/>
          <w:sz w:val="22"/>
          <w:szCs w:val="22"/>
          <w:lang w:eastAsia="en-US"/>
        </w:rPr>
        <w:br/>
      </w:r>
      <w:r w:rsidRPr="005E5E81">
        <w:rPr>
          <w:rFonts w:ascii="Calibri" w:eastAsia="Helvetica 55 Roman" w:hAnsi="Calibri"/>
          <w:color w:val="002060"/>
          <w:sz w:val="22"/>
          <w:szCs w:val="22"/>
          <w:lang w:eastAsia="en-US"/>
        </w:rPr>
        <w:t xml:space="preserve">z dokumentów papierowych. </w:t>
      </w:r>
    </w:p>
    <w:p w14:paraId="299861F0" w14:textId="77777777" w:rsidR="001E5CEB" w:rsidRPr="005E5E81" w:rsidRDefault="001E5CEB" w:rsidP="001E5CEB">
      <w:pPr>
        <w:spacing w:after="120"/>
        <w:ind w:left="851"/>
        <w:jc w:val="both"/>
        <w:rPr>
          <w:rFonts w:ascii="Calibri" w:eastAsia="Helvetica 55 Roman" w:hAnsi="Calibri"/>
          <w:color w:val="002060"/>
          <w:sz w:val="22"/>
          <w:szCs w:val="22"/>
          <w:lang w:eastAsia="en-US"/>
        </w:rPr>
      </w:pPr>
    </w:p>
    <w:p w14:paraId="21F2EA56" w14:textId="2181085B" w:rsidR="00BE0B54" w:rsidRPr="005E5E81" w:rsidRDefault="00D83FF6" w:rsidP="001E5CEB">
      <w:pPr>
        <w:numPr>
          <w:ilvl w:val="0"/>
          <w:numId w:val="28"/>
        </w:numPr>
        <w:spacing w:after="120" w:line="256" w:lineRule="auto"/>
        <w:ind w:left="851"/>
        <w:contextualSpacing/>
        <w:rPr>
          <w:rFonts w:ascii="Calibri" w:eastAsia="Helvetica 55 Roman" w:hAnsi="Calibri" w:cs="Tahoma"/>
          <w:b/>
          <w:color w:val="002060"/>
          <w:sz w:val="22"/>
          <w:szCs w:val="22"/>
        </w:rPr>
      </w:pPr>
      <w:r w:rsidRPr="005E5E81">
        <w:rPr>
          <w:rFonts w:ascii="Calibri" w:eastAsia="Helvetica 55 Roman" w:hAnsi="Calibri" w:cs="Tahoma"/>
          <w:b/>
          <w:color w:val="002060"/>
          <w:sz w:val="22"/>
          <w:szCs w:val="22"/>
        </w:rPr>
        <w:t>Podnóżek</w:t>
      </w:r>
    </w:p>
    <w:p w14:paraId="5CAB0670" w14:textId="77777777" w:rsidR="00BE0B54" w:rsidRPr="005E5E81" w:rsidRDefault="00BE0B54" w:rsidP="001E5CEB">
      <w:pPr>
        <w:spacing w:after="120" w:line="256" w:lineRule="auto"/>
        <w:ind w:left="851"/>
        <w:contextualSpacing/>
        <w:rPr>
          <w:rFonts w:ascii="Calibri" w:eastAsia="Helvetica 55 Roman" w:hAnsi="Calibri" w:cs="Tahoma"/>
          <w:b/>
          <w:color w:val="002060"/>
          <w:sz w:val="22"/>
          <w:szCs w:val="22"/>
        </w:rPr>
      </w:pPr>
    </w:p>
    <w:p w14:paraId="02005D11" w14:textId="05E98103" w:rsidR="00BE0B54" w:rsidRPr="005E5E81" w:rsidRDefault="00BE0B54" w:rsidP="001E5CEB">
      <w:pPr>
        <w:spacing w:after="120" w:line="256" w:lineRule="auto"/>
        <w:ind w:left="851"/>
        <w:contextualSpacing/>
        <w:jc w:val="both"/>
        <w:rPr>
          <w:rFonts w:ascii="Calibri" w:eastAsia="Helvetica 55 Roman" w:hAnsi="Calibri" w:cs="Tahoma"/>
          <w:bCs/>
          <w:color w:val="002060"/>
          <w:sz w:val="22"/>
          <w:szCs w:val="22"/>
        </w:rPr>
      </w:pPr>
      <w:r w:rsidRPr="005E5E81">
        <w:rPr>
          <w:rFonts w:ascii="Calibri" w:eastAsia="Helvetica 55 Roman" w:hAnsi="Calibri" w:cs="Tahoma"/>
          <w:bCs/>
          <w:color w:val="002060"/>
          <w:sz w:val="22"/>
          <w:szCs w:val="22"/>
        </w:rPr>
        <w:t>Postulujemy zmianę punktu 7 załącznika. W naszej opinii zapewnienie przez pracodawcę podnóżka, wyłącznie na życzenie pracownika, jest za daleko idącą zmianą – koszt takiego podnóżka to około 60-70 zł. Zapewnienie takiego wyposażenie winno wynikać ze wskazań medycznych – zatem powinien o tym decydować lekarz profilaktycznej opieki zdrowotnej (medycyna pracy).</w:t>
      </w:r>
    </w:p>
    <w:p w14:paraId="5A1F82CB" w14:textId="77777777" w:rsidR="00BE0B54" w:rsidRPr="005E5E81" w:rsidRDefault="00BE0B54" w:rsidP="001E5CEB">
      <w:pPr>
        <w:spacing w:after="120" w:line="256" w:lineRule="auto"/>
        <w:ind w:left="851"/>
        <w:contextualSpacing/>
        <w:jc w:val="both"/>
        <w:rPr>
          <w:rFonts w:ascii="Calibri" w:eastAsia="Helvetica 55 Roman" w:hAnsi="Calibri" w:cs="Tahoma"/>
          <w:bCs/>
          <w:color w:val="002060"/>
          <w:sz w:val="22"/>
          <w:szCs w:val="22"/>
        </w:rPr>
      </w:pPr>
    </w:p>
    <w:p w14:paraId="0E549D18" w14:textId="55F1F141" w:rsidR="00DE69F0" w:rsidRPr="005E5E81" w:rsidRDefault="00DE69F0" w:rsidP="001E5CEB">
      <w:pPr>
        <w:numPr>
          <w:ilvl w:val="0"/>
          <w:numId w:val="28"/>
        </w:numPr>
        <w:spacing w:after="120" w:line="256" w:lineRule="auto"/>
        <w:ind w:left="851"/>
        <w:contextualSpacing/>
        <w:rPr>
          <w:rFonts w:ascii="Calibri" w:eastAsia="Helvetica 55 Roman" w:hAnsi="Calibri" w:cs="Tahoma"/>
          <w:b/>
          <w:color w:val="002060"/>
          <w:sz w:val="22"/>
          <w:szCs w:val="22"/>
        </w:rPr>
      </w:pPr>
      <w:r w:rsidRPr="005E5E81">
        <w:rPr>
          <w:rFonts w:ascii="Calibri" w:eastAsia="Helvetica 55 Roman" w:hAnsi="Calibri" w:cs="Tahoma"/>
          <w:b/>
          <w:color w:val="002060"/>
          <w:sz w:val="22"/>
          <w:szCs w:val="22"/>
        </w:rPr>
        <w:t>Oświetlenie</w:t>
      </w:r>
    </w:p>
    <w:p w14:paraId="5F1B5711" w14:textId="77777777" w:rsidR="00DE69F0" w:rsidRPr="005E5E81" w:rsidRDefault="00DE69F0" w:rsidP="001E5CEB">
      <w:pPr>
        <w:spacing w:after="160"/>
        <w:ind w:left="851"/>
        <w:rPr>
          <w:rFonts w:ascii="Calibri" w:eastAsia="Helvetica 55 Roman" w:hAnsi="Calibri"/>
          <w:bCs/>
          <w:color w:val="002060"/>
          <w:sz w:val="22"/>
          <w:szCs w:val="22"/>
          <w:lang w:eastAsia="en-US"/>
        </w:rPr>
      </w:pPr>
      <w:r w:rsidRPr="005E5E81">
        <w:rPr>
          <w:rFonts w:ascii="Calibri" w:eastAsia="Helvetica 55 Roman" w:hAnsi="Calibri" w:cs="Tahoma"/>
          <w:color w:val="002060"/>
          <w:sz w:val="22"/>
          <w:szCs w:val="22"/>
        </w:rPr>
        <w:t xml:space="preserve">W </w:t>
      </w:r>
      <w:r w:rsidRPr="005E5E81">
        <w:rPr>
          <w:rFonts w:ascii="Calibri" w:eastAsia="Helvetica 55 Roman" w:hAnsi="Calibri"/>
          <w:bCs/>
          <w:color w:val="002060"/>
          <w:sz w:val="22"/>
          <w:szCs w:val="22"/>
          <w:lang w:eastAsia="en-US"/>
        </w:rPr>
        <w:t xml:space="preserve">punkcie 9.1 projektu wskazano, że </w:t>
      </w:r>
    </w:p>
    <w:p w14:paraId="36E80D9B" w14:textId="77777777" w:rsidR="00DE69F0" w:rsidRPr="005E5E81" w:rsidRDefault="00DE69F0" w:rsidP="001E5CEB">
      <w:pPr>
        <w:spacing w:after="120"/>
        <w:ind w:left="851"/>
        <w:rPr>
          <w:rFonts w:ascii="Calibri" w:eastAsia="Helvetica 55 Roman" w:hAnsi="Calibri"/>
          <w:i/>
          <w:color w:val="002060"/>
          <w:sz w:val="22"/>
          <w:szCs w:val="22"/>
          <w:lang w:eastAsia="en-US"/>
        </w:rPr>
      </w:pPr>
      <w:r w:rsidRPr="005E5E81">
        <w:rPr>
          <w:rFonts w:ascii="Calibri" w:eastAsia="Helvetica 55 Roman" w:hAnsi="Calibri"/>
          <w:i/>
          <w:color w:val="002060"/>
          <w:sz w:val="22"/>
          <w:szCs w:val="22"/>
          <w:lang w:eastAsia="en-US"/>
        </w:rPr>
        <w:t>Oświetlenie powinno zapewniać komfort pracy wzrokowej, a szczególnie:</w:t>
      </w:r>
    </w:p>
    <w:p w14:paraId="7F5EB265" w14:textId="77777777" w:rsidR="00DE69F0" w:rsidRPr="005E5E81" w:rsidRDefault="00DE69F0" w:rsidP="001E5CEB">
      <w:pPr>
        <w:spacing w:after="120"/>
        <w:ind w:left="851"/>
        <w:jc w:val="both"/>
        <w:rPr>
          <w:rFonts w:ascii="Calibri" w:eastAsia="Helvetica 55 Roman" w:hAnsi="Calibri"/>
          <w:i/>
          <w:color w:val="002060"/>
          <w:sz w:val="22"/>
          <w:szCs w:val="22"/>
          <w:lang w:eastAsia="en-US"/>
        </w:rPr>
      </w:pPr>
      <w:r w:rsidRPr="005E5E81">
        <w:rPr>
          <w:rFonts w:ascii="Calibri" w:eastAsia="Helvetica 55 Roman" w:hAnsi="Calibri"/>
          <w:i/>
          <w:color w:val="002060"/>
          <w:sz w:val="22"/>
          <w:szCs w:val="22"/>
          <w:lang w:eastAsia="en-US"/>
        </w:rPr>
        <w:t xml:space="preserve">a) oświetlenie dzienne na poszczególnych stanowiskach pracy powinno być </w:t>
      </w:r>
      <w:r w:rsidRPr="005E5E81">
        <w:rPr>
          <w:rFonts w:ascii="Calibri" w:eastAsia="Helvetica 55 Roman" w:hAnsi="Calibri"/>
          <w:b/>
          <w:i/>
          <w:color w:val="002060"/>
          <w:sz w:val="22"/>
          <w:szCs w:val="22"/>
          <w:lang w:eastAsia="en-US"/>
        </w:rPr>
        <w:t>dostosowane</w:t>
      </w:r>
      <w:r w:rsidRPr="005E5E81">
        <w:rPr>
          <w:rFonts w:ascii="Calibri" w:eastAsia="Helvetica 55 Roman" w:hAnsi="Calibri"/>
          <w:i/>
          <w:color w:val="002060"/>
          <w:sz w:val="22"/>
          <w:szCs w:val="22"/>
          <w:lang w:eastAsia="en-US"/>
        </w:rPr>
        <w:t xml:space="preserve"> do rodzaju wykonywanych prac i wymaganej dokładności, </w:t>
      </w:r>
    </w:p>
    <w:p w14:paraId="6EEECAA5" w14:textId="77777777" w:rsidR="00DE69F0" w:rsidRPr="00DE69F0" w:rsidRDefault="00DE69F0" w:rsidP="001E5CEB">
      <w:pPr>
        <w:spacing w:after="120"/>
        <w:ind w:left="851"/>
        <w:jc w:val="both"/>
        <w:rPr>
          <w:rFonts w:ascii="Calibri" w:eastAsia="Helvetica 55 Roman" w:hAnsi="Calibri"/>
          <w:color w:val="002060"/>
          <w:sz w:val="22"/>
          <w:szCs w:val="22"/>
          <w:lang w:eastAsia="en-US"/>
        </w:rPr>
      </w:pPr>
      <w:r w:rsidRPr="005E5E81">
        <w:rPr>
          <w:rFonts w:ascii="Calibri" w:eastAsia="Helvetica 55 Roman" w:hAnsi="Calibri"/>
          <w:color w:val="002060"/>
          <w:sz w:val="22"/>
          <w:szCs w:val="22"/>
          <w:lang w:eastAsia="en-US"/>
        </w:rPr>
        <w:lastRenderedPageBreak/>
        <w:t xml:space="preserve">Wskazujemy, że projektowana lit. a jest nadmiarowa i niepotrzebna biorąc pod uwagę treść projektowanego punktu b), który określa szczegółowe wymogi. </w:t>
      </w:r>
      <w:r w:rsidRPr="005E5E81">
        <w:rPr>
          <w:rFonts w:ascii="Calibri" w:eastAsia="Helvetica 55 Roman" w:hAnsi="Calibri"/>
          <w:b/>
          <w:color w:val="002060"/>
          <w:sz w:val="22"/>
          <w:szCs w:val="22"/>
          <w:lang w:eastAsia="en-US"/>
        </w:rPr>
        <w:t>Wnosimy o wykreślenie litery a.</w:t>
      </w:r>
      <w:r w:rsidRPr="005E5E81">
        <w:rPr>
          <w:rFonts w:ascii="Calibri" w:eastAsia="Helvetica 55 Roman" w:hAnsi="Calibri"/>
          <w:color w:val="002060"/>
          <w:sz w:val="22"/>
          <w:szCs w:val="22"/>
          <w:lang w:eastAsia="en-US"/>
        </w:rPr>
        <w:t xml:space="preserve"> Projektowany przepis jest niezrozumiały, gdyż oświetlenie dzienne nie może być dostosowane.</w:t>
      </w:r>
      <w:r w:rsidRPr="00DE69F0">
        <w:rPr>
          <w:rFonts w:ascii="Calibri" w:eastAsia="Helvetica 55 Roman" w:hAnsi="Calibri"/>
          <w:color w:val="002060"/>
          <w:sz w:val="22"/>
          <w:szCs w:val="22"/>
          <w:lang w:eastAsia="en-US"/>
        </w:rPr>
        <w:t xml:space="preserve"> </w:t>
      </w:r>
    </w:p>
    <w:p w14:paraId="59E102D1" w14:textId="77777777" w:rsidR="00DE69F0" w:rsidRPr="00DE69F0" w:rsidRDefault="00DE69F0" w:rsidP="001E5CEB">
      <w:pPr>
        <w:spacing w:after="120"/>
        <w:ind w:left="851" w:hanging="705"/>
        <w:rPr>
          <w:rFonts w:ascii="Calibri" w:eastAsia="Helvetica 55 Roman" w:hAnsi="Calibri"/>
          <w:sz w:val="22"/>
          <w:szCs w:val="22"/>
          <w:lang w:eastAsia="en-US"/>
        </w:rPr>
      </w:pPr>
    </w:p>
    <w:p w14:paraId="0FBDDEC4" w14:textId="77777777" w:rsidR="00EA3A2D" w:rsidRDefault="00EA3A2D" w:rsidP="001E5CEB">
      <w:pPr>
        <w:tabs>
          <w:tab w:val="left" w:pos="2874"/>
        </w:tabs>
        <w:spacing w:line="276" w:lineRule="auto"/>
        <w:ind w:left="851"/>
        <w:jc w:val="both"/>
        <w:rPr>
          <w:rFonts w:ascii="Calibri" w:hAnsi="Calibri" w:cs="Arial"/>
          <w:color w:val="000000"/>
        </w:rPr>
      </w:pPr>
    </w:p>
    <w:p w14:paraId="4A2EA121" w14:textId="77777777" w:rsidR="00EA3A2D" w:rsidRDefault="00EA3A2D" w:rsidP="001E5CEB">
      <w:pPr>
        <w:tabs>
          <w:tab w:val="left" w:pos="2874"/>
        </w:tabs>
        <w:spacing w:line="276" w:lineRule="auto"/>
        <w:ind w:left="851"/>
        <w:jc w:val="both"/>
        <w:rPr>
          <w:rFonts w:ascii="Calibri" w:hAnsi="Calibri" w:cs="Arial"/>
          <w:color w:val="000000"/>
        </w:rPr>
      </w:pPr>
    </w:p>
    <w:p w14:paraId="771E528F" w14:textId="61523B39" w:rsidR="00FF2A24" w:rsidRPr="004F1CDD" w:rsidRDefault="00FF2A24" w:rsidP="001E5CEB">
      <w:pPr>
        <w:pStyle w:val="articlebodyblock"/>
        <w:spacing w:before="0" w:beforeAutospacing="0" w:after="0" w:afterAutospacing="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F2B3CB8" w14:textId="2D644647" w:rsidR="000B4AC8" w:rsidRDefault="000B4AC8" w:rsidP="001E5CEB">
      <w:pPr>
        <w:tabs>
          <w:tab w:val="right" w:pos="10206"/>
        </w:tabs>
        <w:spacing w:line="276" w:lineRule="auto"/>
        <w:ind w:left="851" w:right="56"/>
        <w:rPr>
          <w:rFonts w:asciiTheme="minorHAnsi" w:hAnsiTheme="minorHAnsi" w:cstheme="minorHAnsi"/>
          <w:noProof/>
          <w:color w:val="002060"/>
          <w:sz w:val="22"/>
          <w:szCs w:val="22"/>
        </w:rPr>
      </w:pPr>
    </w:p>
    <w:sectPr w:rsidR="000B4AC8" w:rsidSect="00606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6" w:bottom="2269" w:left="1560" w:header="0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8A98" w14:textId="77777777" w:rsidR="000011BA" w:rsidRDefault="000011BA">
      <w:r>
        <w:separator/>
      </w:r>
    </w:p>
  </w:endnote>
  <w:endnote w:type="continuationSeparator" w:id="0">
    <w:p w14:paraId="149F87DE" w14:textId="77777777" w:rsidR="000011BA" w:rsidRDefault="0000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55 Roman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111E" w14:textId="77777777" w:rsidR="0004011A" w:rsidRDefault="000401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0519" w14:textId="6D3EB3FC" w:rsidR="0060612F" w:rsidRDefault="0004011A" w:rsidP="0060612F">
    <w:pPr>
      <w:pStyle w:val="Stopka"/>
      <w:jc w:val="right"/>
    </w:pPr>
    <w:r>
      <w:rPr>
        <w:rFonts w:ascii="Arial" w:hAnsi="Arial" w:cs="Arial"/>
        <w:noProof/>
        <w:sz w:val="14"/>
        <w:szCs w:val="14"/>
      </w:rPr>
      <w:drawing>
        <wp:inline distT="0" distB="0" distL="0" distR="0" wp14:anchorId="198BB4A6" wp14:editId="1F9DFF93">
          <wp:extent cx="1915678" cy="1965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058" cy="198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2A24">
      <w:rPr>
        <w:rFonts w:ascii="Arial" w:hAnsi="Arial" w:cs="Arial"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FE15F46" wp14:editId="6680652B">
              <wp:simplePos x="0" y="0"/>
              <wp:positionH relativeFrom="column">
                <wp:posOffset>539436</wp:posOffset>
              </wp:positionH>
              <wp:positionV relativeFrom="paragraph">
                <wp:posOffset>212442</wp:posOffset>
              </wp:positionV>
              <wp:extent cx="280028" cy="430040"/>
              <wp:effectExtent l="0" t="0" r="6350" b="8255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028" cy="430040"/>
                        <a:chOff x="0" y="0"/>
                        <a:chExt cx="280028" cy="430040"/>
                      </a:xfrm>
                    </wpg:grpSpPr>
                    <wps:wsp>
                      <wps:cNvPr id="6" name="Prostokąt 6"/>
                      <wps:cNvSpPr/>
                      <wps:spPr>
                        <a:xfrm>
                          <a:off x="140328" y="0"/>
                          <a:ext cx="139700" cy="42989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Prostokąt 8"/>
                      <wps:cNvSpPr/>
                      <wps:spPr>
                        <a:xfrm>
                          <a:off x="0" y="0"/>
                          <a:ext cx="140329" cy="43004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EEB2285" id="Grupa 9" o:spid="_x0000_s1026" style="position:absolute;margin-left:42.5pt;margin-top:16.75pt;width:22.05pt;height:33.85pt;z-index:251658240" coordsize="280028,43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">
              <v:rect id="Prostokąt 6" o:spid="_x0000_s1027" style="position:absolute;left:140328;width:139700;height:429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" fillcolor="#002060" stroked="f" strokeweight="1pt"/>
              <v:rect id="Prostokąt 8" o:spid="_x0000_s1028" style="position:absolute;width:140329;height:430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" fillcolor="#3cc" stroked="f" strokeweight="1pt"/>
            </v:group>
          </w:pict>
        </mc:Fallback>
      </mc:AlternateContent>
    </w:r>
    <w:r w:rsidR="00BE60C1">
      <w:rPr>
        <w:rFonts w:ascii="Arial" w:hAnsi="Arial" w:cs="Arial"/>
        <w:noProof/>
        <w:sz w:val="14"/>
        <w:szCs w:val="14"/>
      </w:rPr>
      <w:drawing>
        <wp:inline distT="0" distB="0" distL="0" distR="0" wp14:anchorId="524F968E" wp14:editId="1F13CF6C">
          <wp:extent cx="1162050" cy="200025"/>
          <wp:effectExtent l="0" t="0" r="0" b="9525"/>
          <wp:docPr id="3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60C1" w:rsidRPr="00435812">
      <w:t xml:space="preserve"> </w:t>
    </w:r>
  </w:p>
  <w:tbl>
    <w:tblPr>
      <w:tblStyle w:val="Tabela-Siatka"/>
      <w:tblW w:w="8221" w:type="dxa"/>
      <w:tblInd w:w="851" w:type="dxa"/>
      <w:tblBorders>
        <w:top w:val="single" w:sz="8" w:space="0" w:color="33CCC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1"/>
      <w:gridCol w:w="2013"/>
      <w:gridCol w:w="1984"/>
      <w:gridCol w:w="2693"/>
    </w:tblGrid>
    <w:tr w:rsidR="00FF2A24" w:rsidRPr="004712E5" w14:paraId="629EE18A" w14:textId="0DC4BD49" w:rsidTr="00FF2A24">
      <w:tc>
        <w:tcPr>
          <w:tcW w:w="1531" w:type="dxa"/>
        </w:tcPr>
        <w:p w14:paraId="58E0E44D" w14:textId="625A4EAD" w:rsidR="00FF2A24" w:rsidRPr="004712E5" w:rsidRDefault="00FF2A24" w:rsidP="004712E5">
          <w:pPr>
            <w:pStyle w:val="Stopka"/>
            <w:ind w:left="-109"/>
            <w:rPr>
              <w:rFonts w:ascii="Arial" w:hAnsi="Arial" w:cs="Arial"/>
              <w:color w:val="002060"/>
              <w:sz w:val="12"/>
              <w:szCs w:val="12"/>
            </w:rPr>
          </w:pPr>
        </w:p>
      </w:tc>
      <w:tc>
        <w:tcPr>
          <w:tcW w:w="2013" w:type="dxa"/>
        </w:tcPr>
        <w:p w14:paraId="6ADE66D7" w14:textId="69BEED8B" w:rsidR="00FF2A24" w:rsidRPr="00FF2A24" w:rsidRDefault="00FF2A24" w:rsidP="00ED378B">
          <w:pPr>
            <w:pStyle w:val="Stopka"/>
            <w:rPr>
              <w:rFonts w:ascii="Arial" w:hAnsi="Arial" w:cs="Arial"/>
              <w:color w:val="002060"/>
              <w:sz w:val="14"/>
              <w:szCs w:val="14"/>
            </w:rPr>
          </w:pPr>
        </w:p>
        <w:p w14:paraId="42F59872" w14:textId="5715655C" w:rsidR="00FF2A24" w:rsidRPr="00FF2A24" w:rsidRDefault="00FF2A24" w:rsidP="00ED378B">
          <w:pPr>
            <w:pStyle w:val="Stopka"/>
            <w:rPr>
              <w:rFonts w:ascii="Arial" w:hAnsi="Arial" w:cs="Arial"/>
              <w:color w:val="002060"/>
              <w:sz w:val="14"/>
              <w:szCs w:val="14"/>
            </w:rPr>
          </w:pPr>
          <w:r w:rsidRPr="00FF2A24">
            <w:rPr>
              <w:rFonts w:ascii="Arial" w:hAnsi="Arial" w:cs="Arial"/>
              <w:color w:val="002060"/>
              <w:sz w:val="14"/>
              <w:szCs w:val="14"/>
            </w:rPr>
            <w:t>Konfederacja Lewiatan</w:t>
          </w:r>
        </w:p>
        <w:p w14:paraId="775C6AF8" w14:textId="77777777" w:rsidR="00FF2A24" w:rsidRPr="00FF2A24" w:rsidRDefault="00FF2A24" w:rsidP="00ED378B">
          <w:pPr>
            <w:pStyle w:val="Stopka"/>
            <w:rPr>
              <w:rFonts w:ascii="Arial" w:hAnsi="Arial" w:cs="Arial"/>
              <w:color w:val="002060"/>
              <w:sz w:val="14"/>
              <w:szCs w:val="14"/>
            </w:rPr>
          </w:pPr>
          <w:r w:rsidRPr="00FF2A24">
            <w:rPr>
              <w:rFonts w:ascii="Arial" w:hAnsi="Arial" w:cs="Arial"/>
              <w:color w:val="002060"/>
              <w:sz w:val="14"/>
              <w:szCs w:val="14"/>
            </w:rPr>
            <w:t>ul. Zbyszka Cybulskiego 3</w:t>
          </w:r>
        </w:p>
        <w:p w14:paraId="46A33F28" w14:textId="09478B7D" w:rsidR="00FF2A24" w:rsidRPr="00FF2A24" w:rsidRDefault="00FF2A24" w:rsidP="00ED378B">
          <w:pPr>
            <w:pStyle w:val="Stopka"/>
            <w:rPr>
              <w:rFonts w:ascii="Arial" w:hAnsi="Arial" w:cs="Arial"/>
              <w:color w:val="002060"/>
              <w:sz w:val="14"/>
              <w:szCs w:val="14"/>
            </w:rPr>
          </w:pPr>
          <w:r w:rsidRPr="00FF2A24">
            <w:rPr>
              <w:rFonts w:ascii="Arial" w:hAnsi="Arial" w:cs="Arial"/>
              <w:color w:val="002060"/>
              <w:sz w:val="14"/>
              <w:szCs w:val="14"/>
            </w:rPr>
            <w:t>00-727 Warszawa</w:t>
          </w:r>
        </w:p>
      </w:tc>
      <w:tc>
        <w:tcPr>
          <w:tcW w:w="1984" w:type="dxa"/>
        </w:tcPr>
        <w:p w14:paraId="63CDC183" w14:textId="2756F846" w:rsidR="00FF2A24" w:rsidRPr="00FF2A24" w:rsidRDefault="00FF2A24" w:rsidP="00ED378B">
          <w:pPr>
            <w:pStyle w:val="Stopka"/>
            <w:rPr>
              <w:rFonts w:ascii="Arial" w:hAnsi="Arial" w:cs="Arial"/>
              <w:color w:val="002060"/>
              <w:sz w:val="14"/>
              <w:szCs w:val="14"/>
            </w:rPr>
          </w:pPr>
        </w:p>
        <w:p w14:paraId="265D1A48" w14:textId="711C3FF0" w:rsidR="00FF2A24" w:rsidRPr="00FF2A24" w:rsidRDefault="00FF2A24" w:rsidP="00ED378B">
          <w:pPr>
            <w:pStyle w:val="Stopka"/>
            <w:rPr>
              <w:rFonts w:ascii="Arial" w:hAnsi="Arial" w:cs="Arial"/>
              <w:color w:val="002060"/>
              <w:sz w:val="14"/>
              <w:szCs w:val="14"/>
            </w:rPr>
          </w:pPr>
          <w:r w:rsidRPr="00FF2A24">
            <w:rPr>
              <w:rFonts w:ascii="Arial" w:hAnsi="Arial" w:cs="Arial"/>
              <w:color w:val="002060"/>
              <w:sz w:val="14"/>
              <w:szCs w:val="14"/>
            </w:rPr>
            <w:t>tel. +48 22 55 99 900</w:t>
          </w:r>
        </w:p>
        <w:p w14:paraId="6074FD68" w14:textId="0234FEA3" w:rsidR="00FF2A24" w:rsidRPr="00FF2A24" w:rsidRDefault="008C59C4" w:rsidP="00ED378B">
          <w:pPr>
            <w:pStyle w:val="Stopka"/>
            <w:rPr>
              <w:rFonts w:ascii="Arial" w:hAnsi="Arial" w:cs="Arial"/>
              <w:color w:val="002060"/>
              <w:sz w:val="14"/>
              <w:szCs w:val="14"/>
            </w:rPr>
          </w:pPr>
          <w:hyperlink r:id="rId3" w:history="1">
            <w:r w:rsidR="00FF2A24" w:rsidRPr="00FF2A24">
              <w:rPr>
                <w:rStyle w:val="Hipercze"/>
                <w:rFonts w:ascii="Arial" w:hAnsi="Arial" w:cs="Arial"/>
                <w:color w:val="002060"/>
                <w:sz w:val="14"/>
                <w:szCs w:val="14"/>
                <w:u w:val="none"/>
              </w:rPr>
              <w:t>lewiatan@lewiatan.org</w:t>
            </w:r>
          </w:hyperlink>
        </w:p>
        <w:p w14:paraId="7FBAAB8F" w14:textId="097A51B3" w:rsidR="00FF2A24" w:rsidRPr="00FF2A24" w:rsidRDefault="00FF2A24" w:rsidP="00ED378B">
          <w:pPr>
            <w:pStyle w:val="Stopka"/>
            <w:rPr>
              <w:rFonts w:ascii="Arial" w:hAnsi="Arial" w:cs="Arial"/>
              <w:color w:val="002060"/>
              <w:sz w:val="14"/>
              <w:szCs w:val="14"/>
            </w:rPr>
          </w:pPr>
          <w:r w:rsidRPr="00FF2A24">
            <w:rPr>
              <w:rFonts w:ascii="Arial" w:hAnsi="Arial" w:cs="Arial"/>
              <w:color w:val="002060"/>
              <w:sz w:val="14"/>
              <w:szCs w:val="14"/>
            </w:rPr>
            <w:t>www.lewiatan.org.</w:t>
          </w:r>
        </w:p>
      </w:tc>
      <w:tc>
        <w:tcPr>
          <w:tcW w:w="2693" w:type="dxa"/>
        </w:tcPr>
        <w:p w14:paraId="0DFE6590" w14:textId="76FDCBFE" w:rsidR="00FF2A24" w:rsidRPr="00FF2A24" w:rsidRDefault="00FF2A24" w:rsidP="00ED5D7B">
          <w:pPr>
            <w:pStyle w:val="Stopka"/>
            <w:rPr>
              <w:rFonts w:ascii="Arial" w:hAnsi="Arial" w:cs="Arial"/>
              <w:color w:val="002060"/>
              <w:sz w:val="14"/>
              <w:szCs w:val="14"/>
            </w:rPr>
          </w:pPr>
        </w:p>
        <w:p w14:paraId="6FECCE42" w14:textId="02BE5412" w:rsidR="00FF2A24" w:rsidRPr="00FF2A24" w:rsidRDefault="00FF2A24" w:rsidP="00ED5D7B">
          <w:pPr>
            <w:pStyle w:val="Stopka"/>
            <w:rPr>
              <w:rFonts w:ascii="Arial" w:hAnsi="Arial" w:cs="Arial"/>
              <w:color w:val="002060"/>
              <w:sz w:val="14"/>
              <w:szCs w:val="14"/>
            </w:rPr>
          </w:pPr>
          <w:r w:rsidRPr="00FF2A24">
            <w:rPr>
              <w:rFonts w:ascii="Arial" w:hAnsi="Arial" w:cs="Arial"/>
              <w:color w:val="002060"/>
              <w:sz w:val="14"/>
              <w:szCs w:val="14"/>
            </w:rPr>
            <w:t>NIP 5262353400</w:t>
          </w:r>
        </w:p>
        <w:p w14:paraId="6AB1ADBD" w14:textId="77777777" w:rsidR="00FF2A24" w:rsidRPr="00FF2A24" w:rsidRDefault="00FF2A24" w:rsidP="00ED5D7B">
          <w:pPr>
            <w:pStyle w:val="Stopka"/>
            <w:rPr>
              <w:rFonts w:ascii="Arial" w:hAnsi="Arial" w:cs="Arial"/>
              <w:color w:val="002060"/>
              <w:sz w:val="14"/>
              <w:szCs w:val="14"/>
            </w:rPr>
          </w:pPr>
          <w:r w:rsidRPr="00FF2A24">
            <w:rPr>
              <w:rFonts w:ascii="Arial" w:hAnsi="Arial" w:cs="Arial"/>
              <w:color w:val="002060"/>
              <w:sz w:val="14"/>
              <w:szCs w:val="14"/>
            </w:rPr>
            <w:t>KRS 0000053779</w:t>
          </w:r>
        </w:p>
        <w:p w14:paraId="3D631DED" w14:textId="77777777" w:rsidR="00FF2A24" w:rsidRPr="00FF2A24" w:rsidRDefault="00FF2A24" w:rsidP="00ED5D7B">
          <w:pPr>
            <w:pStyle w:val="Stopka"/>
            <w:rPr>
              <w:rFonts w:ascii="Arial" w:hAnsi="Arial" w:cs="Arial"/>
              <w:color w:val="002060"/>
              <w:sz w:val="14"/>
              <w:szCs w:val="14"/>
            </w:rPr>
          </w:pPr>
          <w:r w:rsidRPr="00FF2A24">
            <w:rPr>
              <w:rFonts w:ascii="Arial" w:hAnsi="Arial" w:cs="Arial"/>
              <w:color w:val="002060"/>
              <w:sz w:val="14"/>
              <w:szCs w:val="14"/>
            </w:rPr>
            <w:t>Sąd Rejonowy dla</w:t>
          </w:r>
        </w:p>
        <w:p w14:paraId="3E9E869C" w14:textId="1E7FE704" w:rsidR="00FF2A24" w:rsidRPr="00FF2A24" w:rsidRDefault="00FF2A24" w:rsidP="00ED5D7B">
          <w:pPr>
            <w:pStyle w:val="Stopka"/>
            <w:rPr>
              <w:rFonts w:ascii="Arial" w:hAnsi="Arial" w:cs="Arial"/>
              <w:color w:val="002060"/>
              <w:sz w:val="14"/>
              <w:szCs w:val="14"/>
            </w:rPr>
          </w:pPr>
          <w:r w:rsidRPr="00FF2A24">
            <w:rPr>
              <w:rFonts w:ascii="Arial" w:hAnsi="Arial" w:cs="Arial"/>
              <w:color w:val="002060"/>
              <w:sz w:val="14"/>
              <w:szCs w:val="14"/>
            </w:rPr>
            <w:t>m. st. Warszawy w Warszawie XIII Wydział Gospodarczy</w:t>
          </w:r>
        </w:p>
      </w:tc>
    </w:tr>
  </w:tbl>
  <w:p w14:paraId="215235F3" w14:textId="520302FA" w:rsidR="00ED378B" w:rsidRPr="00ED378B" w:rsidRDefault="00ED378B" w:rsidP="00ED378B">
    <w:pPr>
      <w:pStyle w:val="Stopka"/>
      <w:ind w:left="851"/>
      <w:rPr>
        <w:rFonts w:ascii="Arial" w:hAnsi="Arial" w:cs="Arial"/>
        <w:color w:val="002060"/>
        <w:sz w:val="20"/>
        <w:szCs w:val="20"/>
      </w:rPr>
    </w:pPr>
  </w:p>
  <w:p w14:paraId="200F82CD" w14:textId="6BB7ED1B" w:rsidR="0060612F" w:rsidRPr="00FF2A24" w:rsidRDefault="00BE60C1" w:rsidP="0060612F">
    <w:pPr>
      <w:jc w:val="right"/>
      <w:rPr>
        <w:rFonts w:ascii="Arial" w:hAnsi="Arial" w:cs="Arial"/>
        <w:noProof/>
        <w:sz w:val="20"/>
        <w:szCs w:val="20"/>
      </w:rPr>
    </w:pPr>
    <w:r w:rsidRPr="00FF2A24">
      <w:rPr>
        <w:rFonts w:ascii="Arial" w:hAnsi="Arial" w:cs="Arial"/>
        <w:noProof/>
        <w:sz w:val="20"/>
        <w:szCs w:val="20"/>
      </w:rPr>
      <w:t xml:space="preserve"> </w:t>
    </w:r>
    <w:r w:rsidRPr="00FF2A24">
      <w:rPr>
        <w:rFonts w:ascii="Arial" w:hAnsi="Arial" w:cs="Arial"/>
        <w:sz w:val="20"/>
        <w:szCs w:val="20"/>
      </w:rPr>
      <w:t xml:space="preserve"> - </w:t>
    </w:r>
    <w:r w:rsidRPr="00FF2A24">
      <w:rPr>
        <w:rFonts w:ascii="Arial" w:hAnsi="Arial" w:cs="Arial"/>
        <w:color w:val="002060"/>
        <w:sz w:val="20"/>
        <w:szCs w:val="20"/>
      </w:rPr>
      <w:fldChar w:fldCharType="begin"/>
    </w:r>
    <w:r w:rsidRPr="00FF2A24">
      <w:rPr>
        <w:rFonts w:ascii="Arial" w:hAnsi="Arial" w:cs="Arial"/>
        <w:color w:val="002060"/>
        <w:sz w:val="20"/>
        <w:szCs w:val="20"/>
      </w:rPr>
      <w:instrText xml:space="preserve"> PAGE   \* MERGEFORMAT </w:instrText>
    </w:r>
    <w:r w:rsidRPr="00FF2A24">
      <w:rPr>
        <w:rFonts w:ascii="Arial" w:hAnsi="Arial" w:cs="Arial"/>
        <w:color w:val="002060"/>
        <w:sz w:val="20"/>
        <w:szCs w:val="20"/>
      </w:rPr>
      <w:fldChar w:fldCharType="separate"/>
    </w:r>
    <w:r w:rsidR="004549B1" w:rsidRPr="00FF2A24">
      <w:rPr>
        <w:rFonts w:ascii="Arial" w:hAnsi="Arial" w:cs="Arial"/>
        <w:noProof/>
        <w:color w:val="002060"/>
        <w:sz w:val="20"/>
        <w:szCs w:val="20"/>
      </w:rPr>
      <w:t>3</w:t>
    </w:r>
    <w:r w:rsidRPr="00FF2A24">
      <w:rPr>
        <w:rFonts w:ascii="Arial" w:hAnsi="Arial" w:cs="Arial"/>
        <w:color w:val="002060"/>
        <w:sz w:val="20"/>
        <w:szCs w:val="20"/>
      </w:rPr>
      <w:fldChar w:fldCharType="end"/>
    </w:r>
    <w:r w:rsidRPr="00FF2A24">
      <w:rPr>
        <w:rFonts w:ascii="Arial" w:hAnsi="Arial" w:cs="Arial"/>
        <w:noProof/>
        <w:color w:val="002060"/>
        <w:sz w:val="20"/>
        <w:szCs w:val="20"/>
      </w:rPr>
      <w:t xml:space="preserve"> - </w:t>
    </w:r>
  </w:p>
  <w:p w14:paraId="0E19A98C" w14:textId="77777777" w:rsidR="0060612F" w:rsidRPr="008D5B7E" w:rsidRDefault="0060612F" w:rsidP="0060612F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F1B2" w14:textId="77777777" w:rsidR="0004011A" w:rsidRDefault="00040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3D50" w14:textId="77777777" w:rsidR="000011BA" w:rsidRDefault="000011BA">
      <w:r>
        <w:separator/>
      </w:r>
    </w:p>
  </w:footnote>
  <w:footnote w:type="continuationSeparator" w:id="0">
    <w:p w14:paraId="0CBB5806" w14:textId="77777777" w:rsidR="000011BA" w:rsidRDefault="00001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86A4" w14:textId="77777777" w:rsidR="0004011A" w:rsidRDefault="000401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3727" w14:textId="77777777" w:rsidR="0060612F" w:rsidRDefault="0060612F" w:rsidP="0060612F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p w14:paraId="660CA8F5" w14:textId="77777777" w:rsidR="0060612F" w:rsidRDefault="0060612F" w:rsidP="0060612F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tbl>
    <w:tblPr>
      <w:tblW w:w="9639" w:type="dxa"/>
      <w:tblBorders>
        <w:bottom w:val="single" w:sz="8" w:space="0" w:color="00B0F0"/>
      </w:tblBorders>
      <w:tblLook w:val="00A0" w:firstRow="1" w:lastRow="0" w:firstColumn="1" w:lastColumn="0" w:noHBand="0" w:noVBand="0"/>
    </w:tblPr>
    <w:tblGrid>
      <w:gridCol w:w="3618"/>
      <w:gridCol w:w="6021"/>
    </w:tblGrid>
    <w:tr w:rsidR="0060612F" w14:paraId="3A2341B1" w14:textId="77777777" w:rsidTr="0060612F">
      <w:tc>
        <w:tcPr>
          <w:tcW w:w="3618" w:type="dxa"/>
          <w:tcBorders>
            <w:bottom w:val="nil"/>
          </w:tcBorders>
        </w:tcPr>
        <w:p w14:paraId="0EBABE63" w14:textId="77777777" w:rsidR="0060612F" w:rsidRDefault="00BE60C1" w:rsidP="008E4354">
          <w:pPr>
            <w:pStyle w:val="Nagwek"/>
            <w:tabs>
              <w:tab w:val="clear" w:pos="4536"/>
              <w:tab w:val="clear" w:pos="9072"/>
              <w:tab w:val="right" w:pos="10686"/>
            </w:tabs>
            <w:ind w:left="709" w:right="-140"/>
          </w:pPr>
          <w:r>
            <w:rPr>
              <w:noProof/>
            </w:rPr>
            <w:drawing>
              <wp:inline distT="0" distB="0" distL="0" distR="0" wp14:anchorId="6FEB5B14" wp14:editId="3311F0CC">
                <wp:extent cx="704850" cy="923925"/>
                <wp:effectExtent l="0" t="0" r="0" b="9525"/>
                <wp:docPr id="2" name="Obraz 8" descr="Papier_Lewiatan_10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apier_Lewiatan_10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1" w:type="dxa"/>
          <w:tcBorders>
            <w:bottom w:val="nil"/>
          </w:tcBorders>
        </w:tcPr>
        <w:p w14:paraId="2D26875A" w14:textId="77777777" w:rsidR="0060612F" w:rsidRDefault="0060612F" w:rsidP="0060612F">
          <w:pPr>
            <w:pStyle w:val="Nagwek"/>
            <w:tabs>
              <w:tab w:val="clear" w:pos="4536"/>
              <w:tab w:val="clear" w:pos="9072"/>
              <w:tab w:val="right" w:pos="10686"/>
            </w:tabs>
            <w:ind w:right="-140"/>
            <w:jc w:val="right"/>
          </w:pPr>
        </w:p>
      </w:tc>
    </w:tr>
  </w:tbl>
  <w:p w14:paraId="759BED67" w14:textId="77777777" w:rsidR="0060612F" w:rsidRPr="00C80C61" w:rsidRDefault="0060612F" w:rsidP="0060612F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7EA6" w14:textId="77777777" w:rsidR="0004011A" w:rsidRDefault="00040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D07"/>
    <w:multiLevelType w:val="hybridMultilevel"/>
    <w:tmpl w:val="D54C625E"/>
    <w:lvl w:ilvl="0" w:tplc="669C0A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3E7B"/>
    <w:multiLevelType w:val="hybridMultilevel"/>
    <w:tmpl w:val="2E9E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60E8"/>
    <w:multiLevelType w:val="hybridMultilevel"/>
    <w:tmpl w:val="0B7C188C"/>
    <w:lvl w:ilvl="0" w:tplc="B846CA3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38570C5"/>
    <w:multiLevelType w:val="hybridMultilevel"/>
    <w:tmpl w:val="A804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24EC5"/>
    <w:multiLevelType w:val="hybridMultilevel"/>
    <w:tmpl w:val="A72A7F22"/>
    <w:lvl w:ilvl="0" w:tplc="EC2C0D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C5A29"/>
    <w:multiLevelType w:val="hybridMultilevel"/>
    <w:tmpl w:val="53821FA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8B792E"/>
    <w:multiLevelType w:val="hybridMultilevel"/>
    <w:tmpl w:val="A24609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8D1AE6"/>
    <w:multiLevelType w:val="hybridMultilevel"/>
    <w:tmpl w:val="31C48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D4026"/>
    <w:multiLevelType w:val="hybridMultilevel"/>
    <w:tmpl w:val="094C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54C3E"/>
    <w:multiLevelType w:val="hybridMultilevel"/>
    <w:tmpl w:val="4E3266C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E2367A"/>
    <w:multiLevelType w:val="hybridMultilevel"/>
    <w:tmpl w:val="5E4E620E"/>
    <w:lvl w:ilvl="0" w:tplc="B1FEE3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A5E76"/>
    <w:multiLevelType w:val="hybridMultilevel"/>
    <w:tmpl w:val="60CCD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1545F"/>
    <w:multiLevelType w:val="hybridMultilevel"/>
    <w:tmpl w:val="094C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C71A7"/>
    <w:multiLevelType w:val="hybridMultilevel"/>
    <w:tmpl w:val="CFC429E6"/>
    <w:lvl w:ilvl="0" w:tplc="BF746A72">
      <w:numFmt w:val="bullet"/>
      <w:lvlText w:val="•"/>
      <w:lvlJc w:val="left"/>
      <w:pPr>
        <w:ind w:left="2856" w:hanging="72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6D3C60"/>
    <w:multiLevelType w:val="hybridMultilevel"/>
    <w:tmpl w:val="5948A0EC"/>
    <w:lvl w:ilvl="0" w:tplc="8E0AA9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404F4"/>
    <w:multiLevelType w:val="hybridMultilevel"/>
    <w:tmpl w:val="7C90F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E29AE4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36F9E"/>
    <w:multiLevelType w:val="hybridMultilevel"/>
    <w:tmpl w:val="F4D89BDA"/>
    <w:lvl w:ilvl="0" w:tplc="C6E24C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367A8"/>
    <w:multiLevelType w:val="hybridMultilevel"/>
    <w:tmpl w:val="69B001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B3B1D36"/>
    <w:multiLevelType w:val="hybridMultilevel"/>
    <w:tmpl w:val="72B4FCC0"/>
    <w:lvl w:ilvl="0" w:tplc="669C0A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3480E"/>
    <w:multiLevelType w:val="hybridMultilevel"/>
    <w:tmpl w:val="FAAC3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AF5AA9"/>
    <w:multiLevelType w:val="hybridMultilevel"/>
    <w:tmpl w:val="B1CC6F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36D10F7"/>
    <w:multiLevelType w:val="hybridMultilevel"/>
    <w:tmpl w:val="6446278E"/>
    <w:lvl w:ilvl="0" w:tplc="E9DE7942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BCE29A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07F16"/>
    <w:multiLevelType w:val="hybridMultilevel"/>
    <w:tmpl w:val="5D18B8B8"/>
    <w:lvl w:ilvl="0" w:tplc="416EA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1162A"/>
    <w:multiLevelType w:val="hybridMultilevel"/>
    <w:tmpl w:val="1602BD68"/>
    <w:lvl w:ilvl="0" w:tplc="BF746A72">
      <w:numFmt w:val="bullet"/>
      <w:lvlText w:val="•"/>
      <w:lvlJc w:val="left"/>
      <w:pPr>
        <w:ind w:left="2136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919241449">
    <w:abstractNumId w:val="2"/>
  </w:num>
  <w:num w:numId="2" w16cid:durableId="21451986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9279019">
    <w:abstractNumId w:val="3"/>
  </w:num>
  <w:num w:numId="4" w16cid:durableId="998074168">
    <w:abstractNumId w:val="21"/>
  </w:num>
  <w:num w:numId="5" w16cid:durableId="1353917381">
    <w:abstractNumId w:val="15"/>
  </w:num>
  <w:num w:numId="6" w16cid:durableId="679043330">
    <w:abstractNumId w:val="21"/>
  </w:num>
  <w:num w:numId="7" w16cid:durableId="689063861">
    <w:abstractNumId w:val="14"/>
  </w:num>
  <w:num w:numId="8" w16cid:durableId="26485060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21084177">
    <w:abstractNumId w:val="8"/>
  </w:num>
  <w:num w:numId="10" w16cid:durableId="121652604">
    <w:abstractNumId w:val="19"/>
  </w:num>
  <w:num w:numId="11" w16cid:durableId="696276798">
    <w:abstractNumId w:val="20"/>
  </w:num>
  <w:num w:numId="12" w16cid:durableId="1752316151">
    <w:abstractNumId w:val="6"/>
  </w:num>
  <w:num w:numId="13" w16cid:durableId="980500443">
    <w:abstractNumId w:val="5"/>
  </w:num>
  <w:num w:numId="14" w16cid:durableId="693460452">
    <w:abstractNumId w:val="17"/>
  </w:num>
  <w:num w:numId="15" w16cid:durableId="573662002">
    <w:abstractNumId w:val="9"/>
  </w:num>
  <w:num w:numId="16" w16cid:durableId="1180463419">
    <w:abstractNumId w:val="4"/>
  </w:num>
  <w:num w:numId="17" w16cid:durableId="1187981394">
    <w:abstractNumId w:val="1"/>
  </w:num>
  <w:num w:numId="18" w16cid:durableId="100761048">
    <w:abstractNumId w:val="11"/>
  </w:num>
  <w:num w:numId="19" w16cid:durableId="699935421">
    <w:abstractNumId w:val="23"/>
  </w:num>
  <w:num w:numId="20" w16cid:durableId="1338539947">
    <w:abstractNumId w:val="13"/>
  </w:num>
  <w:num w:numId="21" w16cid:durableId="1990474215">
    <w:abstractNumId w:val="22"/>
  </w:num>
  <w:num w:numId="22" w16cid:durableId="1251238549">
    <w:abstractNumId w:val="10"/>
  </w:num>
  <w:num w:numId="23" w16cid:durableId="1298334394">
    <w:abstractNumId w:val="16"/>
  </w:num>
  <w:num w:numId="24" w16cid:durableId="483358189">
    <w:abstractNumId w:val="16"/>
  </w:num>
  <w:num w:numId="25" w16cid:durableId="1376387977">
    <w:abstractNumId w:val="16"/>
  </w:num>
  <w:num w:numId="26" w16cid:durableId="721254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21592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08090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C1"/>
    <w:rsid w:val="0000093D"/>
    <w:rsid w:val="000011BA"/>
    <w:rsid w:val="00002014"/>
    <w:rsid w:val="00006A23"/>
    <w:rsid w:val="00006D5A"/>
    <w:rsid w:val="000112C5"/>
    <w:rsid w:val="00013450"/>
    <w:rsid w:val="000140B7"/>
    <w:rsid w:val="00016431"/>
    <w:rsid w:val="00016653"/>
    <w:rsid w:val="0002044F"/>
    <w:rsid w:val="00022310"/>
    <w:rsid w:val="0002465C"/>
    <w:rsid w:val="00025ED1"/>
    <w:rsid w:val="000267E8"/>
    <w:rsid w:val="0003089F"/>
    <w:rsid w:val="00032283"/>
    <w:rsid w:val="00033CFC"/>
    <w:rsid w:val="00035648"/>
    <w:rsid w:val="00037BA9"/>
    <w:rsid w:val="0004011A"/>
    <w:rsid w:val="00043BF9"/>
    <w:rsid w:val="0004417D"/>
    <w:rsid w:val="00044BA2"/>
    <w:rsid w:val="000522D5"/>
    <w:rsid w:val="000545F5"/>
    <w:rsid w:val="00055B45"/>
    <w:rsid w:val="00060942"/>
    <w:rsid w:val="00060C8B"/>
    <w:rsid w:val="00060F39"/>
    <w:rsid w:val="000631DF"/>
    <w:rsid w:val="00064074"/>
    <w:rsid w:val="0006525F"/>
    <w:rsid w:val="000655DE"/>
    <w:rsid w:val="000662FD"/>
    <w:rsid w:val="00072051"/>
    <w:rsid w:val="00075218"/>
    <w:rsid w:val="00080FA0"/>
    <w:rsid w:val="0008392D"/>
    <w:rsid w:val="0008501E"/>
    <w:rsid w:val="000874E5"/>
    <w:rsid w:val="00090BE3"/>
    <w:rsid w:val="00092131"/>
    <w:rsid w:val="000927D2"/>
    <w:rsid w:val="00092E25"/>
    <w:rsid w:val="00094BCF"/>
    <w:rsid w:val="000A0222"/>
    <w:rsid w:val="000A0A10"/>
    <w:rsid w:val="000A3A88"/>
    <w:rsid w:val="000A468E"/>
    <w:rsid w:val="000A6F05"/>
    <w:rsid w:val="000B293A"/>
    <w:rsid w:val="000B4AC8"/>
    <w:rsid w:val="000B4DEB"/>
    <w:rsid w:val="000B50D2"/>
    <w:rsid w:val="000B766E"/>
    <w:rsid w:val="000C278E"/>
    <w:rsid w:val="000C53AB"/>
    <w:rsid w:val="000C664E"/>
    <w:rsid w:val="000D2443"/>
    <w:rsid w:val="000D2621"/>
    <w:rsid w:val="000D5E9A"/>
    <w:rsid w:val="000E1DD1"/>
    <w:rsid w:val="000E217F"/>
    <w:rsid w:val="000E41D4"/>
    <w:rsid w:val="000E6523"/>
    <w:rsid w:val="000E7059"/>
    <w:rsid w:val="000F1A6A"/>
    <w:rsid w:val="000F3690"/>
    <w:rsid w:val="000F6064"/>
    <w:rsid w:val="00100BA7"/>
    <w:rsid w:val="0010155C"/>
    <w:rsid w:val="00102850"/>
    <w:rsid w:val="00104D93"/>
    <w:rsid w:val="001133EE"/>
    <w:rsid w:val="001133FE"/>
    <w:rsid w:val="00113938"/>
    <w:rsid w:val="00113ECA"/>
    <w:rsid w:val="0011500D"/>
    <w:rsid w:val="001155BC"/>
    <w:rsid w:val="00117A08"/>
    <w:rsid w:val="00122401"/>
    <w:rsid w:val="001312D5"/>
    <w:rsid w:val="001315AF"/>
    <w:rsid w:val="001329AF"/>
    <w:rsid w:val="00134FB0"/>
    <w:rsid w:val="00135004"/>
    <w:rsid w:val="00136A5D"/>
    <w:rsid w:val="001439F2"/>
    <w:rsid w:val="0014577D"/>
    <w:rsid w:val="001459AC"/>
    <w:rsid w:val="0014709A"/>
    <w:rsid w:val="00150128"/>
    <w:rsid w:val="00151626"/>
    <w:rsid w:val="001548A3"/>
    <w:rsid w:val="00161264"/>
    <w:rsid w:val="00161DEB"/>
    <w:rsid w:val="00163815"/>
    <w:rsid w:val="00165EA3"/>
    <w:rsid w:val="0016797B"/>
    <w:rsid w:val="00167CF0"/>
    <w:rsid w:val="001730F6"/>
    <w:rsid w:val="0017445D"/>
    <w:rsid w:val="00175746"/>
    <w:rsid w:val="00183681"/>
    <w:rsid w:val="00187E29"/>
    <w:rsid w:val="00190621"/>
    <w:rsid w:val="00190714"/>
    <w:rsid w:val="00191BFD"/>
    <w:rsid w:val="001927D1"/>
    <w:rsid w:val="00192C78"/>
    <w:rsid w:val="001943EE"/>
    <w:rsid w:val="00194F4E"/>
    <w:rsid w:val="00195686"/>
    <w:rsid w:val="00195E89"/>
    <w:rsid w:val="001A0194"/>
    <w:rsid w:val="001A27EE"/>
    <w:rsid w:val="001A316F"/>
    <w:rsid w:val="001A66D6"/>
    <w:rsid w:val="001A6D4E"/>
    <w:rsid w:val="001A7CCD"/>
    <w:rsid w:val="001B0341"/>
    <w:rsid w:val="001B27A0"/>
    <w:rsid w:val="001B4EDE"/>
    <w:rsid w:val="001B5EF8"/>
    <w:rsid w:val="001B6EFB"/>
    <w:rsid w:val="001B7DE8"/>
    <w:rsid w:val="001C11C6"/>
    <w:rsid w:val="001C1D54"/>
    <w:rsid w:val="001C2376"/>
    <w:rsid w:val="001C5917"/>
    <w:rsid w:val="001C6E50"/>
    <w:rsid w:val="001C7EA2"/>
    <w:rsid w:val="001D2EE1"/>
    <w:rsid w:val="001E30B2"/>
    <w:rsid w:val="001E38F9"/>
    <w:rsid w:val="001E5CEB"/>
    <w:rsid w:val="001E79BB"/>
    <w:rsid w:val="001F013B"/>
    <w:rsid w:val="001F2620"/>
    <w:rsid w:val="001F478E"/>
    <w:rsid w:val="001F4F8A"/>
    <w:rsid w:val="001F592E"/>
    <w:rsid w:val="001F7105"/>
    <w:rsid w:val="0020064A"/>
    <w:rsid w:val="002007E1"/>
    <w:rsid w:val="00201E8A"/>
    <w:rsid w:val="002027E6"/>
    <w:rsid w:val="00203228"/>
    <w:rsid w:val="002069A8"/>
    <w:rsid w:val="00215836"/>
    <w:rsid w:val="0021602F"/>
    <w:rsid w:val="0021756C"/>
    <w:rsid w:val="00221CAF"/>
    <w:rsid w:val="00222354"/>
    <w:rsid w:val="00222443"/>
    <w:rsid w:val="00227A64"/>
    <w:rsid w:val="00231E75"/>
    <w:rsid w:val="00234CBE"/>
    <w:rsid w:val="002359B9"/>
    <w:rsid w:val="00237175"/>
    <w:rsid w:val="0024034F"/>
    <w:rsid w:val="00240594"/>
    <w:rsid w:val="00241014"/>
    <w:rsid w:val="0024235E"/>
    <w:rsid w:val="00254273"/>
    <w:rsid w:val="00254C66"/>
    <w:rsid w:val="00264DB9"/>
    <w:rsid w:val="00264ED5"/>
    <w:rsid w:val="0026554C"/>
    <w:rsid w:val="002659ED"/>
    <w:rsid w:val="00267282"/>
    <w:rsid w:val="00267303"/>
    <w:rsid w:val="002725D2"/>
    <w:rsid w:val="00274AE9"/>
    <w:rsid w:val="00280208"/>
    <w:rsid w:val="00281E39"/>
    <w:rsid w:val="0028239D"/>
    <w:rsid w:val="00282E99"/>
    <w:rsid w:val="00283F50"/>
    <w:rsid w:val="00285A14"/>
    <w:rsid w:val="00291303"/>
    <w:rsid w:val="00293DE3"/>
    <w:rsid w:val="00295196"/>
    <w:rsid w:val="00296E73"/>
    <w:rsid w:val="002A023E"/>
    <w:rsid w:val="002A17F8"/>
    <w:rsid w:val="002A2F8D"/>
    <w:rsid w:val="002A3573"/>
    <w:rsid w:val="002A3686"/>
    <w:rsid w:val="002A4543"/>
    <w:rsid w:val="002A4637"/>
    <w:rsid w:val="002A47FB"/>
    <w:rsid w:val="002A5C03"/>
    <w:rsid w:val="002A60FD"/>
    <w:rsid w:val="002B0AC8"/>
    <w:rsid w:val="002B0B2D"/>
    <w:rsid w:val="002B0B9B"/>
    <w:rsid w:val="002B1A6D"/>
    <w:rsid w:val="002B23BC"/>
    <w:rsid w:val="002B4900"/>
    <w:rsid w:val="002B49FE"/>
    <w:rsid w:val="002B4CCB"/>
    <w:rsid w:val="002B71F8"/>
    <w:rsid w:val="002B78EF"/>
    <w:rsid w:val="002C1E34"/>
    <w:rsid w:val="002D237B"/>
    <w:rsid w:val="002D4CB9"/>
    <w:rsid w:val="002D4E5F"/>
    <w:rsid w:val="002D7247"/>
    <w:rsid w:val="002E4EC5"/>
    <w:rsid w:val="002E53C5"/>
    <w:rsid w:val="002E6769"/>
    <w:rsid w:val="002E698D"/>
    <w:rsid w:val="002F1646"/>
    <w:rsid w:val="002F77F7"/>
    <w:rsid w:val="003026CA"/>
    <w:rsid w:val="003039C5"/>
    <w:rsid w:val="00303D5A"/>
    <w:rsid w:val="00307F9E"/>
    <w:rsid w:val="003150EB"/>
    <w:rsid w:val="00315FB4"/>
    <w:rsid w:val="00316547"/>
    <w:rsid w:val="00323CF6"/>
    <w:rsid w:val="00324098"/>
    <w:rsid w:val="003245EE"/>
    <w:rsid w:val="0032492D"/>
    <w:rsid w:val="00334FF0"/>
    <w:rsid w:val="00335240"/>
    <w:rsid w:val="00335D04"/>
    <w:rsid w:val="003370C1"/>
    <w:rsid w:val="003426A4"/>
    <w:rsid w:val="0034365D"/>
    <w:rsid w:val="00343F2B"/>
    <w:rsid w:val="00344996"/>
    <w:rsid w:val="0035062B"/>
    <w:rsid w:val="00354544"/>
    <w:rsid w:val="00360F0D"/>
    <w:rsid w:val="0036100A"/>
    <w:rsid w:val="00364112"/>
    <w:rsid w:val="00364852"/>
    <w:rsid w:val="003651E8"/>
    <w:rsid w:val="00367E9B"/>
    <w:rsid w:val="0037060A"/>
    <w:rsid w:val="0037255E"/>
    <w:rsid w:val="00374FEA"/>
    <w:rsid w:val="00376395"/>
    <w:rsid w:val="0037748E"/>
    <w:rsid w:val="00377C1D"/>
    <w:rsid w:val="00383499"/>
    <w:rsid w:val="00384AD8"/>
    <w:rsid w:val="00385B72"/>
    <w:rsid w:val="00385CDE"/>
    <w:rsid w:val="003861A5"/>
    <w:rsid w:val="0039112E"/>
    <w:rsid w:val="0039332D"/>
    <w:rsid w:val="003933A4"/>
    <w:rsid w:val="00394691"/>
    <w:rsid w:val="003973FC"/>
    <w:rsid w:val="003A101B"/>
    <w:rsid w:val="003A1F57"/>
    <w:rsid w:val="003A317E"/>
    <w:rsid w:val="003B0341"/>
    <w:rsid w:val="003B049B"/>
    <w:rsid w:val="003B1737"/>
    <w:rsid w:val="003B61D0"/>
    <w:rsid w:val="003B7780"/>
    <w:rsid w:val="003C0A17"/>
    <w:rsid w:val="003C4489"/>
    <w:rsid w:val="003D01BA"/>
    <w:rsid w:val="003D0306"/>
    <w:rsid w:val="003D201B"/>
    <w:rsid w:val="003D20E4"/>
    <w:rsid w:val="003D7450"/>
    <w:rsid w:val="003E06A2"/>
    <w:rsid w:val="003E78C7"/>
    <w:rsid w:val="003E7D70"/>
    <w:rsid w:val="003F3162"/>
    <w:rsid w:val="003F5B7C"/>
    <w:rsid w:val="00401016"/>
    <w:rsid w:val="00401266"/>
    <w:rsid w:val="00401612"/>
    <w:rsid w:val="0040215E"/>
    <w:rsid w:val="00402725"/>
    <w:rsid w:val="00405762"/>
    <w:rsid w:val="00406A07"/>
    <w:rsid w:val="004072C6"/>
    <w:rsid w:val="00407FB7"/>
    <w:rsid w:val="004101B8"/>
    <w:rsid w:val="00412C84"/>
    <w:rsid w:val="00412DD0"/>
    <w:rsid w:val="00413F18"/>
    <w:rsid w:val="00416E52"/>
    <w:rsid w:val="00423314"/>
    <w:rsid w:val="004271E2"/>
    <w:rsid w:val="00431E8D"/>
    <w:rsid w:val="004323FD"/>
    <w:rsid w:val="00432409"/>
    <w:rsid w:val="00436807"/>
    <w:rsid w:val="00441C4C"/>
    <w:rsid w:val="00442A69"/>
    <w:rsid w:val="00446197"/>
    <w:rsid w:val="004511C0"/>
    <w:rsid w:val="00451BC5"/>
    <w:rsid w:val="004526F6"/>
    <w:rsid w:val="0045483D"/>
    <w:rsid w:val="004549B1"/>
    <w:rsid w:val="00454FEA"/>
    <w:rsid w:val="00455620"/>
    <w:rsid w:val="00455845"/>
    <w:rsid w:val="00455C59"/>
    <w:rsid w:val="00456D57"/>
    <w:rsid w:val="00460CAE"/>
    <w:rsid w:val="00461815"/>
    <w:rsid w:val="004645A7"/>
    <w:rsid w:val="00465E2C"/>
    <w:rsid w:val="00467E17"/>
    <w:rsid w:val="00470A15"/>
    <w:rsid w:val="004712E5"/>
    <w:rsid w:val="00472F6A"/>
    <w:rsid w:val="00474AC0"/>
    <w:rsid w:val="004864E3"/>
    <w:rsid w:val="00490501"/>
    <w:rsid w:val="0049271D"/>
    <w:rsid w:val="004A3120"/>
    <w:rsid w:val="004A42F4"/>
    <w:rsid w:val="004B01DE"/>
    <w:rsid w:val="004B102C"/>
    <w:rsid w:val="004B3378"/>
    <w:rsid w:val="004B7384"/>
    <w:rsid w:val="004B7745"/>
    <w:rsid w:val="004C31CA"/>
    <w:rsid w:val="004C431F"/>
    <w:rsid w:val="004C6EAD"/>
    <w:rsid w:val="004C7844"/>
    <w:rsid w:val="004C7D22"/>
    <w:rsid w:val="004D1378"/>
    <w:rsid w:val="004E22C9"/>
    <w:rsid w:val="004E31AD"/>
    <w:rsid w:val="004E3248"/>
    <w:rsid w:val="004E325A"/>
    <w:rsid w:val="004E55E1"/>
    <w:rsid w:val="004F1604"/>
    <w:rsid w:val="004F1CDD"/>
    <w:rsid w:val="004F1DAB"/>
    <w:rsid w:val="004F24F3"/>
    <w:rsid w:val="004F29FC"/>
    <w:rsid w:val="004F3DEC"/>
    <w:rsid w:val="004F7031"/>
    <w:rsid w:val="004F759E"/>
    <w:rsid w:val="00501E05"/>
    <w:rsid w:val="00505129"/>
    <w:rsid w:val="0050542F"/>
    <w:rsid w:val="0051010A"/>
    <w:rsid w:val="00510B50"/>
    <w:rsid w:val="00510FDC"/>
    <w:rsid w:val="00514C3B"/>
    <w:rsid w:val="00517666"/>
    <w:rsid w:val="00517725"/>
    <w:rsid w:val="00517781"/>
    <w:rsid w:val="0051778E"/>
    <w:rsid w:val="00520522"/>
    <w:rsid w:val="005302EB"/>
    <w:rsid w:val="00531581"/>
    <w:rsid w:val="0053237F"/>
    <w:rsid w:val="0053240C"/>
    <w:rsid w:val="00532D88"/>
    <w:rsid w:val="00533AF4"/>
    <w:rsid w:val="00533C28"/>
    <w:rsid w:val="00536E85"/>
    <w:rsid w:val="00537434"/>
    <w:rsid w:val="00537BFA"/>
    <w:rsid w:val="0054358D"/>
    <w:rsid w:val="00544CC4"/>
    <w:rsid w:val="005457C2"/>
    <w:rsid w:val="00552BD9"/>
    <w:rsid w:val="00552E73"/>
    <w:rsid w:val="00556586"/>
    <w:rsid w:val="0055670C"/>
    <w:rsid w:val="0055685B"/>
    <w:rsid w:val="0056057F"/>
    <w:rsid w:val="00563941"/>
    <w:rsid w:val="00565144"/>
    <w:rsid w:val="00565229"/>
    <w:rsid w:val="0056670B"/>
    <w:rsid w:val="00570F91"/>
    <w:rsid w:val="00573437"/>
    <w:rsid w:val="00574446"/>
    <w:rsid w:val="00576660"/>
    <w:rsid w:val="00576958"/>
    <w:rsid w:val="00580781"/>
    <w:rsid w:val="00583415"/>
    <w:rsid w:val="005835E9"/>
    <w:rsid w:val="00584334"/>
    <w:rsid w:val="00585913"/>
    <w:rsid w:val="00586D02"/>
    <w:rsid w:val="00587A5A"/>
    <w:rsid w:val="005904C7"/>
    <w:rsid w:val="005A113C"/>
    <w:rsid w:val="005A1DBD"/>
    <w:rsid w:val="005A5830"/>
    <w:rsid w:val="005A6352"/>
    <w:rsid w:val="005B042F"/>
    <w:rsid w:val="005B5DF7"/>
    <w:rsid w:val="005B71E9"/>
    <w:rsid w:val="005C6084"/>
    <w:rsid w:val="005C616E"/>
    <w:rsid w:val="005D1203"/>
    <w:rsid w:val="005D1620"/>
    <w:rsid w:val="005D2A19"/>
    <w:rsid w:val="005D2CD3"/>
    <w:rsid w:val="005D30DD"/>
    <w:rsid w:val="005D7712"/>
    <w:rsid w:val="005D7B5D"/>
    <w:rsid w:val="005E1A50"/>
    <w:rsid w:val="005E30C6"/>
    <w:rsid w:val="005E5287"/>
    <w:rsid w:val="005E5E81"/>
    <w:rsid w:val="005E67F7"/>
    <w:rsid w:val="005E6D6C"/>
    <w:rsid w:val="005E7DE3"/>
    <w:rsid w:val="005F1869"/>
    <w:rsid w:val="005F254C"/>
    <w:rsid w:val="005F2CD4"/>
    <w:rsid w:val="005F2D14"/>
    <w:rsid w:val="005F4F52"/>
    <w:rsid w:val="005F6DE7"/>
    <w:rsid w:val="0060095D"/>
    <w:rsid w:val="00601F47"/>
    <w:rsid w:val="00605471"/>
    <w:rsid w:val="0060612F"/>
    <w:rsid w:val="00607713"/>
    <w:rsid w:val="006106FA"/>
    <w:rsid w:val="006155EE"/>
    <w:rsid w:val="006170CC"/>
    <w:rsid w:val="006178EE"/>
    <w:rsid w:val="00620239"/>
    <w:rsid w:val="006208CE"/>
    <w:rsid w:val="00620CCB"/>
    <w:rsid w:val="00626473"/>
    <w:rsid w:val="006279CD"/>
    <w:rsid w:val="00632651"/>
    <w:rsid w:val="0063460F"/>
    <w:rsid w:val="00636688"/>
    <w:rsid w:val="00641FBC"/>
    <w:rsid w:val="00646542"/>
    <w:rsid w:val="00646576"/>
    <w:rsid w:val="00646B43"/>
    <w:rsid w:val="00647E0D"/>
    <w:rsid w:val="00651D56"/>
    <w:rsid w:val="00654E62"/>
    <w:rsid w:val="00660641"/>
    <w:rsid w:val="00662062"/>
    <w:rsid w:val="006644F5"/>
    <w:rsid w:val="00664694"/>
    <w:rsid w:val="00667C1F"/>
    <w:rsid w:val="00671311"/>
    <w:rsid w:val="006724F9"/>
    <w:rsid w:val="00676399"/>
    <w:rsid w:val="00681E9C"/>
    <w:rsid w:val="006836F7"/>
    <w:rsid w:val="0068390A"/>
    <w:rsid w:val="00684175"/>
    <w:rsid w:val="006851C3"/>
    <w:rsid w:val="00686C6B"/>
    <w:rsid w:val="00690D2A"/>
    <w:rsid w:val="006910CC"/>
    <w:rsid w:val="00692650"/>
    <w:rsid w:val="00693B38"/>
    <w:rsid w:val="00693BBD"/>
    <w:rsid w:val="00694BB4"/>
    <w:rsid w:val="006A0913"/>
    <w:rsid w:val="006A6C00"/>
    <w:rsid w:val="006B0F58"/>
    <w:rsid w:val="006B5684"/>
    <w:rsid w:val="006B6844"/>
    <w:rsid w:val="006C0B38"/>
    <w:rsid w:val="006C2CE0"/>
    <w:rsid w:val="006C4986"/>
    <w:rsid w:val="006C4A8F"/>
    <w:rsid w:val="006C5D23"/>
    <w:rsid w:val="006D0CCE"/>
    <w:rsid w:val="006D29E1"/>
    <w:rsid w:val="006E301C"/>
    <w:rsid w:val="006E473D"/>
    <w:rsid w:val="006E4EA4"/>
    <w:rsid w:val="006E57B6"/>
    <w:rsid w:val="006F1B16"/>
    <w:rsid w:val="006F1D87"/>
    <w:rsid w:val="006F2FD5"/>
    <w:rsid w:val="006F3B03"/>
    <w:rsid w:val="006F6011"/>
    <w:rsid w:val="0070135C"/>
    <w:rsid w:val="00703673"/>
    <w:rsid w:val="00705C4E"/>
    <w:rsid w:val="007064C7"/>
    <w:rsid w:val="007117F8"/>
    <w:rsid w:val="00712A15"/>
    <w:rsid w:val="00716DC4"/>
    <w:rsid w:val="00721BAB"/>
    <w:rsid w:val="00724628"/>
    <w:rsid w:val="00726897"/>
    <w:rsid w:val="00726C28"/>
    <w:rsid w:val="00727A39"/>
    <w:rsid w:val="00727CB6"/>
    <w:rsid w:val="00731909"/>
    <w:rsid w:val="0073265A"/>
    <w:rsid w:val="00732C77"/>
    <w:rsid w:val="007336EB"/>
    <w:rsid w:val="0073405E"/>
    <w:rsid w:val="0073678C"/>
    <w:rsid w:val="007368D3"/>
    <w:rsid w:val="00740701"/>
    <w:rsid w:val="00740F16"/>
    <w:rsid w:val="007427C9"/>
    <w:rsid w:val="007441D2"/>
    <w:rsid w:val="00750813"/>
    <w:rsid w:val="00750B17"/>
    <w:rsid w:val="00751031"/>
    <w:rsid w:val="00751C6A"/>
    <w:rsid w:val="00752C89"/>
    <w:rsid w:val="00752F28"/>
    <w:rsid w:val="00753261"/>
    <w:rsid w:val="007543D4"/>
    <w:rsid w:val="007600C6"/>
    <w:rsid w:val="007648D0"/>
    <w:rsid w:val="00772C24"/>
    <w:rsid w:val="00775581"/>
    <w:rsid w:val="00782F9D"/>
    <w:rsid w:val="007842ED"/>
    <w:rsid w:val="00785C96"/>
    <w:rsid w:val="00787B74"/>
    <w:rsid w:val="00791712"/>
    <w:rsid w:val="0079397F"/>
    <w:rsid w:val="0079522C"/>
    <w:rsid w:val="007965F2"/>
    <w:rsid w:val="0079791A"/>
    <w:rsid w:val="00797B03"/>
    <w:rsid w:val="007A07C1"/>
    <w:rsid w:val="007A0B89"/>
    <w:rsid w:val="007A26CC"/>
    <w:rsid w:val="007A71AA"/>
    <w:rsid w:val="007B0124"/>
    <w:rsid w:val="007B5809"/>
    <w:rsid w:val="007B69BC"/>
    <w:rsid w:val="007C1533"/>
    <w:rsid w:val="007C16F5"/>
    <w:rsid w:val="007D2ACD"/>
    <w:rsid w:val="007D4EAC"/>
    <w:rsid w:val="007D4ED5"/>
    <w:rsid w:val="007D6D4C"/>
    <w:rsid w:val="007E07BD"/>
    <w:rsid w:val="007E2248"/>
    <w:rsid w:val="007E28A9"/>
    <w:rsid w:val="007E5168"/>
    <w:rsid w:val="007F0A91"/>
    <w:rsid w:val="007F4A0B"/>
    <w:rsid w:val="007F621C"/>
    <w:rsid w:val="008000A3"/>
    <w:rsid w:val="0080335B"/>
    <w:rsid w:val="0080485D"/>
    <w:rsid w:val="00804E30"/>
    <w:rsid w:val="00806F67"/>
    <w:rsid w:val="008077FD"/>
    <w:rsid w:val="00810239"/>
    <w:rsid w:val="00812BEB"/>
    <w:rsid w:val="008150D4"/>
    <w:rsid w:val="00820515"/>
    <w:rsid w:val="008216AF"/>
    <w:rsid w:val="00821AC6"/>
    <w:rsid w:val="00822184"/>
    <w:rsid w:val="008227BC"/>
    <w:rsid w:val="00823038"/>
    <w:rsid w:val="008253F9"/>
    <w:rsid w:val="00830A4C"/>
    <w:rsid w:val="00830ECD"/>
    <w:rsid w:val="00831913"/>
    <w:rsid w:val="00831B19"/>
    <w:rsid w:val="0083252A"/>
    <w:rsid w:val="00834298"/>
    <w:rsid w:val="008342EA"/>
    <w:rsid w:val="0083490C"/>
    <w:rsid w:val="00834947"/>
    <w:rsid w:val="00836073"/>
    <w:rsid w:val="00836945"/>
    <w:rsid w:val="00837E41"/>
    <w:rsid w:val="008428D6"/>
    <w:rsid w:val="00842C13"/>
    <w:rsid w:val="00842E67"/>
    <w:rsid w:val="008519D8"/>
    <w:rsid w:val="0085370C"/>
    <w:rsid w:val="00857227"/>
    <w:rsid w:val="008576A0"/>
    <w:rsid w:val="008616F4"/>
    <w:rsid w:val="008627C5"/>
    <w:rsid w:val="008634F7"/>
    <w:rsid w:val="0086423A"/>
    <w:rsid w:val="00864716"/>
    <w:rsid w:val="00864DD7"/>
    <w:rsid w:val="008671BE"/>
    <w:rsid w:val="00867337"/>
    <w:rsid w:val="008724C4"/>
    <w:rsid w:val="00874BA2"/>
    <w:rsid w:val="00874C61"/>
    <w:rsid w:val="00880E15"/>
    <w:rsid w:val="0088173E"/>
    <w:rsid w:val="008825A7"/>
    <w:rsid w:val="008855FB"/>
    <w:rsid w:val="00886B02"/>
    <w:rsid w:val="00887731"/>
    <w:rsid w:val="00887BE1"/>
    <w:rsid w:val="00890A0A"/>
    <w:rsid w:val="008939AA"/>
    <w:rsid w:val="008A1F4A"/>
    <w:rsid w:val="008A2BED"/>
    <w:rsid w:val="008A365A"/>
    <w:rsid w:val="008A53FE"/>
    <w:rsid w:val="008B3080"/>
    <w:rsid w:val="008B37A0"/>
    <w:rsid w:val="008C480D"/>
    <w:rsid w:val="008C59C4"/>
    <w:rsid w:val="008D0102"/>
    <w:rsid w:val="008D3BAC"/>
    <w:rsid w:val="008D3F16"/>
    <w:rsid w:val="008D51EB"/>
    <w:rsid w:val="008E0BFC"/>
    <w:rsid w:val="008E179D"/>
    <w:rsid w:val="008E1DF3"/>
    <w:rsid w:val="008E4354"/>
    <w:rsid w:val="008E6BE8"/>
    <w:rsid w:val="008F07DC"/>
    <w:rsid w:val="008F0FF5"/>
    <w:rsid w:val="008F10DF"/>
    <w:rsid w:val="008F180D"/>
    <w:rsid w:val="008F3D60"/>
    <w:rsid w:val="008F3D9E"/>
    <w:rsid w:val="008F4051"/>
    <w:rsid w:val="008F427D"/>
    <w:rsid w:val="008F7692"/>
    <w:rsid w:val="0090250F"/>
    <w:rsid w:val="0090299E"/>
    <w:rsid w:val="00904FC4"/>
    <w:rsid w:val="00905329"/>
    <w:rsid w:val="0090591A"/>
    <w:rsid w:val="009063C6"/>
    <w:rsid w:val="00910AC1"/>
    <w:rsid w:val="009129CE"/>
    <w:rsid w:val="00921707"/>
    <w:rsid w:val="00922269"/>
    <w:rsid w:val="009262E8"/>
    <w:rsid w:val="00927D9E"/>
    <w:rsid w:val="00931308"/>
    <w:rsid w:val="00932017"/>
    <w:rsid w:val="00933636"/>
    <w:rsid w:val="00933BD4"/>
    <w:rsid w:val="00935866"/>
    <w:rsid w:val="00935D02"/>
    <w:rsid w:val="00937C8A"/>
    <w:rsid w:val="0094004C"/>
    <w:rsid w:val="00941C9F"/>
    <w:rsid w:val="00942F2C"/>
    <w:rsid w:val="0094329C"/>
    <w:rsid w:val="00952A9C"/>
    <w:rsid w:val="00952C0B"/>
    <w:rsid w:val="00952F47"/>
    <w:rsid w:val="0095354B"/>
    <w:rsid w:val="00953861"/>
    <w:rsid w:val="009570CA"/>
    <w:rsid w:val="00962EFF"/>
    <w:rsid w:val="00963640"/>
    <w:rsid w:val="00966CDE"/>
    <w:rsid w:val="009703B2"/>
    <w:rsid w:val="009715E0"/>
    <w:rsid w:val="009739AE"/>
    <w:rsid w:val="00974BE2"/>
    <w:rsid w:val="009750AC"/>
    <w:rsid w:val="00975BFB"/>
    <w:rsid w:val="00980A0F"/>
    <w:rsid w:val="0098309B"/>
    <w:rsid w:val="00983B2C"/>
    <w:rsid w:val="00987799"/>
    <w:rsid w:val="0099056C"/>
    <w:rsid w:val="009919AA"/>
    <w:rsid w:val="0099398D"/>
    <w:rsid w:val="00995388"/>
    <w:rsid w:val="009953FD"/>
    <w:rsid w:val="00997EDE"/>
    <w:rsid w:val="009A117D"/>
    <w:rsid w:val="009A22D5"/>
    <w:rsid w:val="009A3438"/>
    <w:rsid w:val="009A42C8"/>
    <w:rsid w:val="009A4B31"/>
    <w:rsid w:val="009A4CB4"/>
    <w:rsid w:val="009A5384"/>
    <w:rsid w:val="009A6725"/>
    <w:rsid w:val="009A7777"/>
    <w:rsid w:val="009B014B"/>
    <w:rsid w:val="009B051B"/>
    <w:rsid w:val="009B1793"/>
    <w:rsid w:val="009B1A40"/>
    <w:rsid w:val="009B4469"/>
    <w:rsid w:val="009B53A2"/>
    <w:rsid w:val="009B7021"/>
    <w:rsid w:val="009B765C"/>
    <w:rsid w:val="009C26F1"/>
    <w:rsid w:val="009C2A7C"/>
    <w:rsid w:val="009C34B2"/>
    <w:rsid w:val="009C5DCA"/>
    <w:rsid w:val="009C7FFE"/>
    <w:rsid w:val="009D017B"/>
    <w:rsid w:val="009D034E"/>
    <w:rsid w:val="009D2185"/>
    <w:rsid w:val="009E028C"/>
    <w:rsid w:val="009E0C09"/>
    <w:rsid w:val="009E5766"/>
    <w:rsid w:val="00A006E3"/>
    <w:rsid w:val="00A00C99"/>
    <w:rsid w:val="00A02741"/>
    <w:rsid w:val="00A043B0"/>
    <w:rsid w:val="00A05327"/>
    <w:rsid w:val="00A056E3"/>
    <w:rsid w:val="00A05F21"/>
    <w:rsid w:val="00A0791F"/>
    <w:rsid w:val="00A07C27"/>
    <w:rsid w:val="00A12155"/>
    <w:rsid w:val="00A12996"/>
    <w:rsid w:val="00A14EAE"/>
    <w:rsid w:val="00A17881"/>
    <w:rsid w:val="00A22BF6"/>
    <w:rsid w:val="00A275B8"/>
    <w:rsid w:val="00A278E0"/>
    <w:rsid w:val="00A27B88"/>
    <w:rsid w:val="00A30125"/>
    <w:rsid w:val="00A30868"/>
    <w:rsid w:val="00A33D7D"/>
    <w:rsid w:val="00A362F8"/>
    <w:rsid w:val="00A40143"/>
    <w:rsid w:val="00A40A75"/>
    <w:rsid w:val="00A42BDF"/>
    <w:rsid w:val="00A44937"/>
    <w:rsid w:val="00A44E3B"/>
    <w:rsid w:val="00A45DFD"/>
    <w:rsid w:val="00A46A3A"/>
    <w:rsid w:val="00A500FF"/>
    <w:rsid w:val="00A5253E"/>
    <w:rsid w:val="00A55A45"/>
    <w:rsid w:val="00A5711C"/>
    <w:rsid w:val="00A57E58"/>
    <w:rsid w:val="00A60DD0"/>
    <w:rsid w:val="00A625CA"/>
    <w:rsid w:val="00A6453B"/>
    <w:rsid w:val="00A653EC"/>
    <w:rsid w:val="00A67B56"/>
    <w:rsid w:val="00A700BE"/>
    <w:rsid w:val="00A70CE3"/>
    <w:rsid w:val="00A71B91"/>
    <w:rsid w:val="00A72DB7"/>
    <w:rsid w:val="00A74BD3"/>
    <w:rsid w:val="00A76F4F"/>
    <w:rsid w:val="00A82690"/>
    <w:rsid w:val="00A831AF"/>
    <w:rsid w:val="00A85D90"/>
    <w:rsid w:val="00A91B23"/>
    <w:rsid w:val="00A972CE"/>
    <w:rsid w:val="00A972D4"/>
    <w:rsid w:val="00AA0D6D"/>
    <w:rsid w:val="00AA10E7"/>
    <w:rsid w:val="00AA178B"/>
    <w:rsid w:val="00AA2CFE"/>
    <w:rsid w:val="00AA3921"/>
    <w:rsid w:val="00AA5D9D"/>
    <w:rsid w:val="00AA78ED"/>
    <w:rsid w:val="00AB29F1"/>
    <w:rsid w:val="00AB44FD"/>
    <w:rsid w:val="00AB6ECE"/>
    <w:rsid w:val="00AB71EA"/>
    <w:rsid w:val="00AB71F9"/>
    <w:rsid w:val="00AC040B"/>
    <w:rsid w:val="00AC0A2C"/>
    <w:rsid w:val="00AC2277"/>
    <w:rsid w:val="00AC3168"/>
    <w:rsid w:val="00AC42FE"/>
    <w:rsid w:val="00AD00BD"/>
    <w:rsid w:val="00AD0A41"/>
    <w:rsid w:val="00AD52BC"/>
    <w:rsid w:val="00AD6522"/>
    <w:rsid w:val="00AE298D"/>
    <w:rsid w:val="00AE35C9"/>
    <w:rsid w:val="00AF4020"/>
    <w:rsid w:val="00AF47B3"/>
    <w:rsid w:val="00AF4FCA"/>
    <w:rsid w:val="00AF620F"/>
    <w:rsid w:val="00AF73C4"/>
    <w:rsid w:val="00B01A2E"/>
    <w:rsid w:val="00B04BED"/>
    <w:rsid w:val="00B07B9E"/>
    <w:rsid w:val="00B134B1"/>
    <w:rsid w:val="00B15ED1"/>
    <w:rsid w:val="00B15F19"/>
    <w:rsid w:val="00B17030"/>
    <w:rsid w:val="00B1759A"/>
    <w:rsid w:val="00B17BD7"/>
    <w:rsid w:val="00B240B8"/>
    <w:rsid w:val="00B2502A"/>
    <w:rsid w:val="00B34CBD"/>
    <w:rsid w:val="00B3586C"/>
    <w:rsid w:val="00B35E7D"/>
    <w:rsid w:val="00B4211C"/>
    <w:rsid w:val="00B43C06"/>
    <w:rsid w:val="00B43CA1"/>
    <w:rsid w:val="00B44026"/>
    <w:rsid w:val="00B50035"/>
    <w:rsid w:val="00B50633"/>
    <w:rsid w:val="00B525C5"/>
    <w:rsid w:val="00B5293C"/>
    <w:rsid w:val="00B53142"/>
    <w:rsid w:val="00B54C11"/>
    <w:rsid w:val="00B55342"/>
    <w:rsid w:val="00B5689A"/>
    <w:rsid w:val="00B57459"/>
    <w:rsid w:val="00B577C5"/>
    <w:rsid w:val="00B62BA5"/>
    <w:rsid w:val="00B639C3"/>
    <w:rsid w:val="00B653AB"/>
    <w:rsid w:val="00B65C3C"/>
    <w:rsid w:val="00B66886"/>
    <w:rsid w:val="00B66A97"/>
    <w:rsid w:val="00B679F6"/>
    <w:rsid w:val="00B67B9C"/>
    <w:rsid w:val="00B67BF1"/>
    <w:rsid w:val="00B67C2F"/>
    <w:rsid w:val="00B701AA"/>
    <w:rsid w:val="00B70BA9"/>
    <w:rsid w:val="00B70FDE"/>
    <w:rsid w:val="00B7138F"/>
    <w:rsid w:val="00B71AC4"/>
    <w:rsid w:val="00B7323E"/>
    <w:rsid w:val="00B73501"/>
    <w:rsid w:val="00B73DFD"/>
    <w:rsid w:val="00B77A90"/>
    <w:rsid w:val="00B86C1B"/>
    <w:rsid w:val="00B86F04"/>
    <w:rsid w:val="00B87555"/>
    <w:rsid w:val="00B91051"/>
    <w:rsid w:val="00B9331D"/>
    <w:rsid w:val="00B941A1"/>
    <w:rsid w:val="00B97DAD"/>
    <w:rsid w:val="00BA5C0C"/>
    <w:rsid w:val="00BA6445"/>
    <w:rsid w:val="00BA6959"/>
    <w:rsid w:val="00BA764C"/>
    <w:rsid w:val="00BB19F1"/>
    <w:rsid w:val="00BC07F0"/>
    <w:rsid w:val="00BC31F1"/>
    <w:rsid w:val="00BC38C7"/>
    <w:rsid w:val="00BC3FE2"/>
    <w:rsid w:val="00BC4A51"/>
    <w:rsid w:val="00BC4DCB"/>
    <w:rsid w:val="00BC5FB4"/>
    <w:rsid w:val="00BD212A"/>
    <w:rsid w:val="00BD2A87"/>
    <w:rsid w:val="00BD64F2"/>
    <w:rsid w:val="00BE0B54"/>
    <w:rsid w:val="00BE0D34"/>
    <w:rsid w:val="00BE0DBC"/>
    <w:rsid w:val="00BE2A0E"/>
    <w:rsid w:val="00BE3994"/>
    <w:rsid w:val="00BE5517"/>
    <w:rsid w:val="00BE60C1"/>
    <w:rsid w:val="00BF5980"/>
    <w:rsid w:val="00C02B85"/>
    <w:rsid w:val="00C03C20"/>
    <w:rsid w:val="00C059E9"/>
    <w:rsid w:val="00C06233"/>
    <w:rsid w:val="00C107BA"/>
    <w:rsid w:val="00C13F67"/>
    <w:rsid w:val="00C15C9C"/>
    <w:rsid w:val="00C15F04"/>
    <w:rsid w:val="00C166BC"/>
    <w:rsid w:val="00C20FB8"/>
    <w:rsid w:val="00C20FFF"/>
    <w:rsid w:val="00C229C5"/>
    <w:rsid w:val="00C2354A"/>
    <w:rsid w:val="00C2434E"/>
    <w:rsid w:val="00C32C50"/>
    <w:rsid w:val="00C332C6"/>
    <w:rsid w:val="00C34FEB"/>
    <w:rsid w:val="00C35CA2"/>
    <w:rsid w:val="00C35E30"/>
    <w:rsid w:val="00C3676A"/>
    <w:rsid w:val="00C3758F"/>
    <w:rsid w:val="00C37FE6"/>
    <w:rsid w:val="00C4181D"/>
    <w:rsid w:val="00C41906"/>
    <w:rsid w:val="00C45E7F"/>
    <w:rsid w:val="00C4713C"/>
    <w:rsid w:val="00C512D2"/>
    <w:rsid w:val="00C51AC4"/>
    <w:rsid w:val="00C51BE0"/>
    <w:rsid w:val="00C52EE1"/>
    <w:rsid w:val="00C5340F"/>
    <w:rsid w:val="00C5412D"/>
    <w:rsid w:val="00C55FB6"/>
    <w:rsid w:val="00C569A8"/>
    <w:rsid w:val="00C5777E"/>
    <w:rsid w:val="00C57A3A"/>
    <w:rsid w:val="00C60726"/>
    <w:rsid w:val="00C616C7"/>
    <w:rsid w:val="00C618C5"/>
    <w:rsid w:val="00C62666"/>
    <w:rsid w:val="00C63F70"/>
    <w:rsid w:val="00C645CD"/>
    <w:rsid w:val="00C65812"/>
    <w:rsid w:val="00C658BA"/>
    <w:rsid w:val="00C6666C"/>
    <w:rsid w:val="00C6673A"/>
    <w:rsid w:val="00C67911"/>
    <w:rsid w:val="00C77342"/>
    <w:rsid w:val="00C80604"/>
    <w:rsid w:val="00C81071"/>
    <w:rsid w:val="00C82641"/>
    <w:rsid w:val="00C84F74"/>
    <w:rsid w:val="00C85A1F"/>
    <w:rsid w:val="00C862E3"/>
    <w:rsid w:val="00C86B75"/>
    <w:rsid w:val="00C929AE"/>
    <w:rsid w:val="00C950EF"/>
    <w:rsid w:val="00C96261"/>
    <w:rsid w:val="00C97817"/>
    <w:rsid w:val="00C97F3D"/>
    <w:rsid w:val="00CA0C7A"/>
    <w:rsid w:val="00CA0D84"/>
    <w:rsid w:val="00CA12D5"/>
    <w:rsid w:val="00CA2E02"/>
    <w:rsid w:val="00CA4BD7"/>
    <w:rsid w:val="00CA5971"/>
    <w:rsid w:val="00CB0703"/>
    <w:rsid w:val="00CB1D46"/>
    <w:rsid w:val="00CB5191"/>
    <w:rsid w:val="00CC0F93"/>
    <w:rsid w:val="00CC1A02"/>
    <w:rsid w:val="00CC36E8"/>
    <w:rsid w:val="00CC50DA"/>
    <w:rsid w:val="00CC5F2F"/>
    <w:rsid w:val="00CC6CC3"/>
    <w:rsid w:val="00CC6FD2"/>
    <w:rsid w:val="00CD3026"/>
    <w:rsid w:val="00CD34D7"/>
    <w:rsid w:val="00CD460B"/>
    <w:rsid w:val="00CE4252"/>
    <w:rsid w:val="00CE49A2"/>
    <w:rsid w:val="00CE4E69"/>
    <w:rsid w:val="00CE5116"/>
    <w:rsid w:val="00CE55FE"/>
    <w:rsid w:val="00CE6325"/>
    <w:rsid w:val="00CE6E8F"/>
    <w:rsid w:val="00CF1B5B"/>
    <w:rsid w:val="00CF1CF4"/>
    <w:rsid w:val="00CF4354"/>
    <w:rsid w:val="00CF4A80"/>
    <w:rsid w:val="00CF56B9"/>
    <w:rsid w:val="00CF7A86"/>
    <w:rsid w:val="00D00260"/>
    <w:rsid w:val="00D014D0"/>
    <w:rsid w:val="00D01B7C"/>
    <w:rsid w:val="00D05483"/>
    <w:rsid w:val="00D0591B"/>
    <w:rsid w:val="00D17B19"/>
    <w:rsid w:val="00D208C7"/>
    <w:rsid w:val="00D22B0B"/>
    <w:rsid w:val="00D24716"/>
    <w:rsid w:val="00D25B6E"/>
    <w:rsid w:val="00D25D94"/>
    <w:rsid w:val="00D265C6"/>
    <w:rsid w:val="00D27B06"/>
    <w:rsid w:val="00D320D6"/>
    <w:rsid w:val="00D327D1"/>
    <w:rsid w:val="00D33358"/>
    <w:rsid w:val="00D34C0B"/>
    <w:rsid w:val="00D35AF7"/>
    <w:rsid w:val="00D35C2A"/>
    <w:rsid w:val="00D4072E"/>
    <w:rsid w:val="00D437FA"/>
    <w:rsid w:val="00D44955"/>
    <w:rsid w:val="00D47280"/>
    <w:rsid w:val="00D62A33"/>
    <w:rsid w:val="00D67F43"/>
    <w:rsid w:val="00D71F1E"/>
    <w:rsid w:val="00D723F4"/>
    <w:rsid w:val="00D75E8C"/>
    <w:rsid w:val="00D77EC6"/>
    <w:rsid w:val="00D806DD"/>
    <w:rsid w:val="00D81CE0"/>
    <w:rsid w:val="00D83FF6"/>
    <w:rsid w:val="00D866B1"/>
    <w:rsid w:val="00D86921"/>
    <w:rsid w:val="00D86C71"/>
    <w:rsid w:val="00D86D09"/>
    <w:rsid w:val="00D937F5"/>
    <w:rsid w:val="00D95A18"/>
    <w:rsid w:val="00D95C37"/>
    <w:rsid w:val="00D95D9E"/>
    <w:rsid w:val="00DA213E"/>
    <w:rsid w:val="00DA289A"/>
    <w:rsid w:val="00DA3259"/>
    <w:rsid w:val="00DA3CF3"/>
    <w:rsid w:val="00DA5A11"/>
    <w:rsid w:val="00DB4F42"/>
    <w:rsid w:val="00DC005D"/>
    <w:rsid w:val="00DC2A16"/>
    <w:rsid w:val="00DC6AAA"/>
    <w:rsid w:val="00DC70B5"/>
    <w:rsid w:val="00DD30D9"/>
    <w:rsid w:val="00DD55A8"/>
    <w:rsid w:val="00DD5F2C"/>
    <w:rsid w:val="00DD76B3"/>
    <w:rsid w:val="00DD7ACD"/>
    <w:rsid w:val="00DE1D71"/>
    <w:rsid w:val="00DE249C"/>
    <w:rsid w:val="00DE316B"/>
    <w:rsid w:val="00DE53FE"/>
    <w:rsid w:val="00DE69F0"/>
    <w:rsid w:val="00DE6D00"/>
    <w:rsid w:val="00DF04B9"/>
    <w:rsid w:val="00DF42CD"/>
    <w:rsid w:val="00DF5951"/>
    <w:rsid w:val="00DF6F9B"/>
    <w:rsid w:val="00DF7E21"/>
    <w:rsid w:val="00E0750A"/>
    <w:rsid w:val="00E1426B"/>
    <w:rsid w:val="00E155CD"/>
    <w:rsid w:val="00E16C67"/>
    <w:rsid w:val="00E17214"/>
    <w:rsid w:val="00E17691"/>
    <w:rsid w:val="00E229BF"/>
    <w:rsid w:val="00E24C16"/>
    <w:rsid w:val="00E25C39"/>
    <w:rsid w:val="00E32172"/>
    <w:rsid w:val="00E322C5"/>
    <w:rsid w:val="00E35461"/>
    <w:rsid w:val="00E35E57"/>
    <w:rsid w:val="00E3604B"/>
    <w:rsid w:val="00E36229"/>
    <w:rsid w:val="00E36DC8"/>
    <w:rsid w:val="00E37BA1"/>
    <w:rsid w:val="00E4007B"/>
    <w:rsid w:val="00E40405"/>
    <w:rsid w:val="00E42DF6"/>
    <w:rsid w:val="00E438A1"/>
    <w:rsid w:val="00E4564C"/>
    <w:rsid w:val="00E46FEC"/>
    <w:rsid w:val="00E51B00"/>
    <w:rsid w:val="00E52C56"/>
    <w:rsid w:val="00E53316"/>
    <w:rsid w:val="00E54CCE"/>
    <w:rsid w:val="00E62B63"/>
    <w:rsid w:val="00E63702"/>
    <w:rsid w:val="00E63994"/>
    <w:rsid w:val="00E643A6"/>
    <w:rsid w:val="00E6637B"/>
    <w:rsid w:val="00E7280A"/>
    <w:rsid w:val="00E73316"/>
    <w:rsid w:val="00E74351"/>
    <w:rsid w:val="00E77548"/>
    <w:rsid w:val="00E81C83"/>
    <w:rsid w:val="00E9400E"/>
    <w:rsid w:val="00E94535"/>
    <w:rsid w:val="00E94956"/>
    <w:rsid w:val="00E94B19"/>
    <w:rsid w:val="00EA1E44"/>
    <w:rsid w:val="00EA3840"/>
    <w:rsid w:val="00EA3A2D"/>
    <w:rsid w:val="00EA6CFB"/>
    <w:rsid w:val="00EA7544"/>
    <w:rsid w:val="00EB01CA"/>
    <w:rsid w:val="00EB06EC"/>
    <w:rsid w:val="00EB0A06"/>
    <w:rsid w:val="00EB17F5"/>
    <w:rsid w:val="00EB23FD"/>
    <w:rsid w:val="00EB3267"/>
    <w:rsid w:val="00EB3895"/>
    <w:rsid w:val="00EB519C"/>
    <w:rsid w:val="00EB5FCD"/>
    <w:rsid w:val="00EC2220"/>
    <w:rsid w:val="00EC5A15"/>
    <w:rsid w:val="00ED378B"/>
    <w:rsid w:val="00ED3AE2"/>
    <w:rsid w:val="00ED5D7B"/>
    <w:rsid w:val="00ED7240"/>
    <w:rsid w:val="00ED7DD7"/>
    <w:rsid w:val="00EE148F"/>
    <w:rsid w:val="00EE5000"/>
    <w:rsid w:val="00EE604F"/>
    <w:rsid w:val="00EE725C"/>
    <w:rsid w:val="00EF03F5"/>
    <w:rsid w:val="00EF0D47"/>
    <w:rsid w:val="00EF41E8"/>
    <w:rsid w:val="00EF66D2"/>
    <w:rsid w:val="00EF7412"/>
    <w:rsid w:val="00EF797F"/>
    <w:rsid w:val="00F011E3"/>
    <w:rsid w:val="00F03ED5"/>
    <w:rsid w:val="00F04300"/>
    <w:rsid w:val="00F04E80"/>
    <w:rsid w:val="00F05AD3"/>
    <w:rsid w:val="00F07C01"/>
    <w:rsid w:val="00F13B12"/>
    <w:rsid w:val="00F22B3F"/>
    <w:rsid w:val="00F2565C"/>
    <w:rsid w:val="00F329E6"/>
    <w:rsid w:val="00F33880"/>
    <w:rsid w:val="00F369C1"/>
    <w:rsid w:val="00F4078C"/>
    <w:rsid w:val="00F418DD"/>
    <w:rsid w:val="00F41BA8"/>
    <w:rsid w:val="00F43A28"/>
    <w:rsid w:val="00F45876"/>
    <w:rsid w:val="00F47F15"/>
    <w:rsid w:val="00F47FFE"/>
    <w:rsid w:val="00F53FE3"/>
    <w:rsid w:val="00F56258"/>
    <w:rsid w:val="00F60252"/>
    <w:rsid w:val="00F6251C"/>
    <w:rsid w:val="00F63368"/>
    <w:rsid w:val="00F66235"/>
    <w:rsid w:val="00F7064F"/>
    <w:rsid w:val="00F71EE5"/>
    <w:rsid w:val="00F739BD"/>
    <w:rsid w:val="00F764E8"/>
    <w:rsid w:val="00F76A94"/>
    <w:rsid w:val="00F77B97"/>
    <w:rsid w:val="00F81167"/>
    <w:rsid w:val="00F81A54"/>
    <w:rsid w:val="00F85BB1"/>
    <w:rsid w:val="00F87F86"/>
    <w:rsid w:val="00F96B28"/>
    <w:rsid w:val="00FA0323"/>
    <w:rsid w:val="00FA0CA8"/>
    <w:rsid w:val="00FA2281"/>
    <w:rsid w:val="00FA3265"/>
    <w:rsid w:val="00FA5216"/>
    <w:rsid w:val="00FA590B"/>
    <w:rsid w:val="00FA5C34"/>
    <w:rsid w:val="00FA6705"/>
    <w:rsid w:val="00FA7611"/>
    <w:rsid w:val="00FB4815"/>
    <w:rsid w:val="00FB4F56"/>
    <w:rsid w:val="00FB5DEF"/>
    <w:rsid w:val="00FC0920"/>
    <w:rsid w:val="00FC20CE"/>
    <w:rsid w:val="00FC30A3"/>
    <w:rsid w:val="00FC3C44"/>
    <w:rsid w:val="00FC44C6"/>
    <w:rsid w:val="00FC5E20"/>
    <w:rsid w:val="00FC5E83"/>
    <w:rsid w:val="00FC7577"/>
    <w:rsid w:val="00FC79EC"/>
    <w:rsid w:val="00FD0242"/>
    <w:rsid w:val="00FD3D8F"/>
    <w:rsid w:val="00FD5E3E"/>
    <w:rsid w:val="00FE00F7"/>
    <w:rsid w:val="00FF2A24"/>
    <w:rsid w:val="00FF3E51"/>
    <w:rsid w:val="00FF65CA"/>
    <w:rsid w:val="00FF7197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CF7B4"/>
  <w15:chartTrackingRefBased/>
  <w15:docId w15:val="{4EB90BF0-443A-4696-85AE-82AC8046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33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6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0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6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0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E60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BE60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0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ss-901oao">
    <w:name w:val="css-901oao"/>
    <w:basedOn w:val="Domylnaczcionkaakapitu"/>
    <w:rsid w:val="002E698D"/>
  </w:style>
  <w:style w:type="paragraph" w:styleId="NormalnyWeb">
    <w:name w:val="Normal (Web)"/>
    <w:basedOn w:val="Normalny"/>
    <w:uiPriority w:val="99"/>
    <w:unhideWhenUsed/>
    <w:qFormat/>
    <w:rsid w:val="009D2185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1E30B2"/>
  </w:style>
  <w:style w:type="paragraph" w:customStyle="1" w:styleId="Tre">
    <w:name w:val="Treść"/>
    <w:rsid w:val="005F254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20" w:lineRule="atLeast"/>
    </w:pPr>
    <w:rPr>
      <w:rFonts w:ascii="Tahoma" w:eastAsia="Tahoma" w:hAnsi="Tahoma" w:cs="Tahoma"/>
      <w:color w:val="000000"/>
      <w:sz w:val="20"/>
      <w:szCs w:val="2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A">
    <w:name w:val="Brak A"/>
    <w:rsid w:val="005F254C"/>
    <w:rPr>
      <w:lang w:val="it-IT"/>
    </w:rPr>
  </w:style>
  <w:style w:type="character" w:styleId="Hipercze">
    <w:name w:val="Hyperlink"/>
    <w:basedOn w:val="Domylnaczcionkaakapitu"/>
    <w:uiPriority w:val="99"/>
    <w:unhideWhenUsed/>
    <w:rsid w:val="001B6E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E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6EFB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46A3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D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D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D14"/>
    <w:rPr>
      <w:sz w:val="16"/>
      <w:szCs w:val="16"/>
    </w:rPr>
  </w:style>
  <w:style w:type="paragraph" w:customStyle="1" w:styleId="paragraph">
    <w:name w:val="paragraph"/>
    <w:basedOn w:val="Normalny"/>
    <w:rsid w:val="0040126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401266"/>
  </w:style>
  <w:style w:type="character" w:customStyle="1" w:styleId="spellingerror">
    <w:name w:val="spellingerror"/>
    <w:basedOn w:val="Domylnaczcionkaakapitu"/>
    <w:rsid w:val="00401266"/>
  </w:style>
  <w:style w:type="character" w:customStyle="1" w:styleId="eop">
    <w:name w:val="eop"/>
    <w:basedOn w:val="Domylnaczcionkaakapitu"/>
    <w:rsid w:val="004012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4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4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rticle-lead">
    <w:name w:val="article-lead"/>
    <w:basedOn w:val="Normalny"/>
    <w:rsid w:val="004C7844"/>
    <w:pPr>
      <w:spacing w:before="100" w:beforeAutospacing="1" w:after="100" w:afterAutospacing="1"/>
    </w:pPr>
  </w:style>
  <w:style w:type="character" w:customStyle="1" w:styleId="lead">
    <w:name w:val="lead"/>
    <w:basedOn w:val="Domylnaczcionkaakapitu"/>
    <w:rsid w:val="00465E2C"/>
  </w:style>
  <w:style w:type="paragraph" w:styleId="Zwykytekst">
    <w:name w:val="Plain Text"/>
    <w:basedOn w:val="Normalny"/>
    <w:link w:val="ZwykytekstZnak"/>
    <w:uiPriority w:val="99"/>
    <w:semiHidden/>
    <w:unhideWhenUsed/>
    <w:rsid w:val="00E42DF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2DF6"/>
    <w:rPr>
      <w:rFonts w:ascii="Calibri" w:hAnsi="Calibri"/>
      <w:szCs w:val="21"/>
    </w:rPr>
  </w:style>
  <w:style w:type="paragraph" w:customStyle="1" w:styleId="ManualConsidrant">
    <w:name w:val="Manual Considérant"/>
    <w:basedOn w:val="Normalny"/>
    <w:rsid w:val="00FA5C34"/>
    <w:pPr>
      <w:spacing w:before="120" w:after="120"/>
      <w:ind w:left="709" w:hanging="709"/>
      <w:jc w:val="both"/>
    </w:pPr>
    <w:rPr>
      <w:rFonts w:eastAsiaTheme="minorHAnsi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933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articlebodyblock">
    <w:name w:val="articlebodyblock"/>
    <w:basedOn w:val="Normalny"/>
    <w:rsid w:val="001329A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47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D5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ewiatan@lewiatan.or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BFB34-EAAF-459F-83D4-5558B6BD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1813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stanowiska@lewiatan.org</cp:lastModifiedBy>
  <cp:revision>11</cp:revision>
  <cp:lastPrinted>2023-01-19T17:14:00Z</cp:lastPrinted>
  <dcterms:created xsi:type="dcterms:W3CDTF">2023-06-23T06:55:00Z</dcterms:created>
  <dcterms:modified xsi:type="dcterms:W3CDTF">2023-06-23T15:38:00Z</dcterms:modified>
</cp:coreProperties>
</file>