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160894EF" w:rsidR="00C93278" w:rsidRPr="00FC701A" w:rsidRDefault="00CA2841" w:rsidP="00FC701A">
      <w:pPr>
        <w:pStyle w:val="Bezodstpw"/>
        <w:jc w:val="center"/>
        <w:rPr>
          <w:b/>
          <w:bCs/>
        </w:rPr>
      </w:pPr>
      <w:bookmarkStart w:id="0" w:name="_Hlk107398740"/>
      <w:r w:rsidRPr="00FC701A">
        <w:rPr>
          <w:b/>
          <w:bCs/>
        </w:rPr>
        <w:t>Uwagi</w:t>
      </w:r>
      <w:r w:rsidR="00D54DFF" w:rsidRPr="00FC701A">
        <w:rPr>
          <w:b/>
          <w:bCs/>
        </w:rPr>
        <w:t xml:space="preserve"> Konfederacji Lewiatan</w:t>
      </w:r>
    </w:p>
    <w:p w14:paraId="304455B3" w14:textId="7987ED69" w:rsidR="00CA2841" w:rsidRPr="00FC701A" w:rsidRDefault="00231D82" w:rsidP="00FC701A">
      <w:pPr>
        <w:pStyle w:val="Bezodstpw"/>
        <w:jc w:val="center"/>
        <w:rPr>
          <w:b/>
          <w:bCs/>
        </w:rPr>
      </w:pPr>
      <w:r w:rsidRPr="00FC701A">
        <w:rPr>
          <w:b/>
          <w:bCs/>
        </w:rPr>
        <w:t>do projektu rozporządzeni</w:t>
      </w:r>
      <w:r w:rsidR="00152477" w:rsidRPr="00FC701A">
        <w:rPr>
          <w:b/>
          <w:bCs/>
        </w:rPr>
        <w:t xml:space="preserve">a Ministra Klimatu i Środowiska </w:t>
      </w:r>
      <w:r w:rsidR="00D806F4" w:rsidRPr="00FC701A">
        <w:rPr>
          <w:b/>
          <w:bCs/>
        </w:rPr>
        <w:t xml:space="preserve">w sprawie </w:t>
      </w:r>
      <w:r w:rsidR="003F3ADC" w:rsidRPr="00FC701A">
        <w:rPr>
          <w:b/>
          <w:bCs/>
        </w:rPr>
        <w:t>wysokości kaucji dla poszczególnych rodzajów opakowań</w:t>
      </w:r>
      <w:r w:rsidR="003F3ADC" w:rsidRPr="00FC701A">
        <w:rPr>
          <w:b/>
          <w:bCs/>
        </w:rPr>
        <w:br/>
        <w:t>objętych systemem kaucyjnym</w:t>
      </w:r>
      <w:r w:rsidR="004071BF" w:rsidRPr="00FC701A">
        <w:rPr>
          <w:b/>
          <w:bCs/>
        </w:rPr>
        <w:br/>
      </w:r>
      <w:r w:rsidR="00B91BB7" w:rsidRPr="00FC701A">
        <w:rPr>
          <w:b/>
          <w:bCs/>
        </w:rPr>
        <w:t>(</w:t>
      </w:r>
      <w:r w:rsidR="007362C7" w:rsidRPr="00FC701A">
        <w:rPr>
          <w:b/>
          <w:bCs/>
        </w:rPr>
        <w:t>numer 11</w:t>
      </w:r>
      <w:r w:rsidR="003F3ADC" w:rsidRPr="00FC701A">
        <w:rPr>
          <w:b/>
          <w:bCs/>
        </w:rPr>
        <w:t>51</w:t>
      </w:r>
      <w:r w:rsidR="001F7EB8" w:rsidRPr="00FC701A">
        <w:rPr>
          <w:b/>
          <w:bCs/>
        </w:rPr>
        <w:t xml:space="preserve"> w Wykazie prac legislacyjnych </w:t>
      </w:r>
      <w:proofErr w:type="spellStart"/>
      <w:r w:rsidR="001F7EB8" w:rsidRPr="00FC701A">
        <w:rPr>
          <w:b/>
          <w:bCs/>
        </w:rPr>
        <w:t>MKiŚ</w:t>
      </w:r>
      <w:proofErr w:type="spellEnd"/>
      <w:r w:rsidR="00B91BB7" w:rsidRPr="00FC701A">
        <w:rPr>
          <w:b/>
          <w:bCs/>
        </w:rPr>
        <w:t>)</w:t>
      </w:r>
    </w:p>
    <w:p w14:paraId="711D6FEE" w14:textId="77777777" w:rsidR="00CA2841" w:rsidRPr="001C3156" w:rsidRDefault="00CA2841" w:rsidP="00FC701A">
      <w:pPr>
        <w:pStyle w:val="Bezodstpw"/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15"/>
        <w:gridCol w:w="2880"/>
        <w:gridCol w:w="3345"/>
        <w:gridCol w:w="6037"/>
      </w:tblGrid>
      <w:tr w:rsidR="0090574C" w:rsidRPr="001C3156" w14:paraId="47E9ED08" w14:textId="77777777" w:rsidTr="08D4C5D0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1C3156" w:rsidRDefault="0090574C" w:rsidP="00FC701A">
            <w:pPr>
              <w:pStyle w:val="Bezodstpw"/>
            </w:pPr>
            <w:r w:rsidRPr="001C3156">
              <w:t>Lp.</w:t>
            </w:r>
          </w:p>
        </w:tc>
        <w:tc>
          <w:tcPr>
            <w:tcW w:w="1701" w:type="dxa"/>
          </w:tcPr>
          <w:p w14:paraId="0FAF4510" w14:textId="4FD6EB74" w:rsidR="0090574C" w:rsidRPr="001C3156" w:rsidRDefault="0090574C" w:rsidP="00FC701A">
            <w:pPr>
              <w:pStyle w:val="Bezodstpw"/>
            </w:pPr>
            <w:r w:rsidRPr="001C3156">
              <w:t>Podmiot wnoszący uwag</w:t>
            </w:r>
            <w:r w:rsidR="00B91BB7" w:rsidRPr="001C3156">
              <w:t>ę</w:t>
            </w:r>
          </w:p>
        </w:tc>
        <w:tc>
          <w:tcPr>
            <w:tcW w:w="1215" w:type="dxa"/>
          </w:tcPr>
          <w:p w14:paraId="51F92737" w14:textId="48E4A866" w:rsidR="0090574C" w:rsidRPr="001C3156" w:rsidRDefault="0090574C" w:rsidP="00FC701A">
            <w:pPr>
              <w:pStyle w:val="Bezodstpw"/>
            </w:pPr>
            <w:r w:rsidRPr="001C3156">
              <w:t>Jednostka redakcyjna, do której wnoszon</w:t>
            </w:r>
            <w:r w:rsidR="00B91BB7" w:rsidRPr="001C3156">
              <w:t>a jest</w:t>
            </w:r>
            <w:r w:rsidRPr="001C3156">
              <w:t xml:space="preserve"> uwag</w:t>
            </w:r>
            <w:r w:rsidR="00B91BB7" w:rsidRPr="001C3156">
              <w:t>a</w:t>
            </w:r>
            <w:r w:rsidR="004F2D1D" w:rsidRPr="001C3156">
              <w:rPr>
                <w:rStyle w:val="Odwoanieprzypisudolnego"/>
                <w:rFonts w:cstheme="minorHAnsi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2880" w:type="dxa"/>
          </w:tcPr>
          <w:p w14:paraId="74AACE5A" w14:textId="0BDDBBD7" w:rsidR="0090574C" w:rsidRPr="001C3156" w:rsidRDefault="0090574C" w:rsidP="00FC701A">
            <w:pPr>
              <w:pStyle w:val="Bezodstpw"/>
            </w:pPr>
            <w:r w:rsidRPr="001C3156">
              <w:t>Treść uwagi</w:t>
            </w:r>
          </w:p>
        </w:tc>
        <w:tc>
          <w:tcPr>
            <w:tcW w:w="3345" w:type="dxa"/>
          </w:tcPr>
          <w:p w14:paraId="7C9E6D74" w14:textId="597CDAA9" w:rsidR="0090574C" w:rsidRPr="001C3156" w:rsidRDefault="0090574C" w:rsidP="00FC701A">
            <w:pPr>
              <w:pStyle w:val="Bezodstpw"/>
            </w:pPr>
            <w:r w:rsidRPr="001C3156">
              <w:t xml:space="preserve">Propozycja </w:t>
            </w:r>
            <w:r w:rsidR="00773DAD" w:rsidRPr="001C3156">
              <w:t>brzmienia</w:t>
            </w:r>
            <w:r w:rsidR="00C93278" w:rsidRPr="001C3156">
              <w:t xml:space="preserve"> przepisu</w:t>
            </w:r>
          </w:p>
        </w:tc>
        <w:tc>
          <w:tcPr>
            <w:tcW w:w="6037" w:type="dxa"/>
          </w:tcPr>
          <w:p w14:paraId="2C049C38" w14:textId="382C7B91" w:rsidR="0090574C" w:rsidRPr="001C3156" w:rsidRDefault="0090574C" w:rsidP="00FC701A">
            <w:pPr>
              <w:pStyle w:val="Bezodstpw"/>
            </w:pPr>
            <w:r w:rsidRPr="001C3156">
              <w:t>Stanowisko do uwagi</w:t>
            </w:r>
          </w:p>
        </w:tc>
      </w:tr>
      <w:tr w:rsidR="0090574C" w:rsidRPr="001C3156" w14:paraId="27D19DF6" w14:textId="77777777" w:rsidTr="08D4C5D0">
        <w:tc>
          <w:tcPr>
            <w:tcW w:w="562" w:type="dxa"/>
          </w:tcPr>
          <w:p w14:paraId="743719D4" w14:textId="77777777" w:rsidR="0090574C" w:rsidRPr="001C3156" w:rsidRDefault="0090574C" w:rsidP="00FC701A">
            <w:pPr>
              <w:pStyle w:val="Bezodstpw"/>
            </w:pPr>
            <w:r w:rsidRPr="001C3156">
              <w:t>1</w:t>
            </w:r>
          </w:p>
        </w:tc>
        <w:tc>
          <w:tcPr>
            <w:tcW w:w="1701" w:type="dxa"/>
          </w:tcPr>
          <w:p w14:paraId="00E6D6A0" w14:textId="7639C6B8" w:rsidR="0090574C" w:rsidRPr="001C3156" w:rsidRDefault="00DE1089" w:rsidP="00FC701A">
            <w:pPr>
              <w:pStyle w:val="Bezodstpw"/>
              <w:rPr>
                <w:highlight w:val="yellow"/>
              </w:rPr>
            </w:pPr>
            <w:r w:rsidRPr="001C3156">
              <w:t>Konfederacja Lewiatan</w:t>
            </w:r>
          </w:p>
        </w:tc>
        <w:tc>
          <w:tcPr>
            <w:tcW w:w="1215" w:type="dxa"/>
          </w:tcPr>
          <w:p w14:paraId="32C46E4D" w14:textId="207CC43B" w:rsidR="0090574C" w:rsidRPr="001C3156" w:rsidRDefault="776024A5" w:rsidP="00FC701A">
            <w:pPr>
              <w:pStyle w:val="Bezodstpw"/>
            </w:pPr>
            <w:r w:rsidRPr="001C3156">
              <w:t>Paragraf 1</w:t>
            </w:r>
          </w:p>
        </w:tc>
        <w:tc>
          <w:tcPr>
            <w:tcW w:w="2880" w:type="dxa"/>
          </w:tcPr>
          <w:p w14:paraId="473A40F5" w14:textId="5116C613" w:rsidR="0090574C" w:rsidRPr="001C3156" w:rsidRDefault="00636D0B" w:rsidP="00FC701A">
            <w:pPr>
              <w:pStyle w:val="Bezodstpw"/>
            </w:pPr>
            <w:r w:rsidRPr="001C3156">
              <w:rPr>
                <w:rFonts w:eastAsia="Times New Roman"/>
              </w:rPr>
              <w:t>Postulujemy p</w:t>
            </w:r>
            <w:r w:rsidR="776024A5" w:rsidRPr="001C3156">
              <w:rPr>
                <w:rFonts w:eastAsia="Times New Roman"/>
              </w:rPr>
              <w:t>odniesienie wysokości kaucji dla, butelek szklanych wielokrotnego użytku o pojemności do półtora litra, z proponowanych w projekcie rozporządzenia 0,5 zł do 1 zł</w:t>
            </w:r>
            <w:r w:rsidR="008E632C" w:rsidRPr="001C3156">
              <w:rPr>
                <w:rFonts w:eastAsia="Times New Roman"/>
              </w:rPr>
              <w:t>.</w:t>
            </w:r>
          </w:p>
        </w:tc>
        <w:tc>
          <w:tcPr>
            <w:tcW w:w="3345" w:type="dxa"/>
          </w:tcPr>
          <w:p w14:paraId="40DCD0F9" w14:textId="77777777" w:rsidR="007D7A6B" w:rsidRPr="001C3156" w:rsidRDefault="007D7A6B" w:rsidP="00FC701A">
            <w:pPr>
              <w:pStyle w:val="Bezodstpw"/>
            </w:pPr>
            <w:r w:rsidRPr="001C3156">
              <w:rPr>
                <w:rFonts w:eastAsia="Times New Roman"/>
              </w:rPr>
              <w:t>§ 1. Wysokość kaucji, określona w złotych, za jedną sztukę opakowania wynosi dla:</w:t>
            </w:r>
          </w:p>
          <w:p w14:paraId="231C3BF9" w14:textId="0624C453" w:rsidR="776024A5" w:rsidRPr="001C3156" w:rsidRDefault="00E25038" w:rsidP="00FC701A">
            <w:pPr>
              <w:pStyle w:val="Bezodstpw"/>
            </w:pPr>
            <w:r w:rsidRPr="001C3156">
              <w:rPr>
                <w:rFonts w:eastAsia="Times New Roman"/>
              </w:rPr>
              <w:t xml:space="preserve">3)butelek szklanych wielokrotnego użytku o pojemności do półtora litra </w:t>
            </w:r>
            <w:r w:rsidRPr="001C3156">
              <w:rPr>
                <w:rFonts w:eastAsia="Symbol"/>
              </w:rPr>
              <w:t xml:space="preserve">- </w:t>
            </w:r>
            <w:r w:rsidRPr="001C3156">
              <w:rPr>
                <w:rFonts w:eastAsia="Symbol"/>
                <w:strike/>
              </w:rPr>
              <w:t>0,5</w:t>
            </w:r>
            <w:r w:rsidRPr="001C3156">
              <w:rPr>
                <w:rFonts w:eastAsia="Times New Roman"/>
              </w:rPr>
              <w:t xml:space="preserve"> 1,00 </w:t>
            </w:r>
          </w:p>
        </w:tc>
        <w:tc>
          <w:tcPr>
            <w:tcW w:w="6037" w:type="dxa"/>
          </w:tcPr>
          <w:p w14:paraId="14F2604E" w14:textId="35D0F4D8" w:rsidR="0215B4C2" w:rsidRPr="001C3156" w:rsidRDefault="0215B4C2" w:rsidP="00FC701A">
            <w:pPr>
              <w:pStyle w:val="Bezodstpw"/>
            </w:pPr>
            <w:r w:rsidRPr="001C3156">
              <w:rPr>
                <w:rFonts w:eastAsia="Times New Roman"/>
              </w:rPr>
              <w:t xml:space="preserve">Zaproponowana w projekcie stawka kaucji 0,5 złotego </w:t>
            </w:r>
            <w:r w:rsidR="00731582" w:rsidRPr="001C3156">
              <w:rPr>
                <w:rFonts w:eastAsia="Times New Roman"/>
              </w:rPr>
              <w:t xml:space="preserve">w przypadku butelek szklanych wielokrotnego użytku </w:t>
            </w:r>
            <w:r w:rsidRPr="001C3156">
              <w:rPr>
                <w:rFonts w:eastAsia="Times New Roman"/>
              </w:rPr>
              <w:t>jest rażąco za niska biorąc pod uwagę, że powinna ona zachęcać do zwracania pustych opakowań</w:t>
            </w:r>
            <w:r w:rsidR="007D7A6B" w:rsidRPr="001C3156">
              <w:rPr>
                <w:rFonts w:eastAsia="Times New Roman"/>
              </w:rPr>
              <w:t>.</w:t>
            </w:r>
            <w:r w:rsidRPr="001C3156">
              <w:rPr>
                <w:rFonts w:eastAsia="Times New Roman"/>
              </w:rPr>
              <w:t xml:space="preserve"> Propozycja nie bierze pod uwagę stosowanej już na rynku wysokości kaucji na butelki wielokrotnego użytku w wysokości 1 zł, która motywuje konsumentów do zwrotu opakowania, są do niej przyzwyczajeni i jest przez nich akceptowana. Na rynku polskim kaucja </w:t>
            </w:r>
            <w:r w:rsidRPr="001C3156">
              <w:br/>
            </w:r>
            <w:r w:rsidRPr="001C3156">
              <w:rPr>
                <w:rFonts w:eastAsia="Times New Roman"/>
              </w:rPr>
              <w:t xml:space="preserve">w wysokości 0,5 zł była stosowana przed silnymi zmianami inflacyjnymi na rynku. Wskutek wysokiej inflacji w  ostatnich dwóch latach realna wartość kaucji znacząco się obniżyła co </w:t>
            </w:r>
            <w:r w:rsidRPr="001C3156">
              <w:rPr>
                <w:rFonts w:eastAsia="Times New Roman"/>
              </w:rPr>
              <w:lastRenderedPageBreak/>
              <w:t xml:space="preserve">widocznie wpłynęło na jej walor motywacyjny do zwrotu butelek, a przedsiębiorstwa oferujące takie butelki zaczęły notować spadek poziomu zwrotów. Po podjęciu decyzji o podwyżce kaucji do 1 zł trend się odwrócił i notowane są wzrosty w zakresie zwrotu pustych opakowań. Realne doświadczenie z rynku w zakresie </w:t>
            </w:r>
            <w:proofErr w:type="spellStart"/>
            <w:r w:rsidRPr="001C3156">
              <w:rPr>
                <w:rFonts w:eastAsia="Times New Roman"/>
              </w:rPr>
              <w:t>zachowań</w:t>
            </w:r>
            <w:proofErr w:type="spellEnd"/>
            <w:r w:rsidRPr="001C3156">
              <w:rPr>
                <w:rFonts w:eastAsia="Times New Roman"/>
              </w:rPr>
              <w:t xml:space="preserve"> konsumenckich jest najlepszym dowodem na to jaki jest poziom kaucji motywujący do zwrotu opakowania. Co więcej, proponowana wysokość kaucji będzie obowiązywać od roku 2025 i w latach późniejszych, a więc realna wartość kaucji (w odniesieniu do cen rynkowych) jeszcze bardziej się obniży. Należy również założyć, że przyjęta w rozporządzeniu wysokość kaucji będzie obowiązywała przez wiele lat. Każdorazowo zmiana kaucji będzie miała bowiem negatywne skutki w postaci wzrostu kosztów dla producentów oraz systemu kaucyjnego, a ostateczny rachunek zapłaci za to konsument. 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883"/>
            </w:tblGrid>
            <w:tr w:rsidR="0215B4C2" w:rsidRPr="001C3156" w14:paraId="1B82F593" w14:textId="77777777" w:rsidTr="0215B4C2">
              <w:trPr>
                <w:trHeight w:val="300"/>
              </w:trPr>
              <w:tc>
                <w:tcPr>
                  <w:tcW w:w="3883" w:type="dxa"/>
                  <w:tcMar>
                    <w:left w:w="142" w:type="dxa"/>
                    <w:right w:w="142" w:type="dxa"/>
                  </w:tcMar>
                </w:tcPr>
                <w:p w14:paraId="57E8DEF4" w14:textId="1976EC0F" w:rsidR="0215B4C2" w:rsidRPr="001C3156" w:rsidRDefault="0215B4C2" w:rsidP="00FC701A">
                  <w:pPr>
                    <w:pStyle w:val="Bezodstpw"/>
                    <w:framePr w:hSpace="142" w:wrap="around" w:vAnchor="text" w:hAnchor="margin" w:xAlign="center" w:y="58"/>
                  </w:pPr>
                </w:p>
              </w:tc>
            </w:tr>
          </w:tbl>
          <w:p w14:paraId="2728457B" w14:textId="5B0A3E47" w:rsidR="0215B4C2" w:rsidRPr="001C3156" w:rsidRDefault="0215B4C2" w:rsidP="00FC701A">
            <w:pPr>
              <w:pStyle w:val="Bezodstpw"/>
            </w:pPr>
            <w:r w:rsidRPr="001C3156">
              <w:rPr>
                <w:rFonts w:eastAsia="Times New Roman"/>
              </w:rPr>
              <w:t xml:space="preserve">Ustalenie wysokości kaucji za butelki szklane wielokrotnego użytku na poziomie niższym niż obecnie stosowany przez </w:t>
            </w:r>
            <w:r w:rsidRPr="001C3156">
              <w:rPr>
                <w:rFonts w:eastAsia="Times New Roman"/>
              </w:rPr>
              <w:lastRenderedPageBreak/>
              <w:t xml:space="preserve">producentów może prowadzić również do znaczącego utrudnienia rozliczeń pomiędzy uczestnikami systemu kaucyjnego w okresie przejściowym od 1 stycznia do 31 grudnia 2025 r. </w:t>
            </w:r>
            <w:r w:rsidRPr="001C3156">
              <w:br/>
            </w:r>
            <w:r w:rsidRPr="001C3156">
              <w:rPr>
                <w:rFonts w:eastAsia="Times New Roman"/>
              </w:rPr>
              <w:t xml:space="preserve">w którym na rynku będą dostępne opakowania objęte dotychczasowymi systemami pobierania i zwracania kaucji, a także opakowania objęte nowym systemem kaucyjnym. Zróżnicowanie wysokości kaucji za tego samego rodzaju opakowania wprowadzone do obrotu przed i po 1 stycznia 2025 roku może wymagać wprowadzenia dodatkowego procesu ich sortowania przez przedsiębiorców prowadzących jednostki handlu detalicznego lub hurtowego. W końcu, określenie wysokości kaucji na niższym poziomie niż obecnie, może prowadzić do </w:t>
            </w:r>
            <w:r w:rsidR="007D7A6B" w:rsidRPr="001C3156">
              <w:rPr>
                <w:rFonts w:eastAsia="Times New Roman"/>
              </w:rPr>
              <w:t xml:space="preserve"> nadużyć, w których opakowania objęte nowym systemem kaucyjnym będą zwracane jako opakowania objęte dotychczasowymi systemami w celu uzyskania zwrotu wyższej kaucji.  W polskich warunkach, biorąc pod uwagę skalę wzrostu cen oraz płac w ostatnich latach, a także prognozowany poziom </w:t>
            </w:r>
            <w:r w:rsidR="007D7A6B" w:rsidRPr="001C3156">
              <w:rPr>
                <w:rFonts w:eastAsia="Times New Roman"/>
              </w:rPr>
              <w:lastRenderedPageBreak/>
              <w:t>inflacji w 2024 r. kaucja w wysokości 0,5 zł nie spełni swojej funkcji, co potwierdza praktyka rynkowa. W naszej opinii kaucja w wysokości 1 zł skutecznie zachęci konsumentów do zwracania opakowań. Tym samym przyczyni się do niezaśmiecania środowiska i wzrostu poziomu recyklingu. Ponadto ta stawka posiada praktyczne zalety wskazane w uzasadnieniu projektu rozporządzenia, tj. jest to kwota łatwa do zapamiętania i akceptowalna społecznie. Przy obecnym wzroście cen i płac nie jest na tyle wysoka, aby ludzie mieli odmawiać sobie zakupu napojów w opakowaniach objętych systemem. 1 złoty to kwota prosta w operacjach finansowych i zapisie w materiałach informacyjnych systemu. W placówkach handlowych zarówno wpłata, jak i wypłata kaucji nie będzie wymagała dodatkowego rozmieniania pieniędzy i posiadania dużych ilości bilonu niezbędnych do realizacji operacji związanych z odbiorem kaucji</w:t>
            </w:r>
            <w:r w:rsidR="007D7A6B" w:rsidRPr="001C3156">
              <w:t>.</w:t>
            </w:r>
          </w:p>
        </w:tc>
      </w:tr>
      <w:tr w:rsidR="0090574C" w:rsidRPr="001C3156" w14:paraId="4AE66715" w14:textId="77777777" w:rsidTr="08D4C5D0">
        <w:tc>
          <w:tcPr>
            <w:tcW w:w="562" w:type="dxa"/>
          </w:tcPr>
          <w:p w14:paraId="6AFC8947" w14:textId="6420194E" w:rsidR="0090574C" w:rsidRPr="001C3156" w:rsidRDefault="0090574C" w:rsidP="00FC701A">
            <w:pPr>
              <w:pStyle w:val="Bezodstpw"/>
            </w:pPr>
            <w:r w:rsidRPr="001C3156">
              <w:lastRenderedPageBreak/>
              <w:t>2</w:t>
            </w:r>
          </w:p>
        </w:tc>
        <w:tc>
          <w:tcPr>
            <w:tcW w:w="1701" w:type="dxa"/>
          </w:tcPr>
          <w:p w14:paraId="752B4D6B" w14:textId="3FEAAE3A" w:rsidR="0090574C" w:rsidRPr="001C3156" w:rsidRDefault="0090574C" w:rsidP="00FC701A">
            <w:pPr>
              <w:pStyle w:val="Bezodstpw"/>
            </w:pPr>
          </w:p>
        </w:tc>
        <w:tc>
          <w:tcPr>
            <w:tcW w:w="1215" w:type="dxa"/>
          </w:tcPr>
          <w:p w14:paraId="1945FFFA" w14:textId="292AC745" w:rsidR="0090574C" w:rsidRPr="001C3156" w:rsidRDefault="0090574C" w:rsidP="00FC701A">
            <w:pPr>
              <w:pStyle w:val="Bezodstpw"/>
            </w:pPr>
          </w:p>
        </w:tc>
        <w:tc>
          <w:tcPr>
            <w:tcW w:w="2880" w:type="dxa"/>
          </w:tcPr>
          <w:p w14:paraId="2D79E846" w14:textId="692B754F" w:rsidR="0090574C" w:rsidRPr="001C3156" w:rsidRDefault="0090574C" w:rsidP="00FC701A">
            <w:pPr>
              <w:pStyle w:val="Bezodstpw"/>
            </w:pPr>
          </w:p>
        </w:tc>
        <w:tc>
          <w:tcPr>
            <w:tcW w:w="3345" w:type="dxa"/>
          </w:tcPr>
          <w:p w14:paraId="5E56FB5A" w14:textId="3575CF0F" w:rsidR="0090574C" w:rsidRPr="001C3156" w:rsidRDefault="0090574C" w:rsidP="00FC701A">
            <w:pPr>
              <w:pStyle w:val="Bezodstpw"/>
              <w:rPr>
                <w:rFonts w:eastAsia="Times New Roman"/>
              </w:rPr>
            </w:pPr>
          </w:p>
          <w:p w14:paraId="38D07FBA" w14:textId="3AA834E5" w:rsidR="0090574C" w:rsidRPr="001C3156" w:rsidRDefault="0090574C" w:rsidP="00FC701A">
            <w:pPr>
              <w:pStyle w:val="Bezodstpw"/>
            </w:pPr>
          </w:p>
        </w:tc>
        <w:tc>
          <w:tcPr>
            <w:tcW w:w="6037" w:type="dxa"/>
          </w:tcPr>
          <w:p w14:paraId="43447C9A" w14:textId="0D80648B" w:rsidR="0090574C" w:rsidRPr="001C3156" w:rsidRDefault="0090574C" w:rsidP="00FC701A">
            <w:pPr>
              <w:pStyle w:val="Bezodstpw"/>
              <w:rPr>
                <w:rFonts w:eastAsia="Times New Roman"/>
              </w:rPr>
            </w:pPr>
          </w:p>
          <w:p w14:paraId="31C0C230" w14:textId="5E4936EC" w:rsidR="0090574C" w:rsidRPr="001C3156" w:rsidRDefault="0090574C" w:rsidP="00FC701A">
            <w:pPr>
              <w:pStyle w:val="Bezodstpw"/>
            </w:pPr>
          </w:p>
        </w:tc>
      </w:tr>
      <w:tr w:rsidR="0090574C" w:rsidRPr="001C3156" w14:paraId="574FF95B" w14:textId="77777777" w:rsidTr="08D4C5D0">
        <w:tc>
          <w:tcPr>
            <w:tcW w:w="562" w:type="dxa"/>
          </w:tcPr>
          <w:p w14:paraId="590D690B" w14:textId="321DEEE7" w:rsidR="0090574C" w:rsidRPr="001C3156" w:rsidRDefault="0090574C" w:rsidP="00FC701A">
            <w:pPr>
              <w:pStyle w:val="Bezodstpw"/>
            </w:pPr>
            <w:r w:rsidRPr="001C3156">
              <w:t>3</w:t>
            </w:r>
          </w:p>
        </w:tc>
        <w:tc>
          <w:tcPr>
            <w:tcW w:w="1701" w:type="dxa"/>
          </w:tcPr>
          <w:p w14:paraId="7283C367" w14:textId="77777777" w:rsidR="0090574C" w:rsidRPr="001C3156" w:rsidRDefault="0090574C" w:rsidP="00FC701A">
            <w:pPr>
              <w:pStyle w:val="Bezodstpw"/>
            </w:pPr>
          </w:p>
        </w:tc>
        <w:tc>
          <w:tcPr>
            <w:tcW w:w="1215" w:type="dxa"/>
          </w:tcPr>
          <w:p w14:paraId="43EC42A6" w14:textId="77777777" w:rsidR="0090574C" w:rsidRPr="001C3156" w:rsidRDefault="0090574C" w:rsidP="00FC701A">
            <w:pPr>
              <w:pStyle w:val="Bezodstpw"/>
            </w:pPr>
          </w:p>
        </w:tc>
        <w:tc>
          <w:tcPr>
            <w:tcW w:w="2880" w:type="dxa"/>
          </w:tcPr>
          <w:p w14:paraId="59C5BA70" w14:textId="77777777" w:rsidR="0090574C" w:rsidRPr="001C3156" w:rsidRDefault="0090574C" w:rsidP="00FC701A">
            <w:pPr>
              <w:pStyle w:val="Bezodstpw"/>
            </w:pPr>
          </w:p>
        </w:tc>
        <w:tc>
          <w:tcPr>
            <w:tcW w:w="3345" w:type="dxa"/>
          </w:tcPr>
          <w:p w14:paraId="118E3641" w14:textId="77777777" w:rsidR="0090574C" w:rsidRPr="001C3156" w:rsidRDefault="0090574C" w:rsidP="00FC701A">
            <w:pPr>
              <w:pStyle w:val="Bezodstpw"/>
            </w:pPr>
          </w:p>
        </w:tc>
        <w:tc>
          <w:tcPr>
            <w:tcW w:w="6037" w:type="dxa"/>
          </w:tcPr>
          <w:p w14:paraId="17C40DBE" w14:textId="77777777" w:rsidR="0090574C" w:rsidRPr="001C3156" w:rsidRDefault="0090574C" w:rsidP="00FC701A">
            <w:pPr>
              <w:pStyle w:val="Bezodstpw"/>
            </w:pPr>
          </w:p>
        </w:tc>
      </w:tr>
      <w:tr w:rsidR="00B91BB7" w:rsidRPr="001C3156" w14:paraId="597EDC07" w14:textId="77777777" w:rsidTr="08D4C5D0">
        <w:tc>
          <w:tcPr>
            <w:tcW w:w="562" w:type="dxa"/>
          </w:tcPr>
          <w:p w14:paraId="513652BE" w14:textId="5481CAA8" w:rsidR="00B91BB7" w:rsidRPr="001C3156" w:rsidRDefault="00B91BB7" w:rsidP="00FC701A">
            <w:pPr>
              <w:pStyle w:val="Bezodstpw"/>
            </w:pPr>
            <w:r w:rsidRPr="001C3156">
              <w:lastRenderedPageBreak/>
              <w:t>4</w:t>
            </w:r>
          </w:p>
        </w:tc>
        <w:tc>
          <w:tcPr>
            <w:tcW w:w="1701" w:type="dxa"/>
          </w:tcPr>
          <w:p w14:paraId="2C112C99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1215" w:type="dxa"/>
          </w:tcPr>
          <w:p w14:paraId="29E8C0CD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2880" w:type="dxa"/>
          </w:tcPr>
          <w:p w14:paraId="61393C6E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3345" w:type="dxa"/>
          </w:tcPr>
          <w:p w14:paraId="6BD03E7F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6037" w:type="dxa"/>
          </w:tcPr>
          <w:p w14:paraId="2EFA759D" w14:textId="77777777" w:rsidR="00B91BB7" w:rsidRPr="001C3156" w:rsidRDefault="00B91BB7" w:rsidP="00FC701A">
            <w:pPr>
              <w:pStyle w:val="Bezodstpw"/>
            </w:pPr>
          </w:p>
        </w:tc>
      </w:tr>
      <w:tr w:rsidR="00B91BB7" w:rsidRPr="001C3156" w14:paraId="50E6FC26" w14:textId="77777777" w:rsidTr="08D4C5D0">
        <w:tc>
          <w:tcPr>
            <w:tcW w:w="562" w:type="dxa"/>
          </w:tcPr>
          <w:p w14:paraId="72CBEA22" w14:textId="12486115" w:rsidR="00B91BB7" w:rsidRPr="001C3156" w:rsidRDefault="00B91BB7" w:rsidP="00FC701A">
            <w:pPr>
              <w:pStyle w:val="Bezodstpw"/>
            </w:pPr>
            <w:r w:rsidRPr="001C3156">
              <w:t>5</w:t>
            </w:r>
          </w:p>
        </w:tc>
        <w:tc>
          <w:tcPr>
            <w:tcW w:w="1701" w:type="dxa"/>
          </w:tcPr>
          <w:p w14:paraId="13E20248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1215" w:type="dxa"/>
          </w:tcPr>
          <w:p w14:paraId="607E353C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2880" w:type="dxa"/>
          </w:tcPr>
          <w:p w14:paraId="64CD17A9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3345" w:type="dxa"/>
          </w:tcPr>
          <w:p w14:paraId="2B119892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6037" w:type="dxa"/>
          </w:tcPr>
          <w:p w14:paraId="5D16DB46" w14:textId="77777777" w:rsidR="00B91BB7" w:rsidRPr="001C3156" w:rsidRDefault="00B91BB7" w:rsidP="00FC701A">
            <w:pPr>
              <w:pStyle w:val="Bezodstpw"/>
            </w:pPr>
          </w:p>
        </w:tc>
      </w:tr>
      <w:tr w:rsidR="00B91BB7" w:rsidRPr="001C3156" w14:paraId="0B5199B1" w14:textId="77777777" w:rsidTr="08D4C5D0">
        <w:tc>
          <w:tcPr>
            <w:tcW w:w="562" w:type="dxa"/>
          </w:tcPr>
          <w:p w14:paraId="486410FA" w14:textId="7DC11221" w:rsidR="00B91BB7" w:rsidRPr="001C3156" w:rsidRDefault="00B91BB7" w:rsidP="00FC701A">
            <w:pPr>
              <w:pStyle w:val="Bezodstpw"/>
            </w:pPr>
            <w:r w:rsidRPr="001C3156">
              <w:t>6</w:t>
            </w:r>
          </w:p>
        </w:tc>
        <w:tc>
          <w:tcPr>
            <w:tcW w:w="1701" w:type="dxa"/>
          </w:tcPr>
          <w:p w14:paraId="41EC1220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1215" w:type="dxa"/>
          </w:tcPr>
          <w:p w14:paraId="18801E29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2880" w:type="dxa"/>
          </w:tcPr>
          <w:p w14:paraId="0611B7C8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3345" w:type="dxa"/>
          </w:tcPr>
          <w:p w14:paraId="70C41F90" w14:textId="77777777" w:rsidR="00B91BB7" w:rsidRPr="001C3156" w:rsidRDefault="00B91BB7" w:rsidP="00FC701A">
            <w:pPr>
              <w:pStyle w:val="Bezodstpw"/>
            </w:pPr>
          </w:p>
        </w:tc>
        <w:tc>
          <w:tcPr>
            <w:tcW w:w="6037" w:type="dxa"/>
          </w:tcPr>
          <w:p w14:paraId="2EFBC216" w14:textId="77777777" w:rsidR="00B91BB7" w:rsidRPr="001C3156" w:rsidRDefault="00B91BB7" w:rsidP="00FC701A">
            <w:pPr>
              <w:pStyle w:val="Bezodstpw"/>
            </w:pPr>
          </w:p>
        </w:tc>
      </w:tr>
      <w:bookmarkEnd w:id="0"/>
    </w:tbl>
    <w:p w14:paraId="4A485AB3" w14:textId="77777777" w:rsidR="00CA2841" w:rsidRPr="001C3156" w:rsidRDefault="00CA2841" w:rsidP="00FC701A">
      <w:pPr>
        <w:pStyle w:val="Bezodstpw"/>
      </w:pPr>
    </w:p>
    <w:sectPr w:rsidR="00CA2841" w:rsidRPr="001C3156" w:rsidSect="00B91BB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6199" w14:textId="77777777" w:rsidR="004B4937" w:rsidRDefault="004B4937" w:rsidP="00CA2841">
      <w:pPr>
        <w:spacing w:after="0" w:line="240" w:lineRule="auto"/>
      </w:pPr>
      <w:r>
        <w:separator/>
      </w:r>
    </w:p>
  </w:endnote>
  <w:endnote w:type="continuationSeparator" w:id="0">
    <w:p w14:paraId="557C9620" w14:textId="77777777" w:rsidR="004B4937" w:rsidRDefault="004B4937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61F7" w14:textId="77777777" w:rsidR="00F477EB" w:rsidRDefault="00F477EB">
    <w:pPr>
      <w:pStyle w:val="Stopka"/>
    </w:pPr>
  </w:p>
  <w:p w14:paraId="243910F4" w14:textId="77777777" w:rsidR="00F477EB" w:rsidRPr="00F477EB" w:rsidRDefault="00F477EB" w:rsidP="00F477E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477EB">
      <w:rPr>
        <w:rFonts w:ascii="Arial" w:eastAsia="Times New Roman" w:hAnsi="Arial" w:cs="Arial"/>
        <w:noProof/>
        <w:sz w:val="14"/>
        <w:szCs w:val="14"/>
        <w:lang w:eastAsia="pl-PL"/>
      </w:rPr>
      <w:drawing>
        <wp:inline distT="0" distB="0" distL="0" distR="0" wp14:anchorId="7F114705" wp14:editId="54DE8579">
          <wp:extent cx="1915678" cy="1965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8" cy="19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77EB">
      <w:rPr>
        <w:rFonts w:ascii="Arial" w:eastAsia="Times New Roman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35A21" wp14:editId="3695A8C3">
              <wp:simplePos x="0" y="0"/>
              <wp:positionH relativeFrom="column">
                <wp:posOffset>539436</wp:posOffset>
              </wp:positionH>
              <wp:positionV relativeFrom="paragraph">
                <wp:posOffset>212442</wp:posOffset>
              </wp:positionV>
              <wp:extent cx="280028" cy="430040"/>
              <wp:effectExtent l="0" t="0" r="6350" b="825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28" cy="430040"/>
                        <a:chOff x="0" y="0"/>
                        <a:chExt cx="280028" cy="43004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140328" y="0"/>
                          <a:ext cx="139700" cy="4298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140329" cy="4300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4C5596" id="Grupa 9" o:spid="_x0000_s1026" style="position:absolute;margin-left:42.5pt;margin-top:16.75pt;width:22.05pt;height:33.85pt;z-index:251659264" coordsize="280028,43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">
              <v:rect id="Prostokąt 6" o:spid="_x0000_s1027" style="position:absolute;left:140328;width:139700;height:429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" fillcolor="#002060" stroked="f" strokeweight="1pt"/>
              <v:rect id="Prostokąt 8" o:spid="_x0000_s1028" style="position:absolute;width:140329;height:43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" fillcolor="#3cc" stroked="f" strokeweight="1pt"/>
            </v:group>
          </w:pict>
        </mc:Fallback>
      </mc:AlternateContent>
    </w:r>
    <w:r w:rsidRPr="00F477EB">
      <w:rPr>
        <w:rFonts w:ascii="Arial" w:eastAsia="Times New Roman" w:hAnsi="Arial" w:cs="Arial"/>
        <w:noProof/>
        <w:sz w:val="14"/>
        <w:szCs w:val="14"/>
        <w:lang w:eastAsia="pl-PL"/>
      </w:rPr>
      <w:drawing>
        <wp:inline distT="0" distB="0" distL="0" distR="0" wp14:anchorId="26781596" wp14:editId="67E0DFAD">
          <wp:extent cx="1162050" cy="200025"/>
          <wp:effectExtent l="0" t="0" r="0" b="9525"/>
          <wp:docPr id="3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77E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tbl>
    <w:tblPr>
      <w:tblStyle w:val="Tabela-Siatka"/>
      <w:tblW w:w="8221" w:type="dxa"/>
      <w:tblInd w:w="851" w:type="dxa"/>
      <w:tblBorders>
        <w:top w:val="single" w:sz="8" w:space="0" w:color="33CC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1"/>
      <w:gridCol w:w="2013"/>
      <w:gridCol w:w="1984"/>
      <w:gridCol w:w="2693"/>
    </w:tblGrid>
    <w:tr w:rsidR="00F477EB" w:rsidRPr="00F477EB" w14:paraId="0C8901A8" w14:textId="77777777" w:rsidTr="00A6044C">
      <w:tc>
        <w:tcPr>
          <w:tcW w:w="1531" w:type="dxa"/>
        </w:tcPr>
        <w:p w14:paraId="3C4C2F2B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ind w:left="-109"/>
            <w:rPr>
              <w:rFonts w:ascii="Arial" w:eastAsia="Times New Roman" w:hAnsi="Arial" w:cs="Arial"/>
              <w:color w:val="002060"/>
              <w:sz w:val="12"/>
              <w:szCs w:val="12"/>
              <w:lang w:eastAsia="pl-PL"/>
            </w:rPr>
          </w:pPr>
        </w:p>
      </w:tc>
      <w:tc>
        <w:tcPr>
          <w:tcW w:w="2013" w:type="dxa"/>
        </w:tcPr>
        <w:p w14:paraId="51BA45E2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</w:p>
        <w:p w14:paraId="7217D0F5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Konfederacja Lewiatan</w:t>
          </w:r>
        </w:p>
        <w:p w14:paraId="16B82963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ul. Zbyszka Cybulskiego 3</w:t>
          </w:r>
        </w:p>
        <w:p w14:paraId="32188179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00-727 Warszawa</w:t>
          </w:r>
        </w:p>
        <w:p w14:paraId="712BD5DF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tel. +48 22 55 99 900</w:t>
          </w:r>
        </w:p>
        <w:p w14:paraId="39B8C0D3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hyperlink r:id="rId3" w:history="1">
            <w:r w:rsidRPr="00F477EB">
              <w:rPr>
                <w:rFonts w:ascii="Arial" w:eastAsia="Times New Roman" w:hAnsi="Arial" w:cs="Arial"/>
                <w:color w:val="002060"/>
                <w:sz w:val="14"/>
                <w:szCs w:val="14"/>
                <w:lang w:eastAsia="pl-PL"/>
              </w:rPr>
              <w:t>lewiatan@lewiatan.org</w:t>
            </w:r>
          </w:hyperlink>
        </w:p>
        <w:p w14:paraId="7FCA3F62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www.lewiatan.org</w:t>
          </w:r>
        </w:p>
      </w:tc>
      <w:tc>
        <w:tcPr>
          <w:tcW w:w="1984" w:type="dxa"/>
        </w:tcPr>
        <w:p w14:paraId="0CEE7F8D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</w:p>
        <w:p w14:paraId="349FFBE5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t>Polish Confederation Lewiatan</w:t>
          </w: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br/>
            <w:t>Brussels Office</w:t>
          </w: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br/>
            <w:t xml:space="preserve">Avenue de </w:t>
          </w:r>
          <w:proofErr w:type="spellStart"/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t>Cortenbergh</w:t>
          </w:r>
          <w:proofErr w:type="spellEnd"/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t xml:space="preserve"> 168</w:t>
          </w: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val="en-GB" w:eastAsia="pl-PL"/>
            </w:rPr>
            <w:br/>
            <w:t xml:space="preserve">tel. </w:t>
          </w: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 xml:space="preserve">+32 2 732 12 10 </w:t>
          </w:r>
        </w:p>
      </w:tc>
      <w:tc>
        <w:tcPr>
          <w:tcW w:w="2693" w:type="dxa"/>
        </w:tcPr>
        <w:p w14:paraId="788F5874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</w:p>
        <w:p w14:paraId="2E41594C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NIP 5262353400</w:t>
          </w:r>
        </w:p>
        <w:p w14:paraId="1C0B7587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KRS 0000053779</w:t>
          </w:r>
        </w:p>
        <w:p w14:paraId="7EA8895E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Sąd Rejonowy dla</w:t>
          </w:r>
        </w:p>
        <w:p w14:paraId="22AAC65F" w14:textId="77777777" w:rsidR="00F477EB" w:rsidRPr="00F477EB" w:rsidRDefault="00F477EB" w:rsidP="00F477E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</w:pPr>
          <w:r w:rsidRPr="00F477EB">
            <w:rPr>
              <w:rFonts w:ascii="Arial" w:eastAsia="Times New Roman" w:hAnsi="Arial" w:cs="Arial"/>
              <w:color w:val="002060"/>
              <w:sz w:val="14"/>
              <w:szCs w:val="14"/>
              <w:lang w:eastAsia="pl-PL"/>
            </w:rPr>
            <w:t>m. st. Warszawy w Warszawie XIII Wydział Gospodarczy</w:t>
          </w:r>
        </w:p>
      </w:tc>
    </w:tr>
  </w:tbl>
  <w:p w14:paraId="4F6968E6" w14:textId="77777777" w:rsidR="00F477EB" w:rsidRDefault="00F477EB">
    <w:pPr>
      <w:pStyle w:val="Stopka"/>
    </w:pPr>
  </w:p>
  <w:p w14:paraId="44B1EB4E" w14:textId="77777777" w:rsidR="00F477EB" w:rsidRDefault="00F47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1FF0" w14:textId="77777777" w:rsidR="004B4937" w:rsidRDefault="004B4937" w:rsidP="00CA2841">
      <w:pPr>
        <w:spacing w:after="0" w:line="240" w:lineRule="auto"/>
      </w:pPr>
      <w:r>
        <w:separator/>
      </w:r>
    </w:p>
  </w:footnote>
  <w:footnote w:type="continuationSeparator" w:id="0">
    <w:p w14:paraId="0B7DB47E" w14:textId="77777777" w:rsidR="004B4937" w:rsidRDefault="004B4937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4D2" w14:textId="7E2CB4B3" w:rsidR="00F477EB" w:rsidRDefault="00F477EB">
    <w:pPr>
      <w:pStyle w:val="Nagwek"/>
    </w:pPr>
    <w:r>
      <w:rPr>
        <w:noProof/>
      </w:rPr>
      <w:drawing>
        <wp:inline distT="0" distB="0" distL="0" distR="0" wp14:anchorId="141D3A9B" wp14:editId="405DFE49">
          <wp:extent cx="704850" cy="923925"/>
          <wp:effectExtent l="0" t="0" r="0" b="9525"/>
          <wp:docPr id="2" name="Obraz 8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apier_Lewiatan_10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1B6E"/>
    <w:multiLevelType w:val="hybridMultilevel"/>
    <w:tmpl w:val="BF0E2B08"/>
    <w:lvl w:ilvl="0" w:tplc="20F6FEB6">
      <w:start w:val="1"/>
      <w:numFmt w:val="decimal"/>
      <w:lvlText w:val="%1)"/>
      <w:lvlJc w:val="left"/>
      <w:pPr>
        <w:ind w:left="720" w:hanging="360"/>
      </w:pPr>
    </w:lvl>
    <w:lvl w:ilvl="1" w:tplc="4F76D178">
      <w:start w:val="1"/>
      <w:numFmt w:val="lowerLetter"/>
      <w:lvlText w:val="%2."/>
      <w:lvlJc w:val="left"/>
      <w:pPr>
        <w:ind w:left="1440" w:hanging="360"/>
      </w:pPr>
    </w:lvl>
    <w:lvl w:ilvl="2" w:tplc="95A0802A">
      <w:start w:val="1"/>
      <w:numFmt w:val="lowerRoman"/>
      <w:lvlText w:val="%3."/>
      <w:lvlJc w:val="right"/>
      <w:pPr>
        <w:ind w:left="2160" w:hanging="180"/>
      </w:pPr>
    </w:lvl>
    <w:lvl w:ilvl="3" w:tplc="6952045A">
      <w:start w:val="1"/>
      <w:numFmt w:val="decimal"/>
      <w:lvlText w:val="%4."/>
      <w:lvlJc w:val="left"/>
      <w:pPr>
        <w:ind w:left="2880" w:hanging="360"/>
      </w:pPr>
    </w:lvl>
    <w:lvl w:ilvl="4" w:tplc="2862C52E">
      <w:start w:val="1"/>
      <w:numFmt w:val="lowerLetter"/>
      <w:lvlText w:val="%5."/>
      <w:lvlJc w:val="left"/>
      <w:pPr>
        <w:ind w:left="3600" w:hanging="360"/>
      </w:pPr>
    </w:lvl>
    <w:lvl w:ilvl="5" w:tplc="16AC2706">
      <w:start w:val="1"/>
      <w:numFmt w:val="lowerRoman"/>
      <w:lvlText w:val="%6."/>
      <w:lvlJc w:val="right"/>
      <w:pPr>
        <w:ind w:left="4320" w:hanging="180"/>
      </w:pPr>
    </w:lvl>
    <w:lvl w:ilvl="6" w:tplc="901A9C84">
      <w:start w:val="1"/>
      <w:numFmt w:val="decimal"/>
      <w:lvlText w:val="%7."/>
      <w:lvlJc w:val="left"/>
      <w:pPr>
        <w:ind w:left="5040" w:hanging="360"/>
      </w:pPr>
    </w:lvl>
    <w:lvl w:ilvl="7" w:tplc="E444B896">
      <w:start w:val="1"/>
      <w:numFmt w:val="lowerLetter"/>
      <w:lvlText w:val="%8."/>
      <w:lvlJc w:val="left"/>
      <w:pPr>
        <w:ind w:left="5760" w:hanging="360"/>
      </w:pPr>
    </w:lvl>
    <w:lvl w:ilvl="8" w:tplc="F364DE06">
      <w:start w:val="1"/>
      <w:numFmt w:val="lowerRoman"/>
      <w:lvlText w:val="%9."/>
      <w:lvlJc w:val="right"/>
      <w:pPr>
        <w:ind w:left="6480" w:hanging="180"/>
      </w:pPr>
    </w:lvl>
  </w:abstractNum>
  <w:num w:numId="1" w16cid:durableId="95185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0A3F56"/>
    <w:rsid w:val="00152477"/>
    <w:rsid w:val="00156A15"/>
    <w:rsid w:val="001916D2"/>
    <w:rsid w:val="0019568F"/>
    <w:rsid w:val="001B734F"/>
    <w:rsid w:val="001C3156"/>
    <w:rsid w:val="001C4FAC"/>
    <w:rsid w:val="001E4824"/>
    <w:rsid w:val="001F2B24"/>
    <w:rsid w:val="001F7EB8"/>
    <w:rsid w:val="00207905"/>
    <w:rsid w:val="00231D82"/>
    <w:rsid w:val="003377AC"/>
    <w:rsid w:val="00391238"/>
    <w:rsid w:val="003D4335"/>
    <w:rsid w:val="003F3ADC"/>
    <w:rsid w:val="004071BF"/>
    <w:rsid w:val="00420B56"/>
    <w:rsid w:val="00435D45"/>
    <w:rsid w:val="004B4937"/>
    <w:rsid w:val="004B5CB2"/>
    <w:rsid w:val="004F2D1D"/>
    <w:rsid w:val="00510B48"/>
    <w:rsid w:val="00521D26"/>
    <w:rsid w:val="00533C4F"/>
    <w:rsid w:val="005646D1"/>
    <w:rsid w:val="00567867"/>
    <w:rsid w:val="006259E3"/>
    <w:rsid w:val="00636D0B"/>
    <w:rsid w:val="0065784C"/>
    <w:rsid w:val="00673B57"/>
    <w:rsid w:val="00731582"/>
    <w:rsid w:val="0073556B"/>
    <w:rsid w:val="007362C7"/>
    <w:rsid w:val="00773DAD"/>
    <w:rsid w:val="00777C1A"/>
    <w:rsid w:val="007D7A6B"/>
    <w:rsid w:val="007F4050"/>
    <w:rsid w:val="007F6796"/>
    <w:rsid w:val="00822D1B"/>
    <w:rsid w:val="008653EC"/>
    <w:rsid w:val="008B1756"/>
    <w:rsid w:val="008E632C"/>
    <w:rsid w:val="0090574C"/>
    <w:rsid w:val="00910080"/>
    <w:rsid w:val="0092063E"/>
    <w:rsid w:val="00993A8A"/>
    <w:rsid w:val="009B5AD6"/>
    <w:rsid w:val="009E13B0"/>
    <w:rsid w:val="009E504D"/>
    <w:rsid w:val="009E5278"/>
    <w:rsid w:val="00A71247"/>
    <w:rsid w:val="00AF2D0F"/>
    <w:rsid w:val="00B41713"/>
    <w:rsid w:val="00B829F8"/>
    <w:rsid w:val="00B91BB7"/>
    <w:rsid w:val="00C93278"/>
    <w:rsid w:val="00CA2841"/>
    <w:rsid w:val="00CD3075"/>
    <w:rsid w:val="00D35962"/>
    <w:rsid w:val="00D45450"/>
    <w:rsid w:val="00D54DFF"/>
    <w:rsid w:val="00D806F4"/>
    <w:rsid w:val="00DE1089"/>
    <w:rsid w:val="00E25038"/>
    <w:rsid w:val="00E40E3D"/>
    <w:rsid w:val="00EB31B4"/>
    <w:rsid w:val="00EC4C43"/>
    <w:rsid w:val="00EE6366"/>
    <w:rsid w:val="00F046CC"/>
    <w:rsid w:val="00F477EB"/>
    <w:rsid w:val="00F76143"/>
    <w:rsid w:val="00F90C80"/>
    <w:rsid w:val="00FC701A"/>
    <w:rsid w:val="0215B4C2"/>
    <w:rsid w:val="08D4C5D0"/>
    <w:rsid w:val="236C5854"/>
    <w:rsid w:val="4C4A8DF9"/>
    <w:rsid w:val="4D2878A2"/>
    <w:rsid w:val="5BB8A455"/>
    <w:rsid w:val="776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822D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EB"/>
  </w:style>
  <w:style w:type="paragraph" w:styleId="Stopka">
    <w:name w:val="footer"/>
    <w:basedOn w:val="Normalny"/>
    <w:link w:val="StopkaZnak"/>
    <w:uiPriority w:val="99"/>
    <w:unhideWhenUsed/>
    <w:rsid w:val="00F4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EB"/>
  </w:style>
  <w:style w:type="paragraph" w:styleId="Bezodstpw">
    <w:name w:val="No Spacing"/>
    <w:uiPriority w:val="1"/>
    <w:qFormat/>
    <w:rsid w:val="001C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wiatan@lewiatan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Konfederacja Lewiatan</cp:lastModifiedBy>
  <cp:revision>8</cp:revision>
  <dcterms:created xsi:type="dcterms:W3CDTF">2023-12-22T12:52:00Z</dcterms:created>
  <dcterms:modified xsi:type="dcterms:W3CDTF">2023-12-22T12:57:00Z</dcterms:modified>
</cp:coreProperties>
</file>