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7E1F" w14:textId="77777777" w:rsidR="005B7DFD" w:rsidRPr="00960F64" w:rsidRDefault="005B7DFD" w:rsidP="005B7DFD">
      <w:pPr>
        <w:pStyle w:val="OZNRODZAKTUtznustawalubrozporzdzenieiorganwydajcy"/>
        <w:spacing w:before="100" w:beforeAutospacing="1" w:after="100" w:afterAutospacing="1" w:line="240" w:lineRule="auto"/>
        <w:rPr>
          <w:rFonts w:ascii="Times New Roman" w:hAnsi="Times New Roman"/>
          <w:spacing w:val="0"/>
        </w:rPr>
      </w:pPr>
      <w:r w:rsidRPr="00960F64">
        <w:rPr>
          <w:rFonts w:ascii="Times New Roman" w:hAnsi="Times New Roman"/>
          <w:spacing w:val="0"/>
        </w:rPr>
        <w:t>UZASADNIENIE</w:t>
      </w:r>
    </w:p>
    <w:p w14:paraId="2E4F1D54" w14:textId="125923C0" w:rsidR="00877A6F" w:rsidRDefault="00565EA4" w:rsidP="005B7DFD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Proponowane zmiany mają na celu wprowadzenie </w:t>
      </w:r>
      <w:r w:rsidR="00D04254">
        <w:rPr>
          <w:rFonts w:cs="Times New Roman"/>
          <w:szCs w:val="24"/>
        </w:rPr>
        <w:t xml:space="preserve">aukcji uzupełniających na rynku mocy </w:t>
      </w:r>
      <w:r w:rsidR="000C6FD6">
        <w:rPr>
          <w:rFonts w:cs="Times New Roman"/>
          <w:szCs w:val="24"/>
        </w:rPr>
        <w:br/>
      </w:r>
      <w:r w:rsidR="00D04254">
        <w:rPr>
          <w:rFonts w:cs="Times New Roman"/>
          <w:szCs w:val="24"/>
        </w:rPr>
        <w:t xml:space="preserve">w okresie od II połowy 2025 r. do 2028 r. </w:t>
      </w:r>
      <w:r w:rsidR="009A00B4">
        <w:rPr>
          <w:rFonts w:cs="Times New Roman"/>
          <w:szCs w:val="24"/>
        </w:rPr>
        <w:t xml:space="preserve">na </w:t>
      </w:r>
      <w:r w:rsidR="00D04254">
        <w:rPr>
          <w:rFonts w:cs="Times New Roman"/>
          <w:szCs w:val="24"/>
        </w:rPr>
        <w:t xml:space="preserve">w wymiarze </w:t>
      </w:r>
      <w:r w:rsidR="009A00B4">
        <w:rPr>
          <w:rFonts w:cs="Times New Roman"/>
          <w:szCs w:val="24"/>
        </w:rPr>
        <w:t xml:space="preserve">rocznym oraz </w:t>
      </w:r>
      <w:r w:rsidR="00D04254">
        <w:rPr>
          <w:rFonts w:cs="Times New Roman"/>
          <w:szCs w:val="24"/>
        </w:rPr>
        <w:t>kwartalnym.</w:t>
      </w:r>
      <w:r w:rsidR="009A00B4">
        <w:rPr>
          <w:rFonts w:cs="Times New Roman"/>
          <w:szCs w:val="24"/>
        </w:rPr>
        <w:t xml:space="preserve"> </w:t>
      </w:r>
      <w:r w:rsidR="00D04254">
        <w:rPr>
          <w:rFonts w:cs="Times New Roman"/>
          <w:szCs w:val="24"/>
        </w:rPr>
        <w:t xml:space="preserve">Aukcje dodatkowe stanowią istotny element kształtujący rynek mocy pozwalający </w:t>
      </w:r>
      <w:r w:rsidR="00877A6F">
        <w:rPr>
          <w:rFonts w:cs="Times New Roman"/>
          <w:szCs w:val="24"/>
        </w:rPr>
        <w:t xml:space="preserve">zakontraktować dodatkowe moce w poszczególnych kwartałach roku dostaw. Mechanizm ten był i jest wykorzystywany przez elektrociepłownie, które jesienią oraz zimą są w stanie zakontraktować większy wolumen mocy ze względu na większe zapotrzebowanie na ciepło w lokalnym systemie ciepłowniczym. </w:t>
      </w:r>
    </w:p>
    <w:p w14:paraId="5F4D8321" w14:textId="5B7EFA30" w:rsidR="00877A6F" w:rsidRDefault="005B7DFD" w:rsidP="005B7DFD">
      <w:pPr>
        <w:spacing w:before="100" w:beforeAutospacing="1" w:after="100" w:afterAutospacing="1" w:line="240" w:lineRule="auto"/>
        <w:jc w:val="both"/>
        <w:rPr>
          <w:rFonts w:cs="Times New Roman"/>
          <w:color w:val="000000"/>
          <w:szCs w:val="24"/>
        </w:rPr>
      </w:pPr>
      <w:r w:rsidRPr="00960F64">
        <w:rPr>
          <w:rFonts w:cs="Times New Roman"/>
          <w:color w:val="000000"/>
          <w:szCs w:val="24"/>
        </w:rPr>
        <w:t>Wprowadzenie limit</w:t>
      </w:r>
      <w:r w:rsidR="00877A6F">
        <w:rPr>
          <w:rFonts w:cs="Times New Roman"/>
          <w:color w:val="000000"/>
          <w:szCs w:val="24"/>
        </w:rPr>
        <w:t>ów</w:t>
      </w:r>
      <w:r w:rsidRPr="00960F64">
        <w:rPr>
          <w:rFonts w:cs="Times New Roman"/>
          <w:color w:val="000000"/>
          <w:szCs w:val="24"/>
        </w:rPr>
        <w:t xml:space="preserve"> emisji CO</w:t>
      </w:r>
      <w:r w:rsidRPr="00960F64">
        <w:rPr>
          <w:rFonts w:cs="Times New Roman"/>
          <w:color w:val="000000"/>
          <w:szCs w:val="24"/>
          <w:vertAlign w:val="subscript"/>
        </w:rPr>
        <w:t>2</w:t>
      </w:r>
      <w:r w:rsidRPr="00960F64">
        <w:rPr>
          <w:rFonts w:cs="Times New Roman"/>
          <w:color w:val="000000"/>
          <w:szCs w:val="24"/>
        </w:rPr>
        <w:t xml:space="preserve"> na rynku mocy ograniczyło</w:t>
      </w:r>
      <w:r w:rsidR="00877A6F">
        <w:rPr>
          <w:rFonts w:cs="Times New Roman"/>
          <w:color w:val="000000"/>
          <w:szCs w:val="24"/>
        </w:rPr>
        <w:t xml:space="preserve"> udział także jednostek kogeneracyjnych w aukcjach dodatkowych od 1 lipca 2025 roku. Przez ten fakt zasadne jest zaproponowanie przeprowadzenia aukcji uzupełniających w podziale na aukcje główne oraz aukcje dodatkowe, gdzie możliwy byłby udział </w:t>
      </w:r>
      <w:r w:rsidRPr="00960F64">
        <w:rPr>
          <w:rFonts w:cs="Times New Roman"/>
          <w:color w:val="000000"/>
          <w:szCs w:val="24"/>
        </w:rPr>
        <w:t>jednostek wytwórczych</w:t>
      </w:r>
      <w:r w:rsidR="00877A6F">
        <w:rPr>
          <w:rFonts w:cs="Times New Roman"/>
          <w:color w:val="000000"/>
          <w:szCs w:val="24"/>
        </w:rPr>
        <w:t xml:space="preserve"> niespełniających norm emisji</w:t>
      </w:r>
      <w:r w:rsidRPr="00960F64">
        <w:rPr>
          <w:rFonts w:cs="Times New Roman"/>
          <w:color w:val="000000"/>
          <w:szCs w:val="24"/>
        </w:rPr>
        <w:t xml:space="preserve">. </w:t>
      </w:r>
      <w:r w:rsidRPr="00960F64">
        <w:rPr>
          <w:rFonts w:cs="Times New Roman"/>
          <w:szCs w:val="24"/>
        </w:rPr>
        <w:t>Rozporządzenie Parlamentu Europejskiego i</w:t>
      </w:r>
      <w:r>
        <w:rPr>
          <w:rFonts w:cs="Times New Roman"/>
          <w:szCs w:val="24"/>
        </w:rPr>
        <w:t> </w:t>
      </w:r>
      <w:r w:rsidRPr="00960F64">
        <w:rPr>
          <w:rFonts w:cs="Times New Roman"/>
          <w:szCs w:val="24"/>
        </w:rPr>
        <w:t xml:space="preserve">Rady (UE) 2024/1747 z dnia 13 czerwca 2024 r.  zmieniające rozporządzenia (UE) 2019/942 i (UE) 2019/943 w odniesieniu do poprawy struktury unijnego rynku energii elektrycznej </w:t>
      </w:r>
      <w:r w:rsidRPr="00960F64">
        <w:rPr>
          <w:rFonts w:cs="Times New Roman"/>
          <w:color w:val="000000"/>
          <w:szCs w:val="24"/>
        </w:rPr>
        <w:t>(Dz. Urz. UE L z dnia 26.</w:t>
      </w:r>
      <w:r>
        <w:rPr>
          <w:rFonts w:cs="Times New Roman"/>
          <w:color w:val="000000"/>
          <w:szCs w:val="24"/>
        </w:rPr>
        <w:t>0</w:t>
      </w:r>
      <w:r w:rsidRPr="00960F64">
        <w:rPr>
          <w:rFonts w:cs="Times New Roman"/>
          <w:color w:val="000000"/>
          <w:szCs w:val="24"/>
        </w:rPr>
        <w:t>6.2024 r., dalej „rozporządzenie EMD”)</w:t>
      </w:r>
      <w:r w:rsidR="00325AD1">
        <w:rPr>
          <w:rFonts w:cs="Times New Roman"/>
          <w:color w:val="000000"/>
          <w:szCs w:val="24"/>
        </w:rPr>
        <w:t xml:space="preserve"> </w:t>
      </w:r>
      <w:r w:rsidR="00877A6F">
        <w:rPr>
          <w:rFonts w:cs="Times New Roman"/>
          <w:color w:val="000000"/>
          <w:szCs w:val="24"/>
        </w:rPr>
        <w:t>wprowadziło czasową derogację od limitu emisji</w:t>
      </w:r>
      <w:r w:rsidR="00325AD1">
        <w:rPr>
          <w:rFonts w:cs="Times New Roman"/>
          <w:color w:val="000000"/>
          <w:szCs w:val="24"/>
        </w:rPr>
        <w:t xml:space="preserve">. Przepisy warunkujące odstępstwo wskazują, że premiowane powinny być jednostki zapewniające mniejszą emisję. Należy podkreślić, że jednostkowa emisja starych (istniejących przed 1 lipca 2019 roku) elektrowni będzie wyższa niż elektrociepłowni. </w:t>
      </w:r>
    </w:p>
    <w:p w14:paraId="77184860" w14:textId="712CCCBF" w:rsidR="00325AD1" w:rsidRDefault="00325AD1" w:rsidP="005B7DFD">
      <w:pPr>
        <w:spacing w:before="100" w:beforeAutospacing="1" w:after="100" w:afterAutospacing="1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Zapotrzebowanie na moc w krajowym systemie elektroenergetycznym jest zróżnicowane </w:t>
      </w:r>
      <w:r w:rsidR="005111D1">
        <w:rPr>
          <w:rFonts w:cs="Times New Roman"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 xml:space="preserve">w skali roku. </w:t>
      </w:r>
      <w:r w:rsidR="009A00B4">
        <w:rPr>
          <w:rFonts w:cs="Times New Roman"/>
          <w:color w:val="000000"/>
          <w:szCs w:val="24"/>
        </w:rPr>
        <w:t xml:space="preserve">Na lata dostaw 2021 – 2024 </w:t>
      </w:r>
      <w:r>
        <w:rPr>
          <w:rFonts w:cs="Times New Roman"/>
          <w:color w:val="000000"/>
          <w:szCs w:val="24"/>
        </w:rPr>
        <w:t xml:space="preserve">przeprowadzono następujące aukcje dodatkowe </w:t>
      </w:r>
      <w:r w:rsidR="005863D3">
        <w:rPr>
          <w:rFonts w:cs="Times New Roman"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>z następującym zapotrzebowaniem na moc</w:t>
      </w:r>
      <w:r w:rsidR="009A00B4">
        <w:rPr>
          <w:rFonts w:cs="Times New Roman"/>
          <w:color w:val="000000"/>
          <w:szCs w:val="24"/>
        </w:rPr>
        <w:t xml:space="preserve"> (dane w MW)</w:t>
      </w:r>
      <w:r>
        <w:rPr>
          <w:rFonts w:cs="Times New Roman"/>
          <w:color w:val="000000"/>
          <w:szCs w:val="24"/>
        </w:rPr>
        <w:t>:</w:t>
      </w:r>
    </w:p>
    <w:p w14:paraId="03439FC5" w14:textId="6D1C71BF" w:rsidR="00807E6C" w:rsidRPr="00807E6C" w:rsidRDefault="00807E6C" w:rsidP="00807E6C">
      <w:pPr>
        <w:pStyle w:val="Legenda"/>
        <w:keepNext/>
        <w:jc w:val="center"/>
        <w:rPr>
          <w:i w:val="0"/>
          <w:color w:val="auto"/>
        </w:rPr>
      </w:pPr>
      <w:r w:rsidRPr="00807E6C">
        <w:rPr>
          <w:i w:val="0"/>
          <w:color w:val="auto"/>
        </w:rPr>
        <w:t xml:space="preserve">Tabela </w:t>
      </w:r>
      <w:r w:rsidRPr="00807E6C">
        <w:rPr>
          <w:i w:val="0"/>
          <w:color w:val="auto"/>
        </w:rPr>
        <w:fldChar w:fldCharType="begin"/>
      </w:r>
      <w:r w:rsidRPr="00807E6C">
        <w:rPr>
          <w:i w:val="0"/>
          <w:color w:val="auto"/>
        </w:rPr>
        <w:instrText xml:space="preserve"> SEQ Tabela \* ARABIC </w:instrText>
      </w:r>
      <w:r w:rsidRPr="00807E6C">
        <w:rPr>
          <w:i w:val="0"/>
          <w:color w:val="auto"/>
        </w:rPr>
        <w:fldChar w:fldCharType="separate"/>
      </w:r>
      <w:r w:rsidRPr="00807E6C">
        <w:rPr>
          <w:i w:val="0"/>
          <w:noProof/>
          <w:color w:val="auto"/>
        </w:rPr>
        <w:t>1</w:t>
      </w:r>
      <w:r w:rsidRPr="00807E6C">
        <w:rPr>
          <w:i w:val="0"/>
          <w:color w:val="auto"/>
        </w:rPr>
        <w:fldChar w:fldCharType="end"/>
      </w:r>
      <w:r>
        <w:rPr>
          <w:i w:val="0"/>
          <w:color w:val="auto"/>
        </w:rPr>
        <w:t xml:space="preserve">. </w:t>
      </w:r>
      <w:r w:rsidRPr="00807E6C">
        <w:rPr>
          <w:i w:val="0"/>
          <w:color w:val="auto"/>
        </w:rPr>
        <w:t>Zapotrzebowanie na moc w aukcjach dodatkowych na okresy dostaw 2021 - 2024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018"/>
        <w:gridCol w:w="2019"/>
        <w:gridCol w:w="2018"/>
        <w:gridCol w:w="2019"/>
      </w:tblGrid>
      <w:tr w:rsidR="00325AD1" w14:paraId="0B078D87" w14:textId="77777777" w:rsidTr="00325AD1">
        <w:tc>
          <w:tcPr>
            <w:tcW w:w="988" w:type="dxa"/>
          </w:tcPr>
          <w:p w14:paraId="7D94AF83" w14:textId="295EBB5B" w:rsidR="00325AD1" w:rsidRPr="00BA4718" w:rsidRDefault="00BA4718" w:rsidP="005B7DFD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BA4718">
              <w:rPr>
                <w:rFonts w:cs="Times New Roman"/>
                <w:b/>
                <w:color w:val="000000"/>
                <w:szCs w:val="24"/>
              </w:rPr>
              <w:t>Rok</w:t>
            </w:r>
          </w:p>
        </w:tc>
        <w:tc>
          <w:tcPr>
            <w:tcW w:w="2018" w:type="dxa"/>
          </w:tcPr>
          <w:p w14:paraId="4C1E268E" w14:textId="6DBD6597" w:rsidR="00325AD1" w:rsidRPr="00BA4718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BA4718">
              <w:rPr>
                <w:rFonts w:cs="Times New Roman"/>
                <w:b/>
                <w:color w:val="000000"/>
                <w:szCs w:val="24"/>
              </w:rPr>
              <w:t xml:space="preserve">I kwartał </w:t>
            </w:r>
          </w:p>
        </w:tc>
        <w:tc>
          <w:tcPr>
            <w:tcW w:w="2019" w:type="dxa"/>
          </w:tcPr>
          <w:p w14:paraId="3BB9FA11" w14:textId="7580B3FF" w:rsidR="00325AD1" w:rsidRPr="00BA4718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BA4718">
              <w:rPr>
                <w:rFonts w:cs="Times New Roman"/>
                <w:b/>
                <w:color w:val="000000"/>
                <w:szCs w:val="24"/>
              </w:rPr>
              <w:t>II kwartał</w:t>
            </w:r>
          </w:p>
        </w:tc>
        <w:tc>
          <w:tcPr>
            <w:tcW w:w="2018" w:type="dxa"/>
          </w:tcPr>
          <w:p w14:paraId="68BB27E7" w14:textId="37A3534F" w:rsidR="00325AD1" w:rsidRPr="00BA4718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BA4718">
              <w:rPr>
                <w:rFonts w:cs="Times New Roman"/>
                <w:b/>
                <w:color w:val="000000"/>
                <w:szCs w:val="24"/>
              </w:rPr>
              <w:t>III kwartał</w:t>
            </w:r>
          </w:p>
        </w:tc>
        <w:tc>
          <w:tcPr>
            <w:tcW w:w="2019" w:type="dxa"/>
          </w:tcPr>
          <w:p w14:paraId="6EF6BEED" w14:textId="0FBFDFEF" w:rsidR="00325AD1" w:rsidRPr="00BA4718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BA4718">
              <w:rPr>
                <w:rFonts w:cs="Times New Roman"/>
                <w:b/>
                <w:color w:val="000000"/>
                <w:szCs w:val="24"/>
              </w:rPr>
              <w:t>IV kwartał</w:t>
            </w:r>
          </w:p>
        </w:tc>
      </w:tr>
      <w:tr w:rsidR="00325AD1" w14:paraId="5337E64B" w14:textId="77777777" w:rsidTr="00325AD1">
        <w:tc>
          <w:tcPr>
            <w:tcW w:w="988" w:type="dxa"/>
          </w:tcPr>
          <w:p w14:paraId="3BCD183C" w14:textId="0AC91D4A" w:rsidR="00325AD1" w:rsidRDefault="00325AD1" w:rsidP="00325AD1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2021</w:t>
            </w:r>
          </w:p>
        </w:tc>
        <w:tc>
          <w:tcPr>
            <w:tcW w:w="2018" w:type="dxa"/>
          </w:tcPr>
          <w:p w14:paraId="4627855F" w14:textId="15EF3D4E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2608</w:t>
            </w:r>
          </w:p>
        </w:tc>
        <w:tc>
          <w:tcPr>
            <w:tcW w:w="2019" w:type="dxa"/>
          </w:tcPr>
          <w:p w14:paraId="7534639A" w14:textId="59EADF55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1160</w:t>
            </w:r>
          </w:p>
        </w:tc>
        <w:tc>
          <w:tcPr>
            <w:tcW w:w="2018" w:type="dxa"/>
          </w:tcPr>
          <w:p w14:paraId="75DDFFD5" w14:textId="05E39184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1160</w:t>
            </w:r>
          </w:p>
        </w:tc>
        <w:tc>
          <w:tcPr>
            <w:tcW w:w="2019" w:type="dxa"/>
          </w:tcPr>
          <w:p w14:paraId="60AC7601" w14:textId="5990508B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3098</w:t>
            </w:r>
          </w:p>
        </w:tc>
      </w:tr>
      <w:tr w:rsidR="00325AD1" w14:paraId="7E970C00" w14:textId="77777777" w:rsidTr="00325AD1">
        <w:tc>
          <w:tcPr>
            <w:tcW w:w="988" w:type="dxa"/>
          </w:tcPr>
          <w:p w14:paraId="228AB499" w14:textId="1B5BF84F" w:rsidR="00325AD1" w:rsidRDefault="00325AD1" w:rsidP="00325AD1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2022</w:t>
            </w:r>
          </w:p>
        </w:tc>
        <w:tc>
          <w:tcPr>
            <w:tcW w:w="2018" w:type="dxa"/>
          </w:tcPr>
          <w:p w14:paraId="3E3F13E5" w14:textId="2AB856EE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1160</w:t>
            </w:r>
          </w:p>
        </w:tc>
        <w:tc>
          <w:tcPr>
            <w:tcW w:w="2019" w:type="dxa"/>
          </w:tcPr>
          <w:p w14:paraId="14EB0884" w14:textId="7CDE83EE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1160</w:t>
            </w:r>
          </w:p>
        </w:tc>
        <w:tc>
          <w:tcPr>
            <w:tcW w:w="2018" w:type="dxa"/>
          </w:tcPr>
          <w:p w14:paraId="17B27F01" w14:textId="4F86BA2F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1160</w:t>
            </w:r>
          </w:p>
        </w:tc>
        <w:tc>
          <w:tcPr>
            <w:tcW w:w="2019" w:type="dxa"/>
          </w:tcPr>
          <w:p w14:paraId="35BF150B" w14:textId="20BEBDDC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1252</w:t>
            </w:r>
          </w:p>
        </w:tc>
      </w:tr>
      <w:tr w:rsidR="00325AD1" w14:paraId="41E87235" w14:textId="77777777" w:rsidTr="00325AD1">
        <w:tc>
          <w:tcPr>
            <w:tcW w:w="988" w:type="dxa"/>
          </w:tcPr>
          <w:p w14:paraId="03B4675F" w14:textId="509BA9DC" w:rsidR="00325AD1" w:rsidRDefault="00325AD1" w:rsidP="00325AD1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2023</w:t>
            </w:r>
          </w:p>
        </w:tc>
        <w:tc>
          <w:tcPr>
            <w:tcW w:w="2018" w:type="dxa"/>
          </w:tcPr>
          <w:p w14:paraId="3AEE554B" w14:textId="69EC663E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1791</w:t>
            </w:r>
          </w:p>
        </w:tc>
        <w:tc>
          <w:tcPr>
            <w:tcW w:w="2019" w:type="dxa"/>
          </w:tcPr>
          <w:p w14:paraId="644AF769" w14:textId="6D401014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1160</w:t>
            </w:r>
          </w:p>
        </w:tc>
        <w:tc>
          <w:tcPr>
            <w:tcW w:w="2018" w:type="dxa"/>
          </w:tcPr>
          <w:p w14:paraId="2B0256D4" w14:textId="73772E17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1160</w:t>
            </w:r>
          </w:p>
        </w:tc>
        <w:tc>
          <w:tcPr>
            <w:tcW w:w="2019" w:type="dxa"/>
          </w:tcPr>
          <w:p w14:paraId="13C9DB22" w14:textId="522E8978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1973</w:t>
            </w:r>
          </w:p>
        </w:tc>
      </w:tr>
      <w:tr w:rsidR="00325AD1" w14:paraId="06C13704" w14:textId="77777777" w:rsidTr="00325AD1">
        <w:tc>
          <w:tcPr>
            <w:tcW w:w="988" w:type="dxa"/>
          </w:tcPr>
          <w:p w14:paraId="0D722057" w14:textId="66D847F3" w:rsidR="00325AD1" w:rsidRDefault="00325AD1" w:rsidP="00325AD1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2024</w:t>
            </w:r>
          </w:p>
        </w:tc>
        <w:tc>
          <w:tcPr>
            <w:tcW w:w="2018" w:type="dxa"/>
          </w:tcPr>
          <w:p w14:paraId="6E4F6F36" w14:textId="1443C3FB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3209</w:t>
            </w:r>
          </w:p>
        </w:tc>
        <w:tc>
          <w:tcPr>
            <w:tcW w:w="2019" w:type="dxa"/>
          </w:tcPr>
          <w:p w14:paraId="786A6100" w14:textId="4F61E00C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1160</w:t>
            </w:r>
          </w:p>
        </w:tc>
        <w:tc>
          <w:tcPr>
            <w:tcW w:w="2018" w:type="dxa"/>
          </w:tcPr>
          <w:p w14:paraId="24183CE8" w14:textId="1C0159C9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1186</w:t>
            </w:r>
          </w:p>
        </w:tc>
        <w:tc>
          <w:tcPr>
            <w:tcW w:w="2019" w:type="dxa"/>
          </w:tcPr>
          <w:p w14:paraId="50E54627" w14:textId="636EBB5B" w:rsidR="00325AD1" w:rsidRDefault="00325AD1" w:rsidP="00325AD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4185</w:t>
            </w:r>
          </w:p>
        </w:tc>
      </w:tr>
    </w:tbl>
    <w:p w14:paraId="770958D1" w14:textId="5EB7A7E2" w:rsidR="00C72468" w:rsidRDefault="009A00B4" w:rsidP="009A00B4">
      <w:pPr>
        <w:spacing w:before="100" w:beforeAutospacing="1" w:after="100" w:afterAutospacing="1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Dane pokazują, że krajowy system elektroenergetyczny potrzebuje elastycznej mocy </w:t>
      </w:r>
      <w:r w:rsidR="005863D3">
        <w:rPr>
          <w:rFonts w:cs="Times New Roman"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 xml:space="preserve">w okresach jesienno-zimowych. Tymczasem elektrociepłownie, w zaprezentowanym wariancie wyłącznie aukcji uzupełniających rocznych, będą konkurować z elektrowniami. Nie jest to rozwiązanie optymalne, ponieważ w miesiącach o niższym zapotrzebowaniu na ciepło jednostki kogeneracyjne, aby wypełnić zobowiązania wynikające z rynku mocy będą pracować w kondensacji. Najlepszą sytuację będą posiadały jednostki kogeneracyjne, przy których funkcjonuje magazyn ciepła, ponieważ taki układ pracy pozwoli na optymalizację pracy. </w:t>
      </w:r>
    </w:p>
    <w:p w14:paraId="54AE2388" w14:textId="77E7882F" w:rsidR="009A00B4" w:rsidRDefault="009A00B4" w:rsidP="009A00B4">
      <w:pPr>
        <w:spacing w:before="100" w:beforeAutospacing="1" w:after="100" w:afterAutospacing="1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Dodatkowo wprowadzone zostały zmiany w art. 49a oraz </w:t>
      </w:r>
      <w:r w:rsidR="00BA4718">
        <w:rPr>
          <w:rFonts w:cs="Times New Roman"/>
          <w:color w:val="000000"/>
          <w:szCs w:val="24"/>
        </w:rPr>
        <w:t xml:space="preserve">art. </w:t>
      </w:r>
      <w:r>
        <w:rPr>
          <w:rFonts w:cs="Times New Roman"/>
          <w:color w:val="000000"/>
          <w:szCs w:val="24"/>
        </w:rPr>
        <w:t>67a</w:t>
      </w:r>
      <w:r w:rsidR="00BA4718">
        <w:rPr>
          <w:rFonts w:cs="Times New Roman"/>
          <w:color w:val="000000"/>
          <w:szCs w:val="24"/>
        </w:rPr>
        <w:t xml:space="preserve"> ust. 9 ustawy o rynku mocy</w:t>
      </w:r>
      <w:r>
        <w:rPr>
          <w:rFonts w:cs="Times New Roman"/>
          <w:color w:val="000000"/>
          <w:szCs w:val="24"/>
        </w:rPr>
        <w:t xml:space="preserve"> regulujące udział jednostek niespełniających limitów emisji w rynku wtórnym. </w:t>
      </w:r>
      <w:r w:rsidRPr="009A00B4">
        <w:rPr>
          <w:rFonts w:cs="Times New Roman"/>
          <w:color w:val="000000"/>
          <w:szCs w:val="24"/>
        </w:rPr>
        <w:t>Proponujemy</w:t>
      </w:r>
      <w:r w:rsidR="005863D3">
        <w:rPr>
          <w:rFonts w:cs="Times New Roman"/>
          <w:color w:val="000000"/>
          <w:szCs w:val="24"/>
        </w:rPr>
        <w:t>,</w:t>
      </w:r>
      <w:r w:rsidRPr="009A00B4">
        <w:rPr>
          <w:rFonts w:cs="Times New Roman"/>
          <w:color w:val="000000"/>
          <w:szCs w:val="24"/>
        </w:rPr>
        <w:t xml:space="preserve"> aby wprowadzona została możliwość obrotu obowiązkiem mocowym w ramach wtórnego rynku mocy niezależnie od limitów emisji do 31 grudnia 2028 roku</w:t>
      </w:r>
      <w:r w:rsidR="00BA4718">
        <w:rPr>
          <w:rFonts w:cs="Times New Roman"/>
          <w:color w:val="000000"/>
          <w:szCs w:val="24"/>
        </w:rPr>
        <w:t xml:space="preserve"> (zmiana art. 49a ustawy </w:t>
      </w:r>
      <w:r w:rsidR="005863D3">
        <w:rPr>
          <w:rFonts w:cs="Times New Roman"/>
          <w:color w:val="000000"/>
          <w:szCs w:val="24"/>
        </w:rPr>
        <w:br/>
      </w:r>
      <w:r w:rsidR="00BA4718">
        <w:rPr>
          <w:rFonts w:cs="Times New Roman"/>
          <w:color w:val="000000"/>
          <w:szCs w:val="24"/>
        </w:rPr>
        <w:t xml:space="preserve">o rynku mocy). W ślad za umożliwieniem tego typu jednostkom udziału w rynku wtórnym należy zmienić przepisy </w:t>
      </w:r>
      <w:r w:rsidR="00BA4718" w:rsidRPr="00BA4718">
        <w:rPr>
          <w:rFonts w:cs="Times New Roman"/>
          <w:color w:val="000000"/>
          <w:szCs w:val="24"/>
        </w:rPr>
        <w:t>pozbawia</w:t>
      </w:r>
      <w:r w:rsidR="00BA4718">
        <w:rPr>
          <w:rFonts w:cs="Times New Roman"/>
          <w:color w:val="000000"/>
          <w:szCs w:val="24"/>
        </w:rPr>
        <w:t>jące</w:t>
      </w:r>
      <w:r w:rsidR="00BA4718" w:rsidRPr="00BA4718">
        <w:rPr>
          <w:rFonts w:cs="Times New Roman"/>
          <w:color w:val="000000"/>
          <w:szCs w:val="24"/>
        </w:rPr>
        <w:t xml:space="preserve"> dostawcę mocy wynagrodzenia za okres/rok, w którym jednostka rynku mocy nie spełniła limit</w:t>
      </w:r>
      <w:r w:rsidR="00BA4718">
        <w:rPr>
          <w:rFonts w:cs="Times New Roman"/>
          <w:color w:val="000000"/>
          <w:szCs w:val="24"/>
        </w:rPr>
        <w:t>ów</w:t>
      </w:r>
      <w:r w:rsidR="00BA4718" w:rsidRPr="00BA4718">
        <w:rPr>
          <w:rFonts w:cs="Times New Roman"/>
          <w:color w:val="000000"/>
          <w:szCs w:val="24"/>
        </w:rPr>
        <w:t xml:space="preserve"> emisji. Wprowadzenie derogacji powinno umożliwić wytwórcom otrzymanie wynagrodzeń z obrotu wtórnego obowiązkiem mocowym </w:t>
      </w:r>
      <w:r w:rsidR="00BA4718" w:rsidRPr="00BA4718">
        <w:rPr>
          <w:rFonts w:cs="Times New Roman"/>
          <w:color w:val="000000"/>
          <w:szCs w:val="24"/>
        </w:rPr>
        <w:lastRenderedPageBreak/>
        <w:t>do 2028 roku niezależnie od spełnienia lub braku spełnienia limitu emisji</w:t>
      </w:r>
      <w:r w:rsidR="00BA4718">
        <w:rPr>
          <w:rFonts w:cs="Times New Roman"/>
          <w:color w:val="000000"/>
          <w:szCs w:val="24"/>
        </w:rPr>
        <w:t xml:space="preserve"> (zmiana art. </w:t>
      </w:r>
      <w:r w:rsidR="00BA4718" w:rsidRPr="00BA4718">
        <w:rPr>
          <w:rFonts w:cs="Times New Roman"/>
          <w:color w:val="000000"/>
          <w:szCs w:val="24"/>
        </w:rPr>
        <w:t>67a ust. 9 ustawy o rynku mocy</w:t>
      </w:r>
      <w:r w:rsidR="00BA4718">
        <w:rPr>
          <w:rFonts w:cs="Times New Roman"/>
          <w:color w:val="000000"/>
          <w:szCs w:val="24"/>
        </w:rPr>
        <w:t>)</w:t>
      </w:r>
      <w:r w:rsidR="00BA4718" w:rsidRPr="00BA4718">
        <w:rPr>
          <w:rFonts w:cs="Times New Roman"/>
          <w:color w:val="000000"/>
          <w:szCs w:val="24"/>
        </w:rPr>
        <w:t>.</w:t>
      </w:r>
    </w:p>
    <w:p w14:paraId="24653817" w14:textId="7AABE8C5" w:rsidR="00807E6C" w:rsidRDefault="00807E6C" w:rsidP="009A00B4">
      <w:pPr>
        <w:spacing w:before="100" w:beforeAutospacing="1" w:after="100" w:afterAutospacing="1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Pozostałe zmiany sprowadzają się do zdefiniowania odrębnie „aukcji głównych uzupełniających” dla których okresem dostaw jest rok, a odrębnie „aukcji dodatkowych uzupełniających” dla których okresem dostaw jest kwartał. Zaproponowano aby aukcje główne uzupełniające oraz aukcje dodatkowe uzupełniające były ogłaszane do 30 kwietnia danego roku kalendarzowego, a zaproponowano aby aukcje odbywały się według następującego harmonogramu:</w:t>
      </w:r>
    </w:p>
    <w:p w14:paraId="5D6B7786" w14:textId="6E538DCC" w:rsidR="00B66B15" w:rsidRPr="00B66B15" w:rsidRDefault="00B66B15" w:rsidP="00B66B15">
      <w:pPr>
        <w:spacing w:before="40" w:after="40" w:line="240" w:lineRule="auto"/>
        <w:jc w:val="both"/>
        <w:rPr>
          <w:rFonts w:cs="Times New Roman"/>
          <w:b/>
          <w:color w:val="000000"/>
          <w:szCs w:val="24"/>
        </w:rPr>
      </w:pPr>
      <w:r w:rsidRPr="00B66B15">
        <w:rPr>
          <w:rFonts w:cs="Times New Roman"/>
          <w:b/>
          <w:color w:val="000000"/>
          <w:szCs w:val="24"/>
        </w:rPr>
        <w:t>Okres dostaw: II połowa 2025 roku</w:t>
      </w:r>
    </w:p>
    <w:p w14:paraId="53543BFB" w14:textId="72EAF391" w:rsidR="00B66B15" w:rsidRDefault="00807E6C" w:rsidP="00B66B15">
      <w:pPr>
        <w:pStyle w:val="Akapitzlist"/>
        <w:numPr>
          <w:ilvl w:val="1"/>
          <w:numId w:val="2"/>
        </w:numPr>
        <w:spacing w:before="40" w:after="40" w:line="240" w:lineRule="auto"/>
        <w:contextualSpacing w:val="0"/>
        <w:jc w:val="both"/>
        <w:rPr>
          <w:rFonts w:cs="Times New Roman"/>
          <w:color w:val="000000"/>
          <w:szCs w:val="24"/>
        </w:rPr>
      </w:pPr>
      <w:r w:rsidRPr="00807E6C">
        <w:rPr>
          <w:rFonts w:cs="Times New Roman"/>
          <w:color w:val="000000"/>
          <w:szCs w:val="24"/>
        </w:rPr>
        <w:t>Aukcj</w:t>
      </w:r>
      <w:r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główn</w:t>
      </w:r>
      <w:r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uzupełniając</w:t>
      </w:r>
      <w:r w:rsidR="00B66B15"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</w:t>
      </w:r>
      <w:r w:rsidR="00B66B15">
        <w:rPr>
          <w:rFonts w:cs="Times New Roman"/>
          <w:color w:val="000000"/>
          <w:szCs w:val="24"/>
        </w:rPr>
        <w:t>–</w:t>
      </w:r>
      <w:r w:rsidRPr="00807E6C">
        <w:rPr>
          <w:rFonts w:cs="Times New Roman"/>
          <w:color w:val="000000"/>
          <w:szCs w:val="24"/>
        </w:rPr>
        <w:t xml:space="preserve"> pierwsz</w:t>
      </w:r>
      <w:r w:rsidR="00B66B15">
        <w:rPr>
          <w:rFonts w:cs="Times New Roman"/>
          <w:color w:val="000000"/>
          <w:szCs w:val="24"/>
        </w:rPr>
        <w:t xml:space="preserve">a </w:t>
      </w:r>
      <w:r w:rsidRPr="00807E6C">
        <w:rPr>
          <w:rFonts w:cs="Times New Roman"/>
          <w:color w:val="000000"/>
          <w:szCs w:val="24"/>
        </w:rPr>
        <w:t>połow</w:t>
      </w:r>
      <w:r w:rsidR="00B66B15">
        <w:rPr>
          <w:rFonts w:cs="Times New Roman"/>
          <w:color w:val="000000"/>
          <w:szCs w:val="24"/>
        </w:rPr>
        <w:t xml:space="preserve">a </w:t>
      </w:r>
      <w:r w:rsidRPr="00807E6C">
        <w:rPr>
          <w:rFonts w:cs="Times New Roman"/>
          <w:color w:val="000000"/>
          <w:szCs w:val="24"/>
        </w:rPr>
        <w:t>2025 r.</w:t>
      </w:r>
      <w:r w:rsidR="00B66B15">
        <w:rPr>
          <w:rFonts w:cs="Times New Roman"/>
          <w:color w:val="000000"/>
          <w:szCs w:val="24"/>
        </w:rPr>
        <w:t>,</w:t>
      </w:r>
      <w:r w:rsidRPr="00807E6C">
        <w:rPr>
          <w:rFonts w:cs="Times New Roman"/>
          <w:color w:val="000000"/>
          <w:szCs w:val="24"/>
        </w:rPr>
        <w:t xml:space="preserve"> nie później niż do 1 maja 2025</w:t>
      </w:r>
    </w:p>
    <w:p w14:paraId="50862300" w14:textId="0860783A" w:rsidR="00807E6C" w:rsidRDefault="00807E6C" w:rsidP="00B66B15">
      <w:pPr>
        <w:pStyle w:val="Akapitzlist"/>
        <w:numPr>
          <w:ilvl w:val="1"/>
          <w:numId w:val="2"/>
        </w:numPr>
        <w:spacing w:before="40" w:after="40" w:line="240" w:lineRule="auto"/>
        <w:contextualSpacing w:val="0"/>
        <w:jc w:val="both"/>
        <w:rPr>
          <w:rFonts w:cs="Times New Roman"/>
          <w:color w:val="000000"/>
          <w:szCs w:val="24"/>
        </w:rPr>
      </w:pPr>
      <w:r w:rsidRPr="00B66B15">
        <w:rPr>
          <w:rFonts w:cs="Times New Roman"/>
          <w:color w:val="000000"/>
          <w:szCs w:val="24"/>
        </w:rPr>
        <w:t xml:space="preserve">Aukcje dodatkowe uzupełniające </w:t>
      </w:r>
      <w:r w:rsidR="00B66B15">
        <w:rPr>
          <w:rFonts w:cs="Times New Roman"/>
          <w:color w:val="000000"/>
          <w:szCs w:val="24"/>
        </w:rPr>
        <w:t>– pierwsza połowa</w:t>
      </w:r>
      <w:r w:rsidRPr="00B66B15">
        <w:rPr>
          <w:rFonts w:cs="Times New Roman"/>
          <w:color w:val="000000"/>
          <w:szCs w:val="24"/>
        </w:rPr>
        <w:t xml:space="preserve"> 2025 r., nie później niż do dnia </w:t>
      </w:r>
      <w:r w:rsidR="005863D3">
        <w:rPr>
          <w:rFonts w:cs="Times New Roman"/>
          <w:color w:val="000000"/>
          <w:szCs w:val="24"/>
        </w:rPr>
        <w:br/>
      </w:r>
      <w:r w:rsidRPr="00B66B15">
        <w:rPr>
          <w:rFonts w:cs="Times New Roman"/>
          <w:color w:val="000000"/>
          <w:szCs w:val="24"/>
        </w:rPr>
        <w:t xml:space="preserve">15 maja 2025 </w:t>
      </w:r>
      <w:r w:rsidR="00B66B15">
        <w:rPr>
          <w:rFonts w:cs="Times New Roman"/>
          <w:color w:val="000000"/>
          <w:szCs w:val="24"/>
        </w:rPr>
        <w:t>w jednym terminie dla wszystkich kwartałów</w:t>
      </w:r>
    </w:p>
    <w:p w14:paraId="71CD3F15" w14:textId="7636400C" w:rsidR="00B66B15" w:rsidRPr="00B66B15" w:rsidRDefault="00B66B15" w:rsidP="00B66B15">
      <w:pPr>
        <w:spacing w:before="40" w:after="40" w:line="240" w:lineRule="auto"/>
        <w:jc w:val="both"/>
        <w:rPr>
          <w:rFonts w:cs="Times New Roman"/>
          <w:b/>
          <w:color w:val="000000"/>
          <w:szCs w:val="24"/>
        </w:rPr>
      </w:pPr>
      <w:r w:rsidRPr="00B66B15">
        <w:rPr>
          <w:rFonts w:cs="Times New Roman"/>
          <w:b/>
          <w:color w:val="000000"/>
          <w:szCs w:val="24"/>
        </w:rPr>
        <w:t>Okres dostaw: 2026 rok</w:t>
      </w:r>
    </w:p>
    <w:p w14:paraId="30A7457A" w14:textId="38175A2B" w:rsidR="00B66B15" w:rsidRDefault="00B66B15" w:rsidP="00B66B15">
      <w:pPr>
        <w:pStyle w:val="Akapitzlist"/>
        <w:numPr>
          <w:ilvl w:val="1"/>
          <w:numId w:val="2"/>
        </w:numPr>
        <w:spacing w:before="40" w:after="40" w:line="240" w:lineRule="auto"/>
        <w:contextualSpacing w:val="0"/>
        <w:jc w:val="both"/>
        <w:rPr>
          <w:rFonts w:cs="Times New Roman"/>
          <w:color w:val="000000"/>
          <w:szCs w:val="24"/>
        </w:rPr>
      </w:pPr>
      <w:r w:rsidRPr="00807E6C">
        <w:rPr>
          <w:rFonts w:cs="Times New Roman"/>
          <w:color w:val="000000"/>
          <w:szCs w:val="24"/>
        </w:rPr>
        <w:t>Aukcj</w:t>
      </w:r>
      <w:r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główn</w:t>
      </w:r>
      <w:r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uzupełniając</w:t>
      </w:r>
      <w:r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–</w:t>
      </w:r>
      <w:r w:rsidRPr="00807E6C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druga </w:t>
      </w:r>
      <w:r w:rsidRPr="00807E6C">
        <w:rPr>
          <w:rFonts w:cs="Times New Roman"/>
          <w:color w:val="000000"/>
          <w:szCs w:val="24"/>
        </w:rPr>
        <w:t>połow</w:t>
      </w:r>
      <w:r>
        <w:rPr>
          <w:rFonts w:cs="Times New Roman"/>
          <w:color w:val="000000"/>
          <w:szCs w:val="24"/>
        </w:rPr>
        <w:t xml:space="preserve">a </w:t>
      </w:r>
      <w:r w:rsidRPr="00807E6C">
        <w:rPr>
          <w:rFonts w:cs="Times New Roman"/>
          <w:color w:val="000000"/>
          <w:szCs w:val="24"/>
        </w:rPr>
        <w:t>2025 r.</w:t>
      </w:r>
      <w:r>
        <w:rPr>
          <w:rFonts w:cs="Times New Roman"/>
          <w:color w:val="000000"/>
          <w:szCs w:val="24"/>
        </w:rPr>
        <w:t>,</w:t>
      </w:r>
      <w:r w:rsidRPr="00807E6C">
        <w:rPr>
          <w:rFonts w:cs="Times New Roman"/>
          <w:color w:val="000000"/>
          <w:szCs w:val="24"/>
        </w:rPr>
        <w:t xml:space="preserve"> nie później niż do 1 </w:t>
      </w:r>
      <w:r>
        <w:rPr>
          <w:rFonts w:cs="Times New Roman"/>
          <w:color w:val="000000"/>
          <w:szCs w:val="24"/>
        </w:rPr>
        <w:t>września</w:t>
      </w:r>
      <w:r w:rsidRPr="00807E6C">
        <w:rPr>
          <w:rFonts w:cs="Times New Roman"/>
          <w:color w:val="000000"/>
          <w:szCs w:val="24"/>
        </w:rPr>
        <w:t xml:space="preserve"> 2025</w:t>
      </w:r>
    </w:p>
    <w:p w14:paraId="6D8FB814" w14:textId="77F0F400" w:rsidR="00B66B15" w:rsidRPr="00B66B15" w:rsidRDefault="00B66B15" w:rsidP="00B66B15">
      <w:pPr>
        <w:pStyle w:val="Akapitzlist"/>
        <w:numPr>
          <w:ilvl w:val="1"/>
          <w:numId w:val="2"/>
        </w:numPr>
        <w:spacing w:before="40" w:after="40" w:line="240" w:lineRule="auto"/>
        <w:contextualSpacing w:val="0"/>
        <w:jc w:val="both"/>
        <w:rPr>
          <w:rFonts w:cs="Times New Roman"/>
          <w:color w:val="000000"/>
          <w:szCs w:val="24"/>
        </w:rPr>
      </w:pPr>
      <w:r w:rsidRPr="00B66B15">
        <w:rPr>
          <w:rFonts w:cs="Times New Roman"/>
          <w:color w:val="000000"/>
          <w:szCs w:val="24"/>
        </w:rPr>
        <w:t xml:space="preserve">Aukcje dodatkowe uzupełniające </w:t>
      </w:r>
      <w:r>
        <w:rPr>
          <w:rFonts w:cs="Times New Roman"/>
          <w:color w:val="000000"/>
          <w:szCs w:val="24"/>
        </w:rPr>
        <w:t>– druga połowa</w:t>
      </w:r>
      <w:r w:rsidRPr="00B66B15">
        <w:rPr>
          <w:rFonts w:cs="Times New Roman"/>
          <w:color w:val="000000"/>
          <w:szCs w:val="24"/>
        </w:rPr>
        <w:t xml:space="preserve"> 2025 r., nie później niż do dnia </w:t>
      </w:r>
      <w:r w:rsidR="005863D3">
        <w:rPr>
          <w:rFonts w:cs="Times New Roman"/>
          <w:color w:val="000000"/>
          <w:szCs w:val="24"/>
        </w:rPr>
        <w:br/>
      </w:r>
      <w:r w:rsidRPr="00B66B15">
        <w:rPr>
          <w:rFonts w:cs="Times New Roman"/>
          <w:color w:val="000000"/>
          <w:szCs w:val="24"/>
        </w:rPr>
        <w:t xml:space="preserve">15 </w:t>
      </w:r>
      <w:r>
        <w:rPr>
          <w:rFonts w:cs="Times New Roman"/>
          <w:color w:val="000000"/>
          <w:szCs w:val="24"/>
        </w:rPr>
        <w:t xml:space="preserve">września </w:t>
      </w:r>
      <w:r w:rsidRPr="00B66B15">
        <w:rPr>
          <w:rFonts w:cs="Times New Roman"/>
          <w:color w:val="000000"/>
          <w:szCs w:val="24"/>
        </w:rPr>
        <w:t xml:space="preserve">2025 </w:t>
      </w:r>
      <w:r>
        <w:rPr>
          <w:rFonts w:cs="Times New Roman"/>
          <w:color w:val="000000"/>
          <w:szCs w:val="24"/>
        </w:rPr>
        <w:t>w jednym terminie dla wszystkich kwartałów</w:t>
      </w:r>
    </w:p>
    <w:p w14:paraId="32C74BB9" w14:textId="35E672B4" w:rsidR="00B66B15" w:rsidRPr="00B66B15" w:rsidRDefault="00B66B15" w:rsidP="00B66B15">
      <w:pPr>
        <w:spacing w:before="40" w:after="40" w:line="240" w:lineRule="auto"/>
        <w:jc w:val="both"/>
        <w:rPr>
          <w:rFonts w:cs="Times New Roman"/>
          <w:b/>
          <w:color w:val="000000"/>
          <w:szCs w:val="24"/>
        </w:rPr>
      </w:pPr>
      <w:r w:rsidRPr="00B66B15">
        <w:rPr>
          <w:rFonts w:cs="Times New Roman"/>
          <w:b/>
          <w:color w:val="000000"/>
          <w:szCs w:val="24"/>
        </w:rPr>
        <w:t>Okres dostaw: 2027 rok</w:t>
      </w:r>
    </w:p>
    <w:p w14:paraId="45659969" w14:textId="5056198C" w:rsidR="00B66B15" w:rsidRDefault="00B66B15" w:rsidP="00B66B15">
      <w:pPr>
        <w:pStyle w:val="Akapitzlist"/>
        <w:numPr>
          <w:ilvl w:val="1"/>
          <w:numId w:val="2"/>
        </w:numPr>
        <w:spacing w:before="40" w:after="40" w:line="240" w:lineRule="auto"/>
        <w:contextualSpacing w:val="0"/>
        <w:jc w:val="both"/>
        <w:rPr>
          <w:rFonts w:cs="Times New Roman"/>
          <w:color w:val="000000"/>
          <w:szCs w:val="24"/>
        </w:rPr>
      </w:pPr>
      <w:r w:rsidRPr="00807E6C">
        <w:rPr>
          <w:rFonts w:cs="Times New Roman"/>
          <w:color w:val="000000"/>
          <w:szCs w:val="24"/>
        </w:rPr>
        <w:t>Aukcj</w:t>
      </w:r>
      <w:r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główn</w:t>
      </w:r>
      <w:r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uzupełniając</w:t>
      </w:r>
      <w:r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–</w:t>
      </w:r>
      <w:r w:rsidRPr="00807E6C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2026 r. po przeprowadzeniu aukcji dodatkowych na okres dostaw 2027</w:t>
      </w:r>
    </w:p>
    <w:p w14:paraId="5410FC03" w14:textId="2C66B930" w:rsidR="00B66B15" w:rsidRPr="00B66B15" w:rsidRDefault="00B66B15" w:rsidP="00B66B15">
      <w:pPr>
        <w:pStyle w:val="Akapitzlist"/>
        <w:numPr>
          <w:ilvl w:val="1"/>
          <w:numId w:val="2"/>
        </w:numPr>
        <w:spacing w:before="40" w:after="40" w:line="240" w:lineRule="auto"/>
        <w:contextualSpacing w:val="0"/>
        <w:jc w:val="both"/>
        <w:rPr>
          <w:rFonts w:cs="Times New Roman"/>
          <w:color w:val="000000"/>
          <w:szCs w:val="24"/>
        </w:rPr>
      </w:pPr>
      <w:r w:rsidRPr="00B66B15">
        <w:rPr>
          <w:rFonts w:cs="Times New Roman"/>
          <w:color w:val="000000"/>
          <w:szCs w:val="24"/>
        </w:rPr>
        <w:t xml:space="preserve">Aukcje dodatkowe uzupełniające </w:t>
      </w:r>
      <w:r>
        <w:rPr>
          <w:rFonts w:cs="Times New Roman"/>
          <w:color w:val="000000"/>
          <w:szCs w:val="24"/>
        </w:rPr>
        <w:t>– 2026 r. po przeprowadzeniu aukcji dodatkowych na okres dostaw 2027</w:t>
      </w:r>
    </w:p>
    <w:p w14:paraId="1E23F632" w14:textId="50DC7A82" w:rsidR="00B66B15" w:rsidRPr="00B66B15" w:rsidRDefault="00B66B15" w:rsidP="00B66B15">
      <w:pPr>
        <w:spacing w:before="40" w:after="40" w:line="240" w:lineRule="auto"/>
        <w:jc w:val="both"/>
        <w:rPr>
          <w:rFonts w:cs="Times New Roman"/>
          <w:b/>
          <w:color w:val="000000"/>
          <w:szCs w:val="24"/>
        </w:rPr>
      </w:pPr>
      <w:r w:rsidRPr="00B66B15">
        <w:rPr>
          <w:rFonts w:cs="Times New Roman"/>
          <w:b/>
          <w:color w:val="000000"/>
          <w:szCs w:val="24"/>
        </w:rPr>
        <w:t>Okres dostaw: 2028 rok</w:t>
      </w:r>
    </w:p>
    <w:p w14:paraId="5622719A" w14:textId="25E7DEFA" w:rsidR="00B66B15" w:rsidRDefault="00B66B15" w:rsidP="00B66B15">
      <w:pPr>
        <w:pStyle w:val="Akapitzlist"/>
        <w:numPr>
          <w:ilvl w:val="1"/>
          <w:numId w:val="2"/>
        </w:numPr>
        <w:spacing w:before="40" w:after="40" w:line="240" w:lineRule="auto"/>
        <w:contextualSpacing w:val="0"/>
        <w:jc w:val="both"/>
        <w:rPr>
          <w:rFonts w:cs="Times New Roman"/>
          <w:color w:val="000000"/>
          <w:szCs w:val="24"/>
        </w:rPr>
      </w:pPr>
      <w:r w:rsidRPr="00807E6C">
        <w:rPr>
          <w:rFonts w:cs="Times New Roman"/>
          <w:color w:val="000000"/>
          <w:szCs w:val="24"/>
        </w:rPr>
        <w:t>Aukcj</w:t>
      </w:r>
      <w:r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główn</w:t>
      </w:r>
      <w:r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uzupełniając</w:t>
      </w:r>
      <w:r>
        <w:rPr>
          <w:rFonts w:cs="Times New Roman"/>
          <w:color w:val="000000"/>
          <w:szCs w:val="24"/>
        </w:rPr>
        <w:t>a</w:t>
      </w:r>
      <w:r w:rsidRPr="00807E6C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–</w:t>
      </w:r>
      <w:r w:rsidRPr="00807E6C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2027 r</w:t>
      </w:r>
      <w:r w:rsidR="00047792">
        <w:rPr>
          <w:rFonts w:cs="Times New Roman"/>
          <w:color w:val="000000"/>
          <w:szCs w:val="24"/>
        </w:rPr>
        <w:t xml:space="preserve">. </w:t>
      </w:r>
      <w:r>
        <w:rPr>
          <w:rFonts w:cs="Times New Roman"/>
          <w:color w:val="000000"/>
          <w:szCs w:val="24"/>
        </w:rPr>
        <w:t xml:space="preserve">po przeprowadzeniu aukcji dodatkowych na </w:t>
      </w:r>
      <w:r w:rsidR="00047792">
        <w:rPr>
          <w:rFonts w:cs="Times New Roman"/>
          <w:color w:val="000000"/>
          <w:szCs w:val="24"/>
        </w:rPr>
        <w:t xml:space="preserve">okres dostaw </w:t>
      </w:r>
      <w:r>
        <w:rPr>
          <w:rFonts w:cs="Times New Roman"/>
          <w:color w:val="000000"/>
          <w:szCs w:val="24"/>
        </w:rPr>
        <w:t>202</w:t>
      </w:r>
      <w:r w:rsidR="00047792">
        <w:rPr>
          <w:rFonts w:cs="Times New Roman"/>
          <w:color w:val="000000"/>
          <w:szCs w:val="24"/>
        </w:rPr>
        <w:t>8</w:t>
      </w:r>
    </w:p>
    <w:p w14:paraId="51DA1168" w14:textId="2D2CFAE0" w:rsidR="00BA4718" w:rsidRDefault="00B66B15" w:rsidP="00FC587F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cs="Times New Roman"/>
          <w:color w:val="000000"/>
          <w:szCs w:val="24"/>
        </w:rPr>
      </w:pPr>
      <w:r w:rsidRPr="00047792">
        <w:rPr>
          <w:rFonts w:cs="Times New Roman"/>
          <w:color w:val="000000"/>
          <w:szCs w:val="24"/>
        </w:rPr>
        <w:t xml:space="preserve">Aukcje dodatkowe uzupełniające – </w:t>
      </w:r>
      <w:r w:rsidR="00047792" w:rsidRPr="00047792">
        <w:rPr>
          <w:rFonts w:cs="Times New Roman"/>
          <w:color w:val="000000"/>
          <w:szCs w:val="24"/>
        </w:rPr>
        <w:t>2027</w:t>
      </w:r>
      <w:r w:rsidRPr="00047792">
        <w:rPr>
          <w:rFonts w:cs="Times New Roman"/>
          <w:color w:val="000000"/>
          <w:szCs w:val="24"/>
        </w:rPr>
        <w:t xml:space="preserve"> r., </w:t>
      </w:r>
      <w:r w:rsidR="00047792">
        <w:rPr>
          <w:rFonts w:cs="Times New Roman"/>
          <w:color w:val="000000"/>
          <w:szCs w:val="24"/>
        </w:rPr>
        <w:t>po przeprowadzeniu aukcji dodatkowych na okres dostaw 2028</w:t>
      </w:r>
    </w:p>
    <w:p w14:paraId="72033C80" w14:textId="71E29759" w:rsidR="00047792" w:rsidRPr="00047792" w:rsidRDefault="00047792" w:rsidP="00047792">
      <w:pPr>
        <w:spacing w:before="100" w:beforeAutospacing="1" w:after="100" w:afterAutospacing="1" w:line="240" w:lineRule="auto"/>
        <w:jc w:val="both"/>
        <w:rPr>
          <w:rFonts w:cs="Times New Roman"/>
          <w:color w:val="000000"/>
          <w:szCs w:val="24"/>
        </w:rPr>
      </w:pPr>
      <w:r w:rsidRPr="00047792">
        <w:rPr>
          <w:rFonts w:cs="Times New Roman"/>
          <w:color w:val="000000"/>
          <w:szCs w:val="24"/>
        </w:rPr>
        <w:t xml:space="preserve">Parametrami aukcji dodatkowych uzupełniających </w:t>
      </w:r>
      <w:r>
        <w:rPr>
          <w:rFonts w:cs="Times New Roman"/>
          <w:color w:val="000000"/>
          <w:szCs w:val="24"/>
        </w:rPr>
        <w:t>mają być</w:t>
      </w:r>
      <w:r w:rsidRPr="00047792">
        <w:rPr>
          <w:rFonts w:cs="Times New Roman"/>
          <w:color w:val="000000"/>
          <w:szCs w:val="24"/>
        </w:rPr>
        <w:t xml:space="preserve"> parametry, wyznaczane odpowiednio dla </w:t>
      </w:r>
      <w:r>
        <w:rPr>
          <w:rFonts w:cs="Times New Roman"/>
          <w:color w:val="000000"/>
          <w:szCs w:val="24"/>
        </w:rPr>
        <w:t xml:space="preserve">kwartalnych </w:t>
      </w:r>
      <w:r w:rsidRPr="00047792">
        <w:rPr>
          <w:rFonts w:cs="Times New Roman"/>
          <w:color w:val="000000"/>
          <w:szCs w:val="24"/>
        </w:rPr>
        <w:t>okresów dostaw</w:t>
      </w:r>
      <w:r>
        <w:rPr>
          <w:rFonts w:cs="Times New Roman"/>
          <w:color w:val="000000"/>
          <w:szCs w:val="24"/>
        </w:rPr>
        <w:t xml:space="preserve"> </w:t>
      </w:r>
      <w:r w:rsidRPr="00047792">
        <w:rPr>
          <w:rFonts w:cs="Times New Roman"/>
          <w:color w:val="000000"/>
          <w:szCs w:val="24"/>
        </w:rPr>
        <w:t>ustalone w przepisach wydanych na podstawie art. 34 ust. 1. dla aukcji głównej dla tego samego okresu dostaw.</w:t>
      </w:r>
      <w:r>
        <w:rPr>
          <w:rFonts w:cs="Times New Roman"/>
          <w:color w:val="000000"/>
          <w:szCs w:val="24"/>
        </w:rPr>
        <w:t xml:space="preserve"> Parametry zarówno aukcji głównej uzupełniającej jak i aukcji dodatkowych uzupełniających zostaną ogłoszone przez m</w:t>
      </w:r>
      <w:r w:rsidRPr="00047792">
        <w:rPr>
          <w:rFonts w:cs="Times New Roman"/>
          <w:color w:val="000000"/>
          <w:szCs w:val="24"/>
        </w:rPr>
        <w:t>inistr</w:t>
      </w:r>
      <w:r>
        <w:rPr>
          <w:rFonts w:cs="Times New Roman"/>
          <w:color w:val="000000"/>
          <w:szCs w:val="24"/>
        </w:rPr>
        <w:t>a</w:t>
      </w:r>
      <w:r w:rsidRPr="00047792">
        <w:rPr>
          <w:rFonts w:cs="Times New Roman"/>
          <w:color w:val="000000"/>
          <w:szCs w:val="24"/>
        </w:rPr>
        <w:t xml:space="preserve"> właściw</w:t>
      </w:r>
      <w:r>
        <w:rPr>
          <w:rFonts w:cs="Times New Roman"/>
          <w:color w:val="000000"/>
          <w:szCs w:val="24"/>
        </w:rPr>
        <w:t>ego</w:t>
      </w:r>
      <w:r w:rsidRPr="00047792">
        <w:rPr>
          <w:rFonts w:cs="Times New Roman"/>
          <w:color w:val="000000"/>
          <w:szCs w:val="24"/>
        </w:rPr>
        <w:t xml:space="preserve"> do spraw energii w drodze obwieszczenia, w Dzienniku Urzędowym Rzeczypospolitej Polskiej „Monitor Polski”</w:t>
      </w:r>
      <w:r>
        <w:rPr>
          <w:rFonts w:cs="Times New Roman"/>
          <w:color w:val="000000"/>
          <w:szCs w:val="24"/>
        </w:rPr>
        <w:t xml:space="preserve">. </w:t>
      </w:r>
    </w:p>
    <w:p w14:paraId="6C5FA275" w14:textId="4BDD5D0A" w:rsidR="00047792" w:rsidRPr="00047792" w:rsidRDefault="00047792" w:rsidP="00047792">
      <w:pPr>
        <w:spacing w:before="100" w:beforeAutospacing="1" w:after="100" w:afterAutospacing="1" w:line="240" w:lineRule="auto"/>
        <w:jc w:val="both"/>
        <w:rPr>
          <w:rFonts w:cs="Times New Roman"/>
          <w:color w:val="000000"/>
          <w:szCs w:val="24"/>
        </w:rPr>
      </w:pPr>
    </w:p>
    <w:sectPr w:rsidR="00047792" w:rsidRPr="000477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DEF52" w14:textId="77777777" w:rsidR="005863D3" w:rsidRDefault="005863D3">
      <w:pPr>
        <w:spacing w:line="240" w:lineRule="auto"/>
      </w:pPr>
      <w:r>
        <w:separator/>
      </w:r>
    </w:p>
  </w:endnote>
  <w:endnote w:type="continuationSeparator" w:id="0">
    <w:p w14:paraId="76F73C69" w14:textId="77777777" w:rsidR="005863D3" w:rsidRDefault="00586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655159"/>
      <w:docPartObj>
        <w:docPartGallery w:val="Page Numbers (Bottom of Page)"/>
        <w:docPartUnique/>
      </w:docPartObj>
    </w:sdtPr>
    <w:sdtEndPr/>
    <w:sdtContent>
      <w:p w14:paraId="5DA00EBC" w14:textId="77777777" w:rsidR="005863D3" w:rsidRDefault="000477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219BD" w14:textId="77777777" w:rsidR="005863D3" w:rsidRDefault="00586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82ED3" w14:textId="77777777" w:rsidR="005863D3" w:rsidRDefault="005863D3">
      <w:pPr>
        <w:spacing w:line="240" w:lineRule="auto"/>
      </w:pPr>
      <w:r>
        <w:separator/>
      </w:r>
    </w:p>
  </w:footnote>
  <w:footnote w:type="continuationSeparator" w:id="0">
    <w:p w14:paraId="0CD7F93E" w14:textId="77777777" w:rsidR="005863D3" w:rsidRDefault="00586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AA65" w14:textId="77777777" w:rsidR="005863D3" w:rsidRDefault="00586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F09B2"/>
    <w:multiLevelType w:val="hybridMultilevel"/>
    <w:tmpl w:val="798A3FB4"/>
    <w:lvl w:ilvl="0" w:tplc="489C05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5659"/>
    <w:multiLevelType w:val="multilevel"/>
    <w:tmpl w:val="3230C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38509">
    <w:abstractNumId w:val="0"/>
  </w:num>
  <w:num w:numId="2" w16cid:durableId="141639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A0"/>
    <w:rsid w:val="00047792"/>
    <w:rsid w:val="000C152E"/>
    <w:rsid w:val="000C6FD6"/>
    <w:rsid w:val="00325AD1"/>
    <w:rsid w:val="005111D1"/>
    <w:rsid w:val="00565EA4"/>
    <w:rsid w:val="005863D3"/>
    <w:rsid w:val="005B7DFD"/>
    <w:rsid w:val="00807E6C"/>
    <w:rsid w:val="00877A6F"/>
    <w:rsid w:val="009A00B4"/>
    <w:rsid w:val="00A00EA0"/>
    <w:rsid w:val="00B66B15"/>
    <w:rsid w:val="00BA4718"/>
    <w:rsid w:val="00C72468"/>
    <w:rsid w:val="00D0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3EDA"/>
  <w15:chartTrackingRefBased/>
  <w15:docId w15:val="{E54B5772-31E4-4923-8975-9B666205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DF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4"/>
    <w:qFormat/>
    <w:rsid w:val="005B7D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B7DFD"/>
    <w:rPr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5B7DF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7D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D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DFD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7D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DFD"/>
    <w:rPr>
      <w:rFonts w:ascii="Times New Roman" w:eastAsiaTheme="minorEastAsia" w:hAnsi="Times New Roman" w:cs="Arial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2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807E6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732</Words>
  <Characters>4489</Characters>
  <Application>Microsoft Office Word</Application>
  <DocSecurity>0</DocSecurity>
  <Lines>149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Lesniak</dc:creator>
  <cp:keywords/>
  <dc:description/>
  <cp:lastModifiedBy>Paulina Grądzik</cp:lastModifiedBy>
  <cp:revision>5</cp:revision>
  <dcterms:created xsi:type="dcterms:W3CDTF">2024-10-24T08:36:00Z</dcterms:created>
  <dcterms:modified xsi:type="dcterms:W3CDTF">2024-10-25T14:09:00Z</dcterms:modified>
</cp:coreProperties>
</file>