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4B34A" w14:textId="77777777" w:rsidR="005115A9" w:rsidRDefault="005115A9" w:rsidP="005115A9">
      <w:pPr>
        <w:pStyle w:val="Tekstpodstawowy2"/>
        <w:spacing w:after="120"/>
        <w:ind w:left="425"/>
        <w:rPr>
          <w:rFonts w:asciiTheme="minorHAnsi" w:hAnsiTheme="minorHAnsi" w:cstheme="minorHAnsi"/>
          <w:sz w:val="24"/>
        </w:rPr>
      </w:pPr>
    </w:p>
    <w:p w14:paraId="7ABF1B9C" w14:textId="77777777" w:rsidR="005115A9" w:rsidRDefault="005115A9" w:rsidP="005115A9">
      <w:pPr>
        <w:pStyle w:val="Tekstpodstawowy2"/>
        <w:spacing w:after="120"/>
        <w:ind w:left="425"/>
        <w:rPr>
          <w:rFonts w:asciiTheme="minorHAnsi" w:hAnsiTheme="minorHAnsi" w:cstheme="minorHAnsi"/>
          <w:sz w:val="24"/>
        </w:rPr>
      </w:pPr>
    </w:p>
    <w:p w14:paraId="786FC3D4" w14:textId="35DFAEB1" w:rsidR="005115A9" w:rsidRPr="00AF1921" w:rsidRDefault="00633FCB" w:rsidP="005115A9">
      <w:pPr>
        <w:pStyle w:val="Tekstpodstawowy2"/>
        <w:ind w:left="425"/>
        <w:jc w:val="center"/>
        <w:rPr>
          <w:rFonts w:ascii="Times New Roman" w:hAnsi="Times New Roman"/>
          <w:b/>
          <w:bCs/>
          <w:sz w:val="24"/>
        </w:rPr>
      </w:pPr>
      <w:r>
        <w:rPr>
          <w:rFonts w:ascii="Times New Roman" w:hAnsi="Times New Roman"/>
          <w:b/>
          <w:bCs/>
          <w:sz w:val="24"/>
        </w:rPr>
        <w:t>KONFEDERACJA LEWIATAN</w:t>
      </w:r>
    </w:p>
    <w:p w14:paraId="72B88B35" w14:textId="4AC3C150" w:rsidR="005115A9" w:rsidRPr="00AF1921" w:rsidRDefault="005115A9" w:rsidP="005115A9">
      <w:pPr>
        <w:pStyle w:val="Tekstpodstawowy2"/>
        <w:ind w:left="425"/>
        <w:jc w:val="center"/>
        <w:rPr>
          <w:rFonts w:ascii="Times New Roman" w:hAnsi="Times New Roman"/>
          <w:i/>
          <w:iCs/>
          <w:sz w:val="24"/>
        </w:rPr>
      </w:pPr>
      <w:r w:rsidRPr="00AF1921">
        <w:rPr>
          <w:rFonts w:ascii="Times New Roman" w:hAnsi="Times New Roman"/>
          <w:i/>
          <w:iCs/>
          <w:sz w:val="24"/>
        </w:rPr>
        <w:t>(</w:t>
      </w:r>
      <w:r w:rsidR="00113B0E" w:rsidRPr="00AF1921">
        <w:rPr>
          <w:rFonts w:ascii="Times New Roman" w:hAnsi="Times New Roman"/>
          <w:i/>
          <w:iCs/>
          <w:sz w:val="24"/>
        </w:rPr>
        <w:t xml:space="preserve">podmiot zgłaszający </w:t>
      </w:r>
      <w:r w:rsidRPr="00AF1921">
        <w:rPr>
          <w:rFonts w:ascii="Times New Roman" w:hAnsi="Times New Roman"/>
          <w:i/>
          <w:iCs/>
          <w:sz w:val="24"/>
        </w:rPr>
        <w:t>)</w:t>
      </w:r>
    </w:p>
    <w:p w14:paraId="2CC15F60" w14:textId="77777777" w:rsidR="005115A9" w:rsidRDefault="005115A9" w:rsidP="005115A9">
      <w:pPr>
        <w:pStyle w:val="Tekstpodstawowy2"/>
        <w:ind w:left="425"/>
        <w:jc w:val="center"/>
        <w:rPr>
          <w:rFonts w:asciiTheme="minorHAnsi" w:hAnsiTheme="minorHAnsi" w:cstheme="minorHAnsi"/>
          <w:b/>
          <w:bCs/>
          <w:sz w:val="24"/>
        </w:rPr>
      </w:pPr>
    </w:p>
    <w:tbl>
      <w:tblPr>
        <w:tblW w:w="14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1"/>
        <w:gridCol w:w="1953"/>
        <w:gridCol w:w="4632"/>
        <w:gridCol w:w="7374"/>
      </w:tblGrid>
      <w:tr w:rsidR="00113B0E" w:rsidRPr="00496205" w14:paraId="08CA3ED4" w14:textId="77777777" w:rsidTr="00AF1921">
        <w:trPr>
          <w:trHeight w:val="732"/>
        </w:trPr>
        <w:tc>
          <w:tcPr>
            <w:tcW w:w="741" w:type="dxa"/>
            <w:shd w:val="clear" w:color="auto" w:fill="CCCCCC"/>
            <w:vAlign w:val="center"/>
          </w:tcPr>
          <w:p w14:paraId="1174A7BD" w14:textId="77777777" w:rsidR="00113B0E" w:rsidRPr="00603380" w:rsidRDefault="00113B0E" w:rsidP="009E4CD8">
            <w:pPr>
              <w:ind w:left="120"/>
              <w:jc w:val="center"/>
              <w:rPr>
                <w:rFonts w:ascii="Times New Roman" w:hAnsi="Times New Roman"/>
                <w:b/>
              </w:rPr>
            </w:pPr>
            <w:r w:rsidRPr="00603380">
              <w:rPr>
                <w:rFonts w:ascii="Times New Roman" w:hAnsi="Times New Roman"/>
                <w:b/>
              </w:rPr>
              <w:t>Lp.</w:t>
            </w:r>
          </w:p>
        </w:tc>
        <w:tc>
          <w:tcPr>
            <w:tcW w:w="1953" w:type="dxa"/>
            <w:shd w:val="clear" w:color="auto" w:fill="CCCCCC"/>
            <w:vAlign w:val="center"/>
          </w:tcPr>
          <w:p w14:paraId="4353CA89" w14:textId="1739DE5F" w:rsidR="00113B0E" w:rsidRPr="00AF1921" w:rsidRDefault="00113B0E" w:rsidP="009E4CD8">
            <w:pPr>
              <w:jc w:val="center"/>
              <w:rPr>
                <w:rFonts w:ascii="Times New Roman" w:hAnsi="Times New Roman"/>
                <w:b/>
                <w:vertAlign w:val="superscript"/>
              </w:rPr>
            </w:pPr>
            <w:r w:rsidRPr="009F63E0">
              <w:rPr>
                <w:rFonts w:ascii="Times New Roman" w:hAnsi="Times New Roman"/>
                <w:b/>
              </w:rPr>
              <w:t>Jednostka redakcyjna</w:t>
            </w:r>
            <w:r w:rsidR="004714C0">
              <w:rPr>
                <w:rFonts w:ascii="Times New Roman" w:hAnsi="Times New Roman"/>
                <w:b/>
              </w:rPr>
              <w:t xml:space="preserve"> ustawy</w:t>
            </w:r>
            <w:r w:rsidR="00AF1921">
              <w:rPr>
                <w:rFonts w:ascii="Times New Roman" w:hAnsi="Times New Roman"/>
                <w:b/>
                <w:vertAlign w:val="superscript"/>
              </w:rPr>
              <w:t>1)</w:t>
            </w:r>
          </w:p>
        </w:tc>
        <w:tc>
          <w:tcPr>
            <w:tcW w:w="4632" w:type="dxa"/>
            <w:shd w:val="clear" w:color="auto" w:fill="CCCCCC"/>
            <w:vAlign w:val="center"/>
          </w:tcPr>
          <w:p w14:paraId="5BACB14A" w14:textId="5DA8EBD7" w:rsidR="00113B0E" w:rsidRPr="00603380" w:rsidRDefault="00113B0E" w:rsidP="009E4CD8">
            <w:pPr>
              <w:jc w:val="center"/>
              <w:rPr>
                <w:rFonts w:ascii="Times New Roman" w:hAnsi="Times New Roman"/>
                <w:b/>
              </w:rPr>
            </w:pPr>
            <w:r>
              <w:rPr>
                <w:rFonts w:ascii="Times New Roman" w:hAnsi="Times New Roman"/>
                <w:b/>
              </w:rPr>
              <w:t>Propozycja zmiany</w:t>
            </w:r>
            <w:r w:rsidR="004A2D25">
              <w:rPr>
                <w:rFonts w:ascii="Times New Roman" w:hAnsi="Times New Roman"/>
                <w:b/>
              </w:rPr>
              <w:t xml:space="preserve"> wraz z brzmieniem przepisów</w:t>
            </w:r>
          </w:p>
        </w:tc>
        <w:tc>
          <w:tcPr>
            <w:tcW w:w="7374" w:type="dxa"/>
            <w:shd w:val="clear" w:color="auto" w:fill="CCCCCC"/>
            <w:vAlign w:val="center"/>
          </w:tcPr>
          <w:p w14:paraId="30BF8A3D" w14:textId="7E6C9E8D" w:rsidR="00AF1921" w:rsidRPr="0093077D" w:rsidRDefault="00113B0E" w:rsidP="009E4CD8">
            <w:pPr>
              <w:jc w:val="center"/>
              <w:rPr>
                <w:rFonts w:ascii="Times New Roman" w:hAnsi="Times New Roman"/>
                <w:b/>
              </w:rPr>
            </w:pPr>
            <w:r>
              <w:rPr>
                <w:rFonts w:ascii="Times New Roman" w:hAnsi="Times New Roman"/>
                <w:b/>
              </w:rPr>
              <w:t>Uzasadnienie</w:t>
            </w:r>
            <w:r w:rsidR="0093077D">
              <w:rPr>
                <w:rFonts w:ascii="Times New Roman" w:hAnsi="Times New Roman"/>
                <w:b/>
                <w:vertAlign w:val="superscript"/>
              </w:rPr>
              <w:t>2)</w:t>
            </w:r>
          </w:p>
          <w:p w14:paraId="0B1A3E07" w14:textId="7F773380" w:rsidR="00113B0E" w:rsidRPr="00603380" w:rsidRDefault="00113B0E" w:rsidP="009E4CD8">
            <w:pPr>
              <w:jc w:val="center"/>
              <w:rPr>
                <w:rFonts w:ascii="Times New Roman" w:hAnsi="Times New Roman"/>
                <w:b/>
              </w:rPr>
            </w:pPr>
          </w:p>
        </w:tc>
      </w:tr>
      <w:tr w:rsidR="00113B0E" w:rsidRPr="00496205" w14:paraId="1548E00F" w14:textId="77777777" w:rsidTr="00AF1921">
        <w:trPr>
          <w:trHeight w:val="732"/>
        </w:trPr>
        <w:tc>
          <w:tcPr>
            <w:tcW w:w="741" w:type="dxa"/>
          </w:tcPr>
          <w:p w14:paraId="51D90BE7" w14:textId="77777777" w:rsidR="00113B0E" w:rsidRPr="00A91ABF" w:rsidRDefault="00113B0E" w:rsidP="009E4CD8">
            <w:pPr>
              <w:ind w:left="120"/>
              <w:rPr>
                <w:rFonts w:ascii="Times New Roman" w:hAnsi="Times New Roman"/>
                <w:b/>
                <w:sz w:val="20"/>
                <w:szCs w:val="20"/>
              </w:rPr>
            </w:pPr>
            <w:r w:rsidRPr="00A91ABF">
              <w:rPr>
                <w:rFonts w:ascii="Times New Roman" w:hAnsi="Times New Roman"/>
                <w:b/>
                <w:sz w:val="20"/>
                <w:szCs w:val="20"/>
              </w:rPr>
              <w:t>1.</w:t>
            </w:r>
          </w:p>
        </w:tc>
        <w:tc>
          <w:tcPr>
            <w:tcW w:w="1953" w:type="dxa"/>
          </w:tcPr>
          <w:p w14:paraId="0EAA824D" w14:textId="6D02C206" w:rsidR="00113B0E" w:rsidRPr="008C1A2E" w:rsidRDefault="005E7B9B" w:rsidP="009E4CD8">
            <w:pPr>
              <w:rPr>
                <w:rFonts w:ascii="Times New Roman" w:hAnsi="Times New Roman"/>
                <w:b/>
                <w:bCs/>
                <w:sz w:val="20"/>
                <w:szCs w:val="20"/>
              </w:rPr>
            </w:pPr>
            <w:r w:rsidRPr="008C1A2E">
              <w:rPr>
                <w:rFonts w:ascii="Times New Roman" w:hAnsi="Times New Roman"/>
                <w:b/>
                <w:bCs/>
                <w:sz w:val="20"/>
                <w:szCs w:val="20"/>
              </w:rPr>
              <w:t xml:space="preserve">Art. 136 ust. 1 </w:t>
            </w:r>
            <w:r w:rsidR="00065068">
              <w:rPr>
                <w:rFonts w:ascii="Times New Roman" w:hAnsi="Times New Roman"/>
                <w:b/>
                <w:bCs/>
                <w:sz w:val="20"/>
                <w:szCs w:val="20"/>
              </w:rPr>
              <w:t xml:space="preserve">ustawy </w:t>
            </w:r>
            <w:r w:rsidR="00065068" w:rsidRPr="00065068">
              <w:rPr>
                <w:rFonts w:ascii="Times New Roman" w:hAnsi="Times New Roman"/>
                <w:b/>
                <w:bCs/>
                <w:sz w:val="20"/>
                <w:szCs w:val="20"/>
              </w:rPr>
              <w:t>z dnia 11 maja 2017 r. o biegłych rewidentach, firmach audytorskich oraz nadzorze publicznym</w:t>
            </w:r>
          </w:p>
        </w:tc>
        <w:tc>
          <w:tcPr>
            <w:tcW w:w="4632" w:type="dxa"/>
          </w:tcPr>
          <w:p w14:paraId="6E72B85B" w14:textId="64401C29" w:rsidR="00113B0E" w:rsidRPr="00A91ABF" w:rsidRDefault="008C1A2E" w:rsidP="009E4CD8">
            <w:pPr>
              <w:jc w:val="both"/>
              <w:rPr>
                <w:rFonts w:ascii="Times New Roman" w:hAnsi="Times New Roman"/>
                <w:sz w:val="20"/>
                <w:szCs w:val="20"/>
              </w:rPr>
            </w:pPr>
            <w:r w:rsidRPr="00A91ABF">
              <w:rPr>
                <w:rFonts w:ascii="Times New Roman" w:hAnsi="Times New Roman"/>
                <w:sz w:val="20"/>
                <w:szCs w:val="20"/>
              </w:rPr>
              <w:t xml:space="preserve">Dostosowanie (ujednolicenie) listy usług zabronionych zawartej w </w:t>
            </w:r>
            <w:r w:rsidR="00065068">
              <w:rPr>
                <w:rFonts w:ascii="Times New Roman" w:hAnsi="Times New Roman"/>
                <w:sz w:val="20"/>
                <w:szCs w:val="20"/>
              </w:rPr>
              <w:t>u</w:t>
            </w:r>
            <w:r w:rsidRPr="00A91ABF">
              <w:rPr>
                <w:rFonts w:ascii="Times New Roman" w:hAnsi="Times New Roman"/>
                <w:sz w:val="20"/>
                <w:szCs w:val="20"/>
              </w:rPr>
              <w:t>stawie</w:t>
            </w:r>
            <w:r w:rsidR="003443DD">
              <w:rPr>
                <w:rFonts w:ascii="Times New Roman" w:hAnsi="Times New Roman"/>
                <w:sz w:val="20"/>
                <w:szCs w:val="20"/>
              </w:rPr>
              <w:t xml:space="preserve"> </w:t>
            </w:r>
            <w:r w:rsidRPr="00A91ABF">
              <w:rPr>
                <w:rFonts w:ascii="Times New Roman" w:hAnsi="Times New Roman"/>
                <w:sz w:val="20"/>
                <w:szCs w:val="20"/>
              </w:rPr>
              <w:t>do listy usług zabronionych wskazanej w rozporządzeniu 537/2014</w:t>
            </w:r>
          </w:p>
        </w:tc>
        <w:tc>
          <w:tcPr>
            <w:tcW w:w="7374" w:type="dxa"/>
          </w:tcPr>
          <w:p w14:paraId="3F70ABDF" w14:textId="4E73081F" w:rsidR="005E7B9B" w:rsidRPr="00A91ABF" w:rsidRDefault="005E7B9B" w:rsidP="005E7B9B">
            <w:pPr>
              <w:spacing w:after="120" w:line="276" w:lineRule="auto"/>
              <w:contextualSpacing/>
              <w:jc w:val="both"/>
              <w:rPr>
                <w:rFonts w:ascii="Times New Roman" w:hAnsi="Times New Roman"/>
                <w:sz w:val="20"/>
                <w:szCs w:val="20"/>
              </w:rPr>
            </w:pPr>
            <w:r w:rsidRPr="00A91ABF">
              <w:rPr>
                <w:rFonts w:ascii="Times New Roman" w:hAnsi="Times New Roman"/>
                <w:sz w:val="20"/>
                <w:szCs w:val="20"/>
              </w:rPr>
              <w:t xml:space="preserve">Obecnie polska ustawa zawiera znacznie szerszy katalog usług zabronionych niż wskazany w rozporządzeniu 537/2014 poprzez wskazanie w art. 136 ust. 1, że usługami zabronionymi „są także inne usługi niebędące czynnościami rewizji finansowej”. W efekcie w Polsce zamiast tzw. czarnej listy usług zabronionych obowiązuje tzw. biała lista usług dozwolonych. Lista usług dozwolonych jest bardzo ograniczona i nie pozwala na świadczenie usług, które nie stanowią zazwyczaj żadnego zagrożenia dla niezależności badania sprawozdań finansowych, np. usług atestacyjnych lub pokrewnych wykonywanych zgodnie ze standardami wykonywania zawodu, które nie należą do kategorii usług rewizji finansowej lub usług o charakterze doradczym typu compliance. </w:t>
            </w:r>
          </w:p>
          <w:p w14:paraId="0841065C" w14:textId="629269D6" w:rsidR="003443DD" w:rsidRDefault="005E7B9B" w:rsidP="008C1A2E">
            <w:pPr>
              <w:spacing w:line="276" w:lineRule="auto"/>
              <w:jc w:val="both"/>
              <w:rPr>
                <w:rFonts w:ascii="Times New Roman" w:hAnsi="Times New Roman"/>
                <w:sz w:val="20"/>
                <w:szCs w:val="20"/>
              </w:rPr>
            </w:pPr>
            <w:r w:rsidRPr="00A91ABF">
              <w:rPr>
                <w:rFonts w:ascii="Times New Roman" w:hAnsi="Times New Roman"/>
                <w:sz w:val="20"/>
                <w:szCs w:val="20"/>
              </w:rPr>
              <w:t>Skutki takiego wyboru prawodawcy są daleko idące</w:t>
            </w:r>
            <w:r w:rsidR="003443DD">
              <w:rPr>
                <w:rFonts w:ascii="Times New Roman" w:hAnsi="Times New Roman"/>
                <w:sz w:val="20"/>
                <w:szCs w:val="20"/>
              </w:rPr>
              <w:t>.</w:t>
            </w:r>
            <w:r w:rsidR="008C1A2E">
              <w:rPr>
                <w:rFonts w:ascii="Times New Roman" w:hAnsi="Times New Roman"/>
                <w:sz w:val="20"/>
                <w:szCs w:val="20"/>
              </w:rPr>
              <w:t xml:space="preserve"> </w:t>
            </w:r>
            <w:r w:rsidR="003443DD">
              <w:rPr>
                <w:rFonts w:ascii="Times New Roman" w:hAnsi="Times New Roman"/>
                <w:sz w:val="20"/>
                <w:szCs w:val="20"/>
              </w:rPr>
              <w:t xml:space="preserve">Możliwe jest, że </w:t>
            </w:r>
            <w:r w:rsidR="008C1A2E">
              <w:rPr>
                <w:rFonts w:ascii="Times New Roman" w:hAnsi="Times New Roman"/>
                <w:sz w:val="20"/>
                <w:szCs w:val="20"/>
              </w:rPr>
              <w:t>w</w:t>
            </w:r>
            <w:r w:rsidR="008C1A2E" w:rsidRPr="00A91ABF">
              <w:rPr>
                <w:rFonts w:ascii="Times New Roman" w:hAnsi="Times New Roman"/>
                <w:sz w:val="20"/>
                <w:szCs w:val="20"/>
              </w:rPr>
              <w:t xml:space="preserve"> przypadku utraty lub ryzyka utraty uprawnień do badania przez kolejną firmę audytorską w Polsce polska JZP może nie być w stanie znaleźć żadnego kandydata do badania czy atestacji</w:t>
            </w:r>
            <w:r w:rsidR="003443DD">
              <w:rPr>
                <w:rFonts w:ascii="Times New Roman" w:hAnsi="Times New Roman"/>
                <w:sz w:val="20"/>
                <w:szCs w:val="20"/>
              </w:rPr>
              <w:t xml:space="preserve">, gdyż już dzisiaj zdarza się, że zgłasza tylko jedna lub dwie firmy do wykonania zlecenia. </w:t>
            </w:r>
          </w:p>
          <w:p w14:paraId="42175C9E" w14:textId="25F31501" w:rsidR="004714C0" w:rsidRPr="00A91ABF" w:rsidRDefault="008C1A2E" w:rsidP="008C1A2E">
            <w:pPr>
              <w:spacing w:line="276" w:lineRule="auto"/>
              <w:jc w:val="both"/>
              <w:rPr>
                <w:rFonts w:ascii="Times New Roman" w:hAnsi="Times New Roman"/>
                <w:sz w:val="20"/>
                <w:szCs w:val="20"/>
              </w:rPr>
            </w:pPr>
            <w:r>
              <w:rPr>
                <w:rFonts w:ascii="Times New Roman" w:hAnsi="Times New Roman"/>
                <w:sz w:val="20"/>
                <w:szCs w:val="20"/>
              </w:rPr>
              <w:t>Zwracamy uwagę, że w wyniku zmian ustawowych związanych z</w:t>
            </w:r>
            <w:r w:rsidR="005E7B9B" w:rsidRPr="00A91ABF">
              <w:rPr>
                <w:rFonts w:ascii="Times New Roman" w:hAnsi="Times New Roman"/>
                <w:sz w:val="20"/>
                <w:szCs w:val="20"/>
              </w:rPr>
              <w:t xml:space="preserve"> wdrożenie</w:t>
            </w:r>
            <w:r w:rsidR="003443DD">
              <w:rPr>
                <w:rFonts w:ascii="Times New Roman" w:hAnsi="Times New Roman"/>
                <w:sz w:val="20"/>
                <w:szCs w:val="20"/>
              </w:rPr>
              <w:t>m</w:t>
            </w:r>
            <w:r>
              <w:rPr>
                <w:rFonts w:ascii="Times New Roman" w:hAnsi="Times New Roman"/>
                <w:sz w:val="20"/>
                <w:szCs w:val="20"/>
              </w:rPr>
              <w:t xml:space="preserve"> dyrektywy</w:t>
            </w:r>
            <w:r w:rsidR="005E7B9B" w:rsidRPr="00A91ABF">
              <w:rPr>
                <w:rFonts w:ascii="Times New Roman" w:hAnsi="Times New Roman"/>
                <w:sz w:val="20"/>
                <w:szCs w:val="20"/>
              </w:rPr>
              <w:t xml:space="preserve"> CSRD </w:t>
            </w:r>
            <w:r>
              <w:rPr>
                <w:rFonts w:ascii="Times New Roman" w:hAnsi="Times New Roman"/>
                <w:sz w:val="20"/>
                <w:szCs w:val="20"/>
              </w:rPr>
              <w:t xml:space="preserve">do prawa polskiego, </w:t>
            </w:r>
            <w:r w:rsidR="005E7B9B" w:rsidRPr="00A91ABF">
              <w:rPr>
                <w:rFonts w:ascii="Times New Roman" w:hAnsi="Times New Roman"/>
                <w:sz w:val="20"/>
                <w:szCs w:val="20"/>
              </w:rPr>
              <w:t xml:space="preserve">w przypadku sprawozdawczości w zakresie zrównoważonego rozwoju lista usług zabronionych </w:t>
            </w:r>
            <w:r>
              <w:rPr>
                <w:rFonts w:ascii="Times New Roman" w:hAnsi="Times New Roman"/>
                <w:sz w:val="20"/>
                <w:szCs w:val="20"/>
              </w:rPr>
              <w:t xml:space="preserve">nie została </w:t>
            </w:r>
            <w:r w:rsidR="005E7B9B" w:rsidRPr="00A91ABF">
              <w:rPr>
                <w:rFonts w:ascii="Times New Roman" w:hAnsi="Times New Roman"/>
                <w:sz w:val="20"/>
                <w:szCs w:val="20"/>
              </w:rPr>
              <w:t>rozszerzona, tak jak ma to miejsce w przypadku listy usług zabronionych w odniesieniu do badania sprawozdań finansowych</w:t>
            </w:r>
            <w:r>
              <w:rPr>
                <w:rFonts w:ascii="Times New Roman" w:hAnsi="Times New Roman"/>
                <w:sz w:val="20"/>
                <w:szCs w:val="20"/>
              </w:rPr>
              <w:t xml:space="preserve">, co należy ocenić </w:t>
            </w:r>
            <w:r w:rsidR="005E7B9B" w:rsidRPr="00A91ABF">
              <w:rPr>
                <w:rFonts w:ascii="Times New Roman" w:hAnsi="Times New Roman"/>
                <w:sz w:val="20"/>
                <w:szCs w:val="20"/>
              </w:rPr>
              <w:t xml:space="preserve">pozytywnie. W ocenie JZP takie podejście należy zastosować również w odniesieniu do firm audytorskich przeprowadzających badanie sprawozdań finansowych. </w:t>
            </w:r>
            <w:r>
              <w:rPr>
                <w:rFonts w:ascii="Times New Roman" w:hAnsi="Times New Roman"/>
                <w:sz w:val="20"/>
                <w:szCs w:val="20"/>
              </w:rPr>
              <w:t>W</w:t>
            </w:r>
            <w:r w:rsidR="005E7B9B" w:rsidRPr="00A91ABF">
              <w:rPr>
                <w:rFonts w:ascii="Times New Roman" w:hAnsi="Times New Roman"/>
                <w:sz w:val="20"/>
                <w:szCs w:val="20"/>
              </w:rPr>
              <w:t xml:space="preserve"> praktyce często może zdarzać się tak, że ta sama firma audytorska będzie przeprowadzać zarówno badanie sprawozdań finansowych, jak i atestację sprawozdawczości zrównoważonego rozwoju. </w:t>
            </w:r>
            <w:r>
              <w:rPr>
                <w:rFonts w:ascii="Times New Roman" w:hAnsi="Times New Roman"/>
                <w:sz w:val="20"/>
                <w:szCs w:val="20"/>
              </w:rPr>
              <w:t xml:space="preserve">Wprowadzenie postulowanej zmiany </w:t>
            </w:r>
            <w:r w:rsidR="005E7B9B" w:rsidRPr="00A91ABF">
              <w:rPr>
                <w:rFonts w:ascii="Times New Roman" w:hAnsi="Times New Roman"/>
                <w:sz w:val="20"/>
                <w:szCs w:val="20"/>
              </w:rPr>
              <w:t xml:space="preserve">pozwoli na </w:t>
            </w:r>
            <w:r w:rsidR="005E7B9B" w:rsidRPr="00A91ABF">
              <w:rPr>
                <w:rFonts w:ascii="Times New Roman" w:hAnsi="Times New Roman"/>
                <w:sz w:val="20"/>
                <w:szCs w:val="20"/>
              </w:rPr>
              <w:lastRenderedPageBreak/>
              <w:t>wyeliminowanie problemów z uzyskaniem ofert od firm audytorskich, które są w stanie i mają odpowiednie zasoby do badania dużych JZP.</w:t>
            </w:r>
          </w:p>
        </w:tc>
      </w:tr>
      <w:tr w:rsidR="00113B0E" w:rsidRPr="00496205" w14:paraId="6B8531CF" w14:textId="77777777" w:rsidTr="00AF1921">
        <w:trPr>
          <w:trHeight w:val="732"/>
        </w:trPr>
        <w:tc>
          <w:tcPr>
            <w:tcW w:w="741" w:type="dxa"/>
          </w:tcPr>
          <w:p w14:paraId="27C85DF1" w14:textId="77777777" w:rsidR="00113B0E" w:rsidRPr="00A91ABF" w:rsidRDefault="00113B0E" w:rsidP="009E4CD8">
            <w:pPr>
              <w:ind w:left="120"/>
              <w:rPr>
                <w:rFonts w:ascii="Times New Roman" w:hAnsi="Times New Roman"/>
                <w:b/>
                <w:sz w:val="20"/>
                <w:szCs w:val="20"/>
              </w:rPr>
            </w:pPr>
            <w:r w:rsidRPr="00A91ABF">
              <w:rPr>
                <w:rFonts w:ascii="Times New Roman" w:hAnsi="Times New Roman"/>
                <w:b/>
                <w:sz w:val="20"/>
                <w:szCs w:val="20"/>
              </w:rPr>
              <w:lastRenderedPageBreak/>
              <w:t>2.</w:t>
            </w:r>
          </w:p>
        </w:tc>
        <w:tc>
          <w:tcPr>
            <w:tcW w:w="1953" w:type="dxa"/>
          </w:tcPr>
          <w:p w14:paraId="4CC8ACC2" w14:textId="43A26E1D" w:rsidR="00113B0E" w:rsidRPr="00A91ABF" w:rsidRDefault="003443DD" w:rsidP="009E4CD8">
            <w:pPr>
              <w:rPr>
                <w:rFonts w:ascii="Times New Roman" w:hAnsi="Times New Roman"/>
                <w:b/>
                <w:sz w:val="20"/>
                <w:szCs w:val="20"/>
              </w:rPr>
            </w:pPr>
            <w:r w:rsidRPr="008C1A2E">
              <w:rPr>
                <w:rFonts w:ascii="Times New Roman" w:hAnsi="Times New Roman"/>
                <w:b/>
                <w:bCs/>
                <w:sz w:val="20"/>
                <w:szCs w:val="20"/>
              </w:rPr>
              <w:t xml:space="preserve">Art. 136 </w:t>
            </w:r>
            <w:r>
              <w:rPr>
                <w:rFonts w:ascii="Times New Roman" w:hAnsi="Times New Roman"/>
                <w:b/>
                <w:bCs/>
                <w:sz w:val="20"/>
                <w:szCs w:val="20"/>
              </w:rPr>
              <w:t xml:space="preserve">ustawy </w:t>
            </w:r>
            <w:r w:rsidRPr="00065068">
              <w:rPr>
                <w:rFonts w:ascii="Times New Roman" w:hAnsi="Times New Roman"/>
                <w:b/>
                <w:bCs/>
                <w:sz w:val="20"/>
                <w:szCs w:val="20"/>
              </w:rPr>
              <w:t>z dnia 11 maja 2017 r. o biegłych rewidentach, firmach audytorskich oraz nadzorze publicznym</w:t>
            </w:r>
          </w:p>
        </w:tc>
        <w:tc>
          <w:tcPr>
            <w:tcW w:w="4632" w:type="dxa"/>
          </w:tcPr>
          <w:p w14:paraId="65B4BD88" w14:textId="13CBEF32" w:rsidR="005E7B9B" w:rsidRPr="00A91ABF" w:rsidRDefault="00A91ABF" w:rsidP="00A91ABF">
            <w:pPr>
              <w:spacing w:after="120" w:line="276" w:lineRule="auto"/>
              <w:contextualSpacing/>
              <w:jc w:val="both"/>
              <w:rPr>
                <w:rFonts w:ascii="Times New Roman" w:hAnsi="Times New Roman"/>
                <w:sz w:val="20"/>
                <w:szCs w:val="20"/>
              </w:rPr>
            </w:pPr>
            <w:r>
              <w:rPr>
                <w:rFonts w:ascii="Times New Roman" w:hAnsi="Times New Roman"/>
                <w:sz w:val="20"/>
                <w:szCs w:val="20"/>
              </w:rPr>
              <w:t>U</w:t>
            </w:r>
            <w:r w:rsidR="005E7B9B" w:rsidRPr="00A91ABF">
              <w:rPr>
                <w:rFonts w:ascii="Times New Roman" w:hAnsi="Times New Roman"/>
                <w:sz w:val="20"/>
                <w:szCs w:val="20"/>
              </w:rPr>
              <w:t xml:space="preserve">względnienie możliwości przewidzianej dla państw członkowskich w art. 5 ust. 3 rozporządzenia 537/2014 i wprowadzenie do </w:t>
            </w:r>
            <w:r w:rsidR="00065068">
              <w:rPr>
                <w:rFonts w:ascii="Times New Roman" w:hAnsi="Times New Roman"/>
                <w:sz w:val="20"/>
                <w:szCs w:val="20"/>
              </w:rPr>
              <w:t>u</w:t>
            </w:r>
            <w:r w:rsidR="005E7B9B" w:rsidRPr="00A91ABF">
              <w:rPr>
                <w:rFonts w:ascii="Times New Roman" w:hAnsi="Times New Roman"/>
                <w:sz w:val="20"/>
                <w:szCs w:val="20"/>
              </w:rPr>
              <w:t xml:space="preserve">stawy </w:t>
            </w:r>
            <w:r w:rsidR="005E7B9B" w:rsidRPr="00A91ABF">
              <w:rPr>
                <w:rFonts w:ascii="Times New Roman" w:hAnsi="Times New Roman"/>
                <w:b/>
                <w:sz w:val="20"/>
                <w:szCs w:val="20"/>
              </w:rPr>
              <w:t>wyjątku od generalnego zakazu świadczenia usług zabronionych,</w:t>
            </w:r>
            <w:r w:rsidR="005E7B9B" w:rsidRPr="00A91ABF">
              <w:rPr>
                <w:rFonts w:ascii="Times New Roman" w:hAnsi="Times New Roman"/>
                <w:sz w:val="20"/>
                <w:szCs w:val="20"/>
              </w:rPr>
              <w:t xml:space="preserve"> polegającego na </w:t>
            </w:r>
            <w:r w:rsidR="005E7B9B" w:rsidRPr="00A91ABF">
              <w:rPr>
                <w:rFonts w:ascii="Times New Roman" w:hAnsi="Times New Roman"/>
                <w:b/>
                <w:sz w:val="20"/>
                <w:szCs w:val="20"/>
              </w:rPr>
              <w:t>umożliwieniu przeprowadzenia badania sprawozdania finansowego pomimo świadczenia niektórych usług zabronionych, pod warunkiem</w:t>
            </w:r>
            <w:r w:rsidR="005E7B9B" w:rsidRPr="00A91ABF">
              <w:rPr>
                <w:rFonts w:ascii="Times New Roman" w:hAnsi="Times New Roman"/>
                <w:sz w:val="20"/>
                <w:szCs w:val="20"/>
              </w:rPr>
              <w:t xml:space="preserve"> że usługi te spełniają następujące wymogi:</w:t>
            </w:r>
          </w:p>
          <w:p w14:paraId="61D7E8BD" w14:textId="77777777" w:rsidR="005E7B9B" w:rsidRPr="00A91ABF" w:rsidRDefault="005E7B9B" w:rsidP="005E7B9B">
            <w:pPr>
              <w:numPr>
                <w:ilvl w:val="1"/>
                <w:numId w:val="1"/>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nie mają one lub mają nieistotny — łącznie lub osobno — bezpośredniego wpływu na badane sprawozdania finansowe;</w:t>
            </w:r>
          </w:p>
          <w:p w14:paraId="33088ECD" w14:textId="77777777" w:rsidR="005E7B9B" w:rsidRPr="00A91ABF" w:rsidRDefault="005E7B9B" w:rsidP="005E7B9B">
            <w:pPr>
              <w:numPr>
                <w:ilvl w:val="1"/>
                <w:numId w:val="1"/>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oszacowanie wpływu na badane sprawozdania finansowe jest wszechstronnie udokumentowane i wyjaśnione w dodatkowym sprawozdaniu dla komitetu audytu; oraz</w:t>
            </w:r>
          </w:p>
          <w:p w14:paraId="6A5B16C7" w14:textId="77777777" w:rsidR="005E7B9B" w:rsidRPr="00A91ABF" w:rsidRDefault="005E7B9B" w:rsidP="005E7B9B">
            <w:pPr>
              <w:numPr>
                <w:ilvl w:val="1"/>
                <w:numId w:val="1"/>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biegły rewident lub firma audytorska przestrzegają zasad niezależności ustanowionych w dyrektywie 2006/43/WE.</w:t>
            </w:r>
          </w:p>
          <w:p w14:paraId="78091008" w14:textId="77777777" w:rsidR="00113B0E" w:rsidRPr="00A91ABF" w:rsidRDefault="00113B0E" w:rsidP="009E4CD8">
            <w:pPr>
              <w:jc w:val="both"/>
              <w:rPr>
                <w:rFonts w:ascii="Times New Roman" w:hAnsi="Times New Roman"/>
                <w:sz w:val="20"/>
                <w:szCs w:val="20"/>
              </w:rPr>
            </w:pPr>
          </w:p>
        </w:tc>
        <w:tc>
          <w:tcPr>
            <w:tcW w:w="7374" w:type="dxa"/>
          </w:tcPr>
          <w:p w14:paraId="179D54DD" w14:textId="77777777" w:rsidR="0040679B" w:rsidRPr="00A91ABF" w:rsidRDefault="0040679B" w:rsidP="00A91ABF">
            <w:pPr>
              <w:spacing w:line="276" w:lineRule="auto"/>
              <w:jc w:val="both"/>
              <w:rPr>
                <w:rFonts w:ascii="Times New Roman" w:eastAsia="Calibri" w:hAnsi="Times New Roman"/>
                <w:sz w:val="20"/>
                <w:szCs w:val="20"/>
              </w:rPr>
            </w:pPr>
            <w:r w:rsidRPr="00A91ABF">
              <w:rPr>
                <w:rFonts w:ascii="Times New Roman" w:eastAsia="Calibri" w:hAnsi="Times New Roman"/>
                <w:sz w:val="20"/>
                <w:szCs w:val="20"/>
              </w:rPr>
              <w:t>Zgodnie z rozporządzeniem 537/2014 usługami, które mogłyby być objęte wyjątkiem (tj. których świadczenie przy spełnieniu dodatkowych wymogów nie uniemożliwiłoby przeprowadzenia badania sprawozdania finansowego) są:</w:t>
            </w:r>
          </w:p>
          <w:p w14:paraId="09CD5B29" w14:textId="77777777" w:rsidR="0040679B" w:rsidRPr="00A91ABF" w:rsidRDefault="0040679B" w:rsidP="0040679B">
            <w:pPr>
              <w:numPr>
                <w:ilvl w:val="0"/>
                <w:numId w:val="2"/>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usługi podatkowe dotyczące:</w:t>
            </w:r>
          </w:p>
          <w:p w14:paraId="262EE234" w14:textId="77777777" w:rsidR="0040679B" w:rsidRPr="00A91ABF" w:rsidRDefault="0040679B" w:rsidP="0040679B">
            <w:pPr>
              <w:numPr>
                <w:ilvl w:val="1"/>
                <w:numId w:val="2"/>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przygotowywania formularzy podatkowych;</w:t>
            </w:r>
          </w:p>
          <w:p w14:paraId="6FA8A21B" w14:textId="77777777" w:rsidR="0040679B" w:rsidRPr="00A91ABF" w:rsidRDefault="0040679B" w:rsidP="0040679B">
            <w:pPr>
              <w:numPr>
                <w:ilvl w:val="1"/>
                <w:numId w:val="2"/>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 xml:space="preserve">identyfikacji dotacji publicznych i zachęt podatkowych; </w:t>
            </w:r>
          </w:p>
          <w:p w14:paraId="335FCF02" w14:textId="77777777" w:rsidR="0040679B" w:rsidRPr="00A91ABF" w:rsidRDefault="0040679B" w:rsidP="0040679B">
            <w:pPr>
              <w:numPr>
                <w:ilvl w:val="1"/>
                <w:numId w:val="2"/>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wsparcia dotyczącego kontroli podatkowych prowadzonych przez organy podatkowe</w:t>
            </w:r>
          </w:p>
          <w:p w14:paraId="7D955A76" w14:textId="77777777" w:rsidR="0040679B" w:rsidRPr="00A91ABF" w:rsidRDefault="0040679B" w:rsidP="0040679B">
            <w:pPr>
              <w:numPr>
                <w:ilvl w:val="1"/>
                <w:numId w:val="2"/>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obliczania podatku bezpośredniego i pośredniego oraz odroczonego podatku dochodowego;</w:t>
            </w:r>
          </w:p>
          <w:p w14:paraId="65BC5FCB" w14:textId="77777777" w:rsidR="0040679B" w:rsidRPr="00A91ABF" w:rsidRDefault="0040679B" w:rsidP="0040679B">
            <w:pPr>
              <w:numPr>
                <w:ilvl w:val="1"/>
                <w:numId w:val="2"/>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świadczenia doradztwa podatkowego;</w:t>
            </w:r>
          </w:p>
          <w:p w14:paraId="06B3E390" w14:textId="77777777" w:rsidR="0040679B" w:rsidRPr="00A91ABF" w:rsidRDefault="0040679B" w:rsidP="0040679B">
            <w:pPr>
              <w:numPr>
                <w:ilvl w:val="0"/>
                <w:numId w:val="2"/>
              </w:numPr>
              <w:spacing w:after="120" w:line="276" w:lineRule="auto"/>
              <w:contextualSpacing/>
              <w:jc w:val="both"/>
              <w:rPr>
                <w:rFonts w:ascii="Times New Roman" w:hAnsi="Times New Roman"/>
                <w:sz w:val="20"/>
                <w:szCs w:val="20"/>
              </w:rPr>
            </w:pPr>
            <w:r w:rsidRPr="00A91ABF">
              <w:rPr>
                <w:rFonts w:ascii="Times New Roman" w:hAnsi="Times New Roman"/>
                <w:sz w:val="20"/>
                <w:szCs w:val="20"/>
              </w:rPr>
              <w:t>usługi w zakresie wyceny, w tym wyceny dokonywane w związku z usługami aktuarialnymi lub usługami wsparcia w zakresie rozwiązywania sporów prawnych;</w:t>
            </w:r>
          </w:p>
          <w:p w14:paraId="3E2DC59B" w14:textId="77777777" w:rsidR="0040679B" w:rsidRPr="00A91ABF" w:rsidRDefault="0040679B" w:rsidP="0040679B">
            <w:pPr>
              <w:spacing w:after="120" w:line="276" w:lineRule="auto"/>
              <w:ind w:left="1353"/>
              <w:contextualSpacing/>
              <w:jc w:val="both"/>
              <w:rPr>
                <w:rFonts w:ascii="Times New Roman" w:eastAsia="Calibri" w:hAnsi="Times New Roman"/>
                <w:sz w:val="20"/>
                <w:szCs w:val="20"/>
              </w:rPr>
            </w:pPr>
          </w:p>
          <w:p w14:paraId="0EB9086F" w14:textId="77777777" w:rsidR="00113B0E" w:rsidRPr="00A91ABF" w:rsidRDefault="00113B0E" w:rsidP="00065068">
            <w:pPr>
              <w:spacing w:after="120" w:line="276" w:lineRule="auto"/>
              <w:contextualSpacing/>
              <w:jc w:val="both"/>
              <w:rPr>
                <w:rFonts w:ascii="Times New Roman" w:hAnsi="Times New Roman"/>
                <w:b/>
                <w:sz w:val="20"/>
                <w:szCs w:val="20"/>
              </w:rPr>
            </w:pPr>
          </w:p>
        </w:tc>
      </w:tr>
      <w:tr w:rsidR="00065068" w:rsidRPr="00496205" w14:paraId="0923877F" w14:textId="77777777" w:rsidTr="00AF1921">
        <w:trPr>
          <w:trHeight w:val="732"/>
        </w:trPr>
        <w:tc>
          <w:tcPr>
            <w:tcW w:w="741" w:type="dxa"/>
          </w:tcPr>
          <w:p w14:paraId="6FD4C7D6" w14:textId="77777777" w:rsidR="00065068" w:rsidRPr="00A91ABF" w:rsidRDefault="00065068" w:rsidP="00065068">
            <w:pPr>
              <w:ind w:left="120"/>
              <w:rPr>
                <w:rFonts w:ascii="Times New Roman" w:hAnsi="Times New Roman"/>
                <w:b/>
                <w:sz w:val="20"/>
                <w:szCs w:val="20"/>
              </w:rPr>
            </w:pPr>
            <w:r w:rsidRPr="00A91ABF">
              <w:rPr>
                <w:rFonts w:ascii="Times New Roman" w:hAnsi="Times New Roman"/>
                <w:b/>
                <w:sz w:val="20"/>
                <w:szCs w:val="20"/>
              </w:rPr>
              <w:t>3.</w:t>
            </w:r>
          </w:p>
        </w:tc>
        <w:tc>
          <w:tcPr>
            <w:tcW w:w="1953" w:type="dxa"/>
          </w:tcPr>
          <w:p w14:paraId="51033D79" w14:textId="76D74D14" w:rsidR="00065068" w:rsidRPr="00A91ABF" w:rsidRDefault="00065068" w:rsidP="00065068">
            <w:pPr>
              <w:rPr>
                <w:rFonts w:ascii="Times New Roman" w:hAnsi="Times New Roman"/>
                <w:b/>
                <w:sz w:val="20"/>
                <w:szCs w:val="20"/>
              </w:rPr>
            </w:pPr>
            <w:r>
              <w:rPr>
                <w:rFonts w:ascii="Times New Roman" w:hAnsi="Times New Roman"/>
                <w:b/>
                <w:sz w:val="20"/>
                <w:szCs w:val="20"/>
              </w:rPr>
              <w:t>Art. 66 ust. 7</w:t>
            </w:r>
            <w:r w:rsidR="00D2158F">
              <w:rPr>
                <w:rFonts w:ascii="Times New Roman" w:hAnsi="Times New Roman"/>
                <w:b/>
                <w:sz w:val="20"/>
                <w:szCs w:val="20"/>
              </w:rPr>
              <w:t xml:space="preserve"> ustawy o rachunkowości</w:t>
            </w:r>
          </w:p>
        </w:tc>
        <w:tc>
          <w:tcPr>
            <w:tcW w:w="4632" w:type="dxa"/>
          </w:tcPr>
          <w:p w14:paraId="142256AD" w14:textId="1539FFEA" w:rsidR="00065068" w:rsidRPr="00A91ABF" w:rsidRDefault="003443DD" w:rsidP="00065068">
            <w:pPr>
              <w:spacing w:after="120" w:line="276" w:lineRule="auto"/>
              <w:contextualSpacing/>
              <w:jc w:val="both"/>
              <w:rPr>
                <w:rFonts w:ascii="Times New Roman" w:hAnsi="Times New Roman"/>
                <w:sz w:val="20"/>
                <w:szCs w:val="20"/>
              </w:rPr>
            </w:pPr>
            <w:r>
              <w:rPr>
                <w:rFonts w:ascii="Times New Roman" w:hAnsi="Times New Roman"/>
                <w:sz w:val="20"/>
                <w:szCs w:val="20"/>
              </w:rPr>
              <w:t>D</w:t>
            </w:r>
            <w:r w:rsidR="00065068" w:rsidRPr="00A91ABF">
              <w:rPr>
                <w:rFonts w:ascii="Times New Roman" w:hAnsi="Times New Roman"/>
                <w:sz w:val="20"/>
                <w:szCs w:val="20"/>
              </w:rPr>
              <w:t xml:space="preserve">odanie do katalogu przesłanek uzasadniających rozwiązanie umowy o badanie sprawozdań finansowych przesłanki dotyczącej potrzeby ujednolicenia okresu badania przeprowadzanego przez firmę audytorską i firmy z jej sieci w spółkach należących do jednej grupy kapitałowej. </w:t>
            </w:r>
          </w:p>
        </w:tc>
        <w:tc>
          <w:tcPr>
            <w:tcW w:w="7374" w:type="dxa"/>
          </w:tcPr>
          <w:p w14:paraId="51D1A38D" w14:textId="77777777" w:rsidR="003443DD" w:rsidRDefault="00D2158F" w:rsidP="003443DD">
            <w:pPr>
              <w:jc w:val="both"/>
              <w:rPr>
                <w:rFonts w:ascii="Times New Roman" w:hAnsi="Times New Roman"/>
                <w:sz w:val="20"/>
                <w:szCs w:val="20"/>
              </w:rPr>
            </w:pPr>
            <w:r>
              <w:rPr>
                <w:rFonts w:ascii="Times New Roman" w:hAnsi="Times New Roman"/>
                <w:sz w:val="20"/>
                <w:szCs w:val="20"/>
              </w:rPr>
              <w:t xml:space="preserve">Mimo otwartego charakteru katalogu </w:t>
            </w:r>
            <w:r w:rsidR="00065068" w:rsidRPr="00A91ABF">
              <w:rPr>
                <w:rFonts w:ascii="Times New Roman" w:hAnsi="Times New Roman"/>
                <w:sz w:val="20"/>
                <w:szCs w:val="20"/>
              </w:rPr>
              <w:t xml:space="preserve">przesłanek określonych w art. 66 ust. 7 ustawy o rachunkowości </w:t>
            </w:r>
            <w:r w:rsidR="003443DD">
              <w:rPr>
                <w:rFonts w:ascii="Times New Roman" w:hAnsi="Times New Roman"/>
                <w:sz w:val="20"/>
                <w:szCs w:val="20"/>
              </w:rPr>
              <w:t>wnosimy o dodanie wprost w przepisie dodatkowej podstawy rozwiązania umowy o badanie.</w:t>
            </w:r>
            <w:r w:rsidR="00065068" w:rsidRPr="00A91ABF">
              <w:rPr>
                <w:rFonts w:ascii="Times New Roman" w:hAnsi="Times New Roman"/>
                <w:sz w:val="20"/>
                <w:szCs w:val="20"/>
              </w:rPr>
              <w:t xml:space="preserve"> </w:t>
            </w:r>
            <w:r w:rsidR="003443DD">
              <w:rPr>
                <w:rFonts w:ascii="Times New Roman" w:hAnsi="Times New Roman"/>
                <w:sz w:val="20"/>
                <w:szCs w:val="20"/>
              </w:rPr>
              <w:t>Z</w:t>
            </w:r>
            <w:r w:rsidR="00065068" w:rsidRPr="00A91ABF">
              <w:rPr>
                <w:rFonts w:ascii="Times New Roman" w:hAnsi="Times New Roman"/>
                <w:sz w:val="20"/>
                <w:szCs w:val="20"/>
              </w:rPr>
              <w:t xml:space="preserve">a rozwiązanie umowy o badanie bez uzasadnionej podstawy przepisy przewidują sankcje, a uznanie czy dana przesłanka jest uzasadniona czy nie jest kwestią </w:t>
            </w:r>
            <w:proofErr w:type="spellStart"/>
            <w:r w:rsidR="00065068" w:rsidRPr="00A91ABF">
              <w:rPr>
                <w:rFonts w:ascii="Times New Roman" w:hAnsi="Times New Roman"/>
                <w:sz w:val="20"/>
                <w:szCs w:val="20"/>
              </w:rPr>
              <w:t>ocenną</w:t>
            </w:r>
            <w:proofErr w:type="spellEnd"/>
            <w:r w:rsidR="00065068" w:rsidRPr="00A91ABF">
              <w:rPr>
                <w:rFonts w:ascii="Times New Roman" w:hAnsi="Times New Roman"/>
                <w:sz w:val="20"/>
                <w:szCs w:val="20"/>
              </w:rPr>
              <w:t>, która może być różnie interpretowana</w:t>
            </w:r>
            <w:r w:rsidR="003443DD">
              <w:rPr>
                <w:rFonts w:ascii="Times New Roman" w:hAnsi="Times New Roman"/>
                <w:sz w:val="20"/>
                <w:szCs w:val="20"/>
              </w:rPr>
              <w:t>.</w:t>
            </w:r>
          </w:p>
          <w:p w14:paraId="0463F10F" w14:textId="727C2924" w:rsidR="00065068" w:rsidRPr="00A91ABF" w:rsidRDefault="00065068" w:rsidP="003443DD">
            <w:pPr>
              <w:jc w:val="both"/>
              <w:rPr>
                <w:rFonts w:ascii="Times New Roman" w:hAnsi="Times New Roman"/>
                <w:sz w:val="20"/>
                <w:szCs w:val="20"/>
              </w:rPr>
            </w:pPr>
            <w:r w:rsidRPr="00A91ABF">
              <w:rPr>
                <w:rFonts w:ascii="Times New Roman" w:hAnsi="Times New Roman"/>
                <w:sz w:val="20"/>
                <w:szCs w:val="20"/>
              </w:rPr>
              <w:t xml:space="preserve">Alternatywnie, wnosimy o skorzystanie z możliwości przewidzianej w art. 17 ust. 1 rozporządzenia 537/2014 i dokonanie </w:t>
            </w:r>
            <w:r w:rsidRPr="00F5191C">
              <w:rPr>
                <w:rFonts w:ascii="Times New Roman" w:hAnsi="Times New Roman"/>
                <w:sz w:val="20"/>
                <w:szCs w:val="20"/>
              </w:rPr>
              <w:t xml:space="preserve">zmiany art. 66 ust. 5 ustawy o rachunkowości poprzez wskazanie, że jednostka zainteresowania publicznego może przedłużyć z biegłym rewidentem lub firmą audytorską pierwszą umowę o badanie sprawozdania finansowego </w:t>
            </w:r>
            <w:r w:rsidRPr="00F5191C">
              <w:rPr>
                <w:rFonts w:ascii="Times New Roman" w:hAnsi="Times New Roman"/>
                <w:sz w:val="20"/>
                <w:szCs w:val="20"/>
              </w:rPr>
              <w:lastRenderedPageBreak/>
              <w:t xml:space="preserve">na okres trwający co najmniej rok. Rozporządzenie 537/2014 daje możliwość zawarcia pierwszej umowy na badanie  sprawozdania finansowego na okres roczny oraz przewiduje, że „zlecenie może zostać odnowione”. </w:t>
            </w:r>
            <w:r w:rsidR="003443DD">
              <w:rPr>
                <w:rFonts w:ascii="Times New Roman" w:hAnsi="Times New Roman"/>
                <w:sz w:val="20"/>
                <w:szCs w:val="20"/>
              </w:rPr>
              <w:t xml:space="preserve"> </w:t>
            </w:r>
            <w:r w:rsidRPr="00F5191C">
              <w:rPr>
                <w:rFonts w:ascii="Times New Roman" w:hAnsi="Times New Roman"/>
                <w:sz w:val="20"/>
                <w:szCs w:val="20"/>
              </w:rPr>
              <w:t>Natomiast polska ustawa o rachunkowości nakazuje, aby pierwsza umowa o badanie sprawozdania finansowego była zawarta na okres nie krótszy niż dwa lata</w:t>
            </w:r>
            <w:r w:rsidRPr="00A91ABF">
              <w:rPr>
                <w:rFonts w:ascii="Times New Roman" w:hAnsi="Times New Roman"/>
                <w:sz w:val="20"/>
                <w:szCs w:val="20"/>
              </w:rPr>
              <w:t>, a także aby mogła być przedłużona na kolejne co najmniej dwuletnie okresy. Z perspektywy JZP, a zwłaszcza tych, których jednostki dominujące również są: dużymi JZP, podlegającymi pod przepisy rozporządzenia 537/2014 i mającymi siedzibę poza granicami Polski, istotne jest aby przedłużenie umowy z firmą audytorską badającą sprawozdania finansowe było możliwe na okres roczny bądź aby możliwe było skrócenie umowy o badanie w jednej JZP w przypadku gdy zmienia się firma audytorska w pozostałych JZP należących do tej samej grupy.</w:t>
            </w:r>
          </w:p>
        </w:tc>
      </w:tr>
      <w:tr w:rsidR="00065068" w:rsidRPr="00496205" w14:paraId="0221F1F3" w14:textId="77777777" w:rsidTr="00AF1921">
        <w:trPr>
          <w:trHeight w:val="732"/>
        </w:trPr>
        <w:tc>
          <w:tcPr>
            <w:tcW w:w="741" w:type="dxa"/>
          </w:tcPr>
          <w:p w14:paraId="4D47C6F0" w14:textId="77777777" w:rsidR="00065068" w:rsidRPr="00A91ABF" w:rsidRDefault="00065068" w:rsidP="00065068">
            <w:pPr>
              <w:ind w:left="120"/>
              <w:rPr>
                <w:rFonts w:ascii="Times New Roman" w:hAnsi="Times New Roman"/>
                <w:b/>
                <w:sz w:val="20"/>
                <w:szCs w:val="20"/>
              </w:rPr>
            </w:pPr>
          </w:p>
        </w:tc>
        <w:tc>
          <w:tcPr>
            <w:tcW w:w="1953" w:type="dxa"/>
          </w:tcPr>
          <w:p w14:paraId="55A7B463" w14:textId="7FFBC90C" w:rsidR="00065068" w:rsidRPr="00A91ABF" w:rsidRDefault="005B085C" w:rsidP="00065068">
            <w:pPr>
              <w:rPr>
                <w:rFonts w:ascii="Times New Roman" w:hAnsi="Times New Roman"/>
                <w:b/>
                <w:sz w:val="20"/>
                <w:szCs w:val="20"/>
              </w:rPr>
            </w:pPr>
            <w:r>
              <w:rPr>
                <w:rFonts w:ascii="Times New Roman" w:hAnsi="Times New Roman"/>
                <w:b/>
                <w:sz w:val="20"/>
                <w:szCs w:val="20"/>
              </w:rPr>
              <w:t xml:space="preserve">Art. 134 lub inny </w:t>
            </w:r>
            <w:r>
              <w:rPr>
                <w:rFonts w:ascii="Times New Roman" w:hAnsi="Times New Roman"/>
                <w:b/>
                <w:bCs/>
                <w:sz w:val="20"/>
                <w:szCs w:val="20"/>
              </w:rPr>
              <w:t xml:space="preserve">ustawy </w:t>
            </w:r>
            <w:r w:rsidRPr="00065068">
              <w:rPr>
                <w:rFonts w:ascii="Times New Roman" w:hAnsi="Times New Roman"/>
                <w:b/>
                <w:bCs/>
                <w:sz w:val="20"/>
                <w:szCs w:val="20"/>
              </w:rPr>
              <w:t>z dnia 11 maja 2017 r. o biegłych rewidentach, firmach audytorskich oraz nadzorze publicznym</w:t>
            </w:r>
          </w:p>
        </w:tc>
        <w:tc>
          <w:tcPr>
            <w:tcW w:w="4632" w:type="dxa"/>
          </w:tcPr>
          <w:p w14:paraId="1DC01395" w14:textId="5CF65624" w:rsidR="00065068" w:rsidRPr="00A91ABF" w:rsidRDefault="00F5191C" w:rsidP="00065068">
            <w:pPr>
              <w:spacing w:after="120" w:line="276" w:lineRule="auto"/>
              <w:contextualSpacing/>
              <w:jc w:val="both"/>
              <w:rPr>
                <w:rFonts w:ascii="Times New Roman" w:hAnsi="Times New Roman"/>
                <w:sz w:val="20"/>
                <w:szCs w:val="20"/>
              </w:rPr>
            </w:pPr>
            <w:r>
              <w:rPr>
                <w:rFonts w:ascii="Times New Roman" w:hAnsi="Times New Roman"/>
                <w:sz w:val="20"/>
                <w:szCs w:val="20"/>
              </w:rPr>
              <w:t xml:space="preserve">Wprowadzenie </w:t>
            </w:r>
            <w:r w:rsidRPr="00387F14">
              <w:rPr>
                <w:rFonts w:ascii="Times New Roman" w:hAnsi="Times New Roman"/>
                <w:sz w:val="20"/>
                <w:szCs w:val="20"/>
              </w:rPr>
              <w:t>możliwości przedłużenia maksymalnych okresów trwania zlecenia do dwudziestu lub dwudziestu czterech lat</w:t>
            </w:r>
            <w:r w:rsidR="005B085C">
              <w:rPr>
                <w:rFonts w:ascii="Times New Roman" w:hAnsi="Times New Roman"/>
                <w:sz w:val="20"/>
                <w:szCs w:val="20"/>
              </w:rPr>
              <w:t>.</w:t>
            </w:r>
          </w:p>
        </w:tc>
        <w:tc>
          <w:tcPr>
            <w:tcW w:w="7374" w:type="dxa"/>
          </w:tcPr>
          <w:p w14:paraId="6CBBF7E5" w14:textId="1F6F9C8F" w:rsidR="00065068" w:rsidRPr="00A91ABF" w:rsidRDefault="00065068" w:rsidP="00065068">
            <w:pPr>
              <w:jc w:val="both"/>
              <w:rPr>
                <w:rFonts w:ascii="Times New Roman" w:hAnsi="Times New Roman"/>
                <w:sz w:val="20"/>
                <w:szCs w:val="20"/>
              </w:rPr>
            </w:pPr>
            <w:r>
              <w:rPr>
                <w:rFonts w:ascii="Times New Roman" w:hAnsi="Times New Roman"/>
                <w:sz w:val="20"/>
                <w:szCs w:val="20"/>
              </w:rPr>
              <w:t>Proponujemy u</w:t>
            </w:r>
            <w:r w:rsidRPr="00387F14">
              <w:rPr>
                <w:rFonts w:ascii="Times New Roman" w:hAnsi="Times New Roman"/>
                <w:sz w:val="20"/>
                <w:szCs w:val="20"/>
              </w:rPr>
              <w:t>względnienie możliwości przewidzianej w art. 17 ust. 4 rozporządzenia 537/2014</w:t>
            </w:r>
            <w:r>
              <w:rPr>
                <w:rFonts w:ascii="Times New Roman" w:hAnsi="Times New Roman"/>
                <w:sz w:val="20"/>
                <w:szCs w:val="20"/>
              </w:rPr>
              <w:t xml:space="preserve"> </w:t>
            </w:r>
            <w:r w:rsidRPr="00387F14">
              <w:rPr>
                <w:rFonts w:ascii="Times New Roman" w:hAnsi="Times New Roman"/>
                <w:sz w:val="20"/>
                <w:szCs w:val="20"/>
              </w:rPr>
              <w:t xml:space="preserve">poprzez wdrożenie do polskich przepisów </w:t>
            </w:r>
            <w:r w:rsidR="00F5191C" w:rsidRPr="00387F14">
              <w:rPr>
                <w:rFonts w:ascii="Times New Roman" w:hAnsi="Times New Roman"/>
                <w:sz w:val="20"/>
                <w:szCs w:val="20"/>
              </w:rPr>
              <w:t>możliwości przedłużenia maksymalnych okresów trwania zlecenia do dwudziestu lub dwudziestu czterech lat</w:t>
            </w:r>
            <w:r w:rsidRPr="00387F14">
              <w:rPr>
                <w:rFonts w:ascii="Times New Roman" w:hAnsi="Times New Roman"/>
                <w:sz w:val="20"/>
                <w:szCs w:val="20"/>
              </w:rPr>
              <w:t>, jeżeli zostaną spełnione przesłanki określone w rozporządzeniu 537/2014</w:t>
            </w:r>
            <w:r w:rsidR="005B085C">
              <w:rPr>
                <w:rFonts w:ascii="Times New Roman" w:hAnsi="Times New Roman"/>
                <w:sz w:val="20"/>
                <w:szCs w:val="20"/>
              </w:rPr>
              <w:t xml:space="preserve"> (w</w:t>
            </w:r>
            <w:r w:rsidR="005B085C" w:rsidRPr="005B085C">
              <w:rPr>
                <w:rFonts w:ascii="Times New Roman" w:hAnsi="Times New Roman"/>
                <w:sz w:val="20"/>
                <w:szCs w:val="20"/>
              </w:rPr>
              <w:t> drodze odstępstwa</w:t>
            </w:r>
            <w:r w:rsidR="005B085C">
              <w:rPr>
                <w:rFonts w:ascii="Times New Roman" w:hAnsi="Times New Roman"/>
                <w:sz w:val="20"/>
                <w:szCs w:val="20"/>
              </w:rPr>
              <w:t xml:space="preserve"> </w:t>
            </w:r>
            <w:r w:rsidR="005B085C" w:rsidRPr="005B085C">
              <w:rPr>
                <w:rFonts w:ascii="Times New Roman" w:hAnsi="Times New Roman"/>
                <w:sz w:val="20"/>
                <w:szCs w:val="20"/>
              </w:rPr>
              <w:t>od</w:t>
            </w:r>
            <w:r w:rsidR="005B085C">
              <w:rPr>
                <w:rFonts w:ascii="Times New Roman" w:hAnsi="Times New Roman"/>
                <w:sz w:val="20"/>
                <w:szCs w:val="20"/>
              </w:rPr>
              <w:t xml:space="preserve"> </w:t>
            </w:r>
            <w:hyperlink r:id="rId9" w:anchor="/document/68430445?unitId=art(17)ust(1)&amp;cm=DOCUMENT" w:history="1">
              <w:r w:rsidR="005B085C" w:rsidRPr="005B085C">
                <w:rPr>
                  <w:rFonts w:ascii="Times New Roman" w:hAnsi="Times New Roman"/>
                  <w:sz w:val="20"/>
                  <w:szCs w:val="20"/>
                </w:rPr>
                <w:t>art. 17</w:t>
              </w:r>
              <w:r w:rsidR="005B085C">
                <w:rPr>
                  <w:rFonts w:ascii="Times New Roman" w:hAnsi="Times New Roman"/>
                  <w:sz w:val="20"/>
                  <w:szCs w:val="20"/>
                </w:rPr>
                <w:t xml:space="preserve"> </w:t>
              </w:r>
              <w:r w:rsidR="005B085C" w:rsidRPr="005B085C">
                <w:rPr>
                  <w:rFonts w:ascii="Times New Roman" w:hAnsi="Times New Roman"/>
                  <w:sz w:val="20"/>
                  <w:szCs w:val="20"/>
                </w:rPr>
                <w:t>ust. 1</w:t>
              </w:r>
            </w:hyperlink>
            <w:r w:rsidR="005B085C">
              <w:rPr>
                <w:rFonts w:ascii="Times New Roman" w:hAnsi="Times New Roman"/>
                <w:sz w:val="20"/>
                <w:szCs w:val="20"/>
              </w:rPr>
              <w:t xml:space="preserve"> </w:t>
            </w:r>
            <w:r w:rsidR="005B085C" w:rsidRPr="005B085C">
              <w:rPr>
                <w:rFonts w:ascii="Times New Roman" w:hAnsi="Times New Roman"/>
                <w:sz w:val="20"/>
                <w:szCs w:val="20"/>
              </w:rPr>
              <w:t>i</w:t>
            </w:r>
            <w:r w:rsidR="005B085C">
              <w:rPr>
                <w:rFonts w:ascii="Times New Roman" w:hAnsi="Times New Roman"/>
                <w:sz w:val="20"/>
                <w:szCs w:val="20"/>
              </w:rPr>
              <w:t xml:space="preserve"> </w:t>
            </w:r>
            <w:hyperlink r:id="rId10" w:anchor="/document/68430445?unitId=art(17)ust(2)lit(b)&amp;cm=DOCUMENT" w:history="1">
              <w:r w:rsidR="005B085C" w:rsidRPr="005B085C">
                <w:rPr>
                  <w:rFonts w:ascii="Times New Roman" w:hAnsi="Times New Roman"/>
                  <w:sz w:val="20"/>
                  <w:szCs w:val="20"/>
                </w:rPr>
                <w:t>ust.</w:t>
              </w:r>
              <w:r w:rsidR="005B085C">
                <w:rPr>
                  <w:rFonts w:ascii="Times New Roman" w:hAnsi="Times New Roman"/>
                  <w:sz w:val="20"/>
                  <w:szCs w:val="20"/>
                </w:rPr>
                <w:t xml:space="preserve"> </w:t>
              </w:r>
              <w:r w:rsidR="005B085C" w:rsidRPr="005B085C">
                <w:rPr>
                  <w:rFonts w:ascii="Times New Roman" w:hAnsi="Times New Roman"/>
                  <w:sz w:val="20"/>
                  <w:szCs w:val="20"/>
                </w:rPr>
                <w:t>2</w:t>
              </w:r>
              <w:r w:rsidR="005B085C">
                <w:rPr>
                  <w:rFonts w:ascii="Times New Roman" w:hAnsi="Times New Roman"/>
                  <w:sz w:val="20"/>
                  <w:szCs w:val="20"/>
                </w:rPr>
                <w:t xml:space="preserve"> </w:t>
              </w:r>
              <w:r w:rsidR="005B085C" w:rsidRPr="005B085C">
                <w:rPr>
                  <w:rFonts w:ascii="Times New Roman" w:hAnsi="Times New Roman"/>
                  <w:sz w:val="20"/>
                  <w:szCs w:val="20"/>
                </w:rPr>
                <w:t>lit</w:t>
              </w:r>
              <w:r w:rsidR="005B085C">
                <w:rPr>
                  <w:rFonts w:ascii="Times New Roman" w:hAnsi="Times New Roman"/>
                  <w:sz w:val="20"/>
                  <w:szCs w:val="20"/>
                </w:rPr>
                <w:t xml:space="preserve">. </w:t>
              </w:r>
              <w:r w:rsidR="005B085C" w:rsidRPr="005B085C">
                <w:rPr>
                  <w:rFonts w:ascii="Times New Roman" w:hAnsi="Times New Roman"/>
                  <w:sz w:val="20"/>
                  <w:szCs w:val="20"/>
                </w:rPr>
                <w:t>b</w:t>
              </w:r>
            </w:hyperlink>
            <w:r w:rsidR="005B085C">
              <w:rPr>
                <w:rFonts w:ascii="Times New Roman" w:hAnsi="Times New Roman"/>
                <w:sz w:val="20"/>
                <w:szCs w:val="20"/>
              </w:rPr>
              <w:t xml:space="preserve"> </w:t>
            </w:r>
            <w:r w:rsidR="005B085C" w:rsidRPr="005B085C">
              <w:rPr>
                <w:rFonts w:ascii="Times New Roman" w:hAnsi="Times New Roman"/>
                <w:sz w:val="20"/>
                <w:szCs w:val="20"/>
              </w:rPr>
              <w:t>rozporządzenia nr 537/2014</w:t>
            </w:r>
            <w:r w:rsidR="005B085C">
              <w:rPr>
                <w:rFonts w:ascii="Times New Roman" w:hAnsi="Times New Roman"/>
                <w:sz w:val="20"/>
                <w:szCs w:val="20"/>
              </w:rPr>
              <w:t xml:space="preserve">). </w:t>
            </w:r>
            <w:r>
              <w:rPr>
                <w:rFonts w:ascii="Times New Roman" w:hAnsi="Times New Roman"/>
                <w:sz w:val="20"/>
                <w:szCs w:val="20"/>
              </w:rPr>
              <w:t>Taka</w:t>
            </w:r>
            <w:r w:rsidR="005B085C">
              <w:rPr>
                <w:rFonts w:ascii="Times New Roman" w:hAnsi="Times New Roman"/>
                <w:sz w:val="20"/>
                <w:szCs w:val="20"/>
              </w:rPr>
              <w:t xml:space="preserve"> </w:t>
            </w:r>
            <w:r>
              <w:rPr>
                <w:rFonts w:ascii="Times New Roman" w:hAnsi="Times New Roman"/>
                <w:sz w:val="20"/>
                <w:szCs w:val="20"/>
              </w:rPr>
              <w:t>zmiana</w:t>
            </w:r>
            <w:r w:rsidR="005B085C">
              <w:rPr>
                <w:rFonts w:ascii="Times New Roman" w:hAnsi="Times New Roman"/>
                <w:sz w:val="20"/>
                <w:szCs w:val="20"/>
              </w:rPr>
              <w:t xml:space="preserve"> </w:t>
            </w:r>
            <w:r>
              <w:rPr>
                <w:rFonts w:ascii="Times New Roman" w:hAnsi="Times New Roman"/>
                <w:sz w:val="20"/>
                <w:szCs w:val="20"/>
              </w:rPr>
              <w:t>zapewni potencjalnie większą elastyczność dla spółek oraz firm wykonujących zlecenie, a pozostaje zgodna z prawem Unii Europejskiej.</w:t>
            </w:r>
          </w:p>
        </w:tc>
      </w:tr>
      <w:tr w:rsidR="00065068" w:rsidRPr="00496205" w14:paraId="7F1C092F" w14:textId="77777777" w:rsidTr="00AF1921">
        <w:trPr>
          <w:trHeight w:val="732"/>
        </w:trPr>
        <w:tc>
          <w:tcPr>
            <w:tcW w:w="741" w:type="dxa"/>
          </w:tcPr>
          <w:p w14:paraId="007B28AD" w14:textId="77777777" w:rsidR="00065068" w:rsidRPr="00A91ABF" w:rsidRDefault="00065068" w:rsidP="00065068">
            <w:pPr>
              <w:ind w:left="120"/>
              <w:rPr>
                <w:rFonts w:ascii="Times New Roman" w:hAnsi="Times New Roman"/>
                <w:b/>
                <w:sz w:val="20"/>
                <w:szCs w:val="20"/>
              </w:rPr>
            </w:pPr>
          </w:p>
        </w:tc>
        <w:tc>
          <w:tcPr>
            <w:tcW w:w="1953" w:type="dxa"/>
          </w:tcPr>
          <w:p w14:paraId="0FD42255" w14:textId="1987D599" w:rsidR="00065068" w:rsidRPr="00A91ABF" w:rsidRDefault="00065068" w:rsidP="00065068">
            <w:pPr>
              <w:rPr>
                <w:rFonts w:ascii="Times New Roman" w:hAnsi="Times New Roman"/>
                <w:b/>
                <w:sz w:val="20"/>
                <w:szCs w:val="20"/>
              </w:rPr>
            </w:pPr>
            <w:r>
              <w:rPr>
                <w:rFonts w:ascii="Times New Roman" w:hAnsi="Times New Roman"/>
                <w:b/>
                <w:sz w:val="20"/>
                <w:szCs w:val="20"/>
              </w:rPr>
              <w:t>Art. 134</w:t>
            </w:r>
            <w:r w:rsidR="005B085C">
              <w:rPr>
                <w:rFonts w:ascii="Times New Roman" w:hAnsi="Times New Roman"/>
                <w:b/>
                <w:sz w:val="20"/>
                <w:szCs w:val="20"/>
              </w:rPr>
              <w:t xml:space="preserve"> </w:t>
            </w:r>
            <w:r w:rsidR="005B085C">
              <w:rPr>
                <w:rFonts w:ascii="Times New Roman" w:hAnsi="Times New Roman"/>
                <w:b/>
                <w:bCs/>
                <w:sz w:val="20"/>
                <w:szCs w:val="20"/>
              </w:rPr>
              <w:t xml:space="preserve">ustawy </w:t>
            </w:r>
            <w:r w:rsidR="005B085C" w:rsidRPr="00065068">
              <w:rPr>
                <w:rFonts w:ascii="Times New Roman" w:hAnsi="Times New Roman"/>
                <w:b/>
                <w:bCs/>
                <w:sz w:val="20"/>
                <w:szCs w:val="20"/>
              </w:rPr>
              <w:t>z dnia 11 maja 2017 r. o biegłych rewidentach, firmach audytorskich oraz nadzorze publicznym</w:t>
            </w:r>
          </w:p>
        </w:tc>
        <w:tc>
          <w:tcPr>
            <w:tcW w:w="4632" w:type="dxa"/>
          </w:tcPr>
          <w:p w14:paraId="5835D42C" w14:textId="42BB55AD" w:rsidR="00065068" w:rsidRPr="00A91ABF" w:rsidRDefault="00F5191C" w:rsidP="00065068">
            <w:pPr>
              <w:spacing w:after="120" w:line="276" w:lineRule="auto"/>
              <w:contextualSpacing/>
              <w:jc w:val="both"/>
              <w:rPr>
                <w:rFonts w:ascii="Times New Roman" w:hAnsi="Times New Roman"/>
                <w:sz w:val="20"/>
                <w:szCs w:val="20"/>
              </w:rPr>
            </w:pPr>
            <w:r>
              <w:rPr>
                <w:rFonts w:ascii="Times New Roman" w:hAnsi="Times New Roman"/>
                <w:sz w:val="20"/>
                <w:szCs w:val="20"/>
              </w:rPr>
              <w:t xml:space="preserve">Wydłużenie maksymalnego okresu zaangażowania kluczowego biegłego rewidenta w sprawozdanie do 7 lat </w:t>
            </w:r>
          </w:p>
        </w:tc>
        <w:tc>
          <w:tcPr>
            <w:tcW w:w="7374" w:type="dxa"/>
          </w:tcPr>
          <w:p w14:paraId="2419714B" w14:textId="0247887A" w:rsidR="00065068" w:rsidRDefault="00065068" w:rsidP="00065068">
            <w:pPr>
              <w:jc w:val="both"/>
              <w:rPr>
                <w:rFonts w:ascii="Times New Roman" w:hAnsi="Times New Roman"/>
                <w:sz w:val="20"/>
                <w:szCs w:val="20"/>
              </w:rPr>
            </w:pPr>
            <w:r>
              <w:rPr>
                <w:rFonts w:ascii="Times New Roman" w:hAnsi="Times New Roman"/>
                <w:sz w:val="20"/>
                <w:szCs w:val="20"/>
              </w:rPr>
              <w:t>Proponujemy d</w:t>
            </w:r>
            <w:r w:rsidRPr="00387F14">
              <w:rPr>
                <w:rFonts w:ascii="Times New Roman" w:hAnsi="Times New Roman"/>
                <w:sz w:val="20"/>
                <w:szCs w:val="20"/>
              </w:rPr>
              <w:t xml:space="preserve">ostosowanie okresu maksymalnego zaangażowania kluczowego biegłego rewidenta w badanie JZP wynikającego z art. 134 </w:t>
            </w:r>
            <w:r w:rsidR="005B085C">
              <w:rPr>
                <w:rFonts w:ascii="Times New Roman" w:hAnsi="Times New Roman"/>
                <w:sz w:val="20"/>
                <w:szCs w:val="20"/>
              </w:rPr>
              <w:t>u</w:t>
            </w:r>
            <w:r w:rsidRPr="00387F14">
              <w:rPr>
                <w:rFonts w:ascii="Times New Roman" w:hAnsi="Times New Roman"/>
                <w:sz w:val="20"/>
                <w:szCs w:val="20"/>
              </w:rPr>
              <w:t xml:space="preserve">stawy (czyli 5 lat) do okresu który daje art. 17 ust. 4 rozporządzenia 537/2014, tj. do 7 lat. </w:t>
            </w:r>
            <w:r>
              <w:rPr>
                <w:rFonts w:ascii="Times New Roman" w:hAnsi="Times New Roman"/>
                <w:sz w:val="20"/>
                <w:szCs w:val="20"/>
              </w:rPr>
              <w:t>Taka zmiana zapewni potencjalnie większą elastyczność dla spółek oraz firm wykonujących zlecenie, a pozostaje zgodna z prawem Unii Europejskiej.</w:t>
            </w:r>
          </w:p>
        </w:tc>
      </w:tr>
      <w:tr w:rsidR="00065068" w:rsidRPr="00496205" w14:paraId="118E434F" w14:textId="77777777" w:rsidTr="00AF1921">
        <w:trPr>
          <w:trHeight w:val="732"/>
        </w:trPr>
        <w:tc>
          <w:tcPr>
            <w:tcW w:w="741" w:type="dxa"/>
          </w:tcPr>
          <w:p w14:paraId="5C30C3B5" w14:textId="77777777" w:rsidR="00065068" w:rsidRPr="00A91ABF" w:rsidRDefault="00065068" w:rsidP="00065068">
            <w:pPr>
              <w:ind w:left="120"/>
              <w:rPr>
                <w:rFonts w:ascii="Times New Roman" w:hAnsi="Times New Roman"/>
                <w:b/>
                <w:sz w:val="20"/>
                <w:szCs w:val="20"/>
              </w:rPr>
            </w:pPr>
          </w:p>
        </w:tc>
        <w:tc>
          <w:tcPr>
            <w:tcW w:w="1953" w:type="dxa"/>
          </w:tcPr>
          <w:p w14:paraId="55D0E9FE" w14:textId="7A6D0136" w:rsidR="00065068" w:rsidRPr="00A91ABF" w:rsidRDefault="00065068" w:rsidP="00065068">
            <w:pPr>
              <w:rPr>
                <w:rFonts w:ascii="Times New Roman" w:hAnsi="Times New Roman"/>
                <w:b/>
                <w:sz w:val="20"/>
                <w:szCs w:val="20"/>
              </w:rPr>
            </w:pPr>
            <w:r>
              <w:rPr>
                <w:rFonts w:ascii="Times New Roman" w:hAnsi="Times New Roman"/>
                <w:b/>
                <w:sz w:val="20"/>
                <w:szCs w:val="20"/>
              </w:rPr>
              <w:t>Art. 130 ust. 3</w:t>
            </w:r>
            <w:r w:rsidR="005B085C">
              <w:rPr>
                <w:rFonts w:ascii="Times New Roman" w:hAnsi="Times New Roman"/>
                <w:b/>
                <w:sz w:val="20"/>
                <w:szCs w:val="20"/>
              </w:rPr>
              <w:t xml:space="preserve"> </w:t>
            </w:r>
            <w:r w:rsidR="005B085C">
              <w:rPr>
                <w:rFonts w:ascii="Times New Roman" w:hAnsi="Times New Roman"/>
                <w:b/>
                <w:bCs/>
                <w:sz w:val="20"/>
                <w:szCs w:val="20"/>
              </w:rPr>
              <w:t xml:space="preserve">ustawy </w:t>
            </w:r>
            <w:r w:rsidR="005B085C" w:rsidRPr="00065068">
              <w:rPr>
                <w:rFonts w:ascii="Times New Roman" w:hAnsi="Times New Roman"/>
                <w:b/>
                <w:bCs/>
                <w:sz w:val="20"/>
                <w:szCs w:val="20"/>
              </w:rPr>
              <w:t>z dnia 11 maja 2017 r. o biegłych rewidentach, firmach audytorskich oraz nadzorze publicznym</w:t>
            </w:r>
          </w:p>
        </w:tc>
        <w:tc>
          <w:tcPr>
            <w:tcW w:w="4632" w:type="dxa"/>
          </w:tcPr>
          <w:p w14:paraId="4AAD9D0C" w14:textId="08998D59" w:rsidR="00065068" w:rsidRPr="00A91ABF" w:rsidRDefault="00F5191C" w:rsidP="00065068">
            <w:pPr>
              <w:spacing w:after="120" w:line="276" w:lineRule="auto"/>
              <w:contextualSpacing/>
              <w:jc w:val="both"/>
              <w:rPr>
                <w:rFonts w:ascii="Times New Roman" w:hAnsi="Times New Roman"/>
                <w:sz w:val="20"/>
                <w:szCs w:val="20"/>
              </w:rPr>
            </w:pPr>
            <w:r>
              <w:rPr>
                <w:rFonts w:ascii="Times New Roman" w:hAnsi="Times New Roman"/>
                <w:sz w:val="20"/>
                <w:szCs w:val="20"/>
              </w:rPr>
              <w:t>Dodanie wyjątku, iż w szczególnych przypadkach możliwe jest wskazanie w rekomendacji Komitetu Audytu tylko jednej propozycji wyboru firmy audytorskiej</w:t>
            </w:r>
          </w:p>
        </w:tc>
        <w:tc>
          <w:tcPr>
            <w:tcW w:w="7374" w:type="dxa"/>
          </w:tcPr>
          <w:p w14:paraId="2C901BD3" w14:textId="21880C0B" w:rsidR="00065068" w:rsidRPr="00387F14" w:rsidRDefault="00065068" w:rsidP="00065068">
            <w:pPr>
              <w:jc w:val="both"/>
              <w:rPr>
                <w:rFonts w:ascii="Times New Roman" w:hAnsi="Times New Roman"/>
                <w:sz w:val="20"/>
                <w:szCs w:val="20"/>
              </w:rPr>
            </w:pPr>
            <w:r>
              <w:rPr>
                <w:rFonts w:ascii="Times New Roman" w:hAnsi="Times New Roman"/>
                <w:sz w:val="20"/>
                <w:szCs w:val="20"/>
              </w:rPr>
              <w:t>Proponujemy d</w:t>
            </w:r>
            <w:r w:rsidRPr="00387F14">
              <w:rPr>
                <w:rFonts w:ascii="Times New Roman" w:hAnsi="Times New Roman"/>
                <w:sz w:val="20"/>
                <w:szCs w:val="20"/>
              </w:rPr>
              <w:t xml:space="preserve">okonanie zmiany w art. 130 ust. 3 </w:t>
            </w:r>
            <w:r w:rsidR="005B085C">
              <w:rPr>
                <w:rFonts w:ascii="Times New Roman" w:hAnsi="Times New Roman"/>
                <w:sz w:val="20"/>
                <w:szCs w:val="20"/>
              </w:rPr>
              <w:t>u</w:t>
            </w:r>
            <w:r w:rsidRPr="00387F14">
              <w:rPr>
                <w:rFonts w:ascii="Times New Roman" w:hAnsi="Times New Roman"/>
                <w:sz w:val="20"/>
                <w:szCs w:val="20"/>
              </w:rPr>
              <w:t xml:space="preserve">stawy poprzez wskazanie, że w szczególnych przypadkach możliwe jest wskazanie w rekomendacji Komitetu Audytu tylko jednej propozycji wyboru firmy audytorskiej (np. gdy tylko jedna firma audytorska weźmie udział w przetargu organizowanym przez JZP lub gdy JZP musi w trybie nagłym wybrać firmę audytorską np. z uwagi na utratę uprawnień przez dotychczasową firmę). </w:t>
            </w:r>
          </w:p>
          <w:p w14:paraId="073B8AD6" w14:textId="0C8B07B4" w:rsidR="00065068" w:rsidRPr="00387F14" w:rsidRDefault="005B085C" w:rsidP="00065068">
            <w:pPr>
              <w:jc w:val="both"/>
              <w:rPr>
                <w:rFonts w:ascii="Times New Roman" w:hAnsi="Times New Roman"/>
                <w:sz w:val="20"/>
                <w:szCs w:val="20"/>
              </w:rPr>
            </w:pPr>
            <w:r>
              <w:rPr>
                <w:rFonts w:ascii="Times New Roman" w:hAnsi="Times New Roman"/>
                <w:sz w:val="20"/>
                <w:szCs w:val="20"/>
              </w:rPr>
              <w:t>Takie rozwiązanie zostało przewidziane w odniesieniu</w:t>
            </w:r>
            <w:r w:rsidR="00065068" w:rsidRPr="00387F14">
              <w:rPr>
                <w:rFonts w:ascii="Times New Roman" w:hAnsi="Times New Roman"/>
                <w:sz w:val="20"/>
                <w:szCs w:val="20"/>
              </w:rPr>
              <w:t xml:space="preserve"> do przeprowadzenia atestacji sprawozdawczości</w:t>
            </w:r>
            <w:r w:rsidR="00065068">
              <w:rPr>
                <w:rFonts w:ascii="Times New Roman" w:hAnsi="Times New Roman"/>
                <w:sz w:val="20"/>
                <w:szCs w:val="20"/>
              </w:rPr>
              <w:t xml:space="preserve"> </w:t>
            </w:r>
            <w:r w:rsidR="00065068" w:rsidRPr="00387F14">
              <w:rPr>
                <w:rFonts w:ascii="Times New Roman" w:hAnsi="Times New Roman"/>
                <w:sz w:val="20"/>
                <w:szCs w:val="20"/>
              </w:rPr>
              <w:t xml:space="preserve">w zakresie zrównoważonego rozwoju. Proponujemy wprowadzenie podobnej zmiany do przepisów regulujących wybór firmy audytorskiej do badania sprawozdań finansowych. </w:t>
            </w:r>
          </w:p>
          <w:p w14:paraId="1249F635" w14:textId="06A14230" w:rsidR="00065068" w:rsidRPr="00387F14" w:rsidRDefault="00065068" w:rsidP="00065068">
            <w:pPr>
              <w:jc w:val="both"/>
              <w:rPr>
                <w:rFonts w:ascii="Times New Roman" w:hAnsi="Times New Roman"/>
                <w:sz w:val="20"/>
                <w:szCs w:val="20"/>
              </w:rPr>
            </w:pPr>
            <w:r w:rsidRPr="00387F14">
              <w:rPr>
                <w:rFonts w:ascii="Times New Roman" w:hAnsi="Times New Roman"/>
                <w:sz w:val="20"/>
                <w:szCs w:val="20"/>
              </w:rPr>
              <w:t xml:space="preserve">W tym miejscu należy zauważyć, że art. 130 ust. 3 </w:t>
            </w:r>
            <w:r w:rsidR="005B085C">
              <w:rPr>
                <w:rFonts w:ascii="Times New Roman" w:hAnsi="Times New Roman"/>
                <w:sz w:val="20"/>
                <w:szCs w:val="20"/>
              </w:rPr>
              <w:t>u</w:t>
            </w:r>
            <w:r w:rsidRPr="00387F14">
              <w:rPr>
                <w:rFonts w:ascii="Times New Roman" w:hAnsi="Times New Roman"/>
                <w:sz w:val="20"/>
                <w:szCs w:val="20"/>
              </w:rPr>
              <w:t xml:space="preserve">stawy, którego zmianę postulujemy, odnosi się do przypadku gdy wyboru firmy audytorskiej przeprowadzającej badanie </w:t>
            </w:r>
            <w:r w:rsidRPr="00387F14">
              <w:rPr>
                <w:rFonts w:ascii="Times New Roman" w:hAnsi="Times New Roman"/>
                <w:sz w:val="20"/>
                <w:szCs w:val="20"/>
              </w:rPr>
              <w:lastRenderedPageBreak/>
              <w:t>ustawowe JZP dokonuje organ inny niż organ zatwierdzający sprawozdanie finansowe jednostki. W takim przypadku wymóg</w:t>
            </w:r>
            <w:r w:rsidR="005B085C">
              <w:rPr>
                <w:rFonts w:ascii="Times New Roman" w:hAnsi="Times New Roman"/>
                <w:sz w:val="20"/>
                <w:szCs w:val="20"/>
              </w:rPr>
              <w:t>,</w:t>
            </w:r>
            <w:r w:rsidRPr="00387F14">
              <w:rPr>
                <w:rFonts w:ascii="Times New Roman" w:hAnsi="Times New Roman"/>
                <w:sz w:val="20"/>
                <w:szCs w:val="20"/>
              </w:rPr>
              <w:t xml:space="preserve"> aby rekomendacja komitetu audytu zawierała przynajmniej dwie możliwości wyboru został ustanowiony wyłącznie przez polskiego ustawodawcę. W efekcie polski ustawodawca może dokonać zmiany tego wymogu. </w:t>
            </w:r>
          </w:p>
          <w:p w14:paraId="3A770727" w14:textId="77777777" w:rsidR="00065068" w:rsidRPr="00387F14" w:rsidRDefault="00065068" w:rsidP="00065068">
            <w:pPr>
              <w:jc w:val="both"/>
              <w:rPr>
                <w:rFonts w:ascii="Times New Roman" w:hAnsi="Times New Roman"/>
                <w:sz w:val="20"/>
                <w:szCs w:val="20"/>
              </w:rPr>
            </w:pPr>
            <w:r w:rsidRPr="00387F14">
              <w:rPr>
                <w:rFonts w:ascii="Times New Roman" w:hAnsi="Times New Roman"/>
                <w:sz w:val="20"/>
                <w:szCs w:val="20"/>
              </w:rPr>
              <w:t xml:space="preserve">Podkreślenia wymaga fakt, że art. 16 ust. 2 rozporządzenia 537/2014 również mówiący o wskazaniu dwóch możliwości wyboru w rekomendacji komitetu audytu dotyczy innej sytuacji niż wskazana powyżej, tj. dotyczy sytuacji gdy wyboru firmy audytorskiej dokonuje „walne zgromadzenie wspólników lub członków badanej jednostki”. Powyższe wynika z art. 16 ust. 1 akapit 1 rozporządzenia 537/2014 oraz art. 37 ust. 1 dyrektywy 2006/43/WE. Wskazany przepis dyrektywy odnosi się do sytuacji gdy „wyboru biegłego rewidenta lub firmy audytorskiej dokonuje walne zgromadzenie wspólników lub członków badanej jednostki”. Z kolei art. 16 ust. 1 akapit 1 rozporządzenia 537/2014 przewiduje, że w przypadku, o którym mowa w art. 37 ust. 1 ww. dyrektywy, tj. w przypadku gdy firmę audytorską wybiera walne zgromadzenie, wówczas należy stosować art. 16 ust. 2 – 5 rozporządzenia, w tym ustęp mówiący o rekomendacji komitetu audytu zawierającej dwie możliwości wyboru. </w:t>
            </w:r>
          </w:p>
          <w:p w14:paraId="035A29FB" w14:textId="07B5D014" w:rsidR="00065068" w:rsidRPr="00387F14" w:rsidRDefault="00065068" w:rsidP="00065068">
            <w:pPr>
              <w:jc w:val="both"/>
              <w:rPr>
                <w:rFonts w:ascii="Times New Roman" w:hAnsi="Times New Roman"/>
                <w:sz w:val="20"/>
                <w:szCs w:val="20"/>
              </w:rPr>
            </w:pPr>
            <w:r w:rsidRPr="00387F14">
              <w:rPr>
                <w:rFonts w:ascii="Times New Roman" w:hAnsi="Times New Roman"/>
                <w:sz w:val="20"/>
                <w:szCs w:val="20"/>
              </w:rPr>
              <w:t xml:space="preserve">W dalszej kolejności należy wskazać, że art. 16 ust. 1 akapit 2 rozporządzenia odnosi się do art. 37 ust. 2 dyrektywy 2006/43/WE, przewidującego, że państwa członkowskie mogą dopuścić alternatywne systemy lub tryby wyboru biegłego rewidenta lub firmy audytorskiej. Art. 16 ust. 1 akapit 2 rozporządzenia wyraźnie stanowi, że w sytuacji gdy państwo członkowskie wprowadziło alternatywny system wyboru wówczas nie stosuje się art. 16 ust. 2-5 rozporządzenia 537/2014. Polski ustawodawca zdecydował się na wprowadzenie do polskich przepisów alternatywnego trybu wyboru, ponieważ w ustawie o rachunkowości przewidział możliwość wyboru firmy audytorskiej przez organ inny niż walne zgromadzenie, tj. organ inny niż organ zatwierdzający sprawozdanie finansowe jednostki. Szczegółowe zasady alternatywnego trybu wyboru polski ustawodawca określił w art. 130 </w:t>
            </w:r>
            <w:r w:rsidR="008F2119">
              <w:rPr>
                <w:rFonts w:ascii="Times New Roman" w:hAnsi="Times New Roman"/>
                <w:sz w:val="20"/>
                <w:szCs w:val="20"/>
              </w:rPr>
              <w:t>u</w:t>
            </w:r>
            <w:r w:rsidRPr="00387F14">
              <w:rPr>
                <w:rFonts w:ascii="Times New Roman" w:hAnsi="Times New Roman"/>
                <w:sz w:val="20"/>
                <w:szCs w:val="20"/>
              </w:rPr>
              <w:t xml:space="preserve">stawy o biegłych rewidentach. W efekcie w przypadku gdy w polskiej JZP wyboru firmy audytorskiej dokonuje np. rada nadzorcza wówczas JZP powinna dokonać wyboru firmy audytorskiej zgodnie z zasadami określonymi w </w:t>
            </w:r>
            <w:r w:rsidR="008F2119">
              <w:rPr>
                <w:rFonts w:ascii="Times New Roman" w:hAnsi="Times New Roman"/>
                <w:sz w:val="20"/>
                <w:szCs w:val="20"/>
              </w:rPr>
              <w:t>u</w:t>
            </w:r>
            <w:r w:rsidRPr="00387F14">
              <w:rPr>
                <w:rFonts w:ascii="Times New Roman" w:hAnsi="Times New Roman"/>
                <w:sz w:val="20"/>
                <w:szCs w:val="20"/>
              </w:rPr>
              <w:t xml:space="preserve">stawie o biegłych rewidentach. </w:t>
            </w:r>
          </w:p>
          <w:p w14:paraId="016EC528" w14:textId="5F9C11B0" w:rsidR="00065068" w:rsidRDefault="00065068" w:rsidP="00065068">
            <w:pPr>
              <w:jc w:val="both"/>
              <w:rPr>
                <w:rFonts w:ascii="Times New Roman" w:hAnsi="Times New Roman"/>
                <w:sz w:val="20"/>
                <w:szCs w:val="20"/>
              </w:rPr>
            </w:pPr>
            <w:r w:rsidRPr="00387F14">
              <w:rPr>
                <w:rFonts w:ascii="Times New Roman" w:hAnsi="Times New Roman"/>
                <w:sz w:val="20"/>
                <w:szCs w:val="20"/>
              </w:rPr>
              <w:t xml:space="preserve">Alternatywny tryb wyboru wprowadzony do </w:t>
            </w:r>
            <w:r w:rsidR="008F2119">
              <w:rPr>
                <w:rFonts w:ascii="Times New Roman" w:hAnsi="Times New Roman"/>
                <w:sz w:val="20"/>
                <w:szCs w:val="20"/>
              </w:rPr>
              <w:t>u</w:t>
            </w:r>
            <w:r w:rsidRPr="00387F14">
              <w:rPr>
                <w:rFonts w:ascii="Times New Roman" w:hAnsi="Times New Roman"/>
                <w:sz w:val="20"/>
                <w:szCs w:val="20"/>
              </w:rPr>
              <w:t>stawy o biegłych rewidentach został uregulowany przez polskiego ustawodawcę w sposób w zasadzie tożsamy ze sposobem opisanym w rozporządzeniu 537/2014 dla sytuacji, gdy wyboru dokonuje walne zgromadzenie wspólników. Powyższe może prowadzić do mylnego wniosku, że to ustawodawca unijny wymaga</w:t>
            </w:r>
            <w:r w:rsidR="008F2119">
              <w:rPr>
                <w:rFonts w:ascii="Times New Roman" w:hAnsi="Times New Roman"/>
                <w:sz w:val="20"/>
                <w:szCs w:val="20"/>
              </w:rPr>
              <w:t>,</w:t>
            </w:r>
            <w:r w:rsidRPr="00387F14">
              <w:rPr>
                <w:rFonts w:ascii="Times New Roman" w:hAnsi="Times New Roman"/>
                <w:sz w:val="20"/>
                <w:szCs w:val="20"/>
              </w:rPr>
              <w:t xml:space="preserve"> aby w każdym przypadku, tj. bez względu na to jaki organ dokonuje wyboru firmy audytorskiej, wymagana była rekomendacja komitetu audytu z dwoma możliwościami wyboru firmy audytorskiej. Jednakże z analizy przepisów wynika, że</w:t>
            </w:r>
            <w:r>
              <w:rPr>
                <w:rFonts w:ascii="Times New Roman" w:hAnsi="Times New Roman"/>
                <w:sz w:val="20"/>
                <w:szCs w:val="20"/>
              </w:rPr>
              <w:t xml:space="preserve"> </w:t>
            </w:r>
            <w:r w:rsidRPr="00387F14">
              <w:rPr>
                <w:rFonts w:ascii="Times New Roman" w:hAnsi="Times New Roman"/>
                <w:sz w:val="20"/>
                <w:szCs w:val="20"/>
              </w:rPr>
              <w:t xml:space="preserve">ustawodawca unijny wprowadził taki wymóg jedynie w przypadku gdy wyboru firmy audytorskiej dokonuje walne zgromadzenie wspólników. Ustalenie procedury wyboru </w:t>
            </w:r>
            <w:r w:rsidRPr="00387F14">
              <w:rPr>
                <w:rFonts w:ascii="Times New Roman" w:hAnsi="Times New Roman"/>
                <w:sz w:val="20"/>
                <w:szCs w:val="20"/>
              </w:rPr>
              <w:lastRenderedPageBreak/>
              <w:t xml:space="preserve">firmy audytorskiej w przypadku gdy wyboru dokonuje organ inny niż walne zgromadzenie leżało w gestii państw członkowskich. W efekcie państwa członkowskie mogą wprowadzać zmiany do tej procedury i dlatego wnosimy o zmianę art. 130 ust. 3 </w:t>
            </w:r>
            <w:r w:rsidR="008F2119">
              <w:rPr>
                <w:rFonts w:ascii="Times New Roman" w:hAnsi="Times New Roman"/>
                <w:sz w:val="20"/>
                <w:szCs w:val="20"/>
              </w:rPr>
              <w:t>u</w:t>
            </w:r>
            <w:r w:rsidRPr="00387F14">
              <w:rPr>
                <w:rFonts w:ascii="Times New Roman" w:hAnsi="Times New Roman"/>
                <w:sz w:val="20"/>
                <w:szCs w:val="20"/>
              </w:rPr>
              <w:t>stawy poprzez wskazanie, że wystarczające będzie wskazanie w rekomendacji komitetu audytu przynajmniej jednej możliwości wyboru firmy audytorskiej, gdy wyboru dokonuje organ inny niż walne zgromadzenie.</w:t>
            </w:r>
          </w:p>
        </w:tc>
      </w:tr>
      <w:tr w:rsidR="00065068" w:rsidRPr="00496205" w14:paraId="495A90A0" w14:textId="77777777" w:rsidTr="00AF1921">
        <w:trPr>
          <w:trHeight w:val="732"/>
        </w:trPr>
        <w:tc>
          <w:tcPr>
            <w:tcW w:w="741" w:type="dxa"/>
          </w:tcPr>
          <w:p w14:paraId="15E0E379" w14:textId="77777777" w:rsidR="00065068" w:rsidRPr="00A91ABF" w:rsidRDefault="00065068" w:rsidP="00065068">
            <w:pPr>
              <w:ind w:left="120"/>
              <w:rPr>
                <w:rFonts w:ascii="Times New Roman" w:hAnsi="Times New Roman"/>
                <w:b/>
                <w:sz w:val="20"/>
                <w:szCs w:val="20"/>
              </w:rPr>
            </w:pPr>
          </w:p>
        </w:tc>
        <w:tc>
          <w:tcPr>
            <w:tcW w:w="1953" w:type="dxa"/>
          </w:tcPr>
          <w:p w14:paraId="6F8363A8" w14:textId="7650EF7F" w:rsidR="00065068" w:rsidRPr="00A91ABF" w:rsidRDefault="00F522E9" w:rsidP="00065068">
            <w:pPr>
              <w:rPr>
                <w:rFonts w:ascii="Times New Roman" w:hAnsi="Times New Roman"/>
                <w:b/>
                <w:sz w:val="20"/>
                <w:szCs w:val="20"/>
              </w:rPr>
            </w:pPr>
            <w:r>
              <w:rPr>
                <w:rFonts w:ascii="Times New Roman" w:hAnsi="Times New Roman"/>
                <w:b/>
                <w:sz w:val="20"/>
                <w:szCs w:val="20"/>
              </w:rPr>
              <w:t xml:space="preserve">Art. 90 ust. 5 </w:t>
            </w:r>
            <w:r>
              <w:rPr>
                <w:rFonts w:ascii="Times New Roman" w:hAnsi="Times New Roman"/>
                <w:b/>
                <w:bCs/>
                <w:sz w:val="20"/>
                <w:szCs w:val="20"/>
              </w:rPr>
              <w:t xml:space="preserve">ustawy </w:t>
            </w:r>
            <w:r w:rsidRPr="00065068">
              <w:rPr>
                <w:rFonts w:ascii="Times New Roman" w:hAnsi="Times New Roman"/>
                <w:b/>
                <w:bCs/>
                <w:sz w:val="20"/>
                <w:szCs w:val="20"/>
              </w:rPr>
              <w:t>z dnia 11 maja 2017 r. o biegłych rewidentach, firmach audytorskich oraz nadzorze publicznym</w:t>
            </w:r>
          </w:p>
        </w:tc>
        <w:tc>
          <w:tcPr>
            <w:tcW w:w="4632" w:type="dxa"/>
          </w:tcPr>
          <w:p w14:paraId="1E9327E8" w14:textId="5EF259C5" w:rsidR="00065068" w:rsidRPr="00A91ABF" w:rsidRDefault="00F5191C" w:rsidP="00065068">
            <w:pPr>
              <w:spacing w:after="120" w:line="276" w:lineRule="auto"/>
              <w:contextualSpacing/>
              <w:jc w:val="both"/>
              <w:rPr>
                <w:rFonts w:ascii="Times New Roman" w:hAnsi="Times New Roman"/>
                <w:sz w:val="20"/>
                <w:szCs w:val="20"/>
              </w:rPr>
            </w:pPr>
            <w:r>
              <w:rPr>
                <w:rFonts w:ascii="Times New Roman" w:hAnsi="Times New Roman"/>
                <w:sz w:val="20"/>
                <w:szCs w:val="20"/>
              </w:rPr>
              <w:t xml:space="preserve">Opracowanie zasad oceny jakości firm audytorskich oraz zasad publikacji oceny poszczególnych firm audytorskich </w:t>
            </w:r>
            <w:r w:rsidR="00945168" w:rsidRPr="003E28BE">
              <w:rPr>
                <w:rFonts w:ascii="Times New Roman" w:hAnsi="Times New Roman"/>
                <w:sz w:val="20"/>
                <w:szCs w:val="20"/>
              </w:rPr>
              <w:t>pozwalających na porównanie jakości firm audytorskich pozwalających na porównanie jakości firm audytorskich</w:t>
            </w:r>
            <w:r w:rsidR="00945168">
              <w:rPr>
                <w:rFonts w:ascii="Times New Roman" w:hAnsi="Times New Roman"/>
                <w:sz w:val="20"/>
                <w:szCs w:val="20"/>
              </w:rPr>
              <w:t xml:space="preserve"> </w:t>
            </w:r>
            <w:r>
              <w:rPr>
                <w:rFonts w:ascii="Times New Roman" w:hAnsi="Times New Roman"/>
                <w:sz w:val="20"/>
                <w:szCs w:val="20"/>
              </w:rPr>
              <w:t>przez Polską Agencję Nadzoru Audytowego</w:t>
            </w:r>
          </w:p>
        </w:tc>
        <w:tc>
          <w:tcPr>
            <w:tcW w:w="7374" w:type="dxa"/>
          </w:tcPr>
          <w:p w14:paraId="21AC2B65" w14:textId="7CC1F57C" w:rsidR="00065068" w:rsidRPr="00387F14" w:rsidRDefault="00065068" w:rsidP="00065068">
            <w:pPr>
              <w:jc w:val="both"/>
              <w:rPr>
                <w:rFonts w:ascii="Times New Roman" w:hAnsi="Times New Roman"/>
                <w:sz w:val="20"/>
                <w:szCs w:val="20"/>
              </w:rPr>
            </w:pPr>
            <w:r>
              <w:rPr>
                <w:rFonts w:ascii="Times New Roman" w:hAnsi="Times New Roman"/>
                <w:sz w:val="20"/>
                <w:szCs w:val="20"/>
              </w:rPr>
              <w:t>Proponujemy o</w:t>
            </w:r>
            <w:r w:rsidRPr="00387F14">
              <w:rPr>
                <w:rFonts w:ascii="Times New Roman" w:hAnsi="Times New Roman"/>
                <w:sz w:val="20"/>
                <w:szCs w:val="20"/>
              </w:rPr>
              <w:t>pracowanie zasad oceny jakości firm audytorskich w zakresie badania sprawozdań finansowych i dotyczących zrównoważonego rozwoju oraz zasad publikacji oceny poszczególnych firm audytorskich przez Polską Agencję Nadzoru Audytowego (dalej: „Agencja”). Szczególnie istotne jest, aby Agencja dokonywała oceny zidentyfikowanych naruszeń wedle jednolitych i spójnych kryteriów</w:t>
            </w:r>
            <w:r w:rsidR="00945168">
              <w:rPr>
                <w:rFonts w:ascii="Times New Roman" w:hAnsi="Times New Roman"/>
                <w:sz w:val="20"/>
                <w:szCs w:val="20"/>
              </w:rPr>
              <w:t xml:space="preserve"> </w:t>
            </w:r>
            <w:r w:rsidR="00945168" w:rsidRPr="003E28BE">
              <w:rPr>
                <w:rFonts w:ascii="Times New Roman" w:hAnsi="Times New Roman"/>
                <w:sz w:val="20"/>
                <w:szCs w:val="20"/>
              </w:rPr>
              <w:t>pozwalających na porównanie jakości firm audytorskich</w:t>
            </w:r>
            <w:r w:rsidRPr="00387F14">
              <w:rPr>
                <w:rFonts w:ascii="Times New Roman" w:hAnsi="Times New Roman"/>
                <w:sz w:val="20"/>
                <w:szCs w:val="20"/>
              </w:rPr>
              <w:t xml:space="preserve">. Kwalifikacja naruszeń powinna być jasna zarówno dla firm audytorskich, jak i innych podmiotów zapoznających się z publikowanymi sprawozdaniami Agencji. </w:t>
            </w:r>
          </w:p>
          <w:p w14:paraId="6509734B" w14:textId="77777777" w:rsidR="00065068" w:rsidRPr="00387F14" w:rsidRDefault="00065068" w:rsidP="00065068">
            <w:pPr>
              <w:jc w:val="both"/>
              <w:rPr>
                <w:rFonts w:ascii="Times New Roman" w:hAnsi="Times New Roman"/>
                <w:sz w:val="20"/>
                <w:szCs w:val="20"/>
              </w:rPr>
            </w:pPr>
            <w:r w:rsidRPr="00387F14">
              <w:rPr>
                <w:rFonts w:ascii="Times New Roman" w:hAnsi="Times New Roman"/>
                <w:sz w:val="20"/>
                <w:szCs w:val="20"/>
              </w:rPr>
              <w:t xml:space="preserve">Agencja powinna publikować m.in. informacje o kontrolach przeprowadzonych w firmach audytorskich, okresie, którego dotyczyła kontrola, o kwalifikacji naruszeń zidentyfikowanych przez Agencję, np. wskazaniem czy naruszenia te były istotne, czy i w jaki sposób miały wpływ na jakość badania i prawidłowość opinii wydanej przez biegłego rewidenta, a także czy zbadane sprawozdanie finansowe jest istotnie zniekształcone. W sprawozdaniu powinna znaleźć się również informacja o tym, czy zalecenia pokontrolne zostały wdrożone przez firmę audytorską, jeżeli do dnia opublikowania sprawozdania przez Agencję minął termin na ich wdrożenie. </w:t>
            </w:r>
          </w:p>
          <w:p w14:paraId="3698E787" w14:textId="172AE7C5" w:rsidR="00065068" w:rsidRPr="00387F14" w:rsidRDefault="00065068" w:rsidP="00065068">
            <w:pPr>
              <w:jc w:val="both"/>
              <w:rPr>
                <w:rFonts w:ascii="Times New Roman" w:hAnsi="Times New Roman"/>
                <w:sz w:val="20"/>
                <w:szCs w:val="20"/>
              </w:rPr>
            </w:pPr>
            <w:r w:rsidRPr="00387F14">
              <w:rPr>
                <w:rFonts w:ascii="Times New Roman" w:hAnsi="Times New Roman"/>
                <w:sz w:val="20"/>
                <w:szCs w:val="20"/>
              </w:rPr>
              <w:t xml:space="preserve">Informacje obecnie publikowane przez Agencję są zbyt ogólne i w efekcie nie dają podstawy dla spółek, ich komitetów audytu bądź akcjonariuszy do dokonania oceny jakości usług firm audytorskich i oszacowania potencjalnych </w:t>
            </w:r>
            <w:proofErr w:type="spellStart"/>
            <w:r w:rsidRPr="00387F14">
              <w:rPr>
                <w:rFonts w:ascii="Times New Roman" w:hAnsi="Times New Roman"/>
                <w:sz w:val="20"/>
                <w:szCs w:val="20"/>
              </w:rPr>
              <w:t>ryzyk</w:t>
            </w:r>
            <w:proofErr w:type="spellEnd"/>
            <w:r w:rsidRPr="00387F14">
              <w:rPr>
                <w:rFonts w:ascii="Times New Roman" w:hAnsi="Times New Roman"/>
                <w:sz w:val="20"/>
                <w:szCs w:val="20"/>
              </w:rPr>
              <w:t xml:space="preserve">. </w:t>
            </w:r>
            <w:r w:rsidR="008F2119">
              <w:rPr>
                <w:rFonts w:ascii="Times New Roman" w:hAnsi="Times New Roman"/>
                <w:sz w:val="20"/>
                <w:szCs w:val="20"/>
              </w:rPr>
              <w:t>Re</w:t>
            </w:r>
            <w:r w:rsidRPr="00387F14">
              <w:rPr>
                <w:rFonts w:ascii="Times New Roman" w:hAnsi="Times New Roman"/>
                <w:sz w:val="20"/>
                <w:szCs w:val="20"/>
              </w:rPr>
              <w:t xml:space="preserve">alną wartością dla badanych spółek i ich komitetów audytu byłoby wskazanie przez Agencję skutków naruszeń dokonanych przez firmy audytorskie, a nie jedynie przekazanie informacji takich jak: „braki w dokumentacji”. </w:t>
            </w:r>
          </w:p>
          <w:p w14:paraId="25B5870F" w14:textId="77777777" w:rsidR="00065068" w:rsidRDefault="00065068" w:rsidP="00065068">
            <w:pPr>
              <w:jc w:val="both"/>
              <w:rPr>
                <w:rFonts w:ascii="Times New Roman" w:hAnsi="Times New Roman"/>
                <w:sz w:val="20"/>
                <w:szCs w:val="20"/>
              </w:rPr>
            </w:pPr>
            <w:r w:rsidRPr="00387F14">
              <w:rPr>
                <w:rFonts w:ascii="Times New Roman" w:hAnsi="Times New Roman"/>
                <w:sz w:val="20"/>
                <w:szCs w:val="20"/>
              </w:rPr>
              <w:t>Raporty na temat poszczególnych firm audytorskich są publikowane przez regulatorów w innych krajach co mocno poprawia jakość usług badania i pracę komitetów audytu odpowiedzialnych za jakość audytu;</w:t>
            </w:r>
          </w:p>
          <w:p w14:paraId="0E6EBD23" w14:textId="640A27DD" w:rsidR="00065068" w:rsidRDefault="00065068" w:rsidP="00065068">
            <w:pPr>
              <w:jc w:val="both"/>
              <w:rPr>
                <w:rFonts w:ascii="Times New Roman" w:hAnsi="Times New Roman"/>
                <w:sz w:val="20"/>
                <w:szCs w:val="20"/>
              </w:rPr>
            </w:pPr>
            <w:r>
              <w:rPr>
                <w:rFonts w:ascii="Times New Roman" w:hAnsi="Times New Roman"/>
                <w:sz w:val="20"/>
                <w:szCs w:val="20"/>
              </w:rPr>
              <w:t xml:space="preserve">Alternatywnie proponujemy </w:t>
            </w:r>
            <w:r w:rsidRPr="00387F14">
              <w:rPr>
                <w:rFonts w:ascii="Times New Roman" w:hAnsi="Times New Roman"/>
                <w:sz w:val="20"/>
                <w:szCs w:val="20"/>
              </w:rPr>
              <w:t xml:space="preserve">wprowadzenie do ustawy o rachunkowości mechanizmu pozwalającego jednostkom skontaktować się z odpowiednim organem nadzoru w celu uzyskania informacji czy przyczyna, na którą jednostka zamierza powołać się rozwiązując z firmą audytorską umowę o badanie jest w ocenie organu nadzoru w danym przypadku uzasadniona. Obecnie przepisy nakładają na JZP obowiązek informowania KNF i PANA o rozwiązaniu umowy o badanie sprawozdania finansowego z podaniem stosownego wyjaśnienia przyczyn rozwiązania oraz przewidują sankcje za rozwiązanie umowy „bez </w:t>
            </w:r>
            <w:r w:rsidRPr="00387F14">
              <w:rPr>
                <w:rFonts w:ascii="Times New Roman" w:hAnsi="Times New Roman"/>
                <w:sz w:val="20"/>
                <w:szCs w:val="20"/>
              </w:rPr>
              <w:lastRenderedPageBreak/>
              <w:t>uzasadnionej podstawy”. Brakuje natomiast możliwości skonsultowania z organem nadzoru</w:t>
            </w:r>
            <w:r w:rsidR="008F2119">
              <w:rPr>
                <w:rFonts w:ascii="Times New Roman" w:hAnsi="Times New Roman"/>
                <w:sz w:val="20"/>
                <w:szCs w:val="20"/>
              </w:rPr>
              <w:t>,</w:t>
            </w:r>
            <w:r w:rsidRPr="00387F14">
              <w:rPr>
                <w:rFonts w:ascii="Times New Roman" w:hAnsi="Times New Roman"/>
                <w:sz w:val="20"/>
                <w:szCs w:val="20"/>
              </w:rPr>
              <w:t xml:space="preserve"> czy daną przyczynę organ uznaje za uzasadnioną.</w:t>
            </w:r>
          </w:p>
        </w:tc>
      </w:tr>
      <w:tr w:rsidR="00065068" w:rsidRPr="00496205" w14:paraId="131512CA" w14:textId="77777777" w:rsidTr="00AF1921">
        <w:trPr>
          <w:trHeight w:val="732"/>
        </w:trPr>
        <w:tc>
          <w:tcPr>
            <w:tcW w:w="741" w:type="dxa"/>
          </w:tcPr>
          <w:p w14:paraId="03C04E9E" w14:textId="77777777" w:rsidR="00065068" w:rsidRPr="00A91ABF" w:rsidRDefault="00065068" w:rsidP="00065068">
            <w:pPr>
              <w:ind w:left="120"/>
              <w:rPr>
                <w:rFonts w:ascii="Times New Roman" w:hAnsi="Times New Roman"/>
                <w:b/>
                <w:sz w:val="20"/>
                <w:szCs w:val="20"/>
              </w:rPr>
            </w:pPr>
          </w:p>
        </w:tc>
        <w:tc>
          <w:tcPr>
            <w:tcW w:w="1953" w:type="dxa"/>
          </w:tcPr>
          <w:p w14:paraId="0394A6EB" w14:textId="2945E053" w:rsidR="00065068" w:rsidRPr="00A91ABF" w:rsidRDefault="008F2119" w:rsidP="00065068">
            <w:pPr>
              <w:rPr>
                <w:rFonts w:ascii="Times New Roman" w:hAnsi="Times New Roman"/>
                <w:b/>
                <w:sz w:val="20"/>
                <w:szCs w:val="20"/>
              </w:rPr>
            </w:pPr>
            <w:r>
              <w:rPr>
                <w:rFonts w:ascii="Times New Roman" w:hAnsi="Times New Roman"/>
                <w:b/>
                <w:sz w:val="20"/>
                <w:szCs w:val="20"/>
              </w:rPr>
              <w:t xml:space="preserve">Art. 160 lub inny </w:t>
            </w:r>
            <w:r>
              <w:rPr>
                <w:rFonts w:ascii="Times New Roman" w:hAnsi="Times New Roman"/>
                <w:b/>
                <w:bCs/>
                <w:sz w:val="20"/>
                <w:szCs w:val="20"/>
              </w:rPr>
              <w:t xml:space="preserve">ustawy </w:t>
            </w:r>
            <w:r w:rsidRPr="00065068">
              <w:rPr>
                <w:rFonts w:ascii="Times New Roman" w:hAnsi="Times New Roman"/>
                <w:b/>
                <w:bCs/>
                <w:sz w:val="20"/>
                <w:szCs w:val="20"/>
              </w:rPr>
              <w:t>z dnia 11 maja 2017 r. o biegłych rewidentach, firmach audytorskich oraz nadzorze publicznym</w:t>
            </w:r>
          </w:p>
        </w:tc>
        <w:tc>
          <w:tcPr>
            <w:tcW w:w="4632" w:type="dxa"/>
          </w:tcPr>
          <w:p w14:paraId="78D43C97" w14:textId="07AC0C32" w:rsidR="00065068" w:rsidRPr="00A91ABF" w:rsidRDefault="008F2119" w:rsidP="00065068">
            <w:pPr>
              <w:spacing w:after="120" w:line="276" w:lineRule="auto"/>
              <w:contextualSpacing/>
              <w:jc w:val="both"/>
              <w:rPr>
                <w:rFonts w:ascii="Times New Roman" w:hAnsi="Times New Roman"/>
                <w:sz w:val="20"/>
                <w:szCs w:val="20"/>
              </w:rPr>
            </w:pPr>
            <w:r>
              <w:rPr>
                <w:rFonts w:ascii="Times New Roman" w:hAnsi="Times New Roman"/>
                <w:sz w:val="20"/>
                <w:szCs w:val="20"/>
              </w:rPr>
              <w:t>Wprowadzenie zmiany</w:t>
            </w:r>
            <w:r w:rsidR="00F5191C">
              <w:rPr>
                <w:rFonts w:ascii="Times New Roman" w:hAnsi="Times New Roman"/>
                <w:sz w:val="20"/>
                <w:szCs w:val="20"/>
              </w:rPr>
              <w:t xml:space="preserve">, aby </w:t>
            </w:r>
            <w:r w:rsidR="00F5191C" w:rsidRPr="00387F14">
              <w:rPr>
                <w:rFonts w:ascii="Times New Roman" w:hAnsi="Times New Roman"/>
                <w:sz w:val="20"/>
                <w:szCs w:val="20"/>
              </w:rPr>
              <w:t xml:space="preserve">zakaz wykonywania czynności rewizji finansowej bądź świadczenia innych usług objętych standardami wykonywania zawodu </w:t>
            </w:r>
            <w:r w:rsidR="00F5191C">
              <w:rPr>
                <w:rFonts w:ascii="Times New Roman" w:hAnsi="Times New Roman"/>
                <w:sz w:val="20"/>
                <w:szCs w:val="20"/>
              </w:rPr>
              <w:t xml:space="preserve">nakładany na firmę audytorską </w:t>
            </w:r>
            <w:r w:rsidR="00F5191C" w:rsidRPr="00387F14">
              <w:rPr>
                <w:rFonts w:ascii="Times New Roman" w:hAnsi="Times New Roman"/>
                <w:sz w:val="20"/>
                <w:szCs w:val="20"/>
              </w:rPr>
              <w:t xml:space="preserve">nie nakazywał </w:t>
            </w:r>
            <w:r w:rsidR="00F5191C">
              <w:rPr>
                <w:rFonts w:ascii="Times New Roman" w:hAnsi="Times New Roman"/>
                <w:sz w:val="20"/>
                <w:szCs w:val="20"/>
              </w:rPr>
              <w:t>jednocześnie</w:t>
            </w:r>
            <w:r w:rsidR="00F5191C" w:rsidRPr="00387F14">
              <w:rPr>
                <w:rFonts w:ascii="Times New Roman" w:hAnsi="Times New Roman"/>
                <w:sz w:val="20"/>
                <w:szCs w:val="20"/>
              </w:rPr>
              <w:t xml:space="preserve"> rozwiązania umów z wszystkimi dotychczasowymi klientami.</w:t>
            </w:r>
          </w:p>
        </w:tc>
        <w:tc>
          <w:tcPr>
            <w:tcW w:w="7374" w:type="dxa"/>
          </w:tcPr>
          <w:p w14:paraId="7D2FD637" w14:textId="1084373E" w:rsidR="00065068" w:rsidRPr="00387F14" w:rsidRDefault="00F5191C" w:rsidP="00065068">
            <w:pPr>
              <w:jc w:val="both"/>
              <w:rPr>
                <w:rFonts w:ascii="Times New Roman" w:hAnsi="Times New Roman"/>
                <w:sz w:val="20"/>
                <w:szCs w:val="20"/>
              </w:rPr>
            </w:pPr>
            <w:r>
              <w:rPr>
                <w:rFonts w:ascii="Times New Roman" w:hAnsi="Times New Roman"/>
                <w:sz w:val="20"/>
                <w:szCs w:val="20"/>
              </w:rPr>
              <w:t xml:space="preserve">Proponujemy </w:t>
            </w:r>
            <w:r w:rsidR="008F2119">
              <w:rPr>
                <w:rFonts w:ascii="Times New Roman" w:hAnsi="Times New Roman"/>
                <w:sz w:val="20"/>
                <w:szCs w:val="20"/>
              </w:rPr>
              <w:t>u</w:t>
            </w:r>
            <w:r w:rsidRPr="00387F14">
              <w:rPr>
                <w:rFonts w:ascii="Times New Roman" w:hAnsi="Times New Roman"/>
                <w:sz w:val="20"/>
                <w:szCs w:val="20"/>
              </w:rPr>
              <w:t xml:space="preserve">szczegółowienie przepisów dotyczących sankcji nakładanych na firmy audytorskie, w taki sposób aby zakaz wykonywania czynności rewizji finansowej bądź świadczenia innych usług objętych standardami wykonywania zawodu oznaczał zakaz zawierania nowych umów na świadczenie ww. usług, lecz nie nakazywał </w:t>
            </w:r>
            <w:r>
              <w:rPr>
                <w:rFonts w:ascii="Times New Roman" w:hAnsi="Times New Roman"/>
                <w:sz w:val="20"/>
                <w:szCs w:val="20"/>
              </w:rPr>
              <w:t>jednocześnie</w:t>
            </w:r>
            <w:r w:rsidRPr="00387F14">
              <w:rPr>
                <w:rFonts w:ascii="Times New Roman" w:hAnsi="Times New Roman"/>
                <w:sz w:val="20"/>
                <w:szCs w:val="20"/>
              </w:rPr>
              <w:t xml:space="preserve"> rozwiązania umów z wszystkimi dotychczasowymi klientami</w:t>
            </w:r>
            <w:r w:rsidR="00065068" w:rsidRPr="00387F14">
              <w:rPr>
                <w:rFonts w:ascii="Times New Roman" w:hAnsi="Times New Roman"/>
                <w:sz w:val="20"/>
                <w:szCs w:val="20"/>
              </w:rPr>
              <w:t xml:space="preserve">. Takie podejście karze nie tylko firmę audytorską, ale pośrednio zobowiązani do stosowania rygorystycznych wymogów związanych z wyborem firm audytorskich i z tzw. usługami zabronionymi. W świetle prawa nie ma uzasadnienia aby za naruszenia dokonane przez jeden podmiot, odpowiedzialność ponosiły również inne jednostki. Firmy audytorskie powinny mieć możliwość wywiązania się z umów zawartych przed dniem nałożenia na nie kary, a przynajmniej w takim okresie, który pozwoli jego dotychczasowym klientom na dokonanie zmiany firmy audytorskiej (dla JZP mógłby być to okres dwuletni). </w:t>
            </w:r>
          </w:p>
          <w:p w14:paraId="2F39FBA9" w14:textId="77777777" w:rsidR="00065068" w:rsidRPr="00387F14" w:rsidRDefault="00065068" w:rsidP="00065068">
            <w:pPr>
              <w:jc w:val="both"/>
              <w:rPr>
                <w:rFonts w:ascii="Times New Roman" w:hAnsi="Times New Roman"/>
                <w:sz w:val="20"/>
                <w:szCs w:val="20"/>
              </w:rPr>
            </w:pPr>
            <w:r w:rsidRPr="00387F14">
              <w:rPr>
                <w:rFonts w:ascii="Times New Roman" w:hAnsi="Times New Roman"/>
                <w:sz w:val="20"/>
                <w:szCs w:val="20"/>
              </w:rPr>
              <w:t xml:space="preserve">Jednocześnie, w szczególności w przypadku braku uwzględnienia powyższego postulatu, wnosimy o wprowadzenie przepisów umożliwiających jednostkom zainteresowania publicznego złożenie wniosku do właściwego organu nadzoru o dokonanie wyboru firmy audytorskiej dla JZP i nakazanie wybranej firmie audytorskiej przeprowadzenie badania sprawozdania finansowego w takiej JZP. Przepisy mogłyby ograniczać możliwość złożenia ww. wniosku przez JZP do ściśle określonych, wyjątkowych sytuacji, takich jak utrata uprawnień przez dotychczasowego audytora lub brak przystąpienia do przetargu organizowanego przez JZP firm audytorskich, które spełniałyby wymogi procedury wyboru oraz nie świadczyłyby usług zabronionych w okresach wskazanych w rozporządzeniu 537/2014. Złożenie ww. wniosku byłoby uprawnieniem JZP, tj. należałoby do decyzji JZP. </w:t>
            </w:r>
          </w:p>
          <w:p w14:paraId="0125680B" w14:textId="540E3C53" w:rsidR="00065068" w:rsidRPr="00387F14" w:rsidRDefault="00065068" w:rsidP="00065068">
            <w:pPr>
              <w:jc w:val="both"/>
              <w:rPr>
                <w:rFonts w:ascii="Times New Roman" w:hAnsi="Times New Roman"/>
                <w:sz w:val="20"/>
                <w:szCs w:val="20"/>
              </w:rPr>
            </w:pPr>
            <w:r w:rsidRPr="00387F14">
              <w:rPr>
                <w:rFonts w:ascii="Times New Roman" w:hAnsi="Times New Roman"/>
                <w:sz w:val="20"/>
                <w:szCs w:val="20"/>
              </w:rPr>
              <w:t>Wdrożenie takich przepisów wiązałoby się z koniecznością jednoczesnego wprowadzenia dodatkowych wytycznych w zakresie ustalenia wysokości wynagrodzenia za usługę badania na rynkowym poziomie. Dodatkowo, powyższa propozycja i wprowadzone na jej podstawie przepisy nie powinny prowadzić do negatywnych konsekwencji dla wybranej firmy audytorskiej bądź firm z jej sieci polegających np. na konieczności rozwiązania przez firmy z sieci umów z jednostką dominującą bądź jednostkami kontrolowanymi przez JZP z uwagi na świadczenie tzw. usług zabronionych. W związku z powyższym przepisy powinny zawierać również odpowiednie wyłączenia i mechanizmy pozwalające na zachowanie niezależności przez firmę audytorską wybraną przez organ nadzoru i firmy z jej sieci</w:t>
            </w:r>
            <w:r w:rsidR="008F2119">
              <w:rPr>
                <w:rFonts w:ascii="Times New Roman" w:hAnsi="Times New Roman"/>
                <w:sz w:val="20"/>
                <w:szCs w:val="20"/>
              </w:rPr>
              <w:t>.</w:t>
            </w:r>
          </w:p>
        </w:tc>
      </w:tr>
    </w:tbl>
    <w:p w14:paraId="0B9F9304" w14:textId="77777777" w:rsidR="00AF1921" w:rsidRDefault="00AF1921">
      <w:pPr>
        <w:rPr>
          <w:sz w:val="16"/>
          <w:szCs w:val="16"/>
        </w:rPr>
      </w:pPr>
    </w:p>
    <w:p w14:paraId="64581F27" w14:textId="1EA2D026" w:rsidR="00C60E8C" w:rsidRDefault="004A2D25">
      <w:pPr>
        <w:rPr>
          <w:sz w:val="16"/>
          <w:szCs w:val="16"/>
        </w:rPr>
      </w:pPr>
      <w:r w:rsidRPr="00AF1921">
        <w:rPr>
          <w:sz w:val="16"/>
          <w:szCs w:val="16"/>
        </w:rPr>
        <w:t>1)</w:t>
      </w:r>
      <w:r w:rsidR="002C051C" w:rsidRPr="00AF1921">
        <w:rPr>
          <w:sz w:val="16"/>
          <w:szCs w:val="16"/>
        </w:rPr>
        <w:t xml:space="preserve"> odpowiednio: </w:t>
      </w:r>
      <w:r w:rsidR="00896C60" w:rsidRPr="00AF1921">
        <w:rPr>
          <w:sz w:val="16"/>
          <w:szCs w:val="16"/>
        </w:rPr>
        <w:t xml:space="preserve">ustawy z dnia 11 maja 2017 r. o biegłych rewidentach, firmach audytorskich oraz nadzorze publicznym (Dz. U. z 2024 r. poz. 1035 z </w:t>
      </w:r>
      <w:proofErr w:type="spellStart"/>
      <w:r w:rsidR="00896C60" w:rsidRPr="00AF1921">
        <w:rPr>
          <w:sz w:val="16"/>
          <w:szCs w:val="16"/>
        </w:rPr>
        <w:t>późn</w:t>
      </w:r>
      <w:proofErr w:type="spellEnd"/>
      <w:r w:rsidR="00896C60" w:rsidRPr="00AF1921">
        <w:rPr>
          <w:sz w:val="16"/>
          <w:szCs w:val="16"/>
        </w:rPr>
        <w:t>.</w:t>
      </w:r>
      <w:r w:rsidR="00896C60">
        <w:rPr>
          <w:sz w:val="16"/>
          <w:szCs w:val="16"/>
        </w:rPr>
        <w:t xml:space="preserve"> zm.)</w:t>
      </w:r>
      <w:r w:rsidR="00896C60" w:rsidRPr="00896C60">
        <w:rPr>
          <w:sz w:val="16"/>
          <w:szCs w:val="16"/>
        </w:rPr>
        <w:t xml:space="preserve"> </w:t>
      </w:r>
      <w:r w:rsidR="00896C60" w:rsidRPr="00AF1921">
        <w:rPr>
          <w:sz w:val="16"/>
          <w:szCs w:val="16"/>
        </w:rPr>
        <w:t xml:space="preserve">lub </w:t>
      </w:r>
      <w:r w:rsidR="002C051C" w:rsidRPr="00AF1921">
        <w:rPr>
          <w:sz w:val="16"/>
          <w:szCs w:val="16"/>
        </w:rPr>
        <w:t xml:space="preserve">ustawy z dnia 29 września 1994 r. o rachunkowości </w:t>
      </w:r>
      <w:r w:rsidR="00AF1921">
        <w:rPr>
          <w:sz w:val="16"/>
          <w:szCs w:val="16"/>
        </w:rPr>
        <w:t>(</w:t>
      </w:r>
      <w:r w:rsidR="002C051C" w:rsidRPr="00AF1921">
        <w:rPr>
          <w:sz w:val="16"/>
          <w:szCs w:val="16"/>
        </w:rPr>
        <w:t>Dz. U. z 202</w:t>
      </w:r>
      <w:r w:rsidR="0093077D">
        <w:rPr>
          <w:sz w:val="16"/>
          <w:szCs w:val="16"/>
        </w:rPr>
        <w:t>3</w:t>
      </w:r>
      <w:r w:rsidR="002C051C" w:rsidRPr="00AF1921">
        <w:rPr>
          <w:sz w:val="16"/>
          <w:szCs w:val="16"/>
        </w:rPr>
        <w:t xml:space="preserve"> r. poz.</w:t>
      </w:r>
      <w:r w:rsidR="0093077D">
        <w:rPr>
          <w:sz w:val="16"/>
          <w:szCs w:val="16"/>
        </w:rPr>
        <w:t xml:space="preserve"> 120 z </w:t>
      </w:r>
      <w:proofErr w:type="spellStart"/>
      <w:r w:rsidR="0093077D">
        <w:rPr>
          <w:sz w:val="16"/>
          <w:szCs w:val="16"/>
        </w:rPr>
        <w:t>późn</w:t>
      </w:r>
      <w:proofErr w:type="spellEnd"/>
      <w:r w:rsidR="0093077D">
        <w:rPr>
          <w:sz w:val="16"/>
          <w:szCs w:val="16"/>
        </w:rPr>
        <w:t>. zm.</w:t>
      </w:r>
      <w:r w:rsidR="002C051C" w:rsidRPr="00AF1921">
        <w:rPr>
          <w:sz w:val="16"/>
          <w:szCs w:val="16"/>
        </w:rPr>
        <w:t xml:space="preserve"> - </w:t>
      </w:r>
      <w:r w:rsidRPr="00AF1921">
        <w:rPr>
          <w:sz w:val="16"/>
          <w:szCs w:val="16"/>
        </w:rPr>
        <w:t>w zakresie przepisów odnośnie rewizji finansowej</w:t>
      </w:r>
      <w:r w:rsidR="002C051C" w:rsidRPr="00AF1921">
        <w:rPr>
          <w:sz w:val="16"/>
          <w:szCs w:val="16"/>
        </w:rPr>
        <w:t xml:space="preserve"> </w:t>
      </w:r>
    </w:p>
    <w:p w14:paraId="1F13CD41" w14:textId="55B5FB65" w:rsidR="0093077D" w:rsidRDefault="0093077D">
      <w:pPr>
        <w:rPr>
          <w:sz w:val="16"/>
          <w:szCs w:val="16"/>
        </w:rPr>
      </w:pPr>
    </w:p>
    <w:p w14:paraId="417A4827" w14:textId="6FE30FF5" w:rsidR="0093077D" w:rsidRDefault="0093077D">
      <w:pPr>
        <w:rPr>
          <w:sz w:val="16"/>
          <w:szCs w:val="16"/>
        </w:rPr>
      </w:pPr>
      <w:r>
        <w:rPr>
          <w:sz w:val="16"/>
          <w:szCs w:val="16"/>
        </w:rPr>
        <w:t xml:space="preserve">2) </w:t>
      </w:r>
      <w:r w:rsidRPr="0093077D">
        <w:rPr>
          <w:sz w:val="16"/>
          <w:szCs w:val="16"/>
        </w:rPr>
        <w:t>wskazanie jaki problem istnieje</w:t>
      </w:r>
      <w:r>
        <w:rPr>
          <w:sz w:val="16"/>
          <w:szCs w:val="16"/>
        </w:rPr>
        <w:t xml:space="preserve"> obecnie</w:t>
      </w:r>
      <w:r w:rsidRPr="0093077D">
        <w:rPr>
          <w:sz w:val="16"/>
          <w:szCs w:val="16"/>
        </w:rPr>
        <w:t xml:space="preserve"> oraz w jaki sposób </w:t>
      </w:r>
      <w:r>
        <w:rPr>
          <w:sz w:val="16"/>
          <w:szCs w:val="16"/>
        </w:rPr>
        <w:t>zaproponowana zmiana wpłynie na jego rozwiązanie</w:t>
      </w:r>
      <w:r w:rsidRPr="0093077D">
        <w:rPr>
          <w:sz w:val="16"/>
          <w:szCs w:val="16"/>
        </w:rPr>
        <w:t xml:space="preserve"> oraz podanie </w:t>
      </w:r>
      <w:r>
        <w:rPr>
          <w:sz w:val="16"/>
          <w:szCs w:val="16"/>
        </w:rPr>
        <w:t xml:space="preserve">- </w:t>
      </w:r>
      <w:r w:rsidRPr="0093077D">
        <w:rPr>
          <w:sz w:val="16"/>
          <w:szCs w:val="16"/>
        </w:rPr>
        <w:t xml:space="preserve">jeżeli jest to możliwe </w:t>
      </w:r>
      <w:r>
        <w:rPr>
          <w:sz w:val="16"/>
          <w:szCs w:val="16"/>
        </w:rPr>
        <w:t xml:space="preserve">- </w:t>
      </w:r>
      <w:r w:rsidRPr="0093077D">
        <w:rPr>
          <w:sz w:val="16"/>
          <w:szCs w:val="16"/>
        </w:rPr>
        <w:t>danych niezbędnych do</w:t>
      </w:r>
      <w:r>
        <w:rPr>
          <w:sz w:val="16"/>
          <w:szCs w:val="16"/>
        </w:rPr>
        <w:t xml:space="preserve"> szczegółowej analizy oraz</w:t>
      </w:r>
      <w:r w:rsidRPr="0093077D">
        <w:rPr>
          <w:sz w:val="16"/>
          <w:szCs w:val="16"/>
        </w:rPr>
        <w:t xml:space="preserve"> </w:t>
      </w:r>
      <w:r>
        <w:rPr>
          <w:sz w:val="16"/>
          <w:szCs w:val="16"/>
        </w:rPr>
        <w:t>opracowania Oceny Skutków Regulacji, w tym uwzględnienie ewentualnych kosztów jakie zaproponowana zmiana może powodować</w:t>
      </w:r>
    </w:p>
    <w:p w14:paraId="6A990949" w14:textId="77777777" w:rsidR="002C78FD" w:rsidRPr="002C78FD" w:rsidRDefault="002C78FD" w:rsidP="002C78FD"/>
    <w:p w14:paraId="6181F755" w14:textId="77777777" w:rsidR="002C78FD" w:rsidRPr="002C78FD" w:rsidRDefault="002C78FD" w:rsidP="002C78FD"/>
    <w:p w14:paraId="0B968C16" w14:textId="77777777" w:rsidR="002C78FD" w:rsidRPr="002C78FD" w:rsidRDefault="002C78FD" w:rsidP="002C78FD"/>
    <w:p w14:paraId="0515BCB7" w14:textId="77777777" w:rsidR="002C78FD" w:rsidRDefault="002C78FD" w:rsidP="002C78FD">
      <w:pPr>
        <w:rPr>
          <w:sz w:val="16"/>
          <w:szCs w:val="16"/>
        </w:rPr>
      </w:pPr>
    </w:p>
    <w:p w14:paraId="39F3B66B" w14:textId="4184B6BB" w:rsidR="002C78FD" w:rsidRPr="002C78FD" w:rsidRDefault="002C78FD" w:rsidP="002C78FD">
      <w:pPr>
        <w:rPr>
          <w:b/>
          <w:bCs/>
          <w:i/>
          <w:iCs/>
        </w:rPr>
      </w:pPr>
      <w:r w:rsidRPr="002C78FD">
        <w:rPr>
          <w:b/>
          <w:bCs/>
          <w:i/>
          <w:iCs/>
        </w:rPr>
        <w:t>KL/168/53/AZ/2025</w:t>
      </w:r>
    </w:p>
    <w:sectPr w:rsidR="002C78FD" w:rsidRPr="002C78FD" w:rsidSect="005115A9">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88C74" w14:textId="77777777" w:rsidR="00AB1CF2" w:rsidRDefault="00AB1CF2" w:rsidP="005115A9">
      <w:r>
        <w:separator/>
      </w:r>
    </w:p>
  </w:endnote>
  <w:endnote w:type="continuationSeparator" w:id="0">
    <w:p w14:paraId="302723ED" w14:textId="77777777" w:rsidR="00AB1CF2" w:rsidRDefault="00AB1CF2" w:rsidP="00511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72D14" w14:textId="77777777" w:rsidR="00AB1CF2" w:rsidRDefault="00AB1CF2" w:rsidP="005115A9">
      <w:r>
        <w:separator/>
      </w:r>
    </w:p>
  </w:footnote>
  <w:footnote w:type="continuationSeparator" w:id="0">
    <w:p w14:paraId="4313C72A" w14:textId="77777777" w:rsidR="00AB1CF2" w:rsidRDefault="00AB1CF2" w:rsidP="00511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F51D" w14:textId="4D5856A9" w:rsidR="006A2BDF" w:rsidRDefault="006A2BDF" w:rsidP="006A2BDF">
    <w:pPr>
      <w:pStyle w:val="Nagwek"/>
      <w:jc w:val="right"/>
    </w:pPr>
    <w:r>
      <w:t xml:space="preserve">Załącznik do pisma w sprawie przeglądu </w:t>
    </w:r>
    <w:proofErr w:type="spellStart"/>
    <w:r>
      <w:t>uobr</w:t>
    </w:r>
    <w:proofErr w:type="spellEnd"/>
  </w:p>
  <w:p w14:paraId="518744F9" w14:textId="77777777" w:rsidR="006A2BDF" w:rsidRDefault="006A2BD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E6E05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094DA8"/>
    <w:multiLevelType w:val="hybridMultilevel"/>
    <w:tmpl w:val="4D30C0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7AF4748"/>
    <w:multiLevelType w:val="hybridMultilevel"/>
    <w:tmpl w:val="4D30C0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E5F2DF5"/>
    <w:multiLevelType w:val="hybridMultilevel"/>
    <w:tmpl w:val="9E6ABC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DF7786D"/>
    <w:multiLevelType w:val="hybridMultilevel"/>
    <w:tmpl w:val="AD369B9A"/>
    <w:lvl w:ilvl="0" w:tplc="1512B98E">
      <w:start w:val="1"/>
      <w:numFmt w:val="lowerLetter"/>
      <w:lvlText w:val="%1."/>
      <w:lvlJc w:val="left"/>
      <w:pPr>
        <w:ind w:left="1353" w:hanging="360"/>
      </w:pPr>
    </w:lvl>
    <w:lvl w:ilvl="1" w:tplc="5378B67E">
      <w:start w:val="1"/>
      <w:numFmt w:val="bullet"/>
      <w:lvlText w:val=""/>
      <w:lvlJc w:val="left"/>
      <w:pPr>
        <w:ind w:left="2073" w:hanging="360"/>
      </w:pPr>
      <w:rPr>
        <w:rFonts w:ascii="Symbol" w:hAnsi="Symbol" w:hint="default"/>
      </w:r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5" w15:restartNumberingAfterBreak="0">
    <w:nsid w:val="5AD732F1"/>
    <w:multiLevelType w:val="hybridMultilevel"/>
    <w:tmpl w:val="017AE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59871737">
    <w:abstractNumId w:val="2"/>
  </w:num>
  <w:num w:numId="2" w16cid:durableId="99407038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1118011">
    <w:abstractNumId w:val="1"/>
  </w:num>
  <w:num w:numId="4" w16cid:durableId="2105957703">
    <w:abstractNumId w:val="0"/>
  </w:num>
  <w:num w:numId="5" w16cid:durableId="147986031">
    <w:abstractNumId w:val="5"/>
  </w:num>
  <w:num w:numId="6" w16cid:durableId="948512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F39834A-E2C6-45E8-9203-11FD1A5344A7}"/>
  </w:docVars>
  <w:rsids>
    <w:rsidRoot w:val="005115A9"/>
    <w:rsid w:val="0002464C"/>
    <w:rsid w:val="0006331B"/>
    <w:rsid w:val="00065068"/>
    <w:rsid w:val="000C0222"/>
    <w:rsid w:val="001101A1"/>
    <w:rsid w:val="00113B0E"/>
    <w:rsid w:val="001403C7"/>
    <w:rsid w:val="00196929"/>
    <w:rsid w:val="001979F4"/>
    <w:rsid w:val="00254E73"/>
    <w:rsid w:val="002B7DCE"/>
    <w:rsid w:val="002C051C"/>
    <w:rsid w:val="002C71D4"/>
    <w:rsid w:val="002C78FD"/>
    <w:rsid w:val="00306B1B"/>
    <w:rsid w:val="003443DD"/>
    <w:rsid w:val="00377704"/>
    <w:rsid w:val="00387F14"/>
    <w:rsid w:val="00403576"/>
    <w:rsid w:val="004051FD"/>
    <w:rsid w:val="0040679B"/>
    <w:rsid w:val="004504E8"/>
    <w:rsid w:val="004714C0"/>
    <w:rsid w:val="004A2D25"/>
    <w:rsid w:val="004D0489"/>
    <w:rsid w:val="004E5DC7"/>
    <w:rsid w:val="005115A9"/>
    <w:rsid w:val="00520C3F"/>
    <w:rsid w:val="0059420D"/>
    <w:rsid w:val="005B085C"/>
    <w:rsid w:val="005D4D32"/>
    <w:rsid w:val="005D7342"/>
    <w:rsid w:val="005E7B9B"/>
    <w:rsid w:val="00605092"/>
    <w:rsid w:val="00615E01"/>
    <w:rsid w:val="00617F19"/>
    <w:rsid w:val="00633FCB"/>
    <w:rsid w:val="006707D7"/>
    <w:rsid w:val="006A2BDF"/>
    <w:rsid w:val="00754896"/>
    <w:rsid w:val="00791E7F"/>
    <w:rsid w:val="00896C60"/>
    <w:rsid w:val="008C1A2E"/>
    <w:rsid w:val="008F2119"/>
    <w:rsid w:val="0093077D"/>
    <w:rsid w:val="00945168"/>
    <w:rsid w:val="00962338"/>
    <w:rsid w:val="00963786"/>
    <w:rsid w:val="009F6FA1"/>
    <w:rsid w:val="00A91ABF"/>
    <w:rsid w:val="00AB1CF2"/>
    <w:rsid w:val="00AF098A"/>
    <w:rsid w:val="00AF1921"/>
    <w:rsid w:val="00B442B5"/>
    <w:rsid w:val="00B640CD"/>
    <w:rsid w:val="00B70258"/>
    <w:rsid w:val="00B7613A"/>
    <w:rsid w:val="00BB5FBE"/>
    <w:rsid w:val="00C16E21"/>
    <w:rsid w:val="00C5358C"/>
    <w:rsid w:val="00C60E8C"/>
    <w:rsid w:val="00C93BD0"/>
    <w:rsid w:val="00D2158F"/>
    <w:rsid w:val="00D21849"/>
    <w:rsid w:val="00DA11B2"/>
    <w:rsid w:val="00DD788B"/>
    <w:rsid w:val="00E57EF4"/>
    <w:rsid w:val="00F3375C"/>
    <w:rsid w:val="00F5191C"/>
    <w:rsid w:val="00F522E9"/>
    <w:rsid w:val="00F75A28"/>
    <w:rsid w:val="00F91B5D"/>
    <w:rsid w:val="00FD1569"/>
    <w:rsid w:val="00FD37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E62AE5"/>
  <w15:chartTrackingRefBased/>
  <w15:docId w15:val="{4E263A4F-BBC9-4F75-AB30-9C8083FC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15A9"/>
    <w:pPr>
      <w:spacing w:after="0" w:line="240" w:lineRule="auto"/>
    </w:pPr>
    <w:rPr>
      <w:rFonts w:ascii="Cambria" w:eastAsia="Times New Roman" w:hAnsi="Cambria"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uiPriority w:val="99"/>
    <w:rsid w:val="005115A9"/>
    <w:pPr>
      <w:spacing w:line="360" w:lineRule="atLeast"/>
      <w:jc w:val="both"/>
    </w:pPr>
    <w:rPr>
      <w:rFonts w:ascii="Garamond" w:hAnsi="Garamond"/>
      <w:sz w:val="26"/>
      <w:szCs w:val="20"/>
      <w:lang w:eastAsia="pl-PL"/>
    </w:rPr>
  </w:style>
  <w:style w:type="character" w:customStyle="1" w:styleId="Tekstpodstawowy2Znak">
    <w:name w:val="Tekst podstawowy 2 Znak"/>
    <w:basedOn w:val="Domylnaczcionkaakapitu"/>
    <w:link w:val="Tekstpodstawowy2"/>
    <w:uiPriority w:val="99"/>
    <w:rsid w:val="005115A9"/>
    <w:rPr>
      <w:rFonts w:ascii="Garamond" w:eastAsia="Times New Roman" w:hAnsi="Garamond" w:cs="Times New Roman"/>
      <w:sz w:val="26"/>
      <w:szCs w:val="20"/>
      <w:lang w:eastAsia="pl-PL"/>
    </w:rPr>
  </w:style>
  <w:style w:type="paragraph" w:styleId="Nagwek">
    <w:name w:val="header"/>
    <w:basedOn w:val="Normalny"/>
    <w:link w:val="NagwekZnak"/>
    <w:uiPriority w:val="99"/>
    <w:unhideWhenUsed/>
    <w:rsid w:val="006A2BDF"/>
    <w:pPr>
      <w:tabs>
        <w:tab w:val="center" w:pos="4536"/>
        <w:tab w:val="right" w:pos="9072"/>
      </w:tabs>
    </w:pPr>
  </w:style>
  <w:style w:type="character" w:customStyle="1" w:styleId="NagwekZnak">
    <w:name w:val="Nagłówek Znak"/>
    <w:basedOn w:val="Domylnaczcionkaakapitu"/>
    <w:link w:val="Nagwek"/>
    <w:uiPriority w:val="99"/>
    <w:rsid w:val="006A2BDF"/>
    <w:rPr>
      <w:rFonts w:ascii="Cambria" w:eastAsia="Times New Roman" w:hAnsi="Cambria" w:cs="Times New Roman"/>
      <w:sz w:val="24"/>
      <w:szCs w:val="24"/>
    </w:rPr>
  </w:style>
  <w:style w:type="paragraph" w:styleId="Stopka">
    <w:name w:val="footer"/>
    <w:basedOn w:val="Normalny"/>
    <w:link w:val="StopkaZnak"/>
    <w:uiPriority w:val="99"/>
    <w:unhideWhenUsed/>
    <w:rsid w:val="006A2BDF"/>
    <w:pPr>
      <w:tabs>
        <w:tab w:val="center" w:pos="4536"/>
        <w:tab w:val="right" w:pos="9072"/>
      </w:tabs>
    </w:pPr>
  </w:style>
  <w:style w:type="character" w:customStyle="1" w:styleId="StopkaZnak">
    <w:name w:val="Stopka Znak"/>
    <w:basedOn w:val="Domylnaczcionkaakapitu"/>
    <w:link w:val="Stopka"/>
    <w:uiPriority w:val="99"/>
    <w:rsid w:val="006A2BDF"/>
    <w:rPr>
      <w:rFonts w:ascii="Cambria" w:eastAsia="Times New Roman" w:hAnsi="Cambria" w:cs="Times New Roman"/>
      <w:sz w:val="24"/>
      <w:szCs w:val="24"/>
    </w:rPr>
  </w:style>
  <w:style w:type="paragraph" w:styleId="Tekstprzypisudolnego">
    <w:name w:val="footnote text"/>
    <w:basedOn w:val="Normalny"/>
    <w:link w:val="TekstprzypisudolnegoZnak"/>
    <w:uiPriority w:val="99"/>
    <w:semiHidden/>
    <w:unhideWhenUsed/>
    <w:rsid w:val="004A2D25"/>
    <w:rPr>
      <w:sz w:val="20"/>
      <w:szCs w:val="20"/>
    </w:rPr>
  </w:style>
  <w:style w:type="character" w:customStyle="1" w:styleId="TekstprzypisudolnegoZnak">
    <w:name w:val="Tekst przypisu dolnego Znak"/>
    <w:basedOn w:val="Domylnaczcionkaakapitu"/>
    <w:link w:val="Tekstprzypisudolnego"/>
    <w:uiPriority w:val="99"/>
    <w:semiHidden/>
    <w:rsid w:val="004A2D25"/>
    <w:rPr>
      <w:rFonts w:ascii="Cambria" w:eastAsia="Times New Roman" w:hAnsi="Cambria" w:cs="Times New Roman"/>
      <w:sz w:val="20"/>
      <w:szCs w:val="20"/>
    </w:rPr>
  </w:style>
  <w:style w:type="character" w:styleId="Odwoanieprzypisudolnego">
    <w:name w:val="footnote reference"/>
    <w:basedOn w:val="Domylnaczcionkaakapitu"/>
    <w:uiPriority w:val="99"/>
    <w:semiHidden/>
    <w:unhideWhenUsed/>
    <w:rsid w:val="004A2D25"/>
    <w:rPr>
      <w:vertAlign w:val="superscript"/>
    </w:rPr>
  </w:style>
  <w:style w:type="paragraph" w:styleId="Akapitzlist">
    <w:name w:val="List Paragraph"/>
    <w:basedOn w:val="Normalny"/>
    <w:link w:val="AkapitzlistZnak"/>
    <w:uiPriority w:val="34"/>
    <w:qFormat/>
    <w:rsid w:val="005E7B9B"/>
    <w:pPr>
      <w:ind w:left="720"/>
      <w:contextualSpacing/>
    </w:pPr>
    <w:rPr>
      <w:rFonts w:ascii="Times New Roman" w:hAnsi="Times New Roman"/>
      <w:lang w:eastAsia="pl-PL"/>
    </w:rPr>
  </w:style>
  <w:style w:type="character" w:customStyle="1" w:styleId="AkapitzlistZnak">
    <w:name w:val="Akapit z listą Znak"/>
    <w:link w:val="Akapitzlist"/>
    <w:uiPriority w:val="34"/>
    <w:qFormat/>
    <w:locked/>
    <w:rsid w:val="005E7B9B"/>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5B085C"/>
    <w:rPr>
      <w:color w:val="0563C1" w:themeColor="hyperlink"/>
      <w:u w:val="single"/>
    </w:rPr>
  </w:style>
  <w:style w:type="character" w:styleId="Nierozpoznanawzmianka">
    <w:name w:val="Unresolved Mention"/>
    <w:basedOn w:val="Domylnaczcionkaakapitu"/>
    <w:uiPriority w:val="99"/>
    <w:semiHidden/>
    <w:unhideWhenUsed/>
    <w:rsid w:val="005B085C"/>
    <w:rPr>
      <w:color w:val="605E5C"/>
      <w:shd w:val="clear" w:color="auto" w:fill="E1DFDD"/>
    </w:rPr>
  </w:style>
  <w:style w:type="paragraph" w:customStyle="1" w:styleId="Default">
    <w:name w:val="Default"/>
    <w:rsid w:val="00962338"/>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945168"/>
    <w:pPr>
      <w:spacing w:after="0" w:line="240" w:lineRule="auto"/>
    </w:pPr>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ip.lex.pl/" TargetMode="External"/><Relationship Id="rId4" Type="http://schemas.openxmlformats.org/officeDocument/2006/relationships/styles" Target="style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9834A-E2C6-45E8-9203-11FD1A5344A7}">
  <ds:schemaRefs>
    <ds:schemaRef ds:uri="http://www.w3.org/2001/XMLSchema"/>
  </ds:schemaRefs>
</ds:datastoreItem>
</file>

<file path=customXml/itemProps2.xml><?xml version="1.0" encoding="utf-8"?>
<ds:datastoreItem xmlns:ds="http://schemas.openxmlformats.org/officeDocument/2006/customXml" ds:itemID="{C0B4A1CB-A563-4C64-9F29-16379D505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2642</Words>
  <Characters>15856</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Magdalena Widlicka</cp:lastModifiedBy>
  <cp:revision>2</cp:revision>
  <dcterms:created xsi:type="dcterms:W3CDTF">2025-04-24T07:09:00Z</dcterms:created>
  <dcterms:modified xsi:type="dcterms:W3CDTF">2025-04-25T13:44:00Z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UxC4dwLulzfINJ8nQH+xvX5LNGipWa4BRSZhPgxsCvmv1CfSVlp1q8UnRSOWs2A58dbT+Ovu5p1qugbW/cwpFg==</vt:lpwstr>
  </property>
  <property fmtid="{D5CDD505-2E9C-101B-9397-08002B2CF9AE}" pid="4" name="MFClassificationDate">
    <vt:lpwstr>2024-08-29T14:23:22.1409019+02:00</vt:lpwstr>
  </property>
  <property fmtid="{D5CDD505-2E9C-101B-9397-08002B2CF9AE}" pid="5" name="MFClassifiedBySID">
    <vt:lpwstr>UxC4dwLulzfINJ8nQH+xvX5LNGipWa4BRSZhPgxsCvm42mrIC/DSDv0ggS+FjUN/2v1BBotkLlY5aAiEhoi6uXtaRD/dl0WrsPxqo9VvXy0gwFXIxjkn5YLGJEVemThh</vt:lpwstr>
  </property>
  <property fmtid="{D5CDD505-2E9C-101B-9397-08002B2CF9AE}" pid="6" name="MFGRNItemId">
    <vt:lpwstr>GRN-57c11582-4fb3-47e0-acd3-926c3beb16b0</vt:lpwstr>
  </property>
  <property fmtid="{D5CDD505-2E9C-101B-9397-08002B2CF9AE}" pid="7" name="MFHash">
    <vt:lpwstr>njLAyiEaHGVwutNHb34iMdTXZTtFrbYOJcbmSJgy368=</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