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jc w:val="center"/>
        <w:tblLook w:val="04A0" w:firstRow="1" w:lastRow="0" w:firstColumn="1" w:lastColumn="0" w:noHBand="0" w:noVBand="1"/>
      </w:tblPr>
      <w:tblGrid>
        <w:gridCol w:w="594"/>
        <w:gridCol w:w="2101"/>
        <w:gridCol w:w="2832"/>
        <w:gridCol w:w="8467"/>
      </w:tblGrid>
      <w:tr w:rsidR="00C63F1E" w:rsidRPr="00FF4480" w14:paraId="02B5E174" w14:textId="77777777" w:rsidTr="00517157">
        <w:trPr>
          <w:trHeight w:val="592"/>
          <w:jc w:val="center"/>
        </w:trPr>
        <w:tc>
          <w:tcPr>
            <w:tcW w:w="13994" w:type="dxa"/>
            <w:gridSpan w:val="4"/>
            <w:vAlign w:val="center"/>
          </w:tcPr>
          <w:p w14:paraId="02188BBF" w14:textId="2CAAEE98" w:rsidR="00C63F1E" w:rsidRDefault="00C63F1E" w:rsidP="004A28E0">
            <w:pPr>
              <w:jc w:val="center"/>
              <w:rPr>
                <w:rFonts w:ascii="Times New Roman" w:hAnsi="Times New Roman" w:cs="Times New Roman"/>
                <w:b/>
                <w:bCs/>
                <w:sz w:val="20"/>
              </w:rPr>
            </w:pPr>
            <w:r w:rsidRPr="00FF4480">
              <w:rPr>
                <w:rFonts w:ascii="Times New Roman" w:hAnsi="Times New Roman" w:cs="Times New Roman"/>
                <w:b/>
                <w:sz w:val="28"/>
                <w:lang w:eastAsia="pl-PL"/>
              </w:rPr>
              <w:t xml:space="preserve">Uwagi do </w:t>
            </w:r>
            <w:r w:rsidRPr="00192CB8">
              <w:rPr>
                <w:rFonts w:ascii="Times New Roman" w:hAnsi="Times New Roman" w:cs="Times New Roman"/>
                <w:b/>
                <w:sz w:val="28"/>
                <w:lang w:eastAsia="pl-PL"/>
              </w:rPr>
              <w:t>projektu</w:t>
            </w:r>
            <w:r w:rsidR="003A384F" w:rsidRPr="00192CB8">
              <w:rPr>
                <w:rFonts w:ascii="Times New Roman" w:hAnsi="Times New Roman" w:cs="Times New Roman"/>
                <w:b/>
                <w:sz w:val="28"/>
                <w:lang w:eastAsia="pl-PL"/>
              </w:rPr>
              <w:t xml:space="preserve"> ustawy </w:t>
            </w:r>
            <w:r w:rsidR="006833D2" w:rsidRPr="00192CB8">
              <w:rPr>
                <w:rFonts w:ascii="Times New Roman" w:hAnsi="Times New Roman" w:cs="Times New Roman"/>
                <w:b/>
                <w:sz w:val="28"/>
                <w:lang w:eastAsia="pl-PL"/>
              </w:rPr>
              <w:t>o kredycie konsumenckim (UC82)</w:t>
            </w:r>
          </w:p>
        </w:tc>
      </w:tr>
      <w:tr w:rsidR="004A28E0" w:rsidRPr="00FF4480" w14:paraId="31DC44CD" w14:textId="77777777" w:rsidTr="00517157">
        <w:trPr>
          <w:trHeight w:val="592"/>
          <w:jc w:val="center"/>
        </w:trPr>
        <w:tc>
          <w:tcPr>
            <w:tcW w:w="594" w:type="dxa"/>
            <w:vAlign w:val="center"/>
          </w:tcPr>
          <w:p w14:paraId="1696D90F" w14:textId="77777777" w:rsidR="004A28E0" w:rsidRPr="00FF4480" w:rsidRDefault="004A28E0" w:rsidP="004A28E0">
            <w:pPr>
              <w:jc w:val="center"/>
              <w:rPr>
                <w:rFonts w:ascii="Times New Roman" w:hAnsi="Times New Roman" w:cs="Times New Roman"/>
                <w:sz w:val="20"/>
              </w:rPr>
            </w:pPr>
            <w:r w:rsidRPr="00FF4480">
              <w:rPr>
                <w:rFonts w:ascii="Times New Roman" w:hAnsi="Times New Roman" w:cs="Times New Roman"/>
                <w:b/>
                <w:sz w:val="20"/>
              </w:rPr>
              <w:t>Lp</w:t>
            </w:r>
            <w:r w:rsidRPr="00FF4480">
              <w:rPr>
                <w:rFonts w:ascii="Times New Roman" w:hAnsi="Times New Roman" w:cs="Times New Roman"/>
                <w:sz w:val="20"/>
              </w:rPr>
              <w:t>.</w:t>
            </w:r>
          </w:p>
        </w:tc>
        <w:tc>
          <w:tcPr>
            <w:tcW w:w="2101" w:type="dxa"/>
            <w:vAlign w:val="center"/>
          </w:tcPr>
          <w:p w14:paraId="3411CFF6" w14:textId="77777777" w:rsidR="006C42B2" w:rsidRDefault="004A28E0" w:rsidP="00141978">
            <w:pPr>
              <w:spacing w:after="60"/>
              <w:jc w:val="center"/>
              <w:rPr>
                <w:rFonts w:ascii="Times New Roman" w:hAnsi="Times New Roman" w:cs="Times New Roman"/>
                <w:b/>
                <w:bCs/>
                <w:sz w:val="20"/>
              </w:rPr>
            </w:pPr>
            <w:r w:rsidRPr="00FF4480">
              <w:rPr>
                <w:rFonts w:ascii="Times New Roman" w:hAnsi="Times New Roman" w:cs="Times New Roman"/>
                <w:b/>
                <w:bCs/>
                <w:sz w:val="20"/>
              </w:rPr>
              <w:t>Jednostka redakcyjna, której uwaga dotyczy</w:t>
            </w:r>
            <w:r w:rsidR="006C42B2">
              <w:rPr>
                <w:rFonts w:ascii="Times New Roman" w:hAnsi="Times New Roman" w:cs="Times New Roman"/>
                <w:b/>
                <w:bCs/>
                <w:sz w:val="20"/>
              </w:rPr>
              <w:t xml:space="preserve">/ </w:t>
            </w:r>
          </w:p>
          <w:p w14:paraId="2A63D3E6" w14:textId="77777777" w:rsidR="004A28E0" w:rsidRDefault="006C42B2" w:rsidP="00141978">
            <w:pPr>
              <w:spacing w:after="60"/>
              <w:jc w:val="center"/>
              <w:rPr>
                <w:rFonts w:ascii="Times New Roman" w:hAnsi="Times New Roman" w:cs="Times New Roman"/>
                <w:b/>
                <w:bCs/>
                <w:sz w:val="20"/>
              </w:rPr>
            </w:pPr>
            <w:r>
              <w:rPr>
                <w:rFonts w:ascii="Times New Roman" w:hAnsi="Times New Roman" w:cs="Times New Roman"/>
                <w:b/>
                <w:bCs/>
                <w:sz w:val="20"/>
              </w:rPr>
              <w:t>pkt Uzasadnienia/</w:t>
            </w:r>
          </w:p>
          <w:p w14:paraId="52C4E36A" w14:textId="77777777" w:rsidR="006C42B2" w:rsidRPr="00FF4480" w:rsidRDefault="006C42B2" w:rsidP="00141978">
            <w:pPr>
              <w:spacing w:after="60"/>
              <w:jc w:val="center"/>
              <w:rPr>
                <w:rFonts w:ascii="Times New Roman" w:hAnsi="Times New Roman" w:cs="Times New Roman"/>
                <w:b/>
                <w:bCs/>
                <w:sz w:val="20"/>
              </w:rPr>
            </w:pPr>
            <w:r>
              <w:rPr>
                <w:rFonts w:ascii="Times New Roman" w:hAnsi="Times New Roman" w:cs="Times New Roman"/>
                <w:b/>
                <w:bCs/>
                <w:sz w:val="20"/>
              </w:rPr>
              <w:t>pkt OSR</w:t>
            </w:r>
          </w:p>
        </w:tc>
        <w:tc>
          <w:tcPr>
            <w:tcW w:w="2832" w:type="dxa"/>
            <w:vAlign w:val="center"/>
          </w:tcPr>
          <w:p w14:paraId="66553093" w14:textId="77777777" w:rsidR="004A28E0" w:rsidRPr="00FF4480" w:rsidRDefault="004A28E0" w:rsidP="004A28E0">
            <w:pPr>
              <w:jc w:val="center"/>
              <w:rPr>
                <w:rFonts w:ascii="Times New Roman" w:hAnsi="Times New Roman" w:cs="Times New Roman"/>
                <w:sz w:val="20"/>
              </w:rPr>
            </w:pPr>
            <w:r w:rsidRPr="00FF4480">
              <w:rPr>
                <w:rFonts w:ascii="Times New Roman" w:hAnsi="Times New Roman" w:cs="Times New Roman"/>
                <w:b/>
                <w:bCs/>
                <w:sz w:val="20"/>
              </w:rPr>
              <w:t>Podmiot zgłaszający</w:t>
            </w:r>
          </w:p>
        </w:tc>
        <w:tc>
          <w:tcPr>
            <w:tcW w:w="8467" w:type="dxa"/>
            <w:vAlign w:val="center"/>
          </w:tcPr>
          <w:p w14:paraId="6D3553C9" w14:textId="77777777" w:rsidR="004A28E0" w:rsidRPr="00FF4480" w:rsidRDefault="00141978" w:rsidP="004A28E0">
            <w:pPr>
              <w:jc w:val="center"/>
              <w:rPr>
                <w:rFonts w:ascii="Times New Roman" w:hAnsi="Times New Roman" w:cs="Times New Roman"/>
                <w:sz w:val="20"/>
              </w:rPr>
            </w:pPr>
            <w:r>
              <w:rPr>
                <w:rFonts w:ascii="Times New Roman" w:hAnsi="Times New Roman" w:cs="Times New Roman"/>
                <w:b/>
                <w:bCs/>
                <w:sz w:val="20"/>
              </w:rPr>
              <w:t>U</w:t>
            </w:r>
            <w:r w:rsidR="004A28E0" w:rsidRPr="00FF4480">
              <w:rPr>
                <w:rFonts w:ascii="Times New Roman" w:hAnsi="Times New Roman" w:cs="Times New Roman"/>
                <w:b/>
                <w:bCs/>
                <w:sz w:val="20"/>
              </w:rPr>
              <w:t>waga</w:t>
            </w:r>
            <w:r>
              <w:rPr>
                <w:rFonts w:ascii="Times New Roman" w:hAnsi="Times New Roman" w:cs="Times New Roman"/>
                <w:b/>
                <w:bCs/>
                <w:sz w:val="20"/>
              </w:rPr>
              <w:t>/ Propozycja zmian zapisu</w:t>
            </w:r>
          </w:p>
        </w:tc>
      </w:tr>
      <w:tr w:rsidR="004A28E0" w:rsidRPr="00FF4480" w14:paraId="1E04BC6D" w14:textId="77777777" w:rsidTr="00517157">
        <w:trPr>
          <w:jc w:val="center"/>
        </w:trPr>
        <w:tc>
          <w:tcPr>
            <w:tcW w:w="594" w:type="dxa"/>
          </w:tcPr>
          <w:p w14:paraId="6A482CD5" w14:textId="77777777" w:rsidR="004A28E0" w:rsidRPr="00FF4480" w:rsidRDefault="004A28E0"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6DECE8B4" w14:textId="705B922A" w:rsidR="004A28E0" w:rsidRPr="00FF4480" w:rsidRDefault="00E200A5" w:rsidP="00E200A5">
            <w:pPr>
              <w:rPr>
                <w:rFonts w:ascii="Times New Roman" w:hAnsi="Times New Roman" w:cs="Times New Roman"/>
                <w:sz w:val="20"/>
              </w:rPr>
            </w:pPr>
            <w:r>
              <w:rPr>
                <w:rFonts w:ascii="Times New Roman" w:hAnsi="Times New Roman" w:cs="Times New Roman"/>
                <w:sz w:val="20"/>
              </w:rPr>
              <w:t>Uwaga wstępna</w:t>
            </w:r>
          </w:p>
        </w:tc>
        <w:tc>
          <w:tcPr>
            <w:tcW w:w="2832" w:type="dxa"/>
            <w:vAlign w:val="center"/>
          </w:tcPr>
          <w:p w14:paraId="34A82EDD" w14:textId="75180449" w:rsidR="004A28E0" w:rsidRPr="00FF4480" w:rsidRDefault="00E200A5" w:rsidP="00E200A5">
            <w:pPr>
              <w:jc w:val="center"/>
              <w:rPr>
                <w:rFonts w:ascii="Times New Roman" w:hAnsi="Times New Roman" w:cs="Times New Roman"/>
                <w:sz w:val="20"/>
              </w:rPr>
            </w:pPr>
            <w:r>
              <w:rPr>
                <w:rFonts w:ascii="Times New Roman" w:hAnsi="Times New Roman" w:cs="Times New Roman"/>
                <w:sz w:val="20"/>
              </w:rPr>
              <w:t>Konfederacja Lewiatan</w:t>
            </w:r>
          </w:p>
        </w:tc>
        <w:tc>
          <w:tcPr>
            <w:tcW w:w="8467" w:type="dxa"/>
            <w:vAlign w:val="center"/>
          </w:tcPr>
          <w:p w14:paraId="331A964C" w14:textId="73511975" w:rsidR="004A28E0" w:rsidRPr="00FF4480" w:rsidRDefault="005A36AF" w:rsidP="004A28E0">
            <w:pPr>
              <w:jc w:val="both"/>
              <w:rPr>
                <w:rFonts w:ascii="Times New Roman" w:hAnsi="Times New Roman" w:cs="Times New Roman"/>
                <w:sz w:val="20"/>
              </w:rPr>
            </w:pPr>
            <w:r w:rsidRPr="005A36AF">
              <w:rPr>
                <w:rFonts w:ascii="Times New Roman" w:hAnsi="Times New Roman" w:cs="Times New Roman"/>
                <w:sz w:val="20"/>
              </w:rPr>
              <w:t>Zwracamy uwagę na konieczność precyzji używanych sformułowań w projekcie, jak również na właściwą implementację prawa UE. Brak wskazanej precyzji oraz odstępstwa od prawidłowej implementacji są uwagami przenikającymi znaczną część projektu.</w:t>
            </w:r>
            <w:r w:rsidR="00D44D91">
              <w:rPr>
                <w:rFonts w:ascii="Times New Roman" w:hAnsi="Times New Roman" w:cs="Times New Roman"/>
                <w:sz w:val="20"/>
              </w:rPr>
              <w:t xml:space="preserve"> Ponadto, szereg rozwiązań przewidzianych w projekcie wprost i w sposób wyjątkowo zauważalny uderza w zjawiska</w:t>
            </w:r>
            <w:r w:rsidR="00647814">
              <w:rPr>
                <w:rFonts w:ascii="Times New Roman" w:hAnsi="Times New Roman" w:cs="Times New Roman"/>
                <w:sz w:val="20"/>
              </w:rPr>
              <w:t>/procesy</w:t>
            </w:r>
            <w:r w:rsidR="00D44D91">
              <w:rPr>
                <w:rFonts w:ascii="Times New Roman" w:hAnsi="Times New Roman" w:cs="Times New Roman"/>
                <w:sz w:val="20"/>
              </w:rPr>
              <w:t xml:space="preserve"> które są przedmiotem tak debaty publicznej, jak i działań </w:t>
            </w:r>
            <w:r w:rsidR="00647814">
              <w:rPr>
                <w:rFonts w:ascii="Times New Roman" w:hAnsi="Times New Roman" w:cs="Times New Roman"/>
                <w:sz w:val="20"/>
              </w:rPr>
              <w:t>administracji krajowej</w:t>
            </w:r>
            <w:r w:rsidR="00D44D91">
              <w:rPr>
                <w:rFonts w:ascii="Times New Roman" w:hAnsi="Times New Roman" w:cs="Times New Roman"/>
                <w:sz w:val="20"/>
              </w:rPr>
              <w:t xml:space="preserve"> czy UE: niektóre rozwiązania mają charakter nadregulacyjny (wobec dyskusji o deregulacji</w:t>
            </w:r>
            <w:r w:rsidR="0081139F">
              <w:rPr>
                <w:rFonts w:ascii="Times New Roman" w:hAnsi="Times New Roman" w:cs="Times New Roman"/>
                <w:sz w:val="20"/>
              </w:rPr>
              <w:t xml:space="preserve"> i walki z tzw. </w:t>
            </w:r>
            <w:r w:rsidR="0081139F" w:rsidRPr="0081139F">
              <w:rPr>
                <w:rFonts w:ascii="Times New Roman" w:hAnsi="Times New Roman" w:cs="Times New Roman"/>
                <w:i/>
                <w:iCs/>
                <w:sz w:val="20"/>
              </w:rPr>
              <w:t>gold-plating</w:t>
            </w:r>
            <w:r w:rsidR="00D44D91">
              <w:rPr>
                <w:rFonts w:ascii="Times New Roman" w:hAnsi="Times New Roman" w:cs="Times New Roman"/>
                <w:sz w:val="20"/>
              </w:rPr>
              <w:t>)</w:t>
            </w:r>
            <w:r w:rsidR="0081139F">
              <w:rPr>
                <w:rFonts w:ascii="Times New Roman" w:hAnsi="Times New Roman" w:cs="Times New Roman"/>
                <w:sz w:val="20"/>
              </w:rPr>
              <w:t xml:space="preserve"> i uderzają w konkurencyjność sektora. </w:t>
            </w:r>
            <w:r w:rsidR="000A478D">
              <w:rPr>
                <w:rFonts w:ascii="Times New Roman" w:hAnsi="Times New Roman" w:cs="Times New Roman"/>
                <w:sz w:val="20"/>
              </w:rPr>
              <w:t xml:space="preserve">Innym problemem jest dylemat co do doboru właściwej metody transpozycji regulacji UE. </w:t>
            </w:r>
            <w:r w:rsidR="0081139F">
              <w:rPr>
                <w:rFonts w:ascii="Times New Roman" w:hAnsi="Times New Roman" w:cs="Times New Roman"/>
                <w:sz w:val="20"/>
              </w:rPr>
              <w:t xml:space="preserve">Uzasadnienie znacznej części rozwiązań albo nie występuje albo nie jest oparte o merytoryczny wywód (brak diagnozy i jej dowiedzenia, brak analizy rozwiązania o charakterze alternatywnym). </w:t>
            </w:r>
            <w:r w:rsidR="00647814">
              <w:rPr>
                <w:rFonts w:ascii="Times New Roman" w:hAnsi="Times New Roman" w:cs="Times New Roman"/>
                <w:sz w:val="20"/>
              </w:rPr>
              <w:t>Ocena Skutków Regulacji jest wybrakowana i pozbawiona ekonomicznej analizy prawa.</w:t>
            </w:r>
          </w:p>
        </w:tc>
      </w:tr>
      <w:tr w:rsidR="004A28E0" w:rsidRPr="00FF4480" w14:paraId="69C15840" w14:textId="77777777" w:rsidTr="00517157">
        <w:trPr>
          <w:jc w:val="center"/>
        </w:trPr>
        <w:tc>
          <w:tcPr>
            <w:tcW w:w="594" w:type="dxa"/>
          </w:tcPr>
          <w:p w14:paraId="36BD5AC5" w14:textId="77777777" w:rsidR="004A28E0" w:rsidRPr="00FF4480" w:rsidRDefault="004A28E0"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195001C0" w14:textId="2D496E44" w:rsidR="004A28E0" w:rsidRPr="00FF4480" w:rsidRDefault="00E200A5" w:rsidP="004A28E0">
            <w:pPr>
              <w:jc w:val="both"/>
              <w:rPr>
                <w:rFonts w:ascii="Times New Roman" w:hAnsi="Times New Roman" w:cs="Times New Roman"/>
                <w:sz w:val="20"/>
              </w:rPr>
            </w:pPr>
            <w:r>
              <w:rPr>
                <w:rFonts w:ascii="Times New Roman" w:hAnsi="Times New Roman" w:cs="Times New Roman"/>
                <w:sz w:val="20"/>
              </w:rPr>
              <w:t xml:space="preserve">Uwaga wstępna </w:t>
            </w:r>
          </w:p>
        </w:tc>
        <w:tc>
          <w:tcPr>
            <w:tcW w:w="2832" w:type="dxa"/>
            <w:vAlign w:val="center"/>
          </w:tcPr>
          <w:p w14:paraId="2D5FCF7C" w14:textId="059920E8" w:rsidR="004A28E0"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4FA78C61" w14:textId="0D921EF9" w:rsidR="004A28E0" w:rsidRPr="00FF4480" w:rsidRDefault="005A36AF" w:rsidP="004A28E0">
            <w:pPr>
              <w:jc w:val="both"/>
              <w:rPr>
                <w:rFonts w:ascii="Times New Roman" w:hAnsi="Times New Roman" w:cs="Times New Roman"/>
                <w:sz w:val="20"/>
              </w:rPr>
            </w:pPr>
            <w:r w:rsidRPr="005A36AF">
              <w:rPr>
                <w:rFonts w:ascii="Times New Roman" w:hAnsi="Times New Roman" w:cs="Times New Roman"/>
                <w:sz w:val="20"/>
              </w:rPr>
              <w:t>Ze względu na szczególną wagę projektu dla rynku finansowego, ochrony konsumenta</w:t>
            </w:r>
            <w:r>
              <w:rPr>
                <w:rFonts w:ascii="Times New Roman" w:hAnsi="Times New Roman" w:cs="Times New Roman"/>
                <w:sz w:val="20"/>
              </w:rPr>
              <w:t xml:space="preserve"> i stabilności makroekonomicznej, </w:t>
            </w:r>
            <w:r w:rsidRPr="005A36AF">
              <w:rPr>
                <w:rFonts w:ascii="Times New Roman" w:hAnsi="Times New Roman" w:cs="Times New Roman"/>
                <w:sz w:val="20"/>
              </w:rPr>
              <w:t xml:space="preserve">zwracamy uwagę na szczególną potrzebę koordynacji przez UOKiK (podmiot prowadzący projekt ustawy) procesu legislacyjnego, w tym konsultacji merytorycznych z właściwymi ministerstwami i urzędami, jak również stroną społeczną. Koordynacja ta jest niezbędna dla właściwej implementacji regulacji. Wnosimy o przeprowadzenie konferencji uzgodnieniowej po zakończonym okresie konsultacji, a także o publikację pełnego, zawierającego odniesienie się do uwag wraz z uzasadnieniem raportu z konsultacji pisemnych.  </w:t>
            </w:r>
          </w:p>
        </w:tc>
      </w:tr>
      <w:tr w:rsidR="004A28E0" w:rsidRPr="00FF4480" w14:paraId="2965DB16" w14:textId="77777777" w:rsidTr="00517157">
        <w:trPr>
          <w:jc w:val="center"/>
        </w:trPr>
        <w:tc>
          <w:tcPr>
            <w:tcW w:w="594" w:type="dxa"/>
          </w:tcPr>
          <w:p w14:paraId="3963887C" w14:textId="77777777" w:rsidR="004A28E0" w:rsidRPr="00FF4480" w:rsidRDefault="004A28E0"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3A77D2D7" w14:textId="16F0EB98" w:rsidR="004A28E0" w:rsidRPr="00FF4480" w:rsidRDefault="003802D2" w:rsidP="004A28E0">
            <w:pPr>
              <w:jc w:val="both"/>
              <w:rPr>
                <w:rFonts w:ascii="Times New Roman" w:hAnsi="Times New Roman" w:cs="Times New Roman"/>
                <w:sz w:val="20"/>
              </w:rPr>
            </w:pPr>
            <w:r>
              <w:rPr>
                <w:rFonts w:ascii="Times New Roman" w:hAnsi="Times New Roman" w:cs="Times New Roman"/>
                <w:sz w:val="20"/>
              </w:rPr>
              <w:t>Art. 5 pkt 1</w:t>
            </w:r>
          </w:p>
        </w:tc>
        <w:tc>
          <w:tcPr>
            <w:tcW w:w="2832" w:type="dxa"/>
            <w:vAlign w:val="center"/>
          </w:tcPr>
          <w:p w14:paraId="21E05B1F" w14:textId="398EB651" w:rsidR="004A28E0"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7FBFCEDD" w14:textId="49C27337" w:rsidR="00471031" w:rsidRPr="00733E51" w:rsidRDefault="00471031" w:rsidP="004A28E0">
            <w:pPr>
              <w:jc w:val="both"/>
              <w:rPr>
                <w:rFonts w:ascii="Times New Roman" w:hAnsi="Times New Roman" w:cs="Times New Roman"/>
                <w:sz w:val="20"/>
              </w:rPr>
            </w:pPr>
            <w:r w:rsidRPr="00733E51">
              <w:rPr>
                <w:rFonts w:ascii="Times New Roman" w:hAnsi="Times New Roman" w:cs="Times New Roman"/>
                <w:sz w:val="20"/>
              </w:rPr>
              <w:t>W dyrektywie</w:t>
            </w:r>
            <w:r w:rsidR="008853DB" w:rsidRPr="00733E51">
              <w:rPr>
                <w:rFonts w:ascii="Times New Roman" w:hAnsi="Times New Roman" w:cs="Times New Roman"/>
                <w:sz w:val="20"/>
              </w:rPr>
              <w:t xml:space="preserve"> 2023/2225 </w:t>
            </w:r>
            <w:r w:rsidRPr="00733E51">
              <w:rPr>
                <w:rFonts w:ascii="Times New Roman" w:hAnsi="Times New Roman" w:cs="Times New Roman"/>
                <w:sz w:val="20"/>
              </w:rPr>
              <w:t xml:space="preserve">nie ma definicji baz danych (art. 5 pkt 1 projektu nie obejmuje również tabela zgodności). W Polsce takie bazy prowadzą nie tylko BIK oraz BIG-i, ale także inne podmioty, ujęte w dotychczas w ustawie o kredycie konsumenckim (art. 9a ust. 2) jako ,,zaufani dostawcy”. W związku z tym proponujemy wykorzystanie dotychczasowej praktyki i ujęcie także baz prowadzonych przez te podmioty, w szczególności z uwagi na walory informacyjne zawarte w takich bazach. W przeciwnym wypadku wnosimy o uzasadnienie (w tym ilościowe np.: skala problemu lub ryzyka) rezygnacji z tej kategorii. </w:t>
            </w:r>
          </w:p>
          <w:p w14:paraId="6AAA97B2" w14:textId="77777777" w:rsidR="00471031" w:rsidRPr="00733E51" w:rsidRDefault="00471031" w:rsidP="004A28E0">
            <w:pPr>
              <w:jc w:val="both"/>
              <w:rPr>
                <w:rFonts w:ascii="Times New Roman" w:hAnsi="Times New Roman" w:cs="Times New Roman"/>
                <w:sz w:val="20"/>
              </w:rPr>
            </w:pPr>
          </w:p>
          <w:p w14:paraId="37148602" w14:textId="2AF1C8E2" w:rsidR="004A28E0" w:rsidRPr="00733E51" w:rsidRDefault="00581A2C" w:rsidP="00471031">
            <w:pPr>
              <w:jc w:val="both"/>
              <w:rPr>
                <w:rFonts w:ascii="Times New Roman" w:hAnsi="Times New Roman" w:cs="Times New Roman"/>
                <w:sz w:val="20"/>
              </w:rPr>
            </w:pPr>
            <w:r w:rsidRPr="00733E51">
              <w:rPr>
                <w:rFonts w:ascii="Times New Roman" w:hAnsi="Times New Roman" w:cs="Times New Roman"/>
                <w:sz w:val="20"/>
              </w:rPr>
              <w:t xml:space="preserve">W związku z powyższym rekomendowane jest dodanie </w:t>
            </w:r>
            <w:proofErr w:type="gramStart"/>
            <w:r w:rsidRPr="00733E51">
              <w:rPr>
                <w:rFonts w:ascii="Times New Roman" w:hAnsi="Times New Roman" w:cs="Times New Roman"/>
                <w:sz w:val="20"/>
              </w:rPr>
              <w:t>w  projektowanym</w:t>
            </w:r>
            <w:proofErr w:type="gramEnd"/>
            <w:r w:rsidRPr="00733E51">
              <w:rPr>
                <w:rFonts w:ascii="Times New Roman" w:hAnsi="Times New Roman" w:cs="Times New Roman"/>
                <w:sz w:val="20"/>
              </w:rPr>
              <w:t xml:space="preserve"> art. 5 ust. 1 sformułowania „lub przez innych zaufanych dostawców”. </w:t>
            </w:r>
          </w:p>
        </w:tc>
      </w:tr>
      <w:tr w:rsidR="004A28E0" w:rsidRPr="00FF4480" w14:paraId="5F0DD7F9" w14:textId="77777777" w:rsidTr="00517157">
        <w:trPr>
          <w:jc w:val="center"/>
        </w:trPr>
        <w:tc>
          <w:tcPr>
            <w:tcW w:w="594" w:type="dxa"/>
          </w:tcPr>
          <w:p w14:paraId="4392A519" w14:textId="77777777" w:rsidR="004A28E0" w:rsidRPr="00FF4480" w:rsidRDefault="004A28E0"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6BD47C35" w14:textId="73961652" w:rsidR="004A28E0" w:rsidRPr="00FF4480" w:rsidRDefault="00471031" w:rsidP="004A28E0">
            <w:pPr>
              <w:jc w:val="both"/>
              <w:rPr>
                <w:rFonts w:ascii="Times New Roman" w:hAnsi="Times New Roman" w:cs="Times New Roman"/>
                <w:sz w:val="20"/>
              </w:rPr>
            </w:pPr>
            <w:r>
              <w:rPr>
                <w:rFonts w:ascii="Times New Roman" w:hAnsi="Times New Roman" w:cs="Times New Roman"/>
                <w:sz w:val="20"/>
              </w:rPr>
              <w:t xml:space="preserve">Art. 5 pkt 10 </w:t>
            </w:r>
          </w:p>
        </w:tc>
        <w:tc>
          <w:tcPr>
            <w:tcW w:w="2832" w:type="dxa"/>
            <w:vAlign w:val="center"/>
          </w:tcPr>
          <w:p w14:paraId="51ADEC12" w14:textId="19B193EB" w:rsidR="004A28E0"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18466142" w14:textId="059F1808" w:rsidR="004A28E0" w:rsidRPr="00FF4480" w:rsidRDefault="008853DB" w:rsidP="004A28E0">
            <w:pPr>
              <w:jc w:val="both"/>
              <w:rPr>
                <w:rFonts w:ascii="Times New Roman" w:hAnsi="Times New Roman" w:cs="Times New Roman"/>
                <w:sz w:val="20"/>
              </w:rPr>
            </w:pPr>
            <w:r>
              <w:rPr>
                <w:rFonts w:ascii="Times New Roman" w:hAnsi="Times New Roman" w:cs="Times New Roman"/>
                <w:sz w:val="20"/>
              </w:rPr>
              <w:t xml:space="preserve">Dyrektywa </w:t>
            </w:r>
            <w:r w:rsidRPr="008853DB">
              <w:rPr>
                <w:rFonts w:ascii="Times New Roman" w:hAnsi="Times New Roman" w:cs="Times New Roman"/>
                <w:sz w:val="20"/>
              </w:rPr>
              <w:t>2023/2225</w:t>
            </w:r>
            <w:r>
              <w:rPr>
                <w:rFonts w:ascii="Times New Roman" w:hAnsi="Times New Roman" w:cs="Times New Roman"/>
                <w:sz w:val="20"/>
              </w:rPr>
              <w:t xml:space="preserve"> nie zawiera takiej definicji (a</w:t>
            </w:r>
            <w:r w:rsidRPr="008853DB">
              <w:rPr>
                <w:rFonts w:ascii="Times New Roman" w:hAnsi="Times New Roman" w:cs="Times New Roman"/>
                <w:sz w:val="20"/>
              </w:rPr>
              <w:t>rt. 5 pkt 10</w:t>
            </w:r>
            <w:r>
              <w:t xml:space="preserve"> </w:t>
            </w:r>
            <w:r w:rsidRPr="008853DB">
              <w:rPr>
                <w:rFonts w:ascii="Times New Roman" w:hAnsi="Times New Roman" w:cs="Times New Roman"/>
                <w:sz w:val="20"/>
              </w:rPr>
              <w:t>projektu nie obejmuje również tabela zgodności).</w:t>
            </w:r>
            <w:r>
              <w:rPr>
                <w:rFonts w:ascii="Times New Roman" w:hAnsi="Times New Roman" w:cs="Times New Roman"/>
                <w:sz w:val="20"/>
              </w:rPr>
              <w:t xml:space="preserve"> Rekomendowane jest jej usunięcie.  </w:t>
            </w:r>
          </w:p>
        </w:tc>
      </w:tr>
      <w:tr w:rsidR="000B346A" w:rsidRPr="00FF4480" w14:paraId="2ACD1D00" w14:textId="77777777" w:rsidTr="00517157">
        <w:trPr>
          <w:jc w:val="center"/>
        </w:trPr>
        <w:tc>
          <w:tcPr>
            <w:tcW w:w="594" w:type="dxa"/>
          </w:tcPr>
          <w:p w14:paraId="312351BC" w14:textId="77777777" w:rsidR="000B346A" w:rsidRPr="00FF4480" w:rsidRDefault="000B346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330370D0" w14:textId="3BB67BC7" w:rsidR="000B346A" w:rsidRPr="00FF4480" w:rsidRDefault="008853DB" w:rsidP="004A28E0">
            <w:pPr>
              <w:jc w:val="both"/>
              <w:rPr>
                <w:rFonts w:ascii="Times New Roman" w:hAnsi="Times New Roman" w:cs="Times New Roman"/>
                <w:sz w:val="20"/>
              </w:rPr>
            </w:pPr>
            <w:r>
              <w:rPr>
                <w:rFonts w:ascii="Times New Roman" w:hAnsi="Times New Roman" w:cs="Times New Roman"/>
                <w:sz w:val="20"/>
              </w:rPr>
              <w:t xml:space="preserve">Art. 5 pkt 20 </w:t>
            </w:r>
          </w:p>
        </w:tc>
        <w:tc>
          <w:tcPr>
            <w:tcW w:w="2832" w:type="dxa"/>
            <w:vAlign w:val="center"/>
          </w:tcPr>
          <w:p w14:paraId="260BBB66" w14:textId="74392210" w:rsidR="000B346A"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2B20F7BF" w14:textId="172CB9DB" w:rsidR="000B346A" w:rsidRPr="00FF4480" w:rsidRDefault="008853DB" w:rsidP="004A28E0">
            <w:pPr>
              <w:jc w:val="both"/>
              <w:rPr>
                <w:rFonts w:ascii="Times New Roman" w:hAnsi="Times New Roman" w:cs="Times New Roman"/>
                <w:sz w:val="20"/>
              </w:rPr>
            </w:pPr>
            <w:r>
              <w:rPr>
                <w:rFonts w:ascii="Times New Roman" w:hAnsi="Times New Roman" w:cs="Times New Roman"/>
                <w:sz w:val="20"/>
              </w:rPr>
              <w:t>W</w:t>
            </w:r>
            <w:r w:rsidRPr="008853DB">
              <w:rPr>
                <w:rFonts w:ascii="Times New Roman" w:hAnsi="Times New Roman" w:cs="Times New Roman"/>
                <w:sz w:val="20"/>
              </w:rPr>
              <w:t xml:space="preserve"> definicji </w:t>
            </w:r>
            <w:r>
              <w:rPr>
                <w:rFonts w:ascii="Times New Roman" w:hAnsi="Times New Roman" w:cs="Times New Roman"/>
                <w:sz w:val="20"/>
              </w:rPr>
              <w:t>,,</w:t>
            </w:r>
            <w:r w:rsidRPr="008853DB">
              <w:rPr>
                <w:rFonts w:ascii="Times New Roman" w:hAnsi="Times New Roman" w:cs="Times New Roman"/>
                <w:sz w:val="20"/>
              </w:rPr>
              <w:t xml:space="preserve">sprzedaży wiązanej” przeniesiono sformułowanie </w:t>
            </w:r>
            <w:r>
              <w:rPr>
                <w:rFonts w:ascii="Times New Roman" w:hAnsi="Times New Roman" w:cs="Times New Roman"/>
                <w:sz w:val="20"/>
              </w:rPr>
              <w:t>,,</w:t>
            </w:r>
            <w:r w:rsidRPr="008853DB">
              <w:rPr>
                <w:rFonts w:ascii="Times New Roman" w:hAnsi="Times New Roman" w:cs="Times New Roman"/>
                <w:sz w:val="20"/>
              </w:rPr>
              <w:t>w pakiecie” występujące też w dyrektywie</w:t>
            </w:r>
            <w:r>
              <w:rPr>
                <w:rFonts w:ascii="Times New Roman" w:hAnsi="Times New Roman" w:cs="Times New Roman"/>
                <w:sz w:val="20"/>
              </w:rPr>
              <w:t xml:space="preserve"> </w:t>
            </w:r>
            <w:r w:rsidRPr="008853DB">
              <w:rPr>
                <w:rFonts w:ascii="Times New Roman" w:hAnsi="Times New Roman" w:cs="Times New Roman"/>
                <w:sz w:val="20"/>
              </w:rPr>
              <w:t>2023/2225</w:t>
            </w:r>
            <w:r>
              <w:rPr>
                <w:rFonts w:ascii="Times New Roman" w:hAnsi="Times New Roman" w:cs="Times New Roman"/>
                <w:sz w:val="20"/>
              </w:rPr>
              <w:t xml:space="preserve">. Z kolei </w:t>
            </w:r>
            <w:r w:rsidRPr="008853DB">
              <w:rPr>
                <w:rFonts w:ascii="Times New Roman" w:hAnsi="Times New Roman" w:cs="Times New Roman"/>
                <w:sz w:val="20"/>
              </w:rPr>
              <w:t>w def</w:t>
            </w:r>
            <w:r>
              <w:rPr>
                <w:rFonts w:ascii="Times New Roman" w:hAnsi="Times New Roman" w:cs="Times New Roman"/>
                <w:sz w:val="20"/>
              </w:rPr>
              <w:t>inicji</w:t>
            </w:r>
            <w:r w:rsidRPr="008853DB">
              <w:rPr>
                <w:rFonts w:ascii="Times New Roman" w:hAnsi="Times New Roman" w:cs="Times New Roman"/>
                <w:sz w:val="20"/>
              </w:rPr>
              <w:t xml:space="preserve"> </w:t>
            </w:r>
            <w:r>
              <w:rPr>
                <w:rFonts w:ascii="Times New Roman" w:hAnsi="Times New Roman" w:cs="Times New Roman"/>
                <w:sz w:val="20"/>
              </w:rPr>
              <w:t>,,</w:t>
            </w:r>
            <w:r w:rsidRPr="008853DB">
              <w:rPr>
                <w:rFonts w:ascii="Times New Roman" w:hAnsi="Times New Roman" w:cs="Times New Roman"/>
                <w:sz w:val="20"/>
              </w:rPr>
              <w:t>sprzedaży łączonej” te wyrazy usunięto z nie</w:t>
            </w:r>
            <w:r>
              <w:rPr>
                <w:rFonts w:ascii="Times New Roman" w:hAnsi="Times New Roman" w:cs="Times New Roman"/>
                <w:sz w:val="20"/>
              </w:rPr>
              <w:t>znanych</w:t>
            </w:r>
            <w:r w:rsidRPr="008853DB">
              <w:rPr>
                <w:rFonts w:ascii="Times New Roman" w:hAnsi="Times New Roman" w:cs="Times New Roman"/>
                <w:sz w:val="20"/>
              </w:rPr>
              <w:t xml:space="preserve"> powodów</w:t>
            </w:r>
            <w:r>
              <w:rPr>
                <w:rFonts w:ascii="Times New Roman" w:hAnsi="Times New Roman" w:cs="Times New Roman"/>
                <w:sz w:val="20"/>
              </w:rPr>
              <w:t>, mimo że występuje w</w:t>
            </w:r>
            <w:r>
              <w:t xml:space="preserve"> </w:t>
            </w:r>
            <w:r w:rsidRPr="008853DB">
              <w:rPr>
                <w:rFonts w:ascii="Times New Roman" w:hAnsi="Times New Roman" w:cs="Times New Roman"/>
                <w:sz w:val="20"/>
              </w:rPr>
              <w:t>art. 3 pkt 16</w:t>
            </w:r>
            <w:r>
              <w:rPr>
                <w:rFonts w:ascii="Times New Roman" w:hAnsi="Times New Roman" w:cs="Times New Roman"/>
                <w:sz w:val="20"/>
              </w:rPr>
              <w:t xml:space="preserve"> </w:t>
            </w:r>
            <w:r w:rsidRPr="008853DB">
              <w:rPr>
                <w:rFonts w:ascii="Times New Roman" w:hAnsi="Times New Roman" w:cs="Times New Roman"/>
                <w:sz w:val="20"/>
              </w:rPr>
              <w:t>dyrektyw</w:t>
            </w:r>
            <w:r>
              <w:rPr>
                <w:rFonts w:ascii="Times New Roman" w:hAnsi="Times New Roman" w:cs="Times New Roman"/>
                <w:sz w:val="20"/>
              </w:rPr>
              <w:t>y</w:t>
            </w:r>
            <w:r w:rsidRPr="008853DB">
              <w:rPr>
                <w:rFonts w:ascii="Times New Roman" w:hAnsi="Times New Roman" w:cs="Times New Roman"/>
                <w:sz w:val="20"/>
              </w:rPr>
              <w:t xml:space="preserve"> 2023/2225.</w:t>
            </w:r>
            <w:r>
              <w:t xml:space="preserve"> </w:t>
            </w:r>
            <w:r w:rsidRPr="008853DB">
              <w:rPr>
                <w:rFonts w:ascii="Times New Roman" w:hAnsi="Times New Roman" w:cs="Times New Roman"/>
                <w:sz w:val="20"/>
              </w:rPr>
              <w:t>Spójność definicji ustawowej i dyrektywy</w:t>
            </w:r>
            <w:r>
              <w:rPr>
                <w:rFonts w:ascii="Times New Roman" w:hAnsi="Times New Roman" w:cs="Times New Roman"/>
                <w:sz w:val="20"/>
              </w:rPr>
              <w:t xml:space="preserve"> wymaga uzupełnienia art. 5 pkt 20 o zwrot ,,w pakiecie”. </w:t>
            </w:r>
          </w:p>
        </w:tc>
      </w:tr>
      <w:tr w:rsidR="000B346A" w:rsidRPr="00FF4480" w14:paraId="3D46ED2B" w14:textId="77777777" w:rsidTr="00517157">
        <w:trPr>
          <w:jc w:val="center"/>
        </w:trPr>
        <w:tc>
          <w:tcPr>
            <w:tcW w:w="594" w:type="dxa"/>
          </w:tcPr>
          <w:p w14:paraId="19DE4ED6" w14:textId="77777777" w:rsidR="000B346A" w:rsidRPr="00FF4480" w:rsidRDefault="000B346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00832650" w14:textId="6141DC1D" w:rsidR="000B346A" w:rsidRPr="00FF4480" w:rsidRDefault="008853DB" w:rsidP="004A28E0">
            <w:pPr>
              <w:jc w:val="both"/>
              <w:rPr>
                <w:rFonts w:ascii="Times New Roman" w:hAnsi="Times New Roman" w:cs="Times New Roman"/>
                <w:sz w:val="20"/>
              </w:rPr>
            </w:pPr>
            <w:r>
              <w:rPr>
                <w:rFonts w:ascii="Times New Roman" w:hAnsi="Times New Roman" w:cs="Times New Roman"/>
                <w:sz w:val="20"/>
              </w:rPr>
              <w:t xml:space="preserve">Art. 5 pkt 25 </w:t>
            </w:r>
          </w:p>
        </w:tc>
        <w:tc>
          <w:tcPr>
            <w:tcW w:w="2832" w:type="dxa"/>
            <w:vAlign w:val="center"/>
          </w:tcPr>
          <w:p w14:paraId="426171E0" w14:textId="1E38A6E8" w:rsidR="000B346A"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2F5A7BAA" w14:textId="74431312" w:rsidR="000B346A" w:rsidRPr="00FF4480" w:rsidRDefault="008853DB" w:rsidP="004A28E0">
            <w:pPr>
              <w:jc w:val="both"/>
              <w:rPr>
                <w:rFonts w:ascii="Times New Roman" w:hAnsi="Times New Roman" w:cs="Times New Roman"/>
                <w:sz w:val="20"/>
              </w:rPr>
            </w:pPr>
            <w:r>
              <w:rPr>
                <w:rFonts w:ascii="Times New Roman" w:hAnsi="Times New Roman" w:cs="Times New Roman"/>
                <w:sz w:val="20"/>
              </w:rPr>
              <w:t xml:space="preserve">Definicja trwałego nośnika wskazana w projekcie jest niezgodna z definicją wskazaną w art. </w:t>
            </w:r>
            <w:r w:rsidRPr="008853DB">
              <w:rPr>
                <w:rFonts w:ascii="Times New Roman" w:hAnsi="Times New Roman" w:cs="Times New Roman"/>
                <w:sz w:val="20"/>
              </w:rPr>
              <w:t>Art. 3 pkt 11 dyrektywy 2023/2225</w:t>
            </w:r>
            <w:r>
              <w:rPr>
                <w:rFonts w:ascii="Times New Roman" w:hAnsi="Times New Roman" w:cs="Times New Roman"/>
                <w:sz w:val="20"/>
              </w:rPr>
              <w:t>. O ile regulacja UE wprost wskazuje ,,</w:t>
            </w:r>
            <w:r w:rsidRPr="008853DB">
              <w:rPr>
                <w:rFonts w:ascii="Times New Roman" w:hAnsi="Times New Roman" w:cs="Times New Roman"/>
                <w:sz w:val="20"/>
              </w:rPr>
              <w:t>dowolne urządzenie</w:t>
            </w:r>
            <w:r>
              <w:rPr>
                <w:rFonts w:ascii="Times New Roman" w:hAnsi="Times New Roman" w:cs="Times New Roman"/>
                <w:sz w:val="20"/>
              </w:rPr>
              <w:t>”, art. 5 pkt 25 projektu</w:t>
            </w:r>
            <w:r w:rsidR="008A3C85">
              <w:rPr>
                <w:rFonts w:ascii="Times New Roman" w:hAnsi="Times New Roman" w:cs="Times New Roman"/>
                <w:sz w:val="20"/>
              </w:rPr>
              <w:t xml:space="preserve"> używa zwrotu ,,</w:t>
            </w:r>
            <w:r w:rsidR="008A3C85" w:rsidRPr="008A3C85">
              <w:rPr>
                <w:rFonts w:ascii="Times New Roman" w:hAnsi="Times New Roman" w:cs="Times New Roman"/>
                <w:sz w:val="20"/>
              </w:rPr>
              <w:t>powszechnie wykorzystywany</w:t>
            </w:r>
            <w:r w:rsidR="008A3C85">
              <w:rPr>
                <w:rFonts w:ascii="Times New Roman" w:hAnsi="Times New Roman" w:cs="Times New Roman"/>
                <w:sz w:val="20"/>
              </w:rPr>
              <w:t xml:space="preserve">”. Takie sformułowanie nie występuje również na gruncie obecnie funkcjonującej ustawy o kredycie konsumenckim, ustawie o prawach konsumenta czy np.: ustawie o usługach płatniczych. </w:t>
            </w:r>
            <w:r w:rsidR="008A3C85" w:rsidRPr="008A3C85">
              <w:rPr>
                <w:rFonts w:ascii="Times New Roman" w:hAnsi="Times New Roman" w:cs="Times New Roman"/>
                <w:sz w:val="20"/>
              </w:rPr>
              <w:t xml:space="preserve">Spójność definicji ustawowej i dyrektywy </w:t>
            </w:r>
            <w:r w:rsidR="008A3C85">
              <w:rPr>
                <w:rFonts w:ascii="Times New Roman" w:hAnsi="Times New Roman" w:cs="Times New Roman"/>
                <w:sz w:val="20"/>
              </w:rPr>
              <w:t xml:space="preserve">(a także trudne do przewidzenia odstępstwa-skutki uboczne od dotychczas ugruntowanej i efektywnej praktyki) </w:t>
            </w:r>
            <w:r w:rsidR="008A3C85" w:rsidRPr="008A3C85">
              <w:rPr>
                <w:rFonts w:ascii="Times New Roman" w:hAnsi="Times New Roman" w:cs="Times New Roman"/>
                <w:sz w:val="20"/>
              </w:rPr>
              <w:t>wymaga</w:t>
            </w:r>
            <w:r w:rsidR="008A3C85">
              <w:rPr>
                <w:rFonts w:ascii="Times New Roman" w:hAnsi="Times New Roman" w:cs="Times New Roman"/>
                <w:sz w:val="20"/>
              </w:rPr>
              <w:t xml:space="preserve"> usunięcia zwrotu ,,powszechnie wykorzystywany”. </w:t>
            </w:r>
          </w:p>
        </w:tc>
      </w:tr>
      <w:tr w:rsidR="004A28E0" w:rsidRPr="00FF4480" w14:paraId="78C0F967" w14:textId="77777777" w:rsidTr="00517157">
        <w:trPr>
          <w:jc w:val="center"/>
        </w:trPr>
        <w:tc>
          <w:tcPr>
            <w:tcW w:w="594" w:type="dxa"/>
          </w:tcPr>
          <w:p w14:paraId="65055E3D" w14:textId="77777777" w:rsidR="004A28E0" w:rsidRPr="00FF4480" w:rsidRDefault="004A28E0"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19FD3F47" w14:textId="778CB590" w:rsidR="004A28E0" w:rsidRPr="00FF4480" w:rsidRDefault="001978DF" w:rsidP="004A28E0">
            <w:pPr>
              <w:jc w:val="both"/>
              <w:rPr>
                <w:rFonts w:ascii="Times New Roman" w:hAnsi="Times New Roman" w:cs="Times New Roman"/>
                <w:sz w:val="20"/>
              </w:rPr>
            </w:pPr>
            <w:r>
              <w:rPr>
                <w:rFonts w:ascii="Times New Roman" w:hAnsi="Times New Roman" w:cs="Times New Roman"/>
                <w:sz w:val="20"/>
              </w:rPr>
              <w:t xml:space="preserve">Art. 7 </w:t>
            </w:r>
          </w:p>
        </w:tc>
        <w:tc>
          <w:tcPr>
            <w:tcW w:w="2832" w:type="dxa"/>
            <w:vAlign w:val="center"/>
          </w:tcPr>
          <w:p w14:paraId="23713699" w14:textId="4B7C7910" w:rsidR="004A28E0"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49486113" w14:textId="254B8766" w:rsidR="004A28E0" w:rsidRPr="00FF4480" w:rsidRDefault="001978DF" w:rsidP="004A28E0">
            <w:pPr>
              <w:jc w:val="both"/>
              <w:rPr>
                <w:rFonts w:ascii="Times New Roman" w:hAnsi="Times New Roman" w:cs="Times New Roman"/>
                <w:sz w:val="20"/>
              </w:rPr>
            </w:pPr>
            <w:r>
              <w:rPr>
                <w:rFonts w:ascii="Times New Roman" w:hAnsi="Times New Roman" w:cs="Times New Roman"/>
                <w:sz w:val="20"/>
              </w:rPr>
              <w:t xml:space="preserve">Koniecznym jest doprecyzowanie </w:t>
            </w:r>
            <w:r w:rsidRPr="001978DF">
              <w:rPr>
                <w:rFonts w:ascii="Times New Roman" w:hAnsi="Times New Roman" w:cs="Times New Roman"/>
                <w:sz w:val="20"/>
              </w:rPr>
              <w:t xml:space="preserve">co </w:t>
            </w:r>
            <w:r>
              <w:rPr>
                <w:rFonts w:ascii="Times New Roman" w:hAnsi="Times New Roman" w:cs="Times New Roman"/>
                <w:sz w:val="20"/>
              </w:rPr>
              <w:t xml:space="preserve">projektodawca </w:t>
            </w:r>
            <w:r w:rsidRPr="001978DF">
              <w:rPr>
                <w:rFonts w:ascii="Times New Roman" w:hAnsi="Times New Roman" w:cs="Times New Roman"/>
                <w:sz w:val="20"/>
              </w:rPr>
              <w:t>rozumie przez sformułowania mogące stwarzać u konsumenta fałszywe oczekiwania w zakresie dostępności i kosztów kredytu ponoszonych przez konsumenta lub całkowitej kwoty do zapłaty</w:t>
            </w:r>
            <w:r>
              <w:rPr>
                <w:rFonts w:ascii="Times New Roman" w:hAnsi="Times New Roman" w:cs="Times New Roman"/>
                <w:sz w:val="20"/>
              </w:rPr>
              <w:t>.</w:t>
            </w:r>
            <w:r w:rsidRPr="001978DF">
              <w:rPr>
                <w:rFonts w:ascii="Times New Roman" w:hAnsi="Times New Roman" w:cs="Times New Roman"/>
                <w:sz w:val="20"/>
              </w:rPr>
              <w:t xml:space="preserve"> </w:t>
            </w:r>
            <w:r>
              <w:rPr>
                <w:rFonts w:ascii="Times New Roman" w:hAnsi="Times New Roman" w:cs="Times New Roman"/>
                <w:sz w:val="20"/>
              </w:rPr>
              <w:t xml:space="preserve">Każda </w:t>
            </w:r>
            <w:r w:rsidRPr="001978DF">
              <w:rPr>
                <w:rFonts w:ascii="Times New Roman" w:hAnsi="Times New Roman" w:cs="Times New Roman"/>
                <w:sz w:val="20"/>
              </w:rPr>
              <w:t>oferta ma ograniczoną dostępność, gdyż zależy od warunku odpowiedniego wyniku oceny zdolności kredytowej konsumenta</w:t>
            </w:r>
            <w:r>
              <w:rPr>
                <w:rFonts w:ascii="Times New Roman" w:hAnsi="Times New Roman" w:cs="Times New Roman"/>
                <w:sz w:val="20"/>
              </w:rPr>
              <w:t xml:space="preserve"> (</w:t>
            </w:r>
            <w:r w:rsidRPr="001978DF">
              <w:rPr>
                <w:rFonts w:ascii="Times New Roman" w:hAnsi="Times New Roman" w:cs="Times New Roman"/>
                <w:sz w:val="20"/>
              </w:rPr>
              <w:t>co wskazywane jest w notach prawnych reklam</w:t>
            </w:r>
            <w:r>
              <w:rPr>
                <w:rFonts w:ascii="Times New Roman" w:hAnsi="Times New Roman" w:cs="Times New Roman"/>
                <w:sz w:val="20"/>
              </w:rPr>
              <w:t>). Doprecyzowanie w tym zakresie – eliminujące ryzyko absurdu - jest możliwe w zgodności z d</w:t>
            </w:r>
            <w:r w:rsidRPr="001978DF">
              <w:rPr>
                <w:rFonts w:ascii="Times New Roman" w:hAnsi="Times New Roman" w:cs="Times New Roman"/>
                <w:sz w:val="20"/>
              </w:rPr>
              <w:t>yrektyw</w:t>
            </w:r>
            <w:r>
              <w:rPr>
                <w:rFonts w:ascii="Times New Roman" w:hAnsi="Times New Roman" w:cs="Times New Roman"/>
                <w:sz w:val="20"/>
              </w:rPr>
              <w:t>ą</w:t>
            </w:r>
            <w:r w:rsidRPr="001978DF">
              <w:rPr>
                <w:rFonts w:ascii="Times New Roman" w:hAnsi="Times New Roman" w:cs="Times New Roman"/>
                <w:sz w:val="20"/>
              </w:rPr>
              <w:t xml:space="preserve"> 2023/2225</w:t>
            </w:r>
            <w:r>
              <w:rPr>
                <w:rFonts w:ascii="Times New Roman" w:hAnsi="Times New Roman" w:cs="Times New Roman"/>
                <w:sz w:val="20"/>
              </w:rPr>
              <w:t xml:space="preserve">. </w:t>
            </w:r>
          </w:p>
        </w:tc>
      </w:tr>
      <w:tr w:rsidR="004A28E0" w:rsidRPr="00FF4480" w14:paraId="0801770A" w14:textId="77777777" w:rsidTr="00517157">
        <w:trPr>
          <w:jc w:val="center"/>
        </w:trPr>
        <w:tc>
          <w:tcPr>
            <w:tcW w:w="594" w:type="dxa"/>
          </w:tcPr>
          <w:p w14:paraId="1E2CED04" w14:textId="77777777" w:rsidR="004A28E0" w:rsidRPr="00FF4480" w:rsidRDefault="004A28E0"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3C8D6B06" w14:textId="78595A66" w:rsidR="004A28E0" w:rsidRPr="00FF4480" w:rsidRDefault="005C67EB" w:rsidP="004A28E0">
            <w:pPr>
              <w:jc w:val="both"/>
              <w:rPr>
                <w:rFonts w:ascii="Times New Roman" w:hAnsi="Times New Roman" w:cs="Times New Roman"/>
                <w:sz w:val="20"/>
              </w:rPr>
            </w:pPr>
            <w:r>
              <w:rPr>
                <w:rFonts w:ascii="Times New Roman" w:hAnsi="Times New Roman" w:cs="Times New Roman"/>
                <w:sz w:val="20"/>
              </w:rPr>
              <w:t xml:space="preserve">Art. 8 </w:t>
            </w:r>
          </w:p>
        </w:tc>
        <w:tc>
          <w:tcPr>
            <w:tcW w:w="2832" w:type="dxa"/>
            <w:vAlign w:val="center"/>
          </w:tcPr>
          <w:p w14:paraId="184FA457" w14:textId="137065A4" w:rsidR="004A28E0"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42606B4E" w14:textId="2D131CCD" w:rsidR="004A28E0" w:rsidRPr="00FF4480" w:rsidRDefault="005C67EB" w:rsidP="004A28E0">
            <w:pPr>
              <w:jc w:val="both"/>
              <w:rPr>
                <w:rFonts w:ascii="Times New Roman" w:hAnsi="Times New Roman" w:cs="Times New Roman"/>
                <w:sz w:val="20"/>
              </w:rPr>
            </w:pPr>
            <w:r>
              <w:rPr>
                <w:rFonts w:ascii="Times New Roman" w:hAnsi="Times New Roman" w:cs="Times New Roman"/>
                <w:sz w:val="20"/>
              </w:rPr>
              <w:t xml:space="preserve">Implementacja art. </w:t>
            </w:r>
            <w:r w:rsidRPr="005C67EB">
              <w:rPr>
                <w:rFonts w:ascii="Times New Roman" w:hAnsi="Times New Roman" w:cs="Times New Roman"/>
                <w:sz w:val="20"/>
              </w:rPr>
              <w:t>8 ust. 1 dyrektywy 2023/2225</w:t>
            </w:r>
            <w:r>
              <w:rPr>
                <w:rFonts w:ascii="Times New Roman" w:hAnsi="Times New Roman" w:cs="Times New Roman"/>
                <w:sz w:val="20"/>
              </w:rPr>
              <w:t xml:space="preserve"> w takiej formie jest pominięciem istoty regulacji UE, co może prowadzić do absurdalnego rezultatu. Komunikat i treść wskazana w art. 8 projektu </w:t>
            </w:r>
            <w:r w:rsidRPr="005C67EB">
              <w:rPr>
                <w:rFonts w:ascii="Times New Roman" w:hAnsi="Times New Roman" w:cs="Times New Roman"/>
                <w:sz w:val="20"/>
              </w:rPr>
              <w:t>staje się nielogiczny i mylący dla konsumenta w przypadku kredytów rzeczywiście darmowych (z RRSO 0%). Zamiast budować zaufanie, taki komunikat w tym konkretnym przypadku podważa wiarygodność przekazu.</w:t>
            </w:r>
            <w:r>
              <w:rPr>
                <w:rFonts w:ascii="Times New Roman" w:hAnsi="Times New Roman" w:cs="Times New Roman"/>
                <w:sz w:val="20"/>
              </w:rPr>
              <w:t xml:space="preserve"> Wskazany przepis dyrektywy wprost wskazuje na cel</w:t>
            </w:r>
            <w:proofErr w:type="gramStart"/>
            <w:r>
              <w:rPr>
                <w:rFonts w:ascii="Times New Roman" w:hAnsi="Times New Roman" w:cs="Times New Roman"/>
                <w:sz w:val="20"/>
              </w:rPr>
              <w:t>:</w:t>
            </w:r>
            <w:r w:rsidR="001B5B7C">
              <w:rPr>
                <w:rFonts w:ascii="Times New Roman" w:hAnsi="Times New Roman" w:cs="Times New Roman"/>
                <w:sz w:val="20"/>
              </w:rPr>
              <w:t xml:space="preserve"> </w:t>
            </w:r>
            <w:r>
              <w:rPr>
                <w:rFonts w:ascii="Times New Roman" w:hAnsi="Times New Roman" w:cs="Times New Roman"/>
                <w:sz w:val="20"/>
              </w:rPr>
              <w:t>,,</w:t>
            </w:r>
            <w:r w:rsidRPr="005C67EB">
              <w:rPr>
                <w:rFonts w:ascii="Times New Roman" w:hAnsi="Times New Roman" w:cs="Times New Roman"/>
                <w:sz w:val="20"/>
              </w:rPr>
              <w:t>uświadomić</w:t>
            </w:r>
            <w:proofErr w:type="gramEnd"/>
            <w:r w:rsidRPr="005C67EB">
              <w:rPr>
                <w:rFonts w:ascii="Times New Roman" w:hAnsi="Times New Roman" w:cs="Times New Roman"/>
                <w:sz w:val="20"/>
              </w:rPr>
              <w:t xml:space="preserve"> konsumentom, że zaciąganie pożyczek kosztuje</w:t>
            </w:r>
            <w:r>
              <w:rPr>
                <w:rFonts w:ascii="Times New Roman" w:hAnsi="Times New Roman" w:cs="Times New Roman"/>
                <w:sz w:val="20"/>
              </w:rPr>
              <w:t>” co jest bezprzedmiotowe w przypadku braku kosztów</w:t>
            </w:r>
            <w:r w:rsidR="001B5B7C">
              <w:rPr>
                <w:rFonts w:ascii="Times New Roman" w:hAnsi="Times New Roman" w:cs="Times New Roman"/>
                <w:sz w:val="20"/>
              </w:rPr>
              <w:t xml:space="preserve">. </w:t>
            </w:r>
          </w:p>
        </w:tc>
      </w:tr>
      <w:tr w:rsidR="004A28E0" w:rsidRPr="00FF4480" w14:paraId="0B63B95C" w14:textId="77777777" w:rsidTr="00517157">
        <w:trPr>
          <w:jc w:val="center"/>
        </w:trPr>
        <w:tc>
          <w:tcPr>
            <w:tcW w:w="594" w:type="dxa"/>
          </w:tcPr>
          <w:p w14:paraId="3B407D18" w14:textId="77777777" w:rsidR="004A28E0" w:rsidRPr="00FF4480" w:rsidRDefault="004A28E0"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340BDFFB" w14:textId="3208B9D6" w:rsidR="004A28E0" w:rsidRPr="00FF4480" w:rsidRDefault="005C67EB" w:rsidP="004A28E0">
            <w:pPr>
              <w:jc w:val="both"/>
              <w:rPr>
                <w:rFonts w:ascii="Times New Roman" w:hAnsi="Times New Roman" w:cs="Times New Roman"/>
                <w:sz w:val="20"/>
              </w:rPr>
            </w:pPr>
            <w:r>
              <w:rPr>
                <w:rFonts w:ascii="Times New Roman" w:hAnsi="Times New Roman" w:cs="Times New Roman"/>
                <w:sz w:val="20"/>
              </w:rPr>
              <w:t xml:space="preserve">Art. 9 </w:t>
            </w:r>
          </w:p>
        </w:tc>
        <w:tc>
          <w:tcPr>
            <w:tcW w:w="2832" w:type="dxa"/>
            <w:vAlign w:val="center"/>
          </w:tcPr>
          <w:p w14:paraId="469C66FE" w14:textId="442AAF33" w:rsidR="004A28E0"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7927EAB2" w14:textId="645FF468" w:rsidR="004A28E0" w:rsidRPr="00DB30AA" w:rsidRDefault="001B5B7C" w:rsidP="00DB30AA">
            <w:pPr>
              <w:jc w:val="both"/>
              <w:rPr>
                <w:rFonts w:ascii="Times New Roman" w:hAnsi="Times New Roman" w:cs="Times New Roman"/>
                <w:sz w:val="20"/>
              </w:rPr>
            </w:pPr>
            <w:r w:rsidRPr="00DB30AA">
              <w:rPr>
                <w:rFonts w:ascii="Times New Roman" w:hAnsi="Times New Roman" w:cs="Times New Roman"/>
                <w:sz w:val="20"/>
              </w:rPr>
              <w:t xml:space="preserve">Projektowany przepis stanowi, iż informacje mają być zawarte ,,w reklamie” podczas gdy dyrektywa 2023/2225 nie zawiera takiego sformułowania, które może być rozumiane bardzo zawężająco. Nie jest zrozumiałym czy takie sformułowanie art. 9 projektu dotyczy reklamy sensu stricte, czy też informacje mogą być zawarte w nocie prawnej reklamy - podanie w samej reklamie szeregu szczegółowych danych, jeśli tylko pojawi się w niej informacja o kosztach, jest niepraktyczne i prowadzi do tworzenia nieczytelnych komunikatów. Bardziej racjonalnym i sprawdzonym rynkowo rozwiązaniem byłoby dopuszczenie umieszczania tych szczegółów w nocie prawnej reklamy. Stąd należy rozwiązać tę wątpliwość interpretacyjną i niezgodną z dyrektywą implementację przez zmianę przedmiotu przepisu (z przestrzeni na informacje) bądź przez dopuszczenie </w:t>
            </w:r>
            <w:r w:rsidR="00DB30AA" w:rsidRPr="00DB30AA">
              <w:rPr>
                <w:rFonts w:ascii="Times New Roman" w:hAnsi="Times New Roman" w:cs="Times New Roman"/>
                <w:sz w:val="20"/>
              </w:rPr>
              <w:t xml:space="preserve">noty prawnej wprost (obowiązującej praktyki). </w:t>
            </w:r>
          </w:p>
        </w:tc>
      </w:tr>
      <w:tr w:rsidR="004A28E0" w:rsidRPr="00FF4480" w14:paraId="74842EAB" w14:textId="77777777" w:rsidTr="00517157">
        <w:trPr>
          <w:trHeight w:val="356"/>
          <w:jc w:val="center"/>
        </w:trPr>
        <w:tc>
          <w:tcPr>
            <w:tcW w:w="594" w:type="dxa"/>
          </w:tcPr>
          <w:p w14:paraId="0BCABA4B" w14:textId="77777777" w:rsidR="004A28E0" w:rsidRPr="00FF4480" w:rsidRDefault="004A28E0"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7B5987BD" w14:textId="379BADF0" w:rsidR="004A28E0" w:rsidRPr="00FF4480" w:rsidRDefault="00301CA2" w:rsidP="004A28E0">
            <w:pPr>
              <w:jc w:val="both"/>
              <w:rPr>
                <w:rFonts w:ascii="Times New Roman" w:hAnsi="Times New Roman" w:cs="Times New Roman"/>
                <w:sz w:val="20"/>
              </w:rPr>
            </w:pPr>
            <w:r>
              <w:rPr>
                <w:rFonts w:ascii="Times New Roman" w:hAnsi="Times New Roman" w:cs="Times New Roman"/>
                <w:sz w:val="20"/>
              </w:rPr>
              <w:t xml:space="preserve">Art. 10 ust. 2 </w:t>
            </w:r>
          </w:p>
        </w:tc>
        <w:tc>
          <w:tcPr>
            <w:tcW w:w="2832" w:type="dxa"/>
            <w:vAlign w:val="center"/>
          </w:tcPr>
          <w:p w14:paraId="34B95C37" w14:textId="68C4BFCE" w:rsidR="004A28E0"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46137BE1" w14:textId="19456181" w:rsidR="004A28E0" w:rsidRPr="00FF4480" w:rsidRDefault="00301CA2" w:rsidP="004A28E0">
            <w:pPr>
              <w:jc w:val="both"/>
              <w:rPr>
                <w:rFonts w:ascii="Times New Roman" w:hAnsi="Times New Roman" w:cs="Times New Roman"/>
                <w:sz w:val="20"/>
              </w:rPr>
            </w:pPr>
            <w:r>
              <w:rPr>
                <w:rFonts w:ascii="Times New Roman" w:hAnsi="Times New Roman" w:cs="Times New Roman"/>
                <w:sz w:val="20"/>
              </w:rPr>
              <w:t xml:space="preserve">Wskazana treść nie wynika z implementowanych regulacji prawa UE. </w:t>
            </w:r>
          </w:p>
        </w:tc>
      </w:tr>
      <w:tr w:rsidR="00E200A5" w:rsidRPr="00FF4480" w14:paraId="57DDC632" w14:textId="77777777" w:rsidTr="00517157">
        <w:trPr>
          <w:trHeight w:val="356"/>
          <w:jc w:val="center"/>
        </w:trPr>
        <w:tc>
          <w:tcPr>
            <w:tcW w:w="594" w:type="dxa"/>
          </w:tcPr>
          <w:p w14:paraId="7EE697C6"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6F597DEA" w14:textId="0BF8CF77" w:rsidR="00E200A5" w:rsidRPr="00FF4480" w:rsidRDefault="00FC4EA2" w:rsidP="004A28E0">
            <w:pPr>
              <w:jc w:val="both"/>
              <w:rPr>
                <w:rFonts w:ascii="Times New Roman" w:hAnsi="Times New Roman" w:cs="Times New Roman"/>
                <w:sz w:val="20"/>
              </w:rPr>
            </w:pPr>
            <w:r>
              <w:rPr>
                <w:rFonts w:ascii="Times New Roman" w:hAnsi="Times New Roman" w:cs="Times New Roman"/>
                <w:sz w:val="20"/>
              </w:rPr>
              <w:t>Art. 13 pkt 4-6</w:t>
            </w:r>
          </w:p>
        </w:tc>
        <w:tc>
          <w:tcPr>
            <w:tcW w:w="2832" w:type="dxa"/>
            <w:vAlign w:val="center"/>
          </w:tcPr>
          <w:p w14:paraId="574064EE" w14:textId="67022853"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12C38085" w14:textId="50E7B5A3" w:rsidR="00FC4EA2" w:rsidRDefault="00FC4EA2" w:rsidP="00FC4EA2">
            <w:pPr>
              <w:jc w:val="both"/>
              <w:rPr>
                <w:rFonts w:ascii="Times New Roman" w:hAnsi="Times New Roman" w:cs="Times New Roman"/>
                <w:sz w:val="20"/>
              </w:rPr>
            </w:pPr>
            <w:r>
              <w:rPr>
                <w:rFonts w:ascii="Times New Roman" w:hAnsi="Times New Roman" w:cs="Times New Roman"/>
                <w:sz w:val="20"/>
              </w:rPr>
              <w:t xml:space="preserve">Bezpodstawnym jest wybór projektodawcy i umieszczenie w projekcie art. 13 pkt. 4-6: rozwiązania te mają charakter albo antykonsumencki albo </w:t>
            </w:r>
            <w:r w:rsidR="00567ED7">
              <w:rPr>
                <w:rFonts w:ascii="Times New Roman" w:hAnsi="Times New Roman" w:cs="Times New Roman"/>
                <w:sz w:val="20"/>
              </w:rPr>
              <w:t xml:space="preserve">antykonkurencyjny/antyprzedsiębiorczy. Projektodawca nawet nie przedstawił uzasadnienia za takim wyborem, nie pisząc o wykazaniu ilościowym i jakościowym swojej decyzji. </w:t>
            </w:r>
          </w:p>
          <w:p w14:paraId="5E921E6D" w14:textId="77777777" w:rsidR="00FC4EA2" w:rsidRDefault="00FC4EA2" w:rsidP="00FC4EA2">
            <w:pPr>
              <w:jc w:val="both"/>
              <w:rPr>
                <w:rFonts w:ascii="Times New Roman" w:hAnsi="Times New Roman" w:cs="Times New Roman"/>
                <w:sz w:val="20"/>
              </w:rPr>
            </w:pPr>
          </w:p>
          <w:p w14:paraId="6C951BE5" w14:textId="04D549C6" w:rsidR="00FC4EA2" w:rsidRDefault="00567ED7" w:rsidP="00FC4EA2">
            <w:pPr>
              <w:jc w:val="both"/>
              <w:rPr>
                <w:rFonts w:ascii="Times New Roman" w:hAnsi="Times New Roman" w:cs="Times New Roman"/>
                <w:sz w:val="20"/>
              </w:rPr>
            </w:pPr>
            <w:r>
              <w:rPr>
                <w:rFonts w:ascii="Times New Roman" w:hAnsi="Times New Roman" w:cs="Times New Roman"/>
                <w:sz w:val="20"/>
              </w:rPr>
              <w:lastRenderedPageBreak/>
              <w:t xml:space="preserve">Zakaz </w:t>
            </w:r>
            <w:r w:rsidR="00FC4EA2" w:rsidRPr="00FC4EA2">
              <w:rPr>
                <w:rFonts w:ascii="Times New Roman" w:hAnsi="Times New Roman" w:cs="Times New Roman"/>
                <w:sz w:val="20"/>
              </w:rPr>
              <w:t>podkreślania w reklamie szybkości lub łatwości uzyskania kredytu (art. 13 pkt 4) oraz informowania o możliwości odroczenia spłaty na okres dłuższy niż trzy miesiące (art. 13 pkt 6)</w:t>
            </w:r>
            <w:r>
              <w:rPr>
                <w:rFonts w:ascii="Times New Roman" w:hAnsi="Times New Roman" w:cs="Times New Roman"/>
                <w:sz w:val="20"/>
              </w:rPr>
              <w:t xml:space="preserve"> są regulacjami o </w:t>
            </w:r>
            <w:r w:rsidR="00FC4EA2" w:rsidRPr="00FC4EA2">
              <w:rPr>
                <w:rFonts w:ascii="Times New Roman" w:hAnsi="Times New Roman" w:cs="Times New Roman"/>
                <w:sz w:val="20"/>
              </w:rPr>
              <w:t xml:space="preserve">charakterze antykonsumenckim. </w:t>
            </w:r>
            <w:r>
              <w:rPr>
                <w:rFonts w:ascii="Times New Roman" w:hAnsi="Times New Roman" w:cs="Times New Roman"/>
                <w:sz w:val="20"/>
              </w:rPr>
              <w:t xml:space="preserve">Konsumenci </w:t>
            </w:r>
            <w:r w:rsidR="00FC4EA2" w:rsidRPr="00FC4EA2">
              <w:rPr>
                <w:rFonts w:ascii="Times New Roman" w:hAnsi="Times New Roman" w:cs="Times New Roman"/>
                <w:sz w:val="20"/>
              </w:rPr>
              <w:t>poszukujący finansowania często znajdują się w trudnej sytuacji. Dlatego informacja o szybkości przyznania środków jest kluczowym i obiektywnym parametrem, pozwalającym na porównanie ofert i wybór tej, która realnie odpowiada na pilną sytuację.</w:t>
            </w:r>
            <w:r>
              <w:rPr>
                <w:rFonts w:ascii="Times New Roman" w:hAnsi="Times New Roman" w:cs="Times New Roman"/>
                <w:sz w:val="20"/>
              </w:rPr>
              <w:t xml:space="preserve"> Ponadto</w:t>
            </w:r>
            <w:r w:rsidR="00FC4EA2" w:rsidRPr="00FC4EA2">
              <w:rPr>
                <w:rFonts w:ascii="Times New Roman" w:hAnsi="Times New Roman" w:cs="Times New Roman"/>
                <w:sz w:val="20"/>
              </w:rPr>
              <w:t xml:space="preserve"> szybkość uzyskania kredytu jest jednym z ważnych uwarunkowań konkurencyjnych na rynku kredytu konsumenckiego (podmioty konkurują w tym zakresie pomiędzy sobą). Konsumenci cenią sobie czas i możliwość szybkiego i sprawnego zorganizowania finansowania, a jednocześnie – przeznaczenia oszczędzonego w ten sposób czasu na życie rodzinę czy realizację innych życiowych zadań. Polski rynek usług finansowych jest rynkiem nowoczesnym i innowacyjnym na tle Europy. Szybkość uzyskania finansowania jest jednym z przejawów tego rozwoju, a w naszej ocenie nie zachodzą przesłanki, aby podmioty inwestujące właśnie w szybk</w:t>
            </w:r>
            <w:r w:rsidR="00581A2C">
              <w:rPr>
                <w:rFonts w:ascii="Times New Roman" w:hAnsi="Times New Roman" w:cs="Times New Roman"/>
                <w:sz w:val="20"/>
              </w:rPr>
              <w:t>ą</w:t>
            </w:r>
            <w:r w:rsidR="00FC4EA2" w:rsidRPr="00FC4EA2">
              <w:rPr>
                <w:rFonts w:ascii="Times New Roman" w:hAnsi="Times New Roman" w:cs="Times New Roman"/>
                <w:sz w:val="20"/>
              </w:rPr>
              <w:t xml:space="preserve"> i sprawną obsługę klientów nie mogły takiego podejścia reklamować</w:t>
            </w:r>
            <w:r>
              <w:rPr>
                <w:rFonts w:ascii="Times New Roman" w:hAnsi="Times New Roman" w:cs="Times New Roman"/>
                <w:sz w:val="20"/>
              </w:rPr>
              <w:t xml:space="preserve">: jest to rozwiązanie antykonkurencyjne, co dziwi, zwłaszcza w obliczu toczącej się debaty na temat konkurencyjności międzynarodowej. </w:t>
            </w:r>
          </w:p>
          <w:p w14:paraId="4E93E1AD" w14:textId="1A458F01" w:rsidR="00567ED7" w:rsidRDefault="00567ED7" w:rsidP="00FC4EA2">
            <w:pPr>
              <w:jc w:val="both"/>
              <w:rPr>
                <w:rFonts w:ascii="Times New Roman" w:hAnsi="Times New Roman" w:cs="Times New Roman"/>
                <w:sz w:val="20"/>
              </w:rPr>
            </w:pPr>
          </w:p>
          <w:p w14:paraId="798BD514" w14:textId="338367A5" w:rsidR="00567ED7" w:rsidRDefault="00567ED7" w:rsidP="00FC4EA2">
            <w:pPr>
              <w:jc w:val="both"/>
              <w:rPr>
                <w:rFonts w:ascii="Times New Roman" w:hAnsi="Times New Roman" w:cs="Times New Roman"/>
                <w:sz w:val="20"/>
              </w:rPr>
            </w:pPr>
            <w:r>
              <w:rPr>
                <w:rFonts w:ascii="Times New Roman" w:hAnsi="Times New Roman" w:cs="Times New Roman"/>
                <w:sz w:val="20"/>
              </w:rPr>
              <w:t xml:space="preserve">Zaciągnięcie kredytu konsumenckiego może być jednym z warunków rabatu – konsument powinien mieć dostęp do tej informacji, jeśli taka ma znaczenie z perspektywy oferty.  </w:t>
            </w:r>
          </w:p>
          <w:p w14:paraId="636C5CB4" w14:textId="77777777" w:rsidR="00567ED7" w:rsidRPr="00FC4EA2" w:rsidRDefault="00567ED7" w:rsidP="00FC4EA2">
            <w:pPr>
              <w:jc w:val="both"/>
              <w:rPr>
                <w:rFonts w:ascii="Times New Roman" w:hAnsi="Times New Roman" w:cs="Times New Roman"/>
                <w:sz w:val="20"/>
              </w:rPr>
            </w:pPr>
          </w:p>
          <w:p w14:paraId="2F5C0D5D" w14:textId="6293179D" w:rsidR="00FC4EA2" w:rsidRDefault="00FC4EA2" w:rsidP="00FC4EA2">
            <w:pPr>
              <w:jc w:val="both"/>
              <w:rPr>
                <w:rFonts w:ascii="Times New Roman" w:hAnsi="Times New Roman" w:cs="Times New Roman"/>
                <w:sz w:val="20"/>
              </w:rPr>
            </w:pPr>
            <w:r w:rsidRPr="00FC4EA2">
              <w:rPr>
                <w:rFonts w:ascii="Times New Roman" w:hAnsi="Times New Roman" w:cs="Times New Roman"/>
                <w:sz w:val="20"/>
              </w:rPr>
              <w:t xml:space="preserve">Z kolei możliwość skorzystania z karencji w spłacie jest bezsprzecznie korzystnym dla klienta elementem umowy, stanowiącym formę zabezpieczenia na wypadek nieprzewidzianych trudności. Zakazywanie </w:t>
            </w:r>
            <w:r w:rsidR="00581A2C">
              <w:rPr>
                <w:rFonts w:ascii="Times New Roman" w:hAnsi="Times New Roman" w:cs="Times New Roman"/>
                <w:sz w:val="20"/>
              </w:rPr>
              <w:t xml:space="preserve">możliwości </w:t>
            </w:r>
            <w:r w:rsidRPr="00FC4EA2">
              <w:rPr>
                <w:rFonts w:ascii="Times New Roman" w:hAnsi="Times New Roman" w:cs="Times New Roman"/>
                <w:sz w:val="20"/>
              </w:rPr>
              <w:t xml:space="preserve">informowania o tych cechach jest działaniem </w:t>
            </w:r>
            <w:r w:rsidR="00567ED7">
              <w:rPr>
                <w:rFonts w:ascii="Times New Roman" w:hAnsi="Times New Roman" w:cs="Times New Roman"/>
                <w:sz w:val="20"/>
              </w:rPr>
              <w:t xml:space="preserve">pozbawionym racjonalnych przesłanek </w:t>
            </w:r>
            <w:r w:rsidRPr="00FC4EA2">
              <w:rPr>
                <w:rFonts w:ascii="Times New Roman" w:hAnsi="Times New Roman" w:cs="Times New Roman"/>
                <w:sz w:val="20"/>
              </w:rPr>
              <w:t>– nie zwiększa standardu ochrony konsumenta, lecz odbiera się mu dostęp do istotnych informacji, które pomagają podjąć świadomą i najlepszą dla siebie decyzję. Tym samym w tym przypadku również zakazy reklamowe nie będą służyły rozwojowi oraz wzmocnieniu rynku finansowego.</w:t>
            </w:r>
          </w:p>
          <w:p w14:paraId="1E4B30B7" w14:textId="77777777" w:rsidR="00567ED7" w:rsidRPr="00FC4EA2" w:rsidRDefault="00567ED7" w:rsidP="00FC4EA2">
            <w:pPr>
              <w:jc w:val="both"/>
              <w:rPr>
                <w:rFonts w:ascii="Times New Roman" w:hAnsi="Times New Roman" w:cs="Times New Roman"/>
                <w:sz w:val="20"/>
              </w:rPr>
            </w:pPr>
          </w:p>
          <w:p w14:paraId="79797549" w14:textId="70433749" w:rsidR="00FC4EA2" w:rsidRDefault="00FC4EA2" w:rsidP="00FC4EA2">
            <w:pPr>
              <w:jc w:val="both"/>
              <w:rPr>
                <w:rFonts w:ascii="Times New Roman" w:hAnsi="Times New Roman" w:cs="Times New Roman"/>
                <w:sz w:val="20"/>
              </w:rPr>
            </w:pPr>
            <w:r w:rsidRPr="00FC4EA2">
              <w:rPr>
                <w:rFonts w:ascii="Times New Roman" w:hAnsi="Times New Roman" w:cs="Times New Roman"/>
                <w:sz w:val="20"/>
              </w:rPr>
              <w:t xml:space="preserve">Taka kazuistyka legislacyjna opiera się na błędnym założeniu, że konsumenta należy chronić przed informacją samą w sobie, a nie wyposażać go w narzędzia do jej prawidłowej oceny. Prowadzi to do sytuacji, w której reklamy, zamiast informować o konkretnych cechach produktu, będą ograniczać się do ogólnego przekazu wizerunkowego. </w:t>
            </w:r>
            <w:r w:rsidR="00567ED7">
              <w:rPr>
                <w:rFonts w:ascii="Times New Roman" w:hAnsi="Times New Roman" w:cs="Times New Roman"/>
                <w:sz w:val="20"/>
              </w:rPr>
              <w:t xml:space="preserve">Nowoczesne </w:t>
            </w:r>
            <w:r w:rsidRPr="00FC4EA2">
              <w:rPr>
                <w:rFonts w:ascii="Times New Roman" w:hAnsi="Times New Roman" w:cs="Times New Roman"/>
                <w:sz w:val="20"/>
              </w:rPr>
              <w:t>i skuteczne państwo powinno skupiać się na wzmacnianiu kompetencji obywateli, w tym poprzez systemową edukację finansową, a nie na cenzurowaniu legalnego obrotu gospodarczego.</w:t>
            </w:r>
          </w:p>
          <w:p w14:paraId="0C7AD1C7" w14:textId="77777777" w:rsidR="00567ED7" w:rsidRPr="00FC4EA2" w:rsidRDefault="00567ED7" w:rsidP="00FC4EA2">
            <w:pPr>
              <w:jc w:val="both"/>
              <w:rPr>
                <w:rFonts w:ascii="Times New Roman" w:hAnsi="Times New Roman" w:cs="Times New Roman"/>
                <w:sz w:val="20"/>
              </w:rPr>
            </w:pPr>
          </w:p>
          <w:p w14:paraId="026A04A3" w14:textId="38DBEB93" w:rsidR="00FC4EA2" w:rsidRPr="00FC4EA2" w:rsidRDefault="00FC4EA2" w:rsidP="00FC4EA2">
            <w:pPr>
              <w:jc w:val="both"/>
              <w:rPr>
                <w:rFonts w:ascii="Times New Roman" w:hAnsi="Times New Roman" w:cs="Times New Roman"/>
                <w:sz w:val="20"/>
              </w:rPr>
            </w:pPr>
            <w:r w:rsidRPr="00FC4EA2">
              <w:rPr>
                <w:rFonts w:ascii="Times New Roman" w:hAnsi="Times New Roman" w:cs="Times New Roman"/>
                <w:sz w:val="20"/>
              </w:rPr>
              <w:t xml:space="preserve">Dlatego wnosimy o ponowną, krytyczną analizę art. 13 Projektu. Postulujemy </w:t>
            </w:r>
            <w:r w:rsidR="00CD5BB3">
              <w:rPr>
                <w:rFonts w:ascii="Times New Roman" w:hAnsi="Times New Roman" w:cs="Times New Roman"/>
                <w:sz w:val="20"/>
              </w:rPr>
              <w:t>usunięcie a</w:t>
            </w:r>
            <w:r w:rsidR="00CD5BB3" w:rsidRPr="00CD5BB3">
              <w:rPr>
                <w:rFonts w:ascii="Times New Roman" w:hAnsi="Times New Roman" w:cs="Times New Roman"/>
                <w:sz w:val="20"/>
              </w:rPr>
              <w:t>rt. 13 pkt 4-6</w:t>
            </w:r>
            <w:r w:rsidR="00CD5BB3">
              <w:rPr>
                <w:rFonts w:ascii="Times New Roman" w:hAnsi="Times New Roman" w:cs="Times New Roman"/>
                <w:sz w:val="20"/>
              </w:rPr>
              <w:t xml:space="preserve"> (zwłaszcza art. 13 pkt 4 i pkt 6). </w:t>
            </w:r>
            <w:r w:rsidRPr="00FC4EA2">
              <w:rPr>
                <w:rFonts w:ascii="Times New Roman" w:hAnsi="Times New Roman" w:cs="Times New Roman"/>
                <w:sz w:val="20"/>
              </w:rPr>
              <w:t>Utrzymanie tych przepisów w obecnym kształcie nie zwiększy bezpieczeństwa konsumentów, a jedynie ograniczy ich prawo do informacji i osłabi zdrową konkurencję na rynku, która jest naturalnym gwarantem wysokiej jakości usług.</w:t>
            </w:r>
            <w:r w:rsidR="00CD5BB3">
              <w:rPr>
                <w:rFonts w:ascii="Times New Roman" w:hAnsi="Times New Roman" w:cs="Times New Roman"/>
                <w:sz w:val="20"/>
              </w:rPr>
              <w:t xml:space="preserve"> Możliwość taką przewiduje dyrektywa </w:t>
            </w:r>
            <w:r w:rsidR="00CD5BB3" w:rsidRPr="00CD5BB3">
              <w:rPr>
                <w:rFonts w:ascii="Times New Roman" w:hAnsi="Times New Roman" w:cs="Times New Roman"/>
                <w:sz w:val="20"/>
              </w:rPr>
              <w:t>2023/2225</w:t>
            </w:r>
            <w:r w:rsidR="00CD5BB3">
              <w:rPr>
                <w:rFonts w:ascii="Times New Roman" w:hAnsi="Times New Roman" w:cs="Times New Roman"/>
                <w:sz w:val="20"/>
              </w:rPr>
              <w:t xml:space="preserve">. </w:t>
            </w:r>
            <w:r w:rsidRPr="00FC4EA2">
              <w:rPr>
                <w:rFonts w:ascii="Times New Roman" w:hAnsi="Times New Roman" w:cs="Times New Roman"/>
                <w:sz w:val="20"/>
              </w:rPr>
              <w:t xml:space="preserve">Polski rynek kredytowy i konsumencki nie jest rynkiem, na którym powszechne są zjawiska niepożądane w kontekście przekredytowania społeczeństw czy masowych kłopotów ze </w:t>
            </w:r>
            <w:r w:rsidRPr="00FC4EA2">
              <w:rPr>
                <w:rFonts w:ascii="Times New Roman" w:hAnsi="Times New Roman" w:cs="Times New Roman"/>
                <w:sz w:val="20"/>
              </w:rPr>
              <w:lastRenderedPageBreak/>
              <w:t>spłacalnością zobowiązań. Z tej przyczyny nie zachodzą na tym etapie przesłanki, aby nadmiernie ograniczać możliwość reklamy kredytu, czyli korzystać z możliwości opcjonalnie wskazanych przez ustawodawcę europejskiego. Gdyby takie zjawiska w przyszłości wystąpiły, zawsze będzie możliwość uzupełnienia zakazów.</w:t>
            </w:r>
          </w:p>
          <w:p w14:paraId="5C6CE017" w14:textId="56AD60F1" w:rsidR="00E200A5" w:rsidRPr="00FF4480" w:rsidRDefault="00FC4EA2" w:rsidP="00FC4EA2">
            <w:pPr>
              <w:jc w:val="both"/>
              <w:rPr>
                <w:rFonts w:ascii="Times New Roman" w:hAnsi="Times New Roman" w:cs="Times New Roman"/>
                <w:sz w:val="20"/>
              </w:rPr>
            </w:pPr>
            <w:r w:rsidRPr="00FC4EA2">
              <w:rPr>
                <w:rFonts w:ascii="Times New Roman" w:hAnsi="Times New Roman" w:cs="Times New Roman"/>
                <w:sz w:val="20"/>
              </w:rPr>
              <w:t>Ponadto, rekomendowanym jest, aby przy zakazach reklamowych zawartych w art. 13 wyraźnie zostało wskazane, że ogólne pozytywne stwierdzenia i hasła marketingowe, które nie odnoszą się do kredytu konsumenckiego (np. że to ten kredyt polepszy sytuacje życiową konsumenta)</w:t>
            </w:r>
            <w:r w:rsidR="00CD5BB3">
              <w:rPr>
                <w:rFonts w:ascii="Times New Roman" w:hAnsi="Times New Roman" w:cs="Times New Roman"/>
                <w:sz w:val="20"/>
              </w:rPr>
              <w:t xml:space="preserve">, </w:t>
            </w:r>
            <w:r w:rsidRPr="00FC4EA2">
              <w:rPr>
                <w:rFonts w:ascii="Times New Roman" w:hAnsi="Times New Roman" w:cs="Times New Roman"/>
                <w:sz w:val="20"/>
              </w:rPr>
              <w:t>są dozwolone.</w:t>
            </w:r>
            <w:r w:rsidR="00CD5BB3">
              <w:rPr>
                <w:rFonts w:ascii="Times New Roman" w:hAnsi="Times New Roman" w:cs="Times New Roman"/>
                <w:sz w:val="20"/>
              </w:rPr>
              <w:t xml:space="preserve"> Taka intencja nie wynika z treści </w:t>
            </w:r>
            <w:r w:rsidR="00CD5BB3" w:rsidRPr="00CD5BB3">
              <w:rPr>
                <w:rFonts w:ascii="Times New Roman" w:hAnsi="Times New Roman" w:cs="Times New Roman"/>
                <w:sz w:val="20"/>
              </w:rPr>
              <w:t>dyrektyw</w:t>
            </w:r>
            <w:r w:rsidR="00CD5BB3">
              <w:rPr>
                <w:rFonts w:ascii="Times New Roman" w:hAnsi="Times New Roman" w:cs="Times New Roman"/>
                <w:sz w:val="20"/>
              </w:rPr>
              <w:t>y</w:t>
            </w:r>
            <w:r w:rsidR="00CD5BB3" w:rsidRPr="00CD5BB3">
              <w:rPr>
                <w:rFonts w:ascii="Times New Roman" w:hAnsi="Times New Roman" w:cs="Times New Roman"/>
                <w:sz w:val="20"/>
              </w:rPr>
              <w:t xml:space="preserve"> 2023/2225</w:t>
            </w:r>
            <w:r w:rsidR="00CD5BB3">
              <w:rPr>
                <w:rFonts w:ascii="Times New Roman" w:hAnsi="Times New Roman" w:cs="Times New Roman"/>
                <w:sz w:val="20"/>
              </w:rPr>
              <w:t xml:space="preserve"> (zakazy odnoszą się wprost do produktów kredytu), jednak literalne rozumienie przepisów w projekcie ustawy grozi radykalną interpretacją – kwestię tę należy rozstrzygnąć na etapie projektowania przepisów. </w:t>
            </w:r>
          </w:p>
        </w:tc>
      </w:tr>
      <w:tr w:rsidR="00E200A5" w:rsidRPr="00FF4480" w14:paraId="5EA1C7FA" w14:textId="77777777" w:rsidTr="00517157">
        <w:trPr>
          <w:trHeight w:val="356"/>
          <w:jc w:val="center"/>
        </w:trPr>
        <w:tc>
          <w:tcPr>
            <w:tcW w:w="594" w:type="dxa"/>
          </w:tcPr>
          <w:p w14:paraId="72093EF5"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67C13231" w14:textId="5D67206D" w:rsidR="00E200A5" w:rsidRPr="00FF4480" w:rsidRDefault="00D44D91" w:rsidP="004A28E0">
            <w:pPr>
              <w:jc w:val="both"/>
              <w:rPr>
                <w:rFonts w:ascii="Times New Roman" w:hAnsi="Times New Roman" w:cs="Times New Roman"/>
                <w:sz w:val="20"/>
              </w:rPr>
            </w:pPr>
            <w:r>
              <w:rPr>
                <w:rFonts w:ascii="Times New Roman" w:hAnsi="Times New Roman" w:cs="Times New Roman"/>
                <w:sz w:val="20"/>
              </w:rPr>
              <w:t xml:space="preserve">Art. 17 </w:t>
            </w:r>
          </w:p>
        </w:tc>
        <w:tc>
          <w:tcPr>
            <w:tcW w:w="2832" w:type="dxa"/>
            <w:vAlign w:val="center"/>
          </w:tcPr>
          <w:p w14:paraId="79AF5EEF" w14:textId="1EDCFEA9"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57D9EE8F" w14:textId="0947A831" w:rsidR="00E200A5" w:rsidRPr="00FF4480" w:rsidRDefault="00D44D91" w:rsidP="004A28E0">
            <w:pPr>
              <w:jc w:val="both"/>
              <w:rPr>
                <w:rFonts w:ascii="Times New Roman" w:hAnsi="Times New Roman" w:cs="Times New Roman"/>
                <w:sz w:val="20"/>
              </w:rPr>
            </w:pPr>
            <w:r>
              <w:rPr>
                <w:rFonts w:ascii="Times New Roman" w:hAnsi="Times New Roman" w:cs="Times New Roman"/>
                <w:sz w:val="20"/>
              </w:rPr>
              <w:t xml:space="preserve">Projektowany artykuł nie znajduje odzwierciedlenia w </w:t>
            </w:r>
            <w:r w:rsidRPr="00D44D91">
              <w:rPr>
                <w:rFonts w:ascii="Times New Roman" w:hAnsi="Times New Roman" w:cs="Times New Roman"/>
                <w:sz w:val="20"/>
              </w:rPr>
              <w:t>dyrektyw</w:t>
            </w:r>
            <w:r>
              <w:rPr>
                <w:rFonts w:ascii="Times New Roman" w:hAnsi="Times New Roman" w:cs="Times New Roman"/>
                <w:sz w:val="20"/>
              </w:rPr>
              <w:t>ie</w:t>
            </w:r>
            <w:r w:rsidRPr="00D44D91">
              <w:rPr>
                <w:rFonts w:ascii="Times New Roman" w:hAnsi="Times New Roman" w:cs="Times New Roman"/>
                <w:sz w:val="20"/>
              </w:rPr>
              <w:t xml:space="preserve"> 2023/2225</w:t>
            </w:r>
            <w:r>
              <w:rPr>
                <w:rFonts w:ascii="Times New Roman" w:hAnsi="Times New Roman" w:cs="Times New Roman"/>
                <w:sz w:val="20"/>
              </w:rPr>
              <w:t xml:space="preserve">. </w:t>
            </w:r>
            <w:r w:rsidRPr="00D44D91">
              <w:rPr>
                <w:rFonts w:ascii="Times New Roman" w:hAnsi="Times New Roman" w:cs="Times New Roman"/>
                <w:sz w:val="20"/>
              </w:rPr>
              <w:t xml:space="preserve">Obecnie wypracowano dobre praktyki w zakresie oferowania usług dodatkowych (tzw. VAS-ów), w celu samoregulowania rynku. Zakaz oferowania legalnych usług przez podmioty objęte zakresem ustawy jest zakazem zbyt daleko idącym, naruszający zasady swobody gospodarczej. </w:t>
            </w:r>
            <w:r w:rsidR="00BC2056" w:rsidRPr="00BC2056">
              <w:rPr>
                <w:rFonts w:ascii="Times New Roman" w:hAnsi="Times New Roman" w:cs="Times New Roman"/>
                <w:sz w:val="20"/>
              </w:rPr>
              <w:t>Stanowi nieuzasadnioną barierę dla nowych, innowacyjnych rozwiązań. Ogranicza nie tylko prawa przedsiębiorców, ale i konsumentów, których potrzeby oferowanie usług dodatkowych zaspokaja.</w:t>
            </w:r>
            <w:r w:rsidR="00BC2056">
              <w:rPr>
                <w:rFonts w:ascii="Times New Roman" w:hAnsi="Times New Roman" w:cs="Times New Roman"/>
                <w:sz w:val="20"/>
              </w:rPr>
              <w:t xml:space="preserve"> </w:t>
            </w:r>
            <w:r w:rsidRPr="00D44D91">
              <w:rPr>
                <w:rFonts w:ascii="Times New Roman" w:hAnsi="Times New Roman" w:cs="Times New Roman"/>
                <w:sz w:val="20"/>
              </w:rPr>
              <w:t>Jeśli organy nadzoru obserwują nieprawidłowości związane z oferowani</w:t>
            </w:r>
            <w:r w:rsidR="00581A2C">
              <w:rPr>
                <w:rFonts w:ascii="Times New Roman" w:hAnsi="Times New Roman" w:cs="Times New Roman"/>
                <w:sz w:val="20"/>
              </w:rPr>
              <w:t>em</w:t>
            </w:r>
            <w:r w:rsidRPr="00D44D91">
              <w:rPr>
                <w:rFonts w:ascii="Times New Roman" w:hAnsi="Times New Roman" w:cs="Times New Roman"/>
                <w:sz w:val="20"/>
              </w:rPr>
              <w:t xml:space="preserve"> usług, powinny </w:t>
            </w:r>
            <w:r w:rsidR="00E053BF">
              <w:rPr>
                <w:rFonts w:ascii="Times New Roman" w:hAnsi="Times New Roman" w:cs="Times New Roman"/>
                <w:sz w:val="20"/>
              </w:rPr>
              <w:t xml:space="preserve">po pierwsze przedstawić taką diagnozę w oparciu o badanie niepożądanych zjawisk, po drugie </w:t>
            </w:r>
            <w:r w:rsidRPr="00D44D91">
              <w:rPr>
                <w:rFonts w:ascii="Times New Roman" w:hAnsi="Times New Roman" w:cs="Times New Roman"/>
                <w:sz w:val="20"/>
              </w:rPr>
              <w:t xml:space="preserve">interweniować </w:t>
            </w:r>
            <w:r w:rsidR="00E053BF">
              <w:rPr>
                <w:rFonts w:ascii="Times New Roman" w:hAnsi="Times New Roman" w:cs="Times New Roman"/>
                <w:sz w:val="20"/>
              </w:rPr>
              <w:t>,,</w:t>
            </w:r>
            <w:r w:rsidRPr="00D44D91">
              <w:rPr>
                <w:rFonts w:ascii="Times New Roman" w:hAnsi="Times New Roman" w:cs="Times New Roman"/>
                <w:sz w:val="20"/>
              </w:rPr>
              <w:t>punktowo”, nie wprowadzać zakaz obejmujący wszystkich przedsiębiorców, do których znajdą zastosowanie przepisu ustawy.</w:t>
            </w:r>
            <w:r w:rsidR="00E053BF">
              <w:rPr>
                <w:rFonts w:ascii="Times New Roman" w:hAnsi="Times New Roman" w:cs="Times New Roman"/>
                <w:sz w:val="20"/>
              </w:rPr>
              <w:t xml:space="preserve"> Takie działanie jest praktyką nadregulacyjną. Postulujemy usunięcie projektowanego art. 17. </w:t>
            </w:r>
          </w:p>
        </w:tc>
      </w:tr>
      <w:tr w:rsidR="00517157" w:rsidRPr="00FF4480" w14:paraId="5DF921CA" w14:textId="77777777" w:rsidTr="00517157">
        <w:trPr>
          <w:trHeight w:val="356"/>
          <w:jc w:val="center"/>
        </w:trPr>
        <w:tc>
          <w:tcPr>
            <w:tcW w:w="594" w:type="dxa"/>
          </w:tcPr>
          <w:p w14:paraId="56734D56" w14:textId="77777777" w:rsidR="00517157" w:rsidRPr="00FF4480" w:rsidRDefault="00517157"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206AB017" w14:textId="0D609AEF" w:rsidR="00517157" w:rsidRDefault="00517157" w:rsidP="004A28E0">
            <w:pPr>
              <w:jc w:val="both"/>
              <w:rPr>
                <w:rFonts w:ascii="Times New Roman" w:hAnsi="Times New Roman" w:cs="Times New Roman"/>
                <w:sz w:val="20"/>
              </w:rPr>
            </w:pPr>
            <w:r>
              <w:rPr>
                <w:rFonts w:ascii="Times New Roman" w:hAnsi="Times New Roman" w:cs="Times New Roman"/>
                <w:sz w:val="20"/>
              </w:rPr>
              <w:t xml:space="preserve">Art. 18 ust. 2 </w:t>
            </w:r>
          </w:p>
        </w:tc>
        <w:tc>
          <w:tcPr>
            <w:tcW w:w="2832" w:type="dxa"/>
            <w:vAlign w:val="center"/>
          </w:tcPr>
          <w:p w14:paraId="37F21FA6" w14:textId="66DB94DA" w:rsidR="00517157" w:rsidRPr="00E200A5" w:rsidRDefault="00517157" w:rsidP="00E200A5">
            <w:pPr>
              <w:jc w:val="center"/>
              <w:rPr>
                <w:rFonts w:ascii="Times New Roman" w:hAnsi="Times New Roman" w:cs="Times New Roman"/>
                <w:sz w:val="20"/>
              </w:rPr>
            </w:pPr>
            <w:r>
              <w:rPr>
                <w:rFonts w:ascii="Times New Roman" w:hAnsi="Times New Roman" w:cs="Times New Roman"/>
                <w:sz w:val="20"/>
              </w:rPr>
              <w:t>Konfederacja Lewiatan</w:t>
            </w:r>
          </w:p>
        </w:tc>
        <w:tc>
          <w:tcPr>
            <w:tcW w:w="8467" w:type="dxa"/>
            <w:vAlign w:val="center"/>
          </w:tcPr>
          <w:p w14:paraId="5EB4ED1C" w14:textId="74D34AE0" w:rsidR="00517157" w:rsidRDefault="00517157" w:rsidP="004A28E0">
            <w:pPr>
              <w:jc w:val="both"/>
              <w:rPr>
                <w:rFonts w:ascii="Times New Roman" w:hAnsi="Times New Roman" w:cs="Times New Roman"/>
                <w:sz w:val="20"/>
              </w:rPr>
            </w:pPr>
            <w:r>
              <w:rPr>
                <w:rFonts w:ascii="Times New Roman" w:hAnsi="Times New Roman" w:cs="Times New Roman"/>
                <w:sz w:val="20"/>
              </w:rPr>
              <w:t xml:space="preserve">Należy dopisać do przedmiotowego art. 18 ust. 2 projektu zwrot </w:t>
            </w:r>
            <w:proofErr w:type="gramStart"/>
            <w:r>
              <w:rPr>
                <w:rFonts w:ascii="Times New Roman" w:hAnsi="Times New Roman" w:cs="Times New Roman"/>
                <w:sz w:val="20"/>
              </w:rPr>
              <w:t>,,</w:t>
            </w:r>
            <w:proofErr w:type="gramEnd"/>
            <w:r>
              <w:rPr>
                <w:rFonts w:ascii="Times New Roman" w:hAnsi="Times New Roman" w:cs="Times New Roman"/>
                <w:sz w:val="20"/>
              </w:rPr>
              <w:t>lub elektronicznej”</w:t>
            </w:r>
            <w:r w:rsidRPr="00517157">
              <w:rPr>
                <w:rFonts w:ascii="Times New Roman" w:hAnsi="Times New Roman" w:cs="Times New Roman"/>
                <w:sz w:val="20"/>
              </w:rPr>
              <w:t xml:space="preserve"> (np. na tablecie/komputerze/mailowo w dniu wizyty klienta w lokalu). Pozostawienie obecnej treści może powodować obowiązek każdorazowego drukowania aktualnej wersji papierowej. W dobie digitalizacji ta forma zaprezentowania treści powinna być zrealizowana papierowo lub elektronicznie wg prośby/ wyboru </w:t>
            </w:r>
            <w:r>
              <w:rPr>
                <w:rFonts w:ascii="Times New Roman" w:hAnsi="Times New Roman" w:cs="Times New Roman"/>
                <w:sz w:val="20"/>
              </w:rPr>
              <w:t>k</w:t>
            </w:r>
            <w:r w:rsidRPr="00517157">
              <w:rPr>
                <w:rFonts w:ascii="Times New Roman" w:hAnsi="Times New Roman" w:cs="Times New Roman"/>
                <w:sz w:val="20"/>
              </w:rPr>
              <w:t xml:space="preserve">lienta. </w:t>
            </w:r>
          </w:p>
        </w:tc>
      </w:tr>
      <w:tr w:rsidR="00EC16AA" w:rsidRPr="00FF4480" w14:paraId="562445BE" w14:textId="77777777" w:rsidTr="00517157">
        <w:trPr>
          <w:trHeight w:val="356"/>
          <w:jc w:val="center"/>
        </w:trPr>
        <w:tc>
          <w:tcPr>
            <w:tcW w:w="594" w:type="dxa"/>
          </w:tcPr>
          <w:p w14:paraId="7445ED20" w14:textId="77777777" w:rsidR="00EC16AA" w:rsidRPr="00FF4480" w:rsidRDefault="00EC16A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39A6E7D3" w14:textId="2BA6605A" w:rsidR="00EC16AA" w:rsidRDefault="00EC16AA" w:rsidP="004A28E0">
            <w:pPr>
              <w:jc w:val="both"/>
              <w:rPr>
                <w:rFonts w:ascii="Times New Roman" w:hAnsi="Times New Roman" w:cs="Times New Roman"/>
                <w:sz w:val="20"/>
              </w:rPr>
            </w:pPr>
            <w:r>
              <w:rPr>
                <w:rFonts w:ascii="Times New Roman" w:hAnsi="Times New Roman" w:cs="Times New Roman"/>
                <w:sz w:val="20"/>
              </w:rPr>
              <w:t xml:space="preserve">Art. 19 ust. 1 pkt </w:t>
            </w:r>
            <w:r w:rsidR="00B033E4">
              <w:rPr>
                <w:rFonts w:ascii="Times New Roman" w:hAnsi="Times New Roman" w:cs="Times New Roman"/>
                <w:sz w:val="20"/>
              </w:rPr>
              <w:t>2</w:t>
            </w:r>
            <w:r>
              <w:rPr>
                <w:rFonts w:ascii="Times New Roman" w:hAnsi="Times New Roman" w:cs="Times New Roman"/>
                <w:sz w:val="20"/>
              </w:rPr>
              <w:t xml:space="preserve"> lit. </w:t>
            </w:r>
            <w:r w:rsidR="00B033E4">
              <w:rPr>
                <w:rFonts w:ascii="Times New Roman" w:hAnsi="Times New Roman" w:cs="Times New Roman"/>
                <w:sz w:val="20"/>
              </w:rPr>
              <w:t>p</w:t>
            </w:r>
          </w:p>
        </w:tc>
        <w:tc>
          <w:tcPr>
            <w:tcW w:w="2832" w:type="dxa"/>
            <w:vAlign w:val="center"/>
          </w:tcPr>
          <w:p w14:paraId="53186597" w14:textId="25CA1BE2" w:rsidR="00EC16AA" w:rsidRDefault="00B033E4" w:rsidP="00E200A5">
            <w:pPr>
              <w:jc w:val="center"/>
              <w:rPr>
                <w:rFonts w:ascii="Times New Roman" w:hAnsi="Times New Roman" w:cs="Times New Roman"/>
                <w:sz w:val="20"/>
              </w:rPr>
            </w:pPr>
            <w:r>
              <w:rPr>
                <w:rFonts w:ascii="Times New Roman" w:hAnsi="Times New Roman" w:cs="Times New Roman"/>
                <w:sz w:val="20"/>
              </w:rPr>
              <w:t>Konfederacja Lewiatan</w:t>
            </w:r>
          </w:p>
        </w:tc>
        <w:tc>
          <w:tcPr>
            <w:tcW w:w="8467" w:type="dxa"/>
            <w:vAlign w:val="center"/>
          </w:tcPr>
          <w:p w14:paraId="69FE26D2" w14:textId="65436238" w:rsidR="00EC16AA" w:rsidRDefault="00B033E4" w:rsidP="004A28E0">
            <w:pPr>
              <w:jc w:val="both"/>
              <w:rPr>
                <w:rFonts w:ascii="Times New Roman" w:hAnsi="Times New Roman" w:cs="Times New Roman"/>
                <w:sz w:val="20"/>
              </w:rPr>
            </w:pPr>
            <w:r>
              <w:rPr>
                <w:rFonts w:ascii="Times New Roman" w:hAnsi="Times New Roman" w:cs="Times New Roman"/>
                <w:sz w:val="20"/>
              </w:rPr>
              <w:t>Propozycja techniczna (uzupełniająca) zmiany fragmentu projektowanego przepisu na</w:t>
            </w:r>
            <w:proofErr w:type="gramStart"/>
            <w:r>
              <w:rPr>
                <w:rFonts w:ascii="Times New Roman" w:hAnsi="Times New Roman" w:cs="Times New Roman"/>
                <w:sz w:val="20"/>
              </w:rPr>
              <w:t>: ,,</w:t>
            </w:r>
            <w:r w:rsidRPr="00B033E4">
              <w:rPr>
                <w:rFonts w:ascii="Times New Roman" w:hAnsi="Times New Roman" w:cs="Times New Roman"/>
                <w:sz w:val="20"/>
              </w:rPr>
              <w:t>lub</w:t>
            </w:r>
            <w:proofErr w:type="gramEnd"/>
            <w:r w:rsidRPr="00B033E4">
              <w:rPr>
                <w:rFonts w:ascii="Times New Roman" w:hAnsi="Times New Roman" w:cs="Times New Roman"/>
                <w:sz w:val="20"/>
              </w:rPr>
              <w:t xml:space="preserve"> nienależytego wykonania</w:t>
            </w:r>
            <w:r>
              <w:rPr>
                <w:rFonts w:ascii="Times New Roman" w:hAnsi="Times New Roman" w:cs="Times New Roman"/>
                <w:sz w:val="20"/>
              </w:rPr>
              <w:t xml:space="preserve"> </w:t>
            </w:r>
            <w:r w:rsidRPr="00B033E4">
              <w:rPr>
                <w:rFonts w:ascii="Times New Roman" w:hAnsi="Times New Roman" w:cs="Times New Roman"/>
                <w:sz w:val="20"/>
              </w:rPr>
              <w:t>zobowiązań</w:t>
            </w:r>
            <w:r>
              <w:rPr>
                <w:rFonts w:ascii="Times New Roman" w:hAnsi="Times New Roman" w:cs="Times New Roman"/>
                <w:sz w:val="20"/>
              </w:rPr>
              <w:t>”.</w:t>
            </w:r>
          </w:p>
        </w:tc>
      </w:tr>
      <w:tr w:rsidR="00E200A5" w:rsidRPr="00FF4480" w14:paraId="6E5EF62D" w14:textId="77777777" w:rsidTr="00517157">
        <w:trPr>
          <w:trHeight w:val="356"/>
          <w:jc w:val="center"/>
        </w:trPr>
        <w:tc>
          <w:tcPr>
            <w:tcW w:w="594" w:type="dxa"/>
          </w:tcPr>
          <w:p w14:paraId="7F81AE76"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2D0EF39B" w14:textId="3D200239" w:rsidR="00E200A5" w:rsidRPr="00FF4480" w:rsidRDefault="00D32FDA" w:rsidP="004A28E0">
            <w:pPr>
              <w:jc w:val="both"/>
              <w:rPr>
                <w:rFonts w:ascii="Times New Roman" w:hAnsi="Times New Roman" w:cs="Times New Roman"/>
                <w:sz w:val="20"/>
              </w:rPr>
            </w:pPr>
            <w:r w:rsidRPr="00D32FDA">
              <w:rPr>
                <w:rFonts w:ascii="Times New Roman" w:hAnsi="Times New Roman" w:cs="Times New Roman"/>
                <w:sz w:val="20"/>
              </w:rPr>
              <w:t>Art. 19 ust. 4</w:t>
            </w:r>
          </w:p>
        </w:tc>
        <w:tc>
          <w:tcPr>
            <w:tcW w:w="2832" w:type="dxa"/>
            <w:vAlign w:val="center"/>
          </w:tcPr>
          <w:p w14:paraId="31A45C33" w14:textId="3CF4486F"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0971D0AB" w14:textId="1DCA5428" w:rsidR="00E200A5" w:rsidRPr="00FF4480" w:rsidRDefault="00D32FDA" w:rsidP="004A28E0">
            <w:pPr>
              <w:jc w:val="both"/>
              <w:rPr>
                <w:rFonts w:ascii="Times New Roman" w:hAnsi="Times New Roman" w:cs="Times New Roman"/>
                <w:sz w:val="20"/>
              </w:rPr>
            </w:pPr>
            <w:r w:rsidRPr="00D32FDA">
              <w:rPr>
                <w:rFonts w:ascii="Times New Roman" w:hAnsi="Times New Roman" w:cs="Times New Roman"/>
                <w:sz w:val="20"/>
              </w:rPr>
              <w:t>Mając na uwadze przebieg procesu kredytowego, możliwość odstąpienia klienta od wnioskowania o kredyt</w:t>
            </w:r>
            <w:r>
              <w:rPr>
                <w:rFonts w:ascii="Times New Roman" w:hAnsi="Times New Roman" w:cs="Times New Roman"/>
                <w:sz w:val="20"/>
              </w:rPr>
              <w:t xml:space="preserve"> i</w:t>
            </w:r>
            <w:r w:rsidRPr="00D32FDA">
              <w:rPr>
                <w:rFonts w:ascii="Times New Roman" w:hAnsi="Times New Roman" w:cs="Times New Roman"/>
                <w:sz w:val="20"/>
              </w:rPr>
              <w:t xml:space="preserve"> powrót do wnioskowania w dowolnej chwili, nie jest możliwe utrzymanie wszystkich informacji zawartych w formularzu bez zmian przez okres 3 dni. Z dnia na dzień może zmienić się stawka referencyjna będąca podstawą oferowanego oprocentowania. Kolejnego dnia będą też inne będą terminy spłaty</w:t>
            </w:r>
            <w:r>
              <w:rPr>
                <w:rFonts w:ascii="Times New Roman" w:hAnsi="Times New Roman" w:cs="Times New Roman"/>
                <w:sz w:val="20"/>
              </w:rPr>
              <w:t>,</w:t>
            </w:r>
            <w:r w:rsidRPr="00D32FDA">
              <w:rPr>
                <w:rFonts w:ascii="Times New Roman" w:hAnsi="Times New Roman" w:cs="Times New Roman"/>
                <w:sz w:val="20"/>
              </w:rPr>
              <w:t xml:space="preserve"> a także co za tym idzie wysokości rat z uwagi na inne okresy naliczania odsetek - a częścią przekazywanych danych ma </w:t>
            </w:r>
            <w:proofErr w:type="gramStart"/>
            <w:r w:rsidRPr="00D32FDA">
              <w:rPr>
                <w:rFonts w:ascii="Times New Roman" w:hAnsi="Times New Roman" w:cs="Times New Roman"/>
                <w:sz w:val="20"/>
              </w:rPr>
              <w:t>być  harmonogram</w:t>
            </w:r>
            <w:proofErr w:type="gramEnd"/>
            <w:r w:rsidRPr="00D32FDA">
              <w:rPr>
                <w:rFonts w:ascii="Times New Roman" w:hAnsi="Times New Roman" w:cs="Times New Roman"/>
                <w:sz w:val="20"/>
              </w:rPr>
              <w:t xml:space="preserve"> (art. 19 ust. 1 pkt 2) lit. q)). W zw. z tym aktualność wszystkich danych zawartych w formularzu informacyjnym nie może być dłuższa niż jeden dzień. Jeden dzień wprowadza także obecnie obowiązująca ustaw o kredycie konsumenckim.</w:t>
            </w:r>
          </w:p>
        </w:tc>
      </w:tr>
      <w:tr w:rsidR="00E200A5" w:rsidRPr="00FF4480" w14:paraId="6F0076D9" w14:textId="77777777" w:rsidTr="00517157">
        <w:trPr>
          <w:trHeight w:val="356"/>
          <w:jc w:val="center"/>
        </w:trPr>
        <w:tc>
          <w:tcPr>
            <w:tcW w:w="594" w:type="dxa"/>
          </w:tcPr>
          <w:p w14:paraId="4C17162E"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6EE8901C" w14:textId="77777777" w:rsidR="00E200A5" w:rsidRDefault="00D32FDA" w:rsidP="004A28E0">
            <w:pPr>
              <w:jc w:val="both"/>
              <w:rPr>
                <w:rFonts w:ascii="Times New Roman" w:hAnsi="Times New Roman" w:cs="Times New Roman"/>
                <w:sz w:val="20"/>
              </w:rPr>
            </w:pPr>
            <w:r>
              <w:rPr>
                <w:rFonts w:ascii="Times New Roman" w:hAnsi="Times New Roman" w:cs="Times New Roman"/>
                <w:sz w:val="20"/>
              </w:rPr>
              <w:t>Art. 19 ust. 9</w:t>
            </w:r>
          </w:p>
          <w:p w14:paraId="2CBACA0A" w14:textId="1AA767E6" w:rsidR="00256036" w:rsidRPr="00FF4480" w:rsidRDefault="00256036" w:rsidP="004A28E0">
            <w:pPr>
              <w:jc w:val="both"/>
              <w:rPr>
                <w:rFonts w:ascii="Times New Roman" w:hAnsi="Times New Roman" w:cs="Times New Roman"/>
                <w:sz w:val="20"/>
              </w:rPr>
            </w:pPr>
            <w:r>
              <w:rPr>
                <w:rFonts w:ascii="Times New Roman" w:hAnsi="Times New Roman" w:cs="Times New Roman"/>
                <w:sz w:val="20"/>
              </w:rPr>
              <w:t>Art. 23 ust. 4</w:t>
            </w:r>
          </w:p>
        </w:tc>
        <w:tc>
          <w:tcPr>
            <w:tcW w:w="2832" w:type="dxa"/>
            <w:vAlign w:val="center"/>
          </w:tcPr>
          <w:p w14:paraId="14E5A79E" w14:textId="592E795D"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7D0F8C7E" w14:textId="77777777" w:rsidR="00E200A5" w:rsidRDefault="00D32FDA" w:rsidP="004A28E0">
            <w:pPr>
              <w:jc w:val="both"/>
              <w:rPr>
                <w:rFonts w:ascii="Times New Roman" w:hAnsi="Times New Roman" w:cs="Times New Roman"/>
                <w:sz w:val="20"/>
              </w:rPr>
            </w:pPr>
            <w:r w:rsidRPr="00D32FDA">
              <w:rPr>
                <w:rFonts w:ascii="Times New Roman" w:hAnsi="Times New Roman" w:cs="Times New Roman"/>
                <w:sz w:val="20"/>
              </w:rPr>
              <w:t xml:space="preserve">Komunikaty głosowe nie są jedyną formą komunikacji na odległość, która uniemożliwia bądź znacznie utrudnia przekazywanie. W związku z tym racjonalne jest rozciągnięcie wyłączenia znajdującego zastosowanie dla komunikatów głosowych także na te inne </w:t>
            </w:r>
            <w:proofErr w:type="gramStart"/>
            <w:r w:rsidRPr="00D32FDA">
              <w:rPr>
                <w:rFonts w:ascii="Times New Roman" w:hAnsi="Times New Roman" w:cs="Times New Roman"/>
                <w:sz w:val="20"/>
              </w:rPr>
              <w:t>kanały</w:t>
            </w:r>
            <w:proofErr w:type="gramEnd"/>
            <w:r w:rsidRPr="00D32FDA">
              <w:rPr>
                <w:rFonts w:ascii="Times New Roman" w:hAnsi="Times New Roman" w:cs="Times New Roman"/>
                <w:sz w:val="20"/>
              </w:rPr>
              <w:t xml:space="preserve"> w których na wniosek klienta zawierana jest umowa o kredyt, a nie jest możliwe spełnienie obowiązków informacyjnych przed </w:t>
            </w:r>
            <w:r w:rsidRPr="00D32FDA">
              <w:rPr>
                <w:rFonts w:ascii="Times New Roman" w:hAnsi="Times New Roman" w:cs="Times New Roman"/>
                <w:sz w:val="20"/>
              </w:rPr>
              <w:lastRenderedPageBreak/>
              <w:t>zawarciem umowy. Dokładnie taki wyjątek znajduje się w obecnej ustawie o kredycie konsumenckim w art. 15 ust. 1.</w:t>
            </w:r>
          </w:p>
          <w:p w14:paraId="4E0650DD" w14:textId="77777777" w:rsidR="00D32FDA" w:rsidRDefault="00D32FDA" w:rsidP="004A28E0">
            <w:pPr>
              <w:jc w:val="both"/>
              <w:rPr>
                <w:rFonts w:ascii="Times New Roman" w:hAnsi="Times New Roman" w:cs="Times New Roman"/>
                <w:sz w:val="20"/>
              </w:rPr>
            </w:pPr>
          </w:p>
          <w:p w14:paraId="29462CA7" w14:textId="1C9C8592" w:rsidR="00D32FDA" w:rsidRDefault="00D32FDA" w:rsidP="004A28E0">
            <w:pPr>
              <w:jc w:val="both"/>
              <w:rPr>
                <w:rFonts w:ascii="Times New Roman" w:hAnsi="Times New Roman" w:cs="Times New Roman"/>
                <w:sz w:val="20"/>
              </w:rPr>
            </w:pPr>
            <w:r>
              <w:rPr>
                <w:rFonts w:ascii="Times New Roman" w:hAnsi="Times New Roman" w:cs="Times New Roman"/>
                <w:sz w:val="20"/>
              </w:rPr>
              <w:t xml:space="preserve">Rekomendowany art. 19 ust. 9 projektu mógłby brzmieć zatem: </w:t>
            </w:r>
          </w:p>
          <w:p w14:paraId="5C719B85" w14:textId="77777777" w:rsidR="00D32FDA" w:rsidRPr="001014F6" w:rsidRDefault="00D32FDA" w:rsidP="004A28E0">
            <w:pPr>
              <w:jc w:val="both"/>
              <w:rPr>
                <w:rFonts w:ascii="Times New Roman" w:hAnsi="Times New Roman" w:cs="Times New Roman"/>
                <w:sz w:val="20"/>
              </w:rPr>
            </w:pPr>
            <w:proofErr w:type="gramStart"/>
            <w:r w:rsidRPr="001014F6">
              <w:rPr>
                <w:rFonts w:ascii="Times New Roman" w:hAnsi="Times New Roman" w:cs="Times New Roman"/>
                <w:sz w:val="20"/>
              </w:rPr>
              <w:t>,,</w:t>
            </w:r>
            <w:proofErr w:type="gramEnd"/>
            <w:r w:rsidRPr="001014F6">
              <w:rPr>
                <w:rFonts w:ascii="Times New Roman" w:hAnsi="Times New Roman" w:cs="Times New Roman"/>
                <w:sz w:val="20"/>
              </w:rPr>
              <w:t>W przypadku, o którym mowa w ust. 8, oraz w przypadku zawierania na wniosek klienta, umowy na odległość, jeżeli środek porozumiewania się na odległość nie pozwala na przekazanie danych o których mowa w ust. 1 niezwłocznie po zawarciu umowy o kredyt konsumencki kredytodawca lub pośrednik kredytowy dostarcza bezpłatnie konsumentowi, na trwałym nośniku, formularz informacyjny, o którym mowa w ust. 1.”</w:t>
            </w:r>
          </w:p>
          <w:p w14:paraId="707206FD" w14:textId="77777777" w:rsidR="00256036" w:rsidRDefault="00256036" w:rsidP="004A28E0">
            <w:pPr>
              <w:jc w:val="both"/>
              <w:rPr>
                <w:rFonts w:ascii="Times New Roman" w:hAnsi="Times New Roman" w:cs="Times New Roman"/>
                <w:i/>
                <w:iCs/>
                <w:sz w:val="20"/>
              </w:rPr>
            </w:pPr>
          </w:p>
          <w:p w14:paraId="495C24E6" w14:textId="42731C36" w:rsidR="00256036" w:rsidRPr="00256036" w:rsidRDefault="00256036" w:rsidP="004A28E0">
            <w:pPr>
              <w:jc w:val="both"/>
              <w:rPr>
                <w:rFonts w:ascii="Times New Roman" w:hAnsi="Times New Roman" w:cs="Times New Roman"/>
                <w:sz w:val="20"/>
              </w:rPr>
            </w:pPr>
            <w:r>
              <w:rPr>
                <w:rFonts w:ascii="Times New Roman" w:hAnsi="Times New Roman" w:cs="Times New Roman"/>
                <w:sz w:val="20"/>
              </w:rPr>
              <w:t xml:space="preserve">Analogiczne uwagi należy poczynić względem art. 23 ust. 4 projektu. </w:t>
            </w:r>
          </w:p>
        </w:tc>
      </w:tr>
      <w:tr w:rsidR="00E200A5" w:rsidRPr="00FF4480" w14:paraId="517B9ECD" w14:textId="77777777" w:rsidTr="00517157">
        <w:trPr>
          <w:trHeight w:val="356"/>
          <w:jc w:val="center"/>
        </w:trPr>
        <w:tc>
          <w:tcPr>
            <w:tcW w:w="594" w:type="dxa"/>
          </w:tcPr>
          <w:p w14:paraId="7FDC673A"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45711AC6" w14:textId="248F6DFB" w:rsidR="00E200A5" w:rsidRPr="00FF4480" w:rsidRDefault="00B033E4" w:rsidP="004A28E0">
            <w:pPr>
              <w:jc w:val="both"/>
              <w:rPr>
                <w:rFonts w:ascii="Times New Roman" w:hAnsi="Times New Roman" w:cs="Times New Roman"/>
                <w:sz w:val="20"/>
              </w:rPr>
            </w:pPr>
            <w:r>
              <w:rPr>
                <w:rFonts w:ascii="Times New Roman" w:hAnsi="Times New Roman" w:cs="Times New Roman"/>
                <w:sz w:val="20"/>
              </w:rPr>
              <w:t>Art. 24</w:t>
            </w:r>
          </w:p>
        </w:tc>
        <w:tc>
          <w:tcPr>
            <w:tcW w:w="2832" w:type="dxa"/>
            <w:vAlign w:val="center"/>
          </w:tcPr>
          <w:p w14:paraId="1F1CFDC4" w14:textId="1151DA6D"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364007E5" w14:textId="5561DB8F" w:rsidR="00E200A5" w:rsidRPr="00FF4480" w:rsidRDefault="00B033E4" w:rsidP="004A28E0">
            <w:pPr>
              <w:jc w:val="both"/>
              <w:rPr>
                <w:rFonts w:ascii="Times New Roman" w:hAnsi="Times New Roman" w:cs="Times New Roman"/>
                <w:sz w:val="20"/>
              </w:rPr>
            </w:pPr>
            <w:r w:rsidRPr="00B033E4">
              <w:rPr>
                <w:rFonts w:ascii="Times New Roman" w:hAnsi="Times New Roman" w:cs="Times New Roman"/>
                <w:sz w:val="20"/>
              </w:rPr>
              <w:t>Propozycja techniczna (</w:t>
            </w:r>
            <w:r>
              <w:rPr>
                <w:rFonts w:ascii="Times New Roman" w:hAnsi="Times New Roman" w:cs="Times New Roman"/>
                <w:sz w:val="20"/>
              </w:rPr>
              <w:t>redakcyjna</w:t>
            </w:r>
            <w:r w:rsidRPr="00B033E4">
              <w:rPr>
                <w:rFonts w:ascii="Times New Roman" w:hAnsi="Times New Roman" w:cs="Times New Roman"/>
                <w:sz w:val="20"/>
              </w:rPr>
              <w:t>) zmiany fragmentu projektowanego przepisu na</w:t>
            </w:r>
            <w:proofErr w:type="gramStart"/>
            <w:r w:rsidRPr="00B033E4">
              <w:rPr>
                <w:rFonts w:ascii="Times New Roman" w:hAnsi="Times New Roman" w:cs="Times New Roman"/>
                <w:sz w:val="20"/>
              </w:rPr>
              <w:t>: ,,jeżeli</w:t>
            </w:r>
            <w:proofErr w:type="gramEnd"/>
            <w:r w:rsidRPr="00B033E4">
              <w:rPr>
                <w:rFonts w:ascii="Times New Roman" w:hAnsi="Times New Roman" w:cs="Times New Roman"/>
                <w:sz w:val="20"/>
              </w:rPr>
              <w:t xml:space="preserve"> w ocenie kredytodawcy spełnia on warunki do zawarcia umowy o odroczenie płatności lub zmianę sposobu spłaty</w:t>
            </w:r>
            <w:r>
              <w:rPr>
                <w:rFonts w:ascii="Times New Roman" w:hAnsi="Times New Roman" w:cs="Times New Roman"/>
                <w:sz w:val="20"/>
              </w:rPr>
              <w:t xml:space="preserve">”. </w:t>
            </w:r>
          </w:p>
        </w:tc>
      </w:tr>
      <w:tr w:rsidR="00E200A5" w:rsidRPr="00FF4480" w14:paraId="29B682C7" w14:textId="77777777" w:rsidTr="00517157">
        <w:trPr>
          <w:trHeight w:val="356"/>
          <w:jc w:val="center"/>
        </w:trPr>
        <w:tc>
          <w:tcPr>
            <w:tcW w:w="594" w:type="dxa"/>
          </w:tcPr>
          <w:p w14:paraId="3C2C557D"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0BD87F18" w14:textId="5C7FC214" w:rsidR="00E200A5" w:rsidRPr="00FF4480" w:rsidRDefault="00E02DDD" w:rsidP="004A28E0">
            <w:pPr>
              <w:jc w:val="both"/>
              <w:rPr>
                <w:rFonts w:ascii="Times New Roman" w:hAnsi="Times New Roman" w:cs="Times New Roman"/>
                <w:sz w:val="20"/>
              </w:rPr>
            </w:pPr>
            <w:r>
              <w:rPr>
                <w:rFonts w:ascii="Times New Roman" w:hAnsi="Times New Roman" w:cs="Times New Roman"/>
                <w:sz w:val="20"/>
              </w:rPr>
              <w:t>Art. 29</w:t>
            </w:r>
            <w:r w:rsidR="00C45780">
              <w:rPr>
                <w:rFonts w:ascii="Times New Roman" w:hAnsi="Times New Roman" w:cs="Times New Roman"/>
                <w:sz w:val="20"/>
              </w:rPr>
              <w:t xml:space="preserve"> ust. 2</w:t>
            </w:r>
            <w:r w:rsidR="006C27A4">
              <w:rPr>
                <w:rFonts w:ascii="Times New Roman" w:hAnsi="Times New Roman" w:cs="Times New Roman"/>
                <w:sz w:val="20"/>
              </w:rPr>
              <w:t xml:space="preserve">, </w:t>
            </w:r>
            <w:r w:rsidR="00C45780">
              <w:rPr>
                <w:rFonts w:ascii="Times New Roman" w:hAnsi="Times New Roman" w:cs="Times New Roman"/>
                <w:sz w:val="20"/>
              </w:rPr>
              <w:t>art. 30 ust. 1</w:t>
            </w:r>
          </w:p>
        </w:tc>
        <w:tc>
          <w:tcPr>
            <w:tcW w:w="2832" w:type="dxa"/>
            <w:vAlign w:val="center"/>
          </w:tcPr>
          <w:p w14:paraId="0B9077AA" w14:textId="47A5207F"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17E035A8" w14:textId="77777777" w:rsidR="00C45780" w:rsidRDefault="00C45780" w:rsidP="004A28E0">
            <w:pPr>
              <w:jc w:val="both"/>
              <w:rPr>
                <w:rFonts w:ascii="Times New Roman" w:hAnsi="Times New Roman" w:cs="Times New Roman"/>
                <w:sz w:val="20"/>
              </w:rPr>
            </w:pPr>
          </w:p>
          <w:p w14:paraId="6B1909B2" w14:textId="3A09DDF7" w:rsidR="00C45780" w:rsidRPr="00733E51" w:rsidRDefault="00C45780" w:rsidP="00C45780">
            <w:pPr>
              <w:pStyle w:val="Akapitzlist"/>
              <w:numPr>
                <w:ilvl w:val="0"/>
                <w:numId w:val="11"/>
              </w:numPr>
              <w:jc w:val="both"/>
              <w:rPr>
                <w:rFonts w:ascii="Times New Roman" w:hAnsi="Times New Roman" w:cs="Times New Roman"/>
                <w:sz w:val="20"/>
              </w:rPr>
            </w:pPr>
            <w:r w:rsidRPr="00733E51">
              <w:rPr>
                <w:rFonts w:ascii="Times New Roman" w:hAnsi="Times New Roman" w:cs="Times New Roman"/>
                <w:sz w:val="20"/>
              </w:rPr>
              <w:t>Postulujemy</w:t>
            </w:r>
            <w:r w:rsidR="00537F1C" w:rsidRPr="00733E51">
              <w:rPr>
                <w:rFonts w:ascii="Times New Roman" w:hAnsi="Times New Roman" w:cs="Times New Roman"/>
                <w:sz w:val="20"/>
              </w:rPr>
              <w:t>, na wypadek nie uwzględnienia uwagi opisanej w pkt. II,</w:t>
            </w:r>
            <w:r w:rsidRPr="00733E51">
              <w:rPr>
                <w:rFonts w:ascii="Times New Roman" w:hAnsi="Times New Roman" w:cs="Times New Roman"/>
                <w:sz w:val="20"/>
              </w:rPr>
              <w:t xml:space="preserve"> w art. 30 ust. 1 projektu zmianę zwrotu ,,dokładnych” by oddać sens brzmienia z wersji angielskiej dyrektywy (,,shall be carried out on the basis of relevant and accurate </w:t>
            </w:r>
            <w:proofErr w:type="gramStart"/>
            <w:r w:rsidRPr="00733E51">
              <w:rPr>
                <w:rFonts w:ascii="Times New Roman" w:hAnsi="Times New Roman" w:cs="Times New Roman"/>
                <w:sz w:val="20"/>
              </w:rPr>
              <w:t>information ”</w:t>
            </w:r>
            <w:proofErr w:type="gramEnd"/>
            <w:r w:rsidRPr="00733E51">
              <w:rPr>
                <w:rFonts w:ascii="Times New Roman" w:hAnsi="Times New Roman" w:cs="Times New Roman"/>
                <w:sz w:val="20"/>
              </w:rPr>
              <w:t>). “Accurate” to nie to samo, co “precise” lub “exact”. Bardziej adekwatnym tłumaczeniem byłoby “odpowiedni”. Poza tym, w polskiej wersji ustawy zabrakło elementu “stosowności” informacji (“relevant”) stąd</w:t>
            </w:r>
            <w:proofErr w:type="gramStart"/>
            <w:r w:rsidRPr="00733E51">
              <w:rPr>
                <w:rFonts w:ascii="Times New Roman" w:hAnsi="Times New Roman" w:cs="Times New Roman"/>
                <w:sz w:val="20"/>
              </w:rPr>
              <w:t>: ,,Kredytodawca</w:t>
            </w:r>
            <w:proofErr w:type="gramEnd"/>
            <w:r w:rsidRPr="00733E51">
              <w:rPr>
                <w:rFonts w:ascii="Times New Roman" w:hAnsi="Times New Roman" w:cs="Times New Roman"/>
                <w:sz w:val="20"/>
              </w:rPr>
              <w:t xml:space="preserve"> dokonuje oceny zdolności kredytowej na podstawie stosownych i odpowiednich informacji […]”.</w:t>
            </w:r>
          </w:p>
          <w:p w14:paraId="5F3C3B8D" w14:textId="77777777" w:rsidR="00C45780" w:rsidRDefault="00C45780" w:rsidP="00C45780">
            <w:pPr>
              <w:pStyle w:val="Akapitzlist"/>
              <w:ind w:left="1080"/>
              <w:jc w:val="both"/>
              <w:rPr>
                <w:rFonts w:ascii="Times New Roman" w:hAnsi="Times New Roman" w:cs="Times New Roman"/>
                <w:sz w:val="20"/>
              </w:rPr>
            </w:pPr>
          </w:p>
          <w:p w14:paraId="198B4756" w14:textId="0BAA2BC4" w:rsidR="00C45780" w:rsidRDefault="00C45780" w:rsidP="00C45780">
            <w:pPr>
              <w:pStyle w:val="Akapitzlist"/>
              <w:numPr>
                <w:ilvl w:val="0"/>
                <w:numId w:val="11"/>
              </w:numPr>
              <w:jc w:val="both"/>
              <w:rPr>
                <w:rFonts w:ascii="Times New Roman" w:hAnsi="Times New Roman" w:cs="Times New Roman"/>
                <w:sz w:val="20"/>
              </w:rPr>
            </w:pPr>
            <w:r>
              <w:rPr>
                <w:rFonts w:ascii="Times New Roman" w:hAnsi="Times New Roman" w:cs="Times New Roman"/>
                <w:sz w:val="20"/>
              </w:rPr>
              <w:t xml:space="preserve">Niniejsza uwaga dotyczy art. 29 ust. 2, art. 30 ust. 1. Sformułowania użyte w tych przepisach, będące literalnym przepisaniem </w:t>
            </w:r>
            <w:r w:rsidRPr="00C45780">
              <w:rPr>
                <w:rFonts w:ascii="Times New Roman" w:hAnsi="Times New Roman" w:cs="Times New Roman"/>
                <w:sz w:val="20"/>
              </w:rPr>
              <w:t>dyrektywy 2023/2225</w:t>
            </w:r>
            <w:r>
              <w:rPr>
                <w:rFonts w:ascii="Times New Roman" w:hAnsi="Times New Roman" w:cs="Times New Roman"/>
                <w:sz w:val="20"/>
              </w:rPr>
              <w:t>, są wyjątkowo ogólne, wyjątkowo podatne na interpretację, a w niektórych przypadkach nie mające nawet odpowiednika w świecie realnym np.: s</w:t>
            </w:r>
            <w:r w:rsidRPr="00C45780">
              <w:rPr>
                <w:rFonts w:ascii="Times New Roman" w:hAnsi="Times New Roman" w:cs="Times New Roman"/>
                <w:sz w:val="20"/>
              </w:rPr>
              <w:t>formułowanie ,,w odpowiedni sposób”</w:t>
            </w:r>
            <w:r>
              <w:rPr>
                <w:rFonts w:ascii="Times New Roman" w:hAnsi="Times New Roman" w:cs="Times New Roman"/>
                <w:sz w:val="20"/>
              </w:rPr>
              <w:t xml:space="preserve"> (art. 29 ust. 2)</w:t>
            </w:r>
            <w:r>
              <w:t xml:space="preserve"> </w:t>
            </w:r>
            <w:r w:rsidRPr="00C45780">
              <w:rPr>
                <w:rFonts w:ascii="Times New Roman" w:hAnsi="Times New Roman" w:cs="Times New Roman"/>
                <w:sz w:val="20"/>
              </w:rPr>
              <w:t>nie wiadomo co oznacza, bo i ,,odpowiedni sposób” musi mieć jakiś punkt odniesienia jeśli ma być normą-dyrektywą, a bez tego odniesienia staje się pustym zwrotem (,,odpowiedni” czyli jaki?)</w:t>
            </w:r>
            <w:r>
              <w:rPr>
                <w:rFonts w:ascii="Times New Roman" w:hAnsi="Times New Roman" w:cs="Times New Roman"/>
                <w:sz w:val="20"/>
              </w:rPr>
              <w:t>. Podobny los spotyka zwroty jak</w:t>
            </w:r>
            <w:proofErr w:type="gramStart"/>
            <w:r>
              <w:rPr>
                <w:rFonts w:ascii="Times New Roman" w:hAnsi="Times New Roman" w:cs="Times New Roman"/>
                <w:sz w:val="20"/>
              </w:rPr>
              <w:t>:</w:t>
            </w:r>
            <w:r w:rsidR="00693B2A">
              <w:rPr>
                <w:rFonts w:ascii="Times New Roman" w:hAnsi="Times New Roman" w:cs="Times New Roman"/>
                <w:sz w:val="20"/>
              </w:rPr>
              <w:t xml:space="preserve"> </w:t>
            </w:r>
            <w:r>
              <w:rPr>
                <w:rFonts w:ascii="Times New Roman" w:hAnsi="Times New Roman" w:cs="Times New Roman"/>
                <w:sz w:val="20"/>
              </w:rPr>
              <w:t>,,stosownych</w:t>
            </w:r>
            <w:proofErr w:type="gramEnd"/>
            <w:r>
              <w:rPr>
                <w:rFonts w:ascii="Times New Roman" w:hAnsi="Times New Roman" w:cs="Times New Roman"/>
                <w:sz w:val="20"/>
              </w:rPr>
              <w:t xml:space="preserve"> i odpowiednich”,  </w:t>
            </w:r>
            <w:r w:rsidRPr="005D7B41">
              <w:rPr>
                <w:rFonts w:ascii="Times New Roman" w:hAnsi="Times New Roman" w:cs="Times New Roman"/>
                <w:sz w:val="20"/>
              </w:rPr>
              <w:t>„niezbędnym i proporcjonalnym do charakteru, okresu obowiązywania i wartości kredytu oraz związanych z nim ryzyk dla konsumenta”</w:t>
            </w:r>
            <w:r>
              <w:rPr>
                <w:rFonts w:ascii="Times New Roman" w:hAnsi="Times New Roman" w:cs="Times New Roman"/>
                <w:sz w:val="20"/>
              </w:rPr>
              <w:t xml:space="preserve"> (art. 30 ust. 1)</w:t>
            </w:r>
            <w:r w:rsidR="006C27A4">
              <w:rPr>
                <w:rFonts w:ascii="Times New Roman" w:hAnsi="Times New Roman" w:cs="Times New Roman"/>
                <w:sz w:val="20"/>
              </w:rPr>
              <w:t xml:space="preserve">, </w:t>
            </w:r>
          </w:p>
          <w:p w14:paraId="71C58DBF" w14:textId="77777777" w:rsidR="00C45780" w:rsidRPr="00C45780" w:rsidRDefault="00C45780" w:rsidP="00C45780">
            <w:pPr>
              <w:pStyle w:val="Akapitzlist"/>
              <w:rPr>
                <w:rFonts w:ascii="Times New Roman" w:hAnsi="Times New Roman" w:cs="Times New Roman"/>
                <w:sz w:val="20"/>
              </w:rPr>
            </w:pPr>
          </w:p>
          <w:p w14:paraId="048DEBAA" w14:textId="0670D38B" w:rsidR="00C45780" w:rsidRDefault="00C45780" w:rsidP="00BF45D0">
            <w:pPr>
              <w:pStyle w:val="Akapitzlist"/>
              <w:ind w:left="1080"/>
              <w:jc w:val="both"/>
              <w:rPr>
                <w:rFonts w:ascii="Times New Roman" w:hAnsi="Times New Roman" w:cs="Times New Roman"/>
                <w:sz w:val="20"/>
              </w:rPr>
            </w:pPr>
            <w:r>
              <w:rPr>
                <w:rFonts w:ascii="Times New Roman" w:hAnsi="Times New Roman" w:cs="Times New Roman"/>
                <w:sz w:val="20"/>
              </w:rPr>
              <w:t xml:space="preserve">Metoda harmonizacji została jasno wskazana w motywie 13 </w:t>
            </w:r>
            <w:r w:rsidRPr="00C45780">
              <w:rPr>
                <w:rFonts w:ascii="Times New Roman" w:hAnsi="Times New Roman" w:cs="Times New Roman"/>
                <w:sz w:val="20"/>
              </w:rPr>
              <w:t>dyrektyw</w:t>
            </w:r>
            <w:r>
              <w:rPr>
                <w:rFonts w:ascii="Times New Roman" w:hAnsi="Times New Roman" w:cs="Times New Roman"/>
                <w:sz w:val="20"/>
              </w:rPr>
              <w:t>y</w:t>
            </w:r>
            <w:r w:rsidRPr="00C45780">
              <w:rPr>
                <w:rFonts w:ascii="Times New Roman" w:hAnsi="Times New Roman" w:cs="Times New Roman"/>
                <w:sz w:val="20"/>
              </w:rPr>
              <w:t xml:space="preserve"> 2023/</w:t>
            </w:r>
            <w:proofErr w:type="gramStart"/>
            <w:r w:rsidRPr="00C45780">
              <w:rPr>
                <w:rFonts w:ascii="Times New Roman" w:hAnsi="Times New Roman" w:cs="Times New Roman"/>
                <w:sz w:val="20"/>
              </w:rPr>
              <w:t>2225</w:t>
            </w:r>
            <w:r>
              <w:rPr>
                <w:rFonts w:ascii="Times New Roman" w:hAnsi="Times New Roman" w:cs="Times New Roman"/>
                <w:sz w:val="20"/>
              </w:rPr>
              <w:t>:,,</w:t>
            </w:r>
            <w:proofErr w:type="gramEnd"/>
            <w:r w:rsidRPr="00C45780">
              <w:t xml:space="preserve"> </w:t>
            </w:r>
            <w:r w:rsidRPr="00C45780">
              <w:rPr>
                <w:rFonts w:ascii="Times New Roman" w:hAnsi="Times New Roman" w:cs="Times New Roman"/>
                <w:sz w:val="20"/>
              </w:rPr>
              <w:t xml:space="preserve">Pełna harmonizacja jest niezbędna do zapewnienia wszystkim konsumentom w Unii wysokiego i równoważnego poziomu ochrony ich interesów i stworzenia dobrze funkcjonującego rynku wewnętrznego. W związku z tym państwa członkowskie nie powinny mieć możliwości utrzymywania ani wprowadzania przepisów krajowych odbiegających od przepisów, które zostały ustanowione w niniejszej dyrektywie, chyba że jej przepisy </w:t>
            </w:r>
            <w:r w:rsidRPr="00C45780">
              <w:rPr>
                <w:rFonts w:ascii="Times New Roman" w:hAnsi="Times New Roman" w:cs="Times New Roman"/>
                <w:sz w:val="20"/>
              </w:rPr>
              <w:lastRenderedPageBreak/>
              <w:t>stanowią inaczej. Ograniczenia te powinny mieć jednak zastosowanie wyłącznie w zakresie, w jakim przepisy zostały zharmonizowane w niniejszej dyrektywie. Tam, gdzie przepisy nie zostały zharmonizowane, państwa członkowskie powinny zachować swobodę utrzymania lub wprowadzenia przepisów krajowych</w:t>
            </w:r>
            <w:r>
              <w:rPr>
                <w:rFonts w:ascii="Times New Roman" w:hAnsi="Times New Roman" w:cs="Times New Roman"/>
                <w:sz w:val="20"/>
              </w:rPr>
              <w:t xml:space="preserve">”. Pełna harmonizacja jest jednak jedynie jednym z elementów implementacji prawa UE. </w:t>
            </w:r>
            <w:r w:rsidR="000A478D">
              <w:rPr>
                <w:rFonts w:ascii="Times New Roman" w:hAnsi="Times New Roman" w:cs="Times New Roman"/>
                <w:sz w:val="20"/>
              </w:rPr>
              <w:t>Metoda harmonizacji nie determinuje metody transpozycji</w:t>
            </w:r>
            <w:r w:rsidR="000A478D">
              <w:rPr>
                <w:rStyle w:val="Odwoanieprzypisudolnego"/>
                <w:rFonts w:ascii="Times New Roman" w:hAnsi="Times New Roman" w:cs="Times New Roman"/>
                <w:sz w:val="20"/>
              </w:rPr>
              <w:footnoteReference w:id="1"/>
            </w:r>
            <w:r w:rsidR="000A478D">
              <w:rPr>
                <w:rFonts w:ascii="Times New Roman" w:hAnsi="Times New Roman" w:cs="Times New Roman"/>
                <w:sz w:val="20"/>
              </w:rPr>
              <w:t>. We wskazanych wyżej przypadkach rozważyć należy czy wskazana jest transpozycja literalna. Mają one wszak charakter bardzo ogólny, jakby opisowy, wyjaśniający na czym ogólnie polega ocena zdolności kredytowej (np.: a</w:t>
            </w:r>
            <w:r w:rsidR="000A478D" w:rsidRPr="000A478D">
              <w:rPr>
                <w:rFonts w:ascii="Times New Roman" w:hAnsi="Times New Roman" w:cs="Times New Roman"/>
                <w:sz w:val="20"/>
              </w:rPr>
              <w:t xml:space="preserve">rt. 18 ust. 1 </w:t>
            </w:r>
            <w:r w:rsidR="000A478D">
              <w:rPr>
                <w:rFonts w:ascii="Times New Roman" w:hAnsi="Times New Roman" w:cs="Times New Roman"/>
                <w:sz w:val="20"/>
              </w:rPr>
              <w:t xml:space="preserve">i ust. 3 </w:t>
            </w:r>
            <w:r w:rsidR="000A478D" w:rsidRPr="000A478D">
              <w:rPr>
                <w:rFonts w:ascii="Times New Roman" w:hAnsi="Times New Roman" w:cs="Times New Roman"/>
                <w:sz w:val="20"/>
              </w:rPr>
              <w:t>dyrektywy 2023/2225</w:t>
            </w:r>
            <w:r w:rsidR="000A478D">
              <w:rPr>
                <w:rFonts w:ascii="Times New Roman" w:hAnsi="Times New Roman" w:cs="Times New Roman"/>
                <w:sz w:val="20"/>
              </w:rPr>
              <w:t xml:space="preserve">). </w:t>
            </w:r>
            <w:r w:rsidR="00693B2A">
              <w:rPr>
                <w:rFonts w:ascii="Times New Roman" w:hAnsi="Times New Roman" w:cs="Times New Roman"/>
                <w:sz w:val="20"/>
              </w:rPr>
              <w:t>Rozważenia wymaga metoda transpozycji przez przerobienie</w:t>
            </w:r>
            <w:r w:rsidR="00693B2A">
              <w:rPr>
                <w:rStyle w:val="Odwoanieprzypisudolnego"/>
                <w:rFonts w:ascii="Times New Roman" w:hAnsi="Times New Roman" w:cs="Times New Roman"/>
                <w:sz w:val="20"/>
              </w:rPr>
              <w:footnoteReference w:id="2"/>
            </w:r>
            <w:r w:rsidR="00693B2A">
              <w:rPr>
                <w:rFonts w:ascii="Times New Roman" w:hAnsi="Times New Roman" w:cs="Times New Roman"/>
                <w:sz w:val="20"/>
              </w:rPr>
              <w:t xml:space="preserve">. Kwestia ta ma doniosłe znaczenie ze względu na grożące sankcje za naruszenie wyżej wskazanych przepisów. </w:t>
            </w:r>
          </w:p>
          <w:p w14:paraId="404B7439" w14:textId="7464D25B" w:rsidR="00E200A5" w:rsidRPr="00FF4480" w:rsidRDefault="00E200A5" w:rsidP="004A28E0">
            <w:pPr>
              <w:jc w:val="both"/>
              <w:rPr>
                <w:rFonts w:ascii="Times New Roman" w:hAnsi="Times New Roman" w:cs="Times New Roman"/>
                <w:sz w:val="20"/>
              </w:rPr>
            </w:pPr>
          </w:p>
        </w:tc>
      </w:tr>
      <w:tr w:rsidR="00E200A5" w:rsidRPr="00FF4480" w14:paraId="1C050ED2" w14:textId="77777777" w:rsidTr="00517157">
        <w:trPr>
          <w:trHeight w:val="356"/>
          <w:jc w:val="center"/>
        </w:trPr>
        <w:tc>
          <w:tcPr>
            <w:tcW w:w="594" w:type="dxa"/>
          </w:tcPr>
          <w:p w14:paraId="59C3DE7D"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4A3B4537" w14:textId="07CFA553" w:rsidR="00E200A5" w:rsidRPr="00FF4480" w:rsidRDefault="005D7B41" w:rsidP="004A28E0">
            <w:pPr>
              <w:jc w:val="both"/>
              <w:rPr>
                <w:rFonts w:ascii="Times New Roman" w:hAnsi="Times New Roman" w:cs="Times New Roman"/>
                <w:sz w:val="20"/>
              </w:rPr>
            </w:pPr>
            <w:r>
              <w:rPr>
                <w:rFonts w:ascii="Times New Roman" w:hAnsi="Times New Roman" w:cs="Times New Roman"/>
                <w:sz w:val="20"/>
              </w:rPr>
              <w:t xml:space="preserve">Art. 30 ust. </w:t>
            </w:r>
            <w:r w:rsidR="00BF45D0">
              <w:rPr>
                <w:rFonts w:ascii="Times New Roman" w:hAnsi="Times New Roman" w:cs="Times New Roman"/>
                <w:sz w:val="20"/>
              </w:rPr>
              <w:t>3</w:t>
            </w:r>
          </w:p>
        </w:tc>
        <w:tc>
          <w:tcPr>
            <w:tcW w:w="2832" w:type="dxa"/>
            <w:vAlign w:val="center"/>
          </w:tcPr>
          <w:p w14:paraId="5EDB26B8" w14:textId="567EB01B"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78570C43" w14:textId="77777777" w:rsidR="005D7B41" w:rsidRDefault="00BF45D0" w:rsidP="004A28E0">
            <w:pPr>
              <w:jc w:val="both"/>
              <w:rPr>
                <w:rFonts w:ascii="Times New Roman" w:hAnsi="Times New Roman" w:cs="Times New Roman"/>
                <w:sz w:val="20"/>
              </w:rPr>
            </w:pPr>
            <w:r>
              <w:rPr>
                <w:rFonts w:ascii="Times New Roman" w:hAnsi="Times New Roman" w:cs="Times New Roman"/>
                <w:sz w:val="20"/>
              </w:rPr>
              <w:t xml:space="preserve">W </w:t>
            </w:r>
            <w:proofErr w:type="gramStart"/>
            <w:r>
              <w:rPr>
                <w:rFonts w:ascii="Times New Roman" w:hAnsi="Times New Roman" w:cs="Times New Roman"/>
                <w:sz w:val="20"/>
              </w:rPr>
              <w:t>zwrocie ,,[</w:t>
            </w:r>
            <w:proofErr w:type="gramEnd"/>
            <w:r>
              <w:rPr>
                <w:rFonts w:ascii="Times New Roman" w:hAnsi="Times New Roman" w:cs="Times New Roman"/>
                <w:sz w:val="20"/>
              </w:rPr>
              <w:t>…]</w:t>
            </w:r>
            <w:r>
              <w:t xml:space="preserve"> </w:t>
            </w:r>
            <w:r w:rsidRPr="00BF45D0">
              <w:rPr>
                <w:rFonts w:ascii="Times New Roman" w:hAnsi="Times New Roman" w:cs="Times New Roman"/>
                <w:sz w:val="20"/>
              </w:rPr>
              <w:t>wewnętrznych, w tym ze zbiorów danych kredytodawcy, lub  zewnętrznych, w tym z baz danych</w:t>
            </w:r>
            <w:r>
              <w:rPr>
                <w:rFonts w:ascii="Times New Roman" w:hAnsi="Times New Roman" w:cs="Times New Roman"/>
                <w:sz w:val="20"/>
              </w:rPr>
              <w:t xml:space="preserve"> […]” problematyczne pozostaje słowo ,,lub”. Oznacza </w:t>
            </w:r>
            <w:r w:rsidR="00E121C0">
              <w:rPr>
                <w:rFonts w:ascii="Times New Roman" w:hAnsi="Times New Roman" w:cs="Times New Roman"/>
                <w:sz w:val="20"/>
              </w:rPr>
              <w:t xml:space="preserve">bądź wybór między opcjami bądź łączne wybranie opcji. W tym sensie jest to zrozumiałe. Problematyczny pozostaje kto dokonuje wyboru które z rozumień słowa ,,lub” należy zastosować – ma to znaczenie dla oceny poprawności wykonania wskazanego obowiązku (wewnętrzne albo zewnętrzne źródło czy wewnętrzne i zewnętrzne źródło)? </w:t>
            </w:r>
            <w:proofErr w:type="gramStart"/>
            <w:r w:rsidR="00E121C0">
              <w:rPr>
                <w:rFonts w:ascii="Times New Roman" w:hAnsi="Times New Roman" w:cs="Times New Roman"/>
                <w:sz w:val="20"/>
              </w:rPr>
              <w:t>Wskazujemy</w:t>
            </w:r>
            <w:proofErr w:type="gramEnd"/>
            <w:r w:rsidR="00E121C0">
              <w:rPr>
                <w:rFonts w:ascii="Times New Roman" w:hAnsi="Times New Roman" w:cs="Times New Roman"/>
                <w:sz w:val="20"/>
              </w:rPr>
              <w:t xml:space="preserve"> aby zachować zakres słowa ,,lub” lecz wprost wskazać, dla uniknięcia wątpliwości interpretacyjnych, że wyboru pomiędzy źródłami dokonuje podmiot zobowiązany. </w:t>
            </w:r>
          </w:p>
          <w:p w14:paraId="102E2B52" w14:textId="77777777" w:rsidR="00172A54" w:rsidRDefault="00172A54" w:rsidP="004A28E0">
            <w:pPr>
              <w:jc w:val="both"/>
              <w:rPr>
                <w:rFonts w:ascii="Times New Roman" w:hAnsi="Times New Roman" w:cs="Times New Roman"/>
                <w:sz w:val="20"/>
              </w:rPr>
            </w:pPr>
          </w:p>
          <w:p w14:paraId="18695596" w14:textId="45653BBC" w:rsidR="00172A54" w:rsidRPr="00FF4480" w:rsidRDefault="00172A54" w:rsidP="004A28E0">
            <w:pPr>
              <w:jc w:val="both"/>
              <w:rPr>
                <w:rFonts w:ascii="Times New Roman" w:hAnsi="Times New Roman" w:cs="Times New Roman"/>
                <w:sz w:val="20"/>
              </w:rPr>
            </w:pPr>
            <w:r>
              <w:rPr>
                <w:rFonts w:ascii="Times New Roman" w:hAnsi="Times New Roman" w:cs="Times New Roman"/>
                <w:sz w:val="20"/>
              </w:rPr>
              <w:t xml:space="preserve">Ponadto należy usunąć w nim odwołanie do art. 30 ust. 4 projektu (w związku z koniecznością usunięcia art. 30 ust. 4 projektu, o czym mowa w uwadze dot. tej jednostki redakcyjnej). </w:t>
            </w:r>
          </w:p>
        </w:tc>
      </w:tr>
      <w:tr w:rsidR="00E200A5" w:rsidRPr="00FF4480" w14:paraId="18CC6ACA" w14:textId="77777777" w:rsidTr="00517157">
        <w:trPr>
          <w:trHeight w:val="356"/>
          <w:jc w:val="center"/>
        </w:trPr>
        <w:tc>
          <w:tcPr>
            <w:tcW w:w="594" w:type="dxa"/>
          </w:tcPr>
          <w:p w14:paraId="09165207"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385591D0" w14:textId="21E83DAE" w:rsidR="00E200A5" w:rsidRPr="00FF4480" w:rsidRDefault="00172A54" w:rsidP="004A28E0">
            <w:pPr>
              <w:jc w:val="both"/>
              <w:rPr>
                <w:rFonts w:ascii="Times New Roman" w:hAnsi="Times New Roman" w:cs="Times New Roman"/>
                <w:sz w:val="20"/>
              </w:rPr>
            </w:pPr>
            <w:r>
              <w:rPr>
                <w:rFonts w:ascii="Times New Roman" w:hAnsi="Times New Roman" w:cs="Times New Roman"/>
                <w:sz w:val="20"/>
              </w:rPr>
              <w:t xml:space="preserve">Art. 30 ust. 4 </w:t>
            </w:r>
          </w:p>
        </w:tc>
        <w:tc>
          <w:tcPr>
            <w:tcW w:w="2832" w:type="dxa"/>
            <w:vAlign w:val="center"/>
          </w:tcPr>
          <w:p w14:paraId="45C7A60A" w14:textId="1B149759"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1739A06E" w14:textId="15B1F65D" w:rsidR="00E200A5" w:rsidRPr="00FF4480" w:rsidRDefault="00172A54" w:rsidP="004A28E0">
            <w:pPr>
              <w:jc w:val="both"/>
              <w:rPr>
                <w:rFonts w:ascii="Times New Roman" w:hAnsi="Times New Roman" w:cs="Times New Roman"/>
                <w:sz w:val="20"/>
              </w:rPr>
            </w:pPr>
            <w:r>
              <w:rPr>
                <w:rFonts w:ascii="Times New Roman" w:hAnsi="Times New Roman" w:cs="Times New Roman"/>
                <w:sz w:val="20"/>
              </w:rPr>
              <w:t xml:space="preserve">Art. 30 </w:t>
            </w:r>
            <w:r w:rsidRPr="00172A54">
              <w:rPr>
                <w:rFonts w:ascii="Times New Roman" w:hAnsi="Times New Roman" w:cs="Times New Roman"/>
                <w:sz w:val="20"/>
              </w:rPr>
              <w:t xml:space="preserve">ust. 4 stanowi błędną implementację dyrektywy: brzmienie polskiego przepisu sugeruje, że kredytodawca miałby </w:t>
            </w:r>
            <w:r>
              <w:rPr>
                <w:rFonts w:ascii="Times New Roman" w:hAnsi="Times New Roman" w:cs="Times New Roman"/>
                <w:sz w:val="20"/>
              </w:rPr>
              <w:t xml:space="preserve">obowiązkowo </w:t>
            </w:r>
            <w:r w:rsidRPr="00172A54">
              <w:rPr>
                <w:rFonts w:ascii="Times New Roman" w:hAnsi="Times New Roman" w:cs="Times New Roman"/>
                <w:sz w:val="20"/>
              </w:rPr>
              <w:t>weryfikować informacje zawarte w bazach danych</w:t>
            </w:r>
            <w:r>
              <w:rPr>
                <w:rFonts w:ascii="Times New Roman" w:hAnsi="Times New Roman" w:cs="Times New Roman"/>
                <w:sz w:val="20"/>
              </w:rPr>
              <w:t xml:space="preserve">, </w:t>
            </w:r>
            <w:r w:rsidRPr="00172A54">
              <w:rPr>
                <w:rFonts w:ascii="Times New Roman" w:hAnsi="Times New Roman" w:cs="Times New Roman"/>
                <w:sz w:val="20"/>
              </w:rPr>
              <w:t>a nie ma ku temu żadnych narzędzi</w:t>
            </w:r>
            <w:r>
              <w:rPr>
                <w:rFonts w:ascii="Times New Roman" w:hAnsi="Times New Roman" w:cs="Times New Roman"/>
                <w:sz w:val="20"/>
              </w:rPr>
              <w:t xml:space="preserve">. </w:t>
            </w:r>
            <w:r w:rsidRPr="00172A54">
              <w:rPr>
                <w:rFonts w:ascii="Times New Roman" w:hAnsi="Times New Roman" w:cs="Times New Roman"/>
                <w:sz w:val="20"/>
              </w:rPr>
              <w:t>Nie jest również jasne, w jaki sposób kredytodawca miałby taki obowiązek realizować – czy mowa o poprawności danych, aktywnej ich weryfikacji,</w:t>
            </w:r>
            <w:r>
              <w:rPr>
                <w:rFonts w:ascii="Times New Roman" w:hAnsi="Times New Roman" w:cs="Times New Roman"/>
                <w:sz w:val="20"/>
              </w:rPr>
              <w:t xml:space="preserve"> sprawdzaniu </w:t>
            </w:r>
            <w:proofErr w:type="gramStart"/>
            <w:r w:rsidRPr="00172A54">
              <w:rPr>
                <w:rFonts w:ascii="Times New Roman" w:hAnsi="Times New Roman" w:cs="Times New Roman"/>
                <w:sz w:val="20"/>
              </w:rPr>
              <w:t>aktualności,</w:t>
            </w:r>
            <w:proofErr w:type="gramEnd"/>
            <w:r w:rsidRPr="00172A54">
              <w:rPr>
                <w:rFonts w:ascii="Times New Roman" w:hAnsi="Times New Roman" w:cs="Times New Roman"/>
                <w:sz w:val="20"/>
              </w:rPr>
              <w:t xml:space="preserve"> ani w jakim celu miałby </w:t>
            </w:r>
            <w:r>
              <w:rPr>
                <w:rFonts w:ascii="Times New Roman" w:hAnsi="Times New Roman" w:cs="Times New Roman"/>
                <w:sz w:val="20"/>
              </w:rPr>
              <w:t xml:space="preserve">być przedstawiony </w:t>
            </w:r>
            <w:r w:rsidRPr="00172A54">
              <w:rPr>
                <w:rFonts w:ascii="Times New Roman" w:hAnsi="Times New Roman" w:cs="Times New Roman"/>
                <w:sz w:val="20"/>
              </w:rPr>
              <w:t>taki wymóg.</w:t>
            </w:r>
            <w:r>
              <w:rPr>
                <w:rFonts w:ascii="Times New Roman" w:hAnsi="Times New Roman" w:cs="Times New Roman"/>
                <w:sz w:val="20"/>
              </w:rPr>
              <w:t xml:space="preserve"> </w:t>
            </w:r>
            <w:r w:rsidRPr="00172A54">
              <w:rPr>
                <w:rFonts w:ascii="Times New Roman" w:hAnsi="Times New Roman" w:cs="Times New Roman"/>
                <w:sz w:val="20"/>
              </w:rPr>
              <w:t>Również uzasadnienie ustawy nie wskazuje celu wprowadzanej regulacji i jakimi środkami kredytodawca miałby dokonywać weryfikacji.</w:t>
            </w:r>
            <w:r>
              <w:rPr>
                <w:rFonts w:ascii="Times New Roman" w:hAnsi="Times New Roman" w:cs="Times New Roman"/>
                <w:sz w:val="20"/>
              </w:rPr>
              <w:t xml:space="preserve"> Postuluje się usunięcie art. 30 ust 4 projektu. </w:t>
            </w:r>
          </w:p>
        </w:tc>
      </w:tr>
      <w:tr w:rsidR="00E200A5" w:rsidRPr="00FF4480" w14:paraId="6151F853" w14:textId="77777777" w:rsidTr="00517157">
        <w:trPr>
          <w:trHeight w:val="356"/>
          <w:jc w:val="center"/>
        </w:trPr>
        <w:tc>
          <w:tcPr>
            <w:tcW w:w="594" w:type="dxa"/>
          </w:tcPr>
          <w:p w14:paraId="75297E27"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53D995E7" w14:textId="1BEE7B7B" w:rsidR="00E200A5" w:rsidRPr="00FF4480" w:rsidRDefault="007D4D06" w:rsidP="004A28E0">
            <w:pPr>
              <w:jc w:val="both"/>
              <w:rPr>
                <w:rFonts w:ascii="Times New Roman" w:hAnsi="Times New Roman" w:cs="Times New Roman"/>
                <w:sz w:val="20"/>
              </w:rPr>
            </w:pPr>
            <w:r>
              <w:rPr>
                <w:rFonts w:ascii="Times New Roman" w:hAnsi="Times New Roman" w:cs="Times New Roman"/>
                <w:sz w:val="20"/>
              </w:rPr>
              <w:t>Art. 31</w:t>
            </w:r>
            <w:r w:rsidR="00E063F8">
              <w:rPr>
                <w:rFonts w:ascii="Times New Roman" w:hAnsi="Times New Roman" w:cs="Times New Roman"/>
                <w:sz w:val="20"/>
              </w:rPr>
              <w:t xml:space="preserve"> </w:t>
            </w:r>
          </w:p>
        </w:tc>
        <w:tc>
          <w:tcPr>
            <w:tcW w:w="2832" w:type="dxa"/>
            <w:vAlign w:val="center"/>
          </w:tcPr>
          <w:p w14:paraId="5D58A2F2" w14:textId="16087D38"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79932150" w14:textId="77777777" w:rsidR="00E200A5" w:rsidRDefault="00E063F8" w:rsidP="00E063F8">
            <w:pPr>
              <w:pStyle w:val="Akapitzlist"/>
              <w:numPr>
                <w:ilvl w:val="0"/>
                <w:numId w:val="13"/>
              </w:numPr>
              <w:jc w:val="both"/>
              <w:rPr>
                <w:rFonts w:ascii="Times New Roman" w:hAnsi="Times New Roman" w:cs="Times New Roman"/>
                <w:sz w:val="20"/>
              </w:rPr>
            </w:pPr>
            <w:r>
              <w:rPr>
                <w:rFonts w:ascii="Times New Roman" w:hAnsi="Times New Roman" w:cs="Times New Roman"/>
                <w:sz w:val="20"/>
              </w:rPr>
              <w:t xml:space="preserve">Względem art. 31 ust. 1 projektu należy </w:t>
            </w:r>
            <w:proofErr w:type="gramStart"/>
            <w:r>
              <w:rPr>
                <w:rFonts w:ascii="Times New Roman" w:hAnsi="Times New Roman" w:cs="Times New Roman"/>
                <w:sz w:val="20"/>
              </w:rPr>
              <w:t>wskazać</w:t>
            </w:r>
            <w:proofErr w:type="gramEnd"/>
            <w:r>
              <w:rPr>
                <w:rFonts w:ascii="Times New Roman" w:hAnsi="Times New Roman" w:cs="Times New Roman"/>
                <w:sz w:val="20"/>
              </w:rPr>
              <w:t xml:space="preserve"> że powinien zaczynać się od zwrotu ,,</w:t>
            </w:r>
            <w:r w:rsidRPr="00E063F8">
              <w:rPr>
                <w:rFonts w:ascii="Times New Roman" w:hAnsi="Times New Roman" w:cs="Times New Roman"/>
                <w:sz w:val="20"/>
              </w:rPr>
              <w:t xml:space="preserve">Jeśli w toku oceny zdolności kredytowej kredytodawca uzna, że niezbędne jest </w:t>
            </w:r>
            <w:r w:rsidRPr="00E063F8">
              <w:rPr>
                <w:rFonts w:ascii="Times New Roman" w:hAnsi="Times New Roman" w:cs="Times New Roman"/>
                <w:sz w:val="20"/>
              </w:rPr>
              <w:lastRenderedPageBreak/>
              <w:t>przedstawienie informacji przez konsumenta, konsument przedstawia</w:t>
            </w:r>
            <w:r>
              <w:rPr>
                <w:rFonts w:ascii="Times New Roman" w:hAnsi="Times New Roman" w:cs="Times New Roman"/>
                <w:sz w:val="20"/>
              </w:rPr>
              <w:t xml:space="preserve"> […]”. </w:t>
            </w:r>
            <w:r w:rsidRPr="00E063F8">
              <w:rPr>
                <w:rFonts w:ascii="Times New Roman" w:hAnsi="Times New Roman" w:cs="Times New Roman"/>
                <w:sz w:val="20"/>
              </w:rPr>
              <w:t>Kredytodawca ma swobodę w zakresie źródeł danych do analizy w celu oceny zdolności kredytowej</w:t>
            </w:r>
            <w:r>
              <w:rPr>
                <w:rFonts w:ascii="Times New Roman" w:hAnsi="Times New Roman" w:cs="Times New Roman"/>
                <w:sz w:val="20"/>
              </w:rPr>
              <w:t xml:space="preserve"> i jeśli</w:t>
            </w:r>
            <w:r w:rsidRPr="00E063F8">
              <w:rPr>
                <w:rFonts w:ascii="Times New Roman" w:hAnsi="Times New Roman" w:cs="Times New Roman"/>
                <w:sz w:val="20"/>
              </w:rPr>
              <w:t xml:space="preserve"> dojdzie do wniosku, że konieczne jest oparcie się o dane od konsumenta to ma prawo ich żądania</w:t>
            </w:r>
            <w:r>
              <w:rPr>
                <w:rFonts w:ascii="Times New Roman" w:hAnsi="Times New Roman" w:cs="Times New Roman"/>
                <w:sz w:val="20"/>
              </w:rPr>
              <w:t xml:space="preserve">. </w:t>
            </w:r>
          </w:p>
          <w:p w14:paraId="67171949" w14:textId="7E97EE79" w:rsidR="004D7362" w:rsidRPr="00733E51" w:rsidRDefault="00E063F8" w:rsidP="004D7362">
            <w:pPr>
              <w:pStyle w:val="Akapitzlist"/>
              <w:numPr>
                <w:ilvl w:val="0"/>
                <w:numId w:val="13"/>
              </w:numPr>
              <w:jc w:val="both"/>
              <w:rPr>
                <w:rFonts w:ascii="Times New Roman" w:hAnsi="Times New Roman" w:cs="Times New Roman"/>
                <w:sz w:val="20"/>
              </w:rPr>
            </w:pPr>
            <w:r w:rsidRPr="00733E51">
              <w:rPr>
                <w:rFonts w:ascii="Times New Roman" w:hAnsi="Times New Roman" w:cs="Times New Roman"/>
                <w:sz w:val="20"/>
              </w:rPr>
              <w:t>Względem art. 31 ust. 1 projektu należy</w:t>
            </w:r>
            <w:r w:rsidR="00537F1C" w:rsidRPr="00733E51">
              <w:rPr>
                <w:rFonts w:ascii="Times New Roman" w:hAnsi="Times New Roman" w:cs="Times New Roman"/>
                <w:sz w:val="20"/>
              </w:rPr>
              <w:t xml:space="preserve">, że </w:t>
            </w:r>
            <w:r w:rsidRPr="00733E51">
              <w:rPr>
                <w:rFonts w:ascii="Times New Roman" w:hAnsi="Times New Roman" w:cs="Times New Roman"/>
                <w:sz w:val="20"/>
              </w:rPr>
              <w:t xml:space="preserve">wskazać zbędny i nadmiarowy jest obowiązek załączania oświadczenia do umowy. Jest to typowa nadregulacja, której zasadność nie została w żaden sposób podjęta w uzasadnieniu. Postulowane jest usunięcie zdania drugiego art. 31 ust. 1. </w:t>
            </w:r>
            <w:r w:rsidR="00537F1C" w:rsidRPr="00733E51">
              <w:rPr>
                <w:rFonts w:ascii="Times New Roman" w:hAnsi="Times New Roman" w:cs="Times New Roman"/>
                <w:sz w:val="20"/>
              </w:rPr>
              <w:t xml:space="preserve">Ponadto, informacje niezbędne w celu dokonania oceny zdolności kredytowej zbierane są przez kredytodawcę na etapie wnioskowania przez konsumenta o kredyt, zatem przyjmowanie oświadczeń w tym zakresie na etapie zawarcia umowy kredytowej byłoby spóźnione.  </w:t>
            </w:r>
          </w:p>
          <w:p w14:paraId="5DDFC3B1" w14:textId="77777777" w:rsidR="004D7362" w:rsidRDefault="004D7362" w:rsidP="004D7362">
            <w:pPr>
              <w:pStyle w:val="Akapitzlist"/>
              <w:numPr>
                <w:ilvl w:val="0"/>
                <w:numId w:val="13"/>
              </w:numPr>
              <w:jc w:val="both"/>
              <w:rPr>
                <w:rFonts w:ascii="Times New Roman" w:hAnsi="Times New Roman" w:cs="Times New Roman"/>
                <w:sz w:val="20"/>
              </w:rPr>
            </w:pPr>
            <w:r w:rsidRPr="00733E51">
              <w:rPr>
                <w:rFonts w:ascii="Times New Roman" w:hAnsi="Times New Roman" w:cs="Times New Roman"/>
                <w:sz w:val="20"/>
              </w:rPr>
              <w:t>Na gruncie projektowanego brzmienia art. 31 nie jest zrozumiałe czy złożenie oświadczenia o dochodach (w sytuacji</w:t>
            </w:r>
            <w:r w:rsidRPr="004D7362">
              <w:rPr>
                <w:rFonts w:ascii="Times New Roman" w:hAnsi="Times New Roman" w:cs="Times New Roman"/>
                <w:sz w:val="20"/>
              </w:rPr>
              <w:t xml:space="preserve"> kredytu wyższego niż jednokrotność wynagrodzenia minimalnego) jest obowiązkowe czy też ma mieć miejsce jedynie na żądanie kredytodawcy – co zrodzi różne interpretacje i ponownie, pogorszy warunki konkurencji na rynku. Szyk zdania wskazuje na to, że oświadczenie o dochodach i wydatkach jest poza zakresem informacji, które mają być potwierdzone w dokumentach. Zapis obecnie obowiązującej ustawy był jasny</w:t>
            </w:r>
            <w:r>
              <w:rPr>
                <w:rFonts w:ascii="Times New Roman" w:hAnsi="Times New Roman" w:cs="Times New Roman"/>
                <w:sz w:val="20"/>
              </w:rPr>
              <w:t xml:space="preserve">. </w:t>
            </w:r>
          </w:p>
          <w:p w14:paraId="3BD632AC" w14:textId="66FE845A" w:rsidR="004D7362" w:rsidRDefault="004D7362" w:rsidP="004D7362">
            <w:pPr>
              <w:pStyle w:val="Akapitzlist"/>
              <w:numPr>
                <w:ilvl w:val="0"/>
                <w:numId w:val="13"/>
              </w:numPr>
              <w:jc w:val="both"/>
              <w:rPr>
                <w:rFonts w:ascii="Times New Roman" w:hAnsi="Times New Roman" w:cs="Times New Roman"/>
                <w:sz w:val="20"/>
              </w:rPr>
            </w:pPr>
            <w:r w:rsidRPr="004D7362">
              <w:rPr>
                <w:rFonts w:ascii="Times New Roman" w:hAnsi="Times New Roman" w:cs="Times New Roman"/>
                <w:sz w:val="20"/>
              </w:rPr>
              <w:t>W zakresie art. 31 ust. 2</w:t>
            </w:r>
            <w:r>
              <w:rPr>
                <w:rFonts w:ascii="Times New Roman" w:hAnsi="Times New Roman" w:cs="Times New Roman"/>
                <w:sz w:val="20"/>
              </w:rPr>
              <w:t>, względem sektora bankowego,</w:t>
            </w:r>
            <w:r w:rsidRPr="004D7362">
              <w:rPr>
                <w:rFonts w:ascii="Times New Roman" w:hAnsi="Times New Roman" w:cs="Times New Roman"/>
                <w:sz w:val="20"/>
              </w:rPr>
              <w:t xml:space="preserve"> należy </w:t>
            </w:r>
            <w:proofErr w:type="gramStart"/>
            <w:r w:rsidRPr="004D7362">
              <w:rPr>
                <w:rFonts w:ascii="Times New Roman" w:hAnsi="Times New Roman" w:cs="Times New Roman"/>
                <w:sz w:val="20"/>
              </w:rPr>
              <w:t>wskazać</w:t>
            </w:r>
            <w:proofErr w:type="gramEnd"/>
            <w:r w:rsidRPr="004D7362">
              <w:rPr>
                <w:rFonts w:ascii="Times New Roman" w:hAnsi="Times New Roman" w:cs="Times New Roman"/>
                <w:sz w:val="20"/>
              </w:rPr>
              <w:t xml:space="preserve"> że przyjęcie, że kredyty mogą zostać udzielane w oparciu o oświadczenie klienta o dochodach i wydatkach tylko do kwot nieprzekraczających minimalnego wynagrodzenia, jest niezgodne z Rekomendacją T KNF-u. Rekomendacja dopuszcza udzielanie kredytów w oparciu o oświadczenie na wyższe kwoty w metodzie uproszczonej. Ponadto, konieczność dostarczania dokumentów dochodowych dla kwot kredytu przekraczających minimalne wynagrodzenie wykluczyłaby inne, zaawansowane metody weryfikacji dochodu (w tym metody statystyczne w oparciu o modele, co również dopuszczane jest przez KNF w Rekomendacji T). </w:t>
            </w:r>
            <w:r>
              <w:rPr>
                <w:rFonts w:ascii="Times New Roman" w:hAnsi="Times New Roman" w:cs="Times New Roman"/>
                <w:sz w:val="20"/>
              </w:rPr>
              <w:t>K</w:t>
            </w:r>
            <w:r w:rsidRPr="004D7362">
              <w:rPr>
                <w:rFonts w:ascii="Times New Roman" w:hAnsi="Times New Roman" w:cs="Times New Roman"/>
                <w:sz w:val="20"/>
              </w:rPr>
              <w:t xml:space="preserve">redyty udzielane w ramach uproszczonego trybu badania zdolności to produkty o niższym ryzyku niż kredyty przechodzące pełen proces badania zdolności z pobieraniem od klientów dokumentacji o dochodach. Ponadto projektowane rozwiązania ustawowe dla kredytów powyżej kwoty minimalnego wynagrodzenia doprowadzą do ograniczenia procedur z użyciem zaawansowanych modeli ryzyka opartych o rozwiązania AI i do powrotu do manualnych rozwiązań opartych o oświadczenia klientów „wraz z dokumentami potwierdzającymi te informacje”. O skuteczności modeli ryzyka świadczyć może jakość (spłacalność) kredytowa portfela kredytowego w tej procedurze, czyli procesu opartego o oświadczenia konsumentów-klientów, wspartego zaawansowanymi modelami opartymi o rozwiązania AI, które wykazują się </w:t>
            </w:r>
            <w:r w:rsidR="00662570">
              <w:rPr>
                <w:rFonts w:ascii="Times New Roman" w:hAnsi="Times New Roman" w:cs="Times New Roman"/>
                <w:sz w:val="20"/>
              </w:rPr>
              <w:t xml:space="preserve">istotnie </w:t>
            </w:r>
            <w:r w:rsidRPr="004D7362">
              <w:rPr>
                <w:rFonts w:ascii="Times New Roman" w:hAnsi="Times New Roman" w:cs="Times New Roman"/>
                <w:sz w:val="20"/>
              </w:rPr>
              <w:t xml:space="preserve">wyższą skutecznością. W dobie dynamicznego rozwoju AI, proponowane rozwiązania prowadzą do </w:t>
            </w:r>
            <w:r w:rsidR="00662570">
              <w:rPr>
                <w:rFonts w:ascii="Times New Roman" w:hAnsi="Times New Roman" w:cs="Times New Roman"/>
                <w:sz w:val="20"/>
              </w:rPr>
              <w:t>ograniczenia</w:t>
            </w:r>
            <w:r w:rsidRPr="004D7362">
              <w:rPr>
                <w:rFonts w:ascii="Times New Roman" w:hAnsi="Times New Roman" w:cs="Times New Roman"/>
                <w:sz w:val="20"/>
              </w:rPr>
              <w:t xml:space="preserve"> możliwości stosowania modeli do weryfikacji dochodu, co stoi w sprzeczności tak z rozwojem nowoczesnej gospodarki, jak i z procesem deregulacji. Możliwe skutki mogą </w:t>
            </w:r>
            <w:r w:rsidRPr="004D7362">
              <w:rPr>
                <w:rFonts w:ascii="Times New Roman" w:hAnsi="Times New Roman" w:cs="Times New Roman"/>
                <w:sz w:val="20"/>
              </w:rPr>
              <w:lastRenderedPageBreak/>
              <w:t>być paradoksalnie antykonsumenckie np.: ograniczenie konsumentom dostępu do bezpiecznego finansowania i wydłużenie procesu jego uzyskiwania w połączeniu z</w:t>
            </w:r>
            <w:r>
              <w:rPr>
                <w:rFonts w:ascii="Times New Roman" w:hAnsi="Times New Roman" w:cs="Times New Roman"/>
                <w:sz w:val="20"/>
              </w:rPr>
              <w:t>e</w:t>
            </w:r>
            <w:r w:rsidRPr="004D7362">
              <w:rPr>
                <w:rFonts w:ascii="Times New Roman" w:hAnsi="Times New Roman" w:cs="Times New Roman"/>
                <w:sz w:val="20"/>
              </w:rPr>
              <w:t xml:space="preserve"> zwiększonym ryzykiem niespłacalności kredytów.</w:t>
            </w:r>
          </w:p>
          <w:p w14:paraId="11236772" w14:textId="4AB08C16" w:rsidR="004D7362" w:rsidRPr="00662570" w:rsidRDefault="00662570" w:rsidP="00662570">
            <w:pPr>
              <w:pStyle w:val="Akapitzlist"/>
              <w:numPr>
                <w:ilvl w:val="0"/>
                <w:numId w:val="13"/>
              </w:numPr>
              <w:jc w:val="both"/>
              <w:rPr>
                <w:rFonts w:ascii="Times New Roman" w:hAnsi="Times New Roman" w:cs="Times New Roman"/>
                <w:sz w:val="20"/>
              </w:rPr>
            </w:pPr>
            <w:r>
              <w:rPr>
                <w:rFonts w:ascii="Times New Roman" w:hAnsi="Times New Roman" w:cs="Times New Roman"/>
                <w:sz w:val="20"/>
              </w:rPr>
              <w:t xml:space="preserve">W odniesieniu do instytucji pożyczkowych, dwukrotność minimalnego wynagrodzenia </w:t>
            </w:r>
            <w:r w:rsidRPr="00662570">
              <w:rPr>
                <w:rFonts w:ascii="Times New Roman" w:hAnsi="Times New Roman" w:cs="Times New Roman"/>
                <w:sz w:val="20"/>
              </w:rPr>
              <w:t>jest wartoś</w:t>
            </w:r>
            <w:r>
              <w:rPr>
                <w:rFonts w:ascii="Times New Roman" w:hAnsi="Times New Roman" w:cs="Times New Roman"/>
                <w:sz w:val="20"/>
              </w:rPr>
              <w:t>cią</w:t>
            </w:r>
            <w:r w:rsidRPr="00662570">
              <w:rPr>
                <w:rFonts w:ascii="Times New Roman" w:hAnsi="Times New Roman" w:cs="Times New Roman"/>
                <w:sz w:val="20"/>
              </w:rPr>
              <w:t xml:space="preserve"> znajdując</w:t>
            </w:r>
            <w:r>
              <w:rPr>
                <w:rFonts w:ascii="Times New Roman" w:hAnsi="Times New Roman" w:cs="Times New Roman"/>
                <w:sz w:val="20"/>
              </w:rPr>
              <w:t>ą</w:t>
            </w:r>
            <w:r w:rsidRPr="00662570">
              <w:rPr>
                <w:rFonts w:ascii="Times New Roman" w:hAnsi="Times New Roman" w:cs="Times New Roman"/>
                <w:sz w:val="20"/>
              </w:rPr>
              <w:t xml:space="preserve"> się obecnie w przepisach ustawy o kredycie konsumenckim. W uzasadnieniu do ustawy nie wyjaśniono powodów wprowadzenia jednokrotności takiej kwoty, nie wskazano, że obecnie stosowana dwukrotność jest z jakichś przyczyn zbyt wysoką wartością.</w:t>
            </w:r>
            <w:r>
              <w:rPr>
                <w:rFonts w:ascii="Times New Roman" w:hAnsi="Times New Roman" w:cs="Times New Roman"/>
                <w:sz w:val="20"/>
              </w:rPr>
              <w:t xml:space="preserve"> Brak diagnozy i wykazania jej w tymże zakresie. </w:t>
            </w:r>
          </w:p>
          <w:p w14:paraId="0FB7AD09" w14:textId="54A2695F" w:rsidR="004D7362" w:rsidRDefault="004D7362" w:rsidP="004D7362">
            <w:pPr>
              <w:pStyle w:val="Akapitzlist"/>
              <w:numPr>
                <w:ilvl w:val="0"/>
                <w:numId w:val="13"/>
              </w:numPr>
              <w:jc w:val="both"/>
              <w:rPr>
                <w:rFonts w:ascii="Times New Roman" w:hAnsi="Times New Roman" w:cs="Times New Roman"/>
                <w:sz w:val="20"/>
              </w:rPr>
            </w:pPr>
            <w:r w:rsidRPr="004D7362">
              <w:rPr>
                <w:rFonts w:ascii="Times New Roman" w:hAnsi="Times New Roman" w:cs="Times New Roman"/>
                <w:sz w:val="20"/>
              </w:rPr>
              <w:t>Postulujemy też doprecyzowanie treści art. 31</w:t>
            </w:r>
            <w:r>
              <w:rPr>
                <w:rFonts w:ascii="Times New Roman" w:hAnsi="Times New Roman" w:cs="Times New Roman"/>
                <w:sz w:val="20"/>
              </w:rPr>
              <w:t xml:space="preserve"> </w:t>
            </w:r>
            <w:r w:rsidR="00662570">
              <w:rPr>
                <w:rFonts w:ascii="Times New Roman" w:hAnsi="Times New Roman" w:cs="Times New Roman"/>
                <w:sz w:val="20"/>
              </w:rPr>
              <w:t>ust.</w:t>
            </w:r>
            <w:r>
              <w:rPr>
                <w:rFonts w:ascii="Times New Roman" w:hAnsi="Times New Roman" w:cs="Times New Roman"/>
                <w:sz w:val="20"/>
              </w:rPr>
              <w:t xml:space="preserve"> 2</w:t>
            </w:r>
            <w:r w:rsidRPr="004D7362">
              <w:rPr>
                <w:rFonts w:ascii="Times New Roman" w:hAnsi="Times New Roman" w:cs="Times New Roman"/>
                <w:sz w:val="20"/>
              </w:rPr>
              <w:t xml:space="preserve">. W jego obecnym brzmieniu („konsument przedstawia”) może on sugerować, że to konsument ma swoiste „uprawnienie”, aby przedstawić jedynie oświadczenie o dochodach i wydatkach, podczas gdy </w:t>
            </w:r>
            <w:proofErr w:type="gramStart"/>
            <w:r w:rsidRPr="004D7362">
              <w:rPr>
                <w:rFonts w:ascii="Times New Roman" w:hAnsi="Times New Roman" w:cs="Times New Roman"/>
                <w:sz w:val="20"/>
              </w:rPr>
              <w:t>to</w:t>
            </w:r>
            <w:proofErr w:type="gramEnd"/>
            <w:r w:rsidRPr="004D7362">
              <w:rPr>
                <w:rFonts w:ascii="Times New Roman" w:hAnsi="Times New Roman" w:cs="Times New Roman"/>
                <w:sz w:val="20"/>
              </w:rPr>
              <w:t xml:space="preserve"> jednakże kredytodawca winien móc ocenić czy takie oświadczenie będzie wystarczające</w:t>
            </w:r>
            <w:r>
              <w:rPr>
                <w:rFonts w:ascii="Times New Roman" w:hAnsi="Times New Roman" w:cs="Times New Roman"/>
                <w:sz w:val="20"/>
              </w:rPr>
              <w:t>.</w:t>
            </w:r>
          </w:p>
          <w:p w14:paraId="404176D0" w14:textId="09B2E5FC" w:rsidR="00662570" w:rsidRPr="00662570" w:rsidRDefault="00662570" w:rsidP="00662570">
            <w:pPr>
              <w:pStyle w:val="Akapitzlist"/>
              <w:numPr>
                <w:ilvl w:val="0"/>
                <w:numId w:val="13"/>
              </w:numPr>
              <w:rPr>
                <w:rFonts w:ascii="Times New Roman" w:hAnsi="Times New Roman" w:cs="Times New Roman"/>
                <w:sz w:val="20"/>
              </w:rPr>
            </w:pPr>
            <w:r w:rsidRPr="00662570">
              <w:rPr>
                <w:rFonts w:ascii="Times New Roman" w:hAnsi="Times New Roman" w:cs="Times New Roman"/>
                <w:sz w:val="20"/>
              </w:rPr>
              <w:t xml:space="preserve">Ponadto wskazać </w:t>
            </w:r>
            <w:proofErr w:type="gramStart"/>
            <w:r w:rsidRPr="00662570">
              <w:rPr>
                <w:rFonts w:ascii="Times New Roman" w:hAnsi="Times New Roman" w:cs="Times New Roman"/>
                <w:sz w:val="20"/>
              </w:rPr>
              <w:t>należy</w:t>
            </w:r>
            <w:proofErr w:type="gramEnd"/>
            <w:r w:rsidRPr="00662570">
              <w:rPr>
                <w:rFonts w:ascii="Times New Roman" w:hAnsi="Times New Roman" w:cs="Times New Roman"/>
                <w:sz w:val="20"/>
              </w:rPr>
              <w:t xml:space="preserve"> iż art. 31, zwłaszcza art. 31 ust. 2, narusza maksymalny zakres harmonizacji dyrektywy – państwa członkowskie nie mogą wprowadzać przepisów odmiennych od dyrektywy, chyba że wyraźnie ona na to zezwala</w:t>
            </w:r>
            <w:r>
              <w:rPr>
                <w:rFonts w:ascii="Times New Roman" w:hAnsi="Times New Roman" w:cs="Times New Roman"/>
                <w:sz w:val="20"/>
              </w:rPr>
              <w:t xml:space="preserve">. </w:t>
            </w:r>
          </w:p>
          <w:p w14:paraId="2C700A90" w14:textId="2A77CE33" w:rsidR="00662570" w:rsidRPr="004D7362" w:rsidRDefault="00662570" w:rsidP="00662570">
            <w:pPr>
              <w:pStyle w:val="Akapitzlist"/>
              <w:ind w:left="1080"/>
              <w:jc w:val="both"/>
              <w:rPr>
                <w:rFonts w:ascii="Times New Roman" w:hAnsi="Times New Roman" w:cs="Times New Roman"/>
                <w:sz w:val="20"/>
              </w:rPr>
            </w:pPr>
          </w:p>
        </w:tc>
      </w:tr>
      <w:tr w:rsidR="00E200A5" w:rsidRPr="00FF4480" w14:paraId="2CAC70DD" w14:textId="77777777" w:rsidTr="00517157">
        <w:trPr>
          <w:trHeight w:val="356"/>
          <w:jc w:val="center"/>
        </w:trPr>
        <w:tc>
          <w:tcPr>
            <w:tcW w:w="594" w:type="dxa"/>
          </w:tcPr>
          <w:p w14:paraId="20B062F8"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29D17D44" w14:textId="38B0D929" w:rsidR="00E200A5" w:rsidRPr="00FF4480" w:rsidRDefault="004151ED" w:rsidP="004A28E0">
            <w:pPr>
              <w:jc w:val="both"/>
              <w:rPr>
                <w:rFonts w:ascii="Times New Roman" w:hAnsi="Times New Roman" w:cs="Times New Roman"/>
                <w:sz w:val="20"/>
              </w:rPr>
            </w:pPr>
            <w:r>
              <w:rPr>
                <w:rFonts w:ascii="Times New Roman" w:hAnsi="Times New Roman" w:cs="Times New Roman"/>
                <w:sz w:val="20"/>
              </w:rPr>
              <w:t xml:space="preserve">Art. 32 </w:t>
            </w:r>
          </w:p>
        </w:tc>
        <w:tc>
          <w:tcPr>
            <w:tcW w:w="2832" w:type="dxa"/>
            <w:vAlign w:val="center"/>
          </w:tcPr>
          <w:p w14:paraId="64BF63E1" w14:textId="667346F7"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5E98D036" w14:textId="1081E952" w:rsidR="004151ED" w:rsidRPr="00733E51" w:rsidRDefault="004151ED" w:rsidP="00537F1C">
            <w:pPr>
              <w:pStyle w:val="Akapitzlist"/>
              <w:numPr>
                <w:ilvl w:val="0"/>
                <w:numId w:val="14"/>
              </w:numPr>
              <w:jc w:val="both"/>
              <w:rPr>
                <w:rFonts w:ascii="Times New Roman" w:hAnsi="Times New Roman" w:cs="Times New Roman"/>
                <w:sz w:val="20"/>
              </w:rPr>
            </w:pPr>
            <w:r>
              <w:rPr>
                <w:rFonts w:ascii="Times New Roman" w:hAnsi="Times New Roman" w:cs="Times New Roman"/>
                <w:sz w:val="20"/>
              </w:rPr>
              <w:t xml:space="preserve">Projektowany przepis </w:t>
            </w:r>
            <w:r w:rsidRPr="004151ED">
              <w:rPr>
                <w:rFonts w:ascii="Times New Roman" w:hAnsi="Times New Roman" w:cs="Times New Roman"/>
                <w:sz w:val="20"/>
              </w:rPr>
              <w:t>narusza maksymalny zakres harmonizacji dyrektywy – państwa członkowskie nie mogą wprowadzać przepisów odmiennych od dyrektywy, chyba że wyraźnie ona na to zezwala.</w:t>
            </w:r>
            <w:r>
              <w:rPr>
                <w:rFonts w:ascii="Times New Roman" w:hAnsi="Times New Roman" w:cs="Times New Roman"/>
                <w:sz w:val="20"/>
              </w:rPr>
              <w:t xml:space="preserve"> Z tego już powodu </w:t>
            </w:r>
            <w:r w:rsidR="00537F1C">
              <w:rPr>
                <w:rFonts w:ascii="Times New Roman" w:hAnsi="Times New Roman" w:cs="Times New Roman"/>
                <w:sz w:val="20"/>
              </w:rPr>
              <w:t xml:space="preserve">projektowany art. 32 </w:t>
            </w:r>
            <w:r>
              <w:rPr>
                <w:rFonts w:ascii="Times New Roman" w:hAnsi="Times New Roman" w:cs="Times New Roman"/>
                <w:sz w:val="20"/>
              </w:rPr>
              <w:t xml:space="preserve">powinien zostać </w:t>
            </w:r>
            <w:r w:rsidRPr="00733E51">
              <w:rPr>
                <w:rFonts w:ascii="Times New Roman" w:hAnsi="Times New Roman" w:cs="Times New Roman"/>
                <w:sz w:val="20"/>
              </w:rPr>
              <w:t xml:space="preserve">usunięty z projektu. </w:t>
            </w:r>
          </w:p>
          <w:p w14:paraId="51CA6E73" w14:textId="7D8E1E39" w:rsidR="004151ED" w:rsidRPr="00733E51" w:rsidRDefault="004151ED" w:rsidP="00537F1C">
            <w:pPr>
              <w:pStyle w:val="Akapitzlist"/>
              <w:numPr>
                <w:ilvl w:val="0"/>
                <w:numId w:val="14"/>
              </w:numPr>
              <w:jc w:val="both"/>
              <w:rPr>
                <w:rFonts w:ascii="Times New Roman" w:hAnsi="Times New Roman" w:cs="Times New Roman"/>
                <w:sz w:val="20"/>
              </w:rPr>
            </w:pPr>
            <w:r w:rsidRPr="00733E51">
              <w:rPr>
                <w:rFonts w:ascii="Times New Roman" w:hAnsi="Times New Roman" w:cs="Times New Roman"/>
                <w:sz w:val="20"/>
              </w:rPr>
              <w:t>Sankcja kredytu darmowego za naruszenie obowiązku badania zdolności jest niezgodna art. 44 ust. 1 dyrektywy 2023/2225, zgodnie z którym sankcje powinny mieć charakter proporcjonalny.</w:t>
            </w:r>
            <w:r w:rsidR="00537F1C" w:rsidRPr="00733E51">
              <w:t xml:space="preserve"> </w:t>
            </w:r>
            <w:r w:rsidR="00537F1C" w:rsidRPr="00733E51">
              <w:rPr>
                <w:rFonts w:ascii="Times New Roman" w:hAnsi="Times New Roman" w:cs="Times New Roman"/>
                <w:sz w:val="20"/>
              </w:rPr>
              <w:t>Sankcja ta w powiązaniu z art. 32 projektu może prowadzić do zwiększenia skali instrumentalnego wykorzystywania sankcji przez firmy odszkodowawcze w celu maksymalizacji ich zysku, co wypacza założenia stojące u podstaw ustawy, która ma zapewnić zwiększenie ochrony konsumenta.</w:t>
            </w:r>
          </w:p>
          <w:p w14:paraId="1D67A833" w14:textId="32424588" w:rsidR="004151ED" w:rsidRPr="004151ED" w:rsidRDefault="004151ED" w:rsidP="00537F1C">
            <w:pPr>
              <w:pStyle w:val="Akapitzlist"/>
              <w:numPr>
                <w:ilvl w:val="0"/>
                <w:numId w:val="14"/>
              </w:numPr>
              <w:jc w:val="both"/>
              <w:rPr>
                <w:rFonts w:ascii="Times New Roman" w:hAnsi="Times New Roman" w:cs="Times New Roman"/>
                <w:sz w:val="20"/>
              </w:rPr>
            </w:pPr>
            <w:r w:rsidRPr="00733E51">
              <w:rPr>
                <w:rFonts w:ascii="Times New Roman" w:hAnsi="Times New Roman" w:cs="Times New Roman"/>
                <w:sz w:val="20"/>
              </w:rPr>
              <w:t>Ocena poprawności badania zdolności kredytowej powinna zostać w domenie publicznoprawnej, tak jak do tej pory (sankcje za nieprawidłowości może nakładać KNF) – sądy nie są przygotowane, aby badać poprawność</w:t>
            </w:r>
            <w:r w:rsidRPr="004151ED">
              <w:rPr>
                <w:rFonts w:ascii="Times New Roman" w:hAnsi="Times New Roman" w:cs="Times New Roman"/>
                <w:sz w:val="20"/>
              </w:rPr>
              <w:t xml:space="preserve"> zbadania zdolności w sporach cywilnych.</w:t>
            </w:r>
          </w:p>
        </w:tc>
      </w:tr>
      <w:tr w:rsidR="00E200A5" w:rsidRPr="00FF4480" w14:paraId="38B1930D" w14:textId="77777777" w:rsidTr="00517157">
        <w:trPr>
          <w:trHeight w:val="356"/>
          <w:jc w:val="center"/>
        </w:trPr>
        <w:tc>
          <w:tcPr>
            <w:tcW w:w="594" w:type="dxa"/>
          </w:tcPr>
          <w:p w14:paraId="4F8D33CF"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77097B3D" w14:textId="7D6AE7F4" w:rsidR="00E200A5" w:rsidRPr="00FF4480" w:rsidRDefault="001014F6" w:rsidP="004A28E0">
            <w:pPr>
              <w:jc w:val="both"/>
              <w:rPr>
                <w:rFonts w:ascii="Times New Roman" w:hAnsi="Times New Roman" w:cs="Times New Roman"/>
                <w:sz w:val="20"/>
              </w:rPr>
            </w:pPr>
            <w:r>
              <w:rPr>
                <w:rFonts w:ascii="Times New Roman" w:hAnsi="Times New Roman" w:cs="Times New Roman"/>
                <w:sz w:val="20"/>
              </w:rPr>
              <w:t xml:space="preserve">Art. 35 </w:t>
            </w:r>
          </w:p>
        </w:tc>
        <w:tc>
          <w:tcPr>
            <w:tcW w:w="2832" w:type="dxa"/>
            <w:vAlign w:val="center"/>
          </w:tcPr>
          <w:p w14:paraId="41C9DAB5" w14:textId="68BEFF45"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21134B65" w14:textId="642ADBEA" w:rsidR="00E200A5" w:rsidRDefault="001014F6" w:rsidP="004A28E0">
            <w:pPr>
              <w:jc w:val="both"/>
              <w:rPr>
                <w:rFonts w:ascii="Times New Roman" w:hAnsi="Times New Roman" w:cs="Times New Roman"/>
                <w:sz w:val="20"/>
              </w:rPr>
            </w:pPr>
            <w:r w:rsidRPr="001014F6">
              <w:rPr>
                <w:rFonts w:ascii="Times New Roman" w:hAnsi="Times New Roman" w:cs="Times New Roman"/>
                <w:sz w:val="20"/>
              </w:rPr>
              <w:t>Art. 18 ust. 6</w:t>
            </w:r>
            <w:r>
              <w:rPr>
                <w:rFonts w:ascii="Times New Roman" w:hAnsi="Times New Roman" w:cs="Times New Roman"/>
                <w:sz w:val="20"/>
              </w:rPr>
              <w:t xml:space="preserve"> </w:t>
            </w:r>
            <w:r w:rsidRPr="001014F6">
              <w:rPr>
                <w:rFonts w:ascii="Times New Roman" w:hAnsi="Times New Roman" w:cs="Times New Roman"/>
                <w:sz w:val="20"/>
              </w:rPr>
              <w:t>dyrektywy 2023/2225 którego implementację stanowi art. 35 posługuje się pojęciem “prawdopodobne”. Nawet najbardziej zachowawcza ocena zdolności kredytowej, przy małym apetycie na ryzyko nie daje pewności (czyli “nie wskazuje”) że klient będzie zdolny do spłaty zobowiązania. Zawsze jest to pewne prawdopodobieństwo.</w:t>
            </w:r>
            <w:r>
              <w:rPr>
                <w:rFonts w:ascii="Times New Roman" w:hAnsi="Times New Roman" w:cs="Times New Roman"/>
                <w:sz w:val="20"/>
              </w:rPr>
              <w:t xml:space="preserve"> </w:t>
            </w:r>
            <w:r w:rsidRPr="001014F6">
              <w:rPr>
                <w:rFonts w:ascii="Times New Roman" w:hAnsi="Times New Roman" w:cs="Times New Roman"/>
                <w:sz w:val="20"/>
              </w:rPr>
              <w:t>Badanie zdolności kredytowej jest czynnością starannego działania a nie rezultatu.</w:t>
            </w:r>
            <w:r>
              <w:rPr>
                <w:rFonts w:ascii="Times New Roman" w:hAnsi="Times New Roman" w:cs="Times New Roman"/>
                <w:sz w:val="20"/>
              </w:rPr>
              <w:t xml:space="preserve"> </w:t>
            </w:r>
            <w:r w:rsidR="00BB7F6F">
              <w:rPr>
                <w:rFonts w:ascii="Times New Roman" w:hAnsi="Times New Roman" w:cs="Times New Roman"/>
                <w:sz w:val="20"/>
              </w:rPr>
              <w:t xml:space="preserve">Ponadto w obecnym brzmieniu, nie w pełni spójnym z sensem </w:t>
            </w:r>
            <w:r w:rsidR="00BB7F6F" w:rsidRPr="00BB7F6F">
              <w:rPr>
                <w:rFonts w:ascii="Times New Roman" w:hAnsi="Times New Roman" w:cs="Times New Roman"/>
                <w:sz w:val="20"/>
              </w:rPr>
              <w:t>dyrektywy 2023/2225</w:t>
            </w:r>
            <w:r w:rsidR="00BB7F6F">
              <w:rPr>
                <w:rFonts w:ascii="Times New Roman" w:hAnsi="Times New Roman" w:cs="Times New Roman"/>
                <w:sz w:val="20"/>
              </w:rPr>
              <w:t xml:space="preserve"> i istotą oceny, jest to </w:t>
            </w:r>
            <w:proofErr w:type="gramStart"/>
            <w:r w:rsidR="00BB7F6F">
              <w:rPr>
                <w:rFonts w:ascii="Times New Roman" w:hAnsi="Times New Roman" w:cs="Times New Roman"/>
                <w:sz w:val="20"/>
              </w:rPr>
              <w:t>obowiązek</w:t>
            </w:r>
            <w:proofErr w:type="gramEnd"/>
            <w:r w:rsidR="00BB7F6F">
              <w:rPr>
                <w:rFonts w:ascii="Times New Roman" w:hAnsi="Times New Roman" w:cs="Times New Roman"/>
                <w:sz w:val="20"/>
              </w:rPr>
              <w:t xml:space="preserve"> który </w:t>
            </w:r>
            <w:r w:rsidR="00BB7F6F" w:rsidRPr="00BB7F6F">
              <w:rPr>
                <w:rFonts w:ascii="Times New Roman" w:hAnsi="Times New Roman" w:cs="Times New Roman"/>
                <w:sz w:val="20"/>
              </w:rPr>
              <w:t xml:space="preserve">na kredytodawcę </w:t>
            </w:r>
            <w:r w:rsidR="00BB7F6F">
              <w:rPr>
                <w:rFonts w:ascii="Times New Roman" w:hAnsi="Times New Roman" w:cs="Times New Roman"/>
                <w:sz w:val="20"/>
              </w:rPr>
              <w:t>nakłada</w:t>
            </w:r>
            <w:r w:rsidR="00BB7F6F" w:rsidRPr="00BB7F6F">
              <w:rPr>
                <w:rFonts w:ascii="Times New Roman" w:hAnsi="Times New Roman" w:cs="Times New Roman"/>
                <w:sz w:val="20"/>
              </w:rPr>
              <w:t xml:space="preserve"> pełną odpowiedzialność za spłaty konsumenta, zależne od różnych czynników, które nastąpią w przyszłości. </w:t>
            </w:r>
            <w:r>
              <w:rPr>
                <w:rFonts w:ascii="Times New Roman" w:hAnsi="Times New Roman" w:cs="Times New Roman"/>
                <w:sz w:val="20"/>
              </w:rPr>
              <w:t xml:space="preserve">Stąd proponujemy brzmienie art. 35: </w:t>
            </w:r>
          </w:p>
          <w:p w14:paraId="77D81BDB" w14:textId="656C0556" w:rsidR="001014F6" w:rsidRPr="00FF4480" w:rsidRDefault="001014F6" w:rsidP="001014F6">
            <w:pPr>
              <w:jc w:val="both"/>
              <w:rPr>
                <w:rFonts w:ascii="Times New Roman" w:hAnsi="Times New Roman" w:cs="Times New Roman"/>
                <w:sz w:val="20"/>
              </w:rPr>
            </w:pPr>
            <w:r w:rsidRPr="001014F6">
              <w:rPr>
                <w:rFonts w:ascii="Times New Roman" w:hAnsi="Times New Roman" w:cs="Times New Roman"/>
                <w:sz w:val="20"/>
              </w:rPr>
              <w:lastRenderedPageBreak/>
              <w:t xml:space="preserve">“Umowa o kredyt konsumencki może zostać zawarta tylko w przypadku, gdy z oceny zdolności kredytowej </w:t>
            </w:r>
            <w:r w:rsidR="00BB7F6F" w:rsidRPr="00BB7F6F">
              <w:rPr>
                <w:rFonts w:ascii="Times New Roman" w:hAnsi="Times New Roman" w:cs="Times New Roman"/>
                <w:sz w:val="20"/>
              </w:rPr>
              <w:t>na dzień zawarcia umowy o kredyt konsumencki</w:t>
            </w:r>
            <w:r w:rsidR="00BB7F6F">
              <w:rPr>
                <w:rFonts w:ascii="Times New Roman" w:hAnsi="Times New Roman" w:cs="Times New Roman"/>
                <w:sz w:val="20"/>
              </w:rPr>
              <w:t xml:space="preserve"> wynika</w:t>
            </w:r>
            <w:r w:rsidRPr="001014F6">
              <w:rPr>
                <w:rFonts w:ascii="Times New Roman" w:hAnsi="Times New Roman" w:cs="Times New Roman"/>
                <w:sz w:val="20"/>
              </w:rPr>
              <w:t>, że wypełnienie zobowiązań wynikających z umowy o kredyt w sposób zgody z warunkami umowy jest prawdopodobne.”</w:t>
            </w:r>
          </w:p>
        </w:tc>
      </w:tr>
      <w:tr w:rsidR="00E200A5" w:rsidRPr="00FF4480" w14:paraId="524D29A7" w14:textId="77777777" w:rsidTr="00517157">
        <w:trPr>
          <w:trHeight w:val="356"/>
          <w:jc w:val="center"/>
        </w:trPr>
        <w:tc>
          <w:tcPr>
            <w:tcW w:w="594" w:type="dxa"/>
          </w:tcPr>
          <w:p w14:paraId="0F63222E"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69230AFC" w14:textId="01B11B42" w:rsidR="00E200A5" w:rsidRPr="00FF4480" w:rsidRDefault="00824BA0" w:rsidP="004A28E0">
            <w:pPr>
              <w:jc w:val="both"/>
              <w:rPr>
                <w:rFonts w:ascii="Times New Roman" w:hAnsi="Times New Roman" w:cs="Times New Roman"/>
                <w:sz w:val="20"/>
              </w:rPr>
            </w:pPr>
            <w:r>
              <w:rPr>
                <w:rFonts w:ascii="Times New Roman" w:hAnsi="Times New Roman" w:cs="Times New Roman"/>
                <w:sz w:val="20"/>
              </w:rPr>
              <w:t xml:space="preserve">Art. 36 </w:t>
            </w:r>
          </w:p>
        </w:tc>
        <w:tc>
          <w:tcPr>
            <w:tcW w:w="2832" w:type="dxa"/>
            <w:vAlign w:val="center"/>
          </w:tcPr>
          <w:p w14:paraId="0069624F" w14:textId="53A36E02"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6062147C" w14:textId="1ED98FDA" w:rsidR="00824BA0" w:rsidRPr="00824BA0" w:rsidRDefault="00824BA0" w:rsidP="00824BA0">
            <w:pPr>
              <w:jc w:val="both"/>
              <w:rPr>
                <w:rFonts w:ascii="Times New Roman" w:hAnsi="Times New Roman" w:cs="Times New Roman"/>
                <w:sz w:val="20"/>
              </w:rPr>
            </w:pPr>
            <w:r w:rsidRPr="00824BA0">
              <w:rPr>
                <w:rFonts w:ascii="Times New Roman" w:hAnsi="Times New Roman" w:cs="Times New Roman"/>
                <w:sz w:val="20"/>
              </w:rPr>
              <w:t>Przepis został zaimplementowany w sposób niepoprawny</w:t>
            </w:r>
            <w:r>
              <w:rPr>
                <w:rFonts w:ascii="Times New Roman" w:hAnsi="Times New Roman" w:cs="Times New Roman"/>
                <w:sz w:val="20"/>
              </w:rPr>
              <w:t xml:space="preserve"> </w:t>
            </w:r>
            <w:r w:rsidRPr="00824BA0">
              <w:rPr>
                <w:rFonts w:ascii="Times New Roman" w:hAnsi="Times New Roman" w:cs="Times New Roman"/>
                <w:sz w:val="20"/>
              </w:rPr>
              <w:t>z art. 18 ust. 7 dyrektywy 2023/2225</w:t>
            </w:r>
            <w:r>
              <w:rPr>
                <w:rFonts w:ascii="Times New Roman" w:hAnsi="Times New Roman" w:cs="Times New Roman"/>
                <w:sz w:val="20"/>
              </w:rPr>
              <w:t>.</w:t>
            </w:r>
          </w:p>
          <w:p w14:paraId="48AE7104" w14:textId="7F49B587" w:rsidR="00824BA0" w:rsidRDefault="00824BA0" w:rsidP="00824BA0">
            <w:pPr>
              <w:jc w:val="both"/>
              <w:rPr>
                <w:rFonts w:ascii="Times New Roman" w:hAnsi="Times New Roman" w:cs="Times New Roman"/>
                <w:sz w:val="20"/>
              </w:rPr>
            </w:pPr>
            <w:r>
              <w:rPr>
                <w:rFonts w:ascii="Times New Roman" w:hAnsi="Times New Roman" w:cs="Times New Roman"/>
                <w:sz w:val="20"/>
              </w:rPr>
              <w:t>Zwrot w dyrektywie</w:t>
            </w:r>
            <w:r w:rsidRPr="00824BA0">
              <w:rPr>
                <w:rFonts w:ascii="Times New Roman" w:hAnsi="Times New Roman" w:cs="Times New Roman"/>
                <w:sz w:val="20"/>
              </w:rPr>
              <w:t xml:space="preserve"> „unieważnienie umowy” to nie to samo co rozwiązanie np. przez wypowiedzenie czy odstąpienie od umowy.</w:t>
            </w:r>
            <w:r>
              <w:rPr>
                <w:rFonts w:ascii="Times New Roman" w:hAnsi="Times New Roman" w:cs="Times New Roman"/>
                <w:sz w:val="20"/>
              </w:rPr>
              <w:t xml:space="preserve"> </w:t>
            </w:r>
            <w:r w:rsidRPr="00824BA0">
              <w:rPr>
                <w:rFonts w:ascii="Times New Roman" w:hAnsi="Times New Roman" w:cs="Times New Roman"/>
                <w:sz w:val="20"/>
              </w:rPr>
              <w:t xml:space="preserve">Dodatkowo przymiot „korzystnego” rozwiązania to nie to samo znaczeniowo co działanie „na szkodę” konsumenta. </w:t>
            </w:r>
            <w:r>
              <w:rPr>
                <w:rFonts w:ascii="Times New Roman" w:hAnsi="Times New Roman" w:cs="Times New Roman"/>
                <w:sz w:val="20"/>
              </w:rPr>
              <w:t xml:space="preserve">Ponadto </w:t>
            </w:r>
            <w:r w:rsidRPr="00824BA0">
              <w:rPr>
                <w:rFonts w:ascii="Times New Roman" w:hAnsi="Times New Roman" w:cs="Times New Roman"/>
                <w:sz w:val="20"/>
              </w:rPr>
              <w:t xml:space="preserve">dyrektywa nie uniemożliwia </w:t>
            </w:r>
            <w:r w:rsidR="00181561">
              <w:rPr>
                <w:rFonts w:ascii="Times New Roman" w:hAnsi="Times New Roman" w:cs="Times New Roman"/>
                <w:sz w:val="20"/>
              </w:rPr>
              <w:t>unieważnienia</w:t>
            </w:r>
            <w:r w:rsidRPr="00824BA0">
              <w:rPr>
                <w:rFonts w:ascii="Times New Roman" w:hAnsi="Times New Roman" w:cs="Times New Roman"/>
                <w:sz w:val="20"/>
              </w:rPr>
              <w:t xml:space="preserve"> umowy o </w:t>
            </w:r>
            <w:proofErr w:type="gramStart"/>
            <w:r w:rsidRPr="00824BA0">
              <w:rPr>
                <w:rFonts w:ascii="Times New Roman" w:hAnsi="Times New Roman" w:cs="Times New Roman"/>
                <w:sz w:val="20"/>
              </w:rPr>
              <w:t>kredyt</w:t>
            </w:r>
            <w:proofErr w:type="gramEnd"/>
            <w:r w:rsidRPr="00824BA0">
              <w:rPr>
                <w:rFonts w:ascii="Times New Roman" w:hAnsi="Times New Roman" w:cs="Times New Roman"/>
                <w:sz w:val="20"/>
              </w:rPr>
              <w:t xml:space="preserve"> gdy niepoprawnie dokonano oceny zdolności kredytowej, a jedynie wskazuje, że ta okoliczność nie może być podstawą do </w:t>
            </w:r>
            <w:r w:rsidR="00181561">
              <w:rPr>
                <w:rFonts w:ascii="Times New Roman" w:hAnsi="Times New Roman" w:cs="Times New Roman"/>
                <w:sz w:val="20"/>
              </w:rPr>
              <w:t xml:space="preserve">unieważnienia lub </w:t>
            </w:r>
            <w:r w:rsidRPr="00824BA0">
              <w:rPr>
                <w:rFonts w:ascii="Times New Roman" w:hAnsi="Times New Roman" w:cs="Times New Roman"/>
                <w:sz w:val="20"/>
              </w:rPr>
              <w:t xml:space="preserve">zmiany umowy. Zaproponowane w projekcie brzmienie przepisu wyklucza taką możliwość, co </w:t>
            </w:r>
            <w:r w:rsidR="00181561">
              <w:rPr>
                <w:rFonts w:ascii="Times New Roman" w:hAnsi="Times New Roman" w:cs="Times New Roman"/>
                <w:sz w:val="20"/>
              </w:rPr>
              <w:t xml:space="preserve">jest </w:t>
            </w:r>
            <w:r w:rsidRPr="00824BA0">
              <w:rPr>
                <w:rFonts w:ascii="Times New Roman" w:hAnsi="Times New Roman" w:cs="Times New Roman"/>
                <w:sz w:val="20"/>
              </w:rPr>
              <w:t>rozbieżne z regulacją zawartą w dyrektywie.</w:t>
            </w:r>
          </w:p>
          <w:p w14:paraId="16179E71" w14:textId="77777777" w:rsidR="00824BA0" w:rsidRDefault="00824BA0" w:rsidP="00824BA0">
            <w:pPr>
              <w:jc w:val="both"/>
              <w:rPr>
                <w:rFonts w:ascii="Times New Roman" w:hAnsi="Times New Roman" w:cs="Times New Roman"/>
                <w:sz w:val="20"/>
              </w:rPr>
            </w:pPr>
          </w:p>
          <w:p w14:paraId="65ED0E5E" w14:textId="4DB53440" w:rsidR="00E200A5" w:rsidRPr="00FF4480" w:rsidRDefault="00824BA0" w:rsidP="00824BA0">
            <w:pPr>
              <w:jc w:val="both"/>
              <w:rPr>
                <w:rFonts w:ascii="Times New Roman" w:hAnsi="Times New Roman" w:cs="Times New Roman"/>
                <w:sz w:val="20"/>
              </w:rPr>
            </w:pPr>
            <w:r w:rsidRPr="00824BA0">
              <w:rPr>
                <w:rFonts w:ascii="Times New Roman" w:hAnsi="Times New Roman" w:cs="Times New Roman"/>
                <w:sz w:val="20"/>
              </w:rPr>
              <w:t>Przepis generuje wiele niejasności i problemów interpretacyjnych w takim kształcie</w:t>
            </w:r>
            <w:r>
              <w:rPr>
                <w:rFonts w:ascii="Times New Roman" w:hAnsi="Times New Roman" w:cs="Times New Roman"/>
                <w:sz w:val="20"/>
              </w:rPr>
              <w:t>, a także ryzk</w:t>
            </w:r>
            <w:r w:rsidR="00181561">
              <w:rPr>
                <w:rFonts w:ascii="Times New Roman" w:hAnsi="Times New Roman" w:cs="Times New Roman"/>
                <w:sz w:val="20"/>
              </w:rPr>
              <w:t>o</w:t>
            </w:r>
            <w:r>
              <w:rPr>
                <w:rFonts w:ascii="Times New Roman" w:hAnsi="Times New Roman" w:cs="Times New Roman"/>
                <w:sz w:val="20"/>
              </w:rPr>
              <w:t xml:space="preserve"> np.: w zakresie hazardu moralnego</w:t>
            </w:r>
            <w:r w:rsidRPr="00824BA0">
              <w:rPr>
                <w:rFonts w:ascii="Times New Roman" w:hAnsi="Times New Roman" w:cs="Times New Roman"/>
                <w:sz w:val="20"/>
              </w:rPr>
              <w:t>.</w:t>
            </w:r>
            <w:r>
              <w:rPr>
                <w:rFonts w:ascii="Times New Roman" w:hAnsi="Times New Roman" w:cs="Times New Roman"/>
                <w:sz w:val="20"/>
              </w:rPr>
              <w:t xml:space="preserve"> </w:t>
            </w:r>
            <w:r w:rsidRPr="00824BA0">
              <w:rPr>
                <w:rFonts w:ascii="Times New Roman" w:hAnsi="Times New Roman" w:cs="Times New Roman"/>
                <w:sz w:val="20"/>
              </w:rPr>
              <w:t>Rekomendujemy implementację zgodnie z dyrektyw</w:t>
            </w:r>
            <w:r>
              <w:rPr>
                <w:rFonts w:ascii="Times New Roman" w:hAnsi="Times New Roman" w:cs="Times New Roman"/>
                <w:sz w:val="20"/>
              </w:rPr>
              <w:t>ą</w:t>
            </w:r>
            <w:r w:rsidRPr="00824BA0">
              <w:rPr>
                <w:rFonts w:ascii="Times New Roman" w:hAnsi="Times New Roman" w:cs="Times New Roman"/>
                <w:sz w:val="20"/>
              </w:rPr>
              <w:t xml:space="preserve"> 2023/2225</w:t>
            </w:r>
            <w:r>
              <w:rPr>
                <w:rFonts w:ascii="Times New Roman" w:hAnsi="Times New Roman" w:cs="Times New Roman"/>
                <w:sz w:val="20"/>
              </w:rPr>
              <w:t xml:space="preserve">. </w:t>
            </w:r>
          </w:p>
        </w:tc>
      </w:tr>
      <w:tr w:rsidR="00E200A5" w:rsidRPr="00FF4480" w14:paraId="7312A46E" w14:textId="77777777" w:rsidTr="00517157">
        <w:trPr>
          <w:trHeight w:val="356"/>
          <w:jc w:val="center"/>
        </w:trPr>
        <w:tc>
          <w:tcPr>
            <w:tcW w:w="594" w:type="dxa"/>
          </w:tcPr>
          <w:p w14:paraId="7543DD68"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4791D4A5" w14:textId="7B629536" w:rsidR="00E200A5" w:rsidRPr="00FF4480" w:rsidRDefault="00F507B1" w:rsidP="004A28E0">
            <w:pPr>
              <w:jc w:val="both"/>
              <w:rPr>
                <w:rFonts w:ascii="Times New Roman" w:hAnsi="Times New Roman" w:cs="Times New Roman"/>
                <w:sz w:val="20"/>
              </w:rPr>
            </w:pPr>
            <w:r>
              <w:rPr>
                <w:rFonts w:ascii="Times New Roman" w:hAnsi="Times New Roman" w:cs="Times New Roman"/>
                <w:sz w:val="20"/>
              </w:rPr>
              <w:t xml:space="preserve">Art. 38 </w:t>
            </w:r>
          </w:p>
        </w:tc>
        <w:tc>
          <w:tcPr>
            <w:tcW w:w="2832" w:type="dxa"/>
            <w:vAlign w:val="center"/>
          </w:tcPr>
          <w:p w14:paraId="40978D24" w14:textId="156C3277"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110E77B2" w14:textId="6B1D1E5A" w:rsidR="00CF0CF4" w:rsidRPr="00CF0CF4" w:rsidRDefault="002B62A3" w:rsidP="00CF0CF4">
            <w:pPr>
              <w:jc w:val="both"/>
              <w:rPr>
                <w:rFonts w:ascii="Times New Roman" w:hAnsi="Times New Roman" w:cs="Times New Roman"/>
                <w:sz w:val="20"/>
              </w:rPr>
            </w:pPr>
            <w:r w:rsidRPr="00CF0CF4">
              <w:rPr>
                <w:rFonts w:ascii="Times New Roman" w:hAnsi="Times New Roman" w:cs="Times New Roman"/>
                <w:sz w:val="20"/>
              </w:rPr>
              <w:t xml:space="preserve">W zakresie art. 38 ust. 2 wskazać </w:t>
            </w:r>
            <w:proofErr w:type="gramStart"/>
            <w:r w:rsidRPr="00CF0CF4">
              <w:rPr>
                <w:rFonts w:ascii="Times New Roman" w:hAnsi="Times New Roman" w:cs="Times New Roman"/>
                <w:sz w:val="20"/>
              </w:rPr>
              <w:t>należy</w:t>
            </w:r>
            <w:proofErr w:type="gramEnd"/>
            <w:r w:rsidRPr="00CF0CF4">
              <w:rPr>
                <w:rFonts w:ascii="Times New Roman" w:hAnsi="Times New Roman" w:cs="Times New Roman"/>
                <w:sz w:val="20"/>
              </w:rPr>
              <w:t xml:space="preserve"> iż niejasnym i nie wynikającym z dyrektywy 2023/2225 jest sformułowanie ,,istniejące zadłużenie”. Czy istniejące zadłużenie to jest zadłużenie wymagalne? Czy też każde jakie posiada kredytobiorca? Czy chodzi o zadłużenie wobec danego kredytodawcy? Proponujemy zastąpienie tego zwrotu zwrotem ,,wymagalnego wobec kredytodawcy zadłużenia”</w:t>
            </w:r>
            <w:r w:rsidR="00BD18C2" w:rsidRPr="00CF0CF4">
              <w:rPr>
                <w:rFonts w:ascii="Times New Roman" w:hAnsi="Times New Roman" w:cs="Times New Roman"/>
                <w:sz w:val="20"/>
              </w:rPr>
              <w:t>.</w:t>
            </w:r>
          </w:p>
        </w:tc>
      </w:tr>
      <w:tr w:rsidR="00E200A5" w:rsidRPr="00FF4480" w14:paraId="3E1D0E23" w14:textId="77777777" w:rsidTr="00517157">
        <w:trPr>
          <w:trHeight w:val="356"/>
          <w:jc w:val="center"/>
        </w:trPr>
        <w:tc>
          <w:tcPr>
            <w:tcW w:w="594" w:type="dxa"/>
          </w:tcPr>
          <w:p w14:paraId="2D3AF5B7"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49F13ABB" w14:textId="10AD7645" w:rsidR="00E200A5" w:rsidRPr="00FF4480" w:rsidRDefault="00840DC6" w:rsidP="004A28E0">
            <w:pPr>
              <w:jc w:val="both"/>
              <w:rPr>
                <w:rFonts w:ascii="Times New Roman" w:hAnsi="Times New Roman" w:cs="Times New Roman"/>
                <w:sz w:val="20"/>
              </w:rPr>
            </w:pPr>
            <w:r>
              <w:rPr>
                <w:rFonts w:ascii="Times New Roman" w:hAnsi="Times New Roman" w:cs="Times New Roman"/>
                <w:sz w:val="20"/>
              </w:rPr>
              <w:t xml:space="preserve">Art. 39 </w:t>
            </w:r>
          </w:p>
        </w:tc>
        <w:tc>
          <w:tcPr>
            <w:tcW w:w="2832" w:type="dxa"/>
            <w:vAlign w:val="center"/>
          </w:tcPr>
          <w:p w14:paraId="4666FC30" w14:textId="24BF3C04"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77E5989F" w14:textId="689A0261" w:rsidR="00E200A5" w:rsidRPr="00733E51" w:rsidRDefault="009236A1" w:rsidP="009236A1">
            <w:pPr>
              <w:jc w:val="both"/>
              <w:rPr>
                <w:rFonts w:ascii="Times New Roman" w:hAnsi="Times New Roman" w:cs="Times New Roman"/>
                <w:sz w:val="20"/>
              </w:rPr>
            </w:pPr>
            <w:r w:rsidRPr="00733E51">
              <w:rPr>
                <w:rFonts w:ascii="Times New Roman" w:hAnsi="Times New Roman" w:cs="Times New Roman"/>
                <w:sz w:val="20"/>
              </w:rPr>
              <w:t>Obowiązek takich wyjaśnień powinien powstać jedynie w przypadku, gdy konsument o nie zawnioskuje. Każdy dodatkowy obowiązek związany jest z dodatkowym nakładem prac organizacyjnych, systemowych i zasobowych, a także z koniecznością nakładów finansowych,</w:t>
            </w:r>
            <w:r w:rsidR="00AF6B66" w:rsidRPr="00733E51">
              <w:rPr>
                <w:rFonts w:ascii="Times New Roman" w:hAnsi="Times New Roman" w:cs="Times New Roman"/>
                <w:sz w:val="20"/>
              </w:rPr>
              <w:t xml:space="preserve"> </w:t>
            </w:r>
            <w:r w:rsidRPr="00733E51">
              <w:rPr>
                <w:rFonts w:ascii="Times New Roman" w:hAnsi="Times New Roman" w:cs="Times New Roman"/>
                <w:sz w:val="20"/>
              </w:rPr>
              <w:t xml:space="preserve">a z drugiej strony – </w:t>
            </w:r>
            <w:r w:rsidR="00AF6B66" w:rsidRPr="00733E51">
              <w:rPr>
                <w:rFonts w:ascii="Times New Roman" w:hAnsi="Times New Roman" w:cs="Times New Roman"/>
                <w:sz w:val="20"/>
              </w:rPr>
              <w:t xml:space="preserve">przymus wyjaśnień </w:t>
            </w:r>
            <w:r w:rsidRPr="00733E51">
              <w:rPr>
                <w:rFonts w:ascii="Times New Roman" w:hAnsi="Times New Roman" w:cs="Times New Roman"/>
                <w:sz w:val="20"/>
              </w:rPr>
              <w:t>nie stanowi wartości dodanej dla konsumenta, który w znacznej większości nie jest zainteresowany takim wyjaśnieniem. Wyjaśnienie powinno być przekazywane wyłącznie na wniosek konsumenta</w:t>
            </w:r>
            <w:r w:rsidR="00AF6B66" w:rsidRPr="00733E51">
              <w:rPr>
                <w:rFonts w:ascii="Times New Roman" w:hAnsi="Times New Roman" w:cs="Times New Roman"/>
                <w:sz w:val="20"/>
              </w:rPr>
              <w:t xml:space="preserve"> (racjonalny przepływ informacji)</w:t>
            </w:r>
            <w:r w:rsidRPr="00733E51">
              <w:rPr>
                <w:rFonts w:ascii="Times New Roman" w:hAnsi="Times New Roman" w:cs="Times New Roman"/>
                <w:sz w:val="20"/>
              </w:rPr>
              <w:t>.</w:t>
            </w:r>
            <w:r w:rsidR="00537F1C" w:rsidRPr="00733E51">
              <w:rPr>
                <w:rFonts w:ascii="Times New Roman" w:hAnsi="Times New Roman" w:cs="Times New Roman"/>
                <w:sz w:val="20"/>
              </w:rPr>
              <w:t xml:space="preserve"> Ponadto, taki przepis jest niezgodny z art. 70a Prawa bankowego, który stanowi, że wyjaśnienia co do dokonanej oceny zdolności kredytowej udzielane są przez bank na wniosek konsumenta.  </w:t>
            </w:r>
          </w:p>
        </w:tc>
      </w:tr>
      <w:tr w:rsidR="00E200A5" w:rsidRPr="00FF4480" w14:paraId="1C0DD4BE" w14:textId="77777777" w:rsidTr="00517157">
        <w:trPr>
          <w:trHeight w:val="356"/>
          <w:jc w:val="center"/>
        </w:trPr>
        <w:tc>
          <w:tcPr>
            <w:tcW w:w="594" w:type="dxa"/>
          </w:tcPr>
          <w:p w14:paraId="7BB430A6"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4ABB4BA3" w14:textId="43D4D878" w:rsidR="00E200A5" w:rsidRPr="00FF4480" w:rsidRDefault="00840DC6" w:rsidP="004A28E0">
            <w:pPr>
              <w:jc w:val="both"/>
              <w:rPr>
                <w:rFonts w:ascii="Times New Roman" w:hAnsi="Times New Roman" w:cs="Times New Roman"/>
                <w:sz w:val="20"/>
              </w:rPr>
            </w:pPr>
            <w:r>
              <w:rPr>
                <w:rFonts w:ascii="Times New Roman" w:hAnsi="Times New Roman" w:cs="Times New Roman"/>
                <w:sz w:val="20"/>
              </w:rPr>
              <w:t xml:space="preserve">Art. 40 </w:t>
            </w:r>
          </w:p>
        </w:tc>
        <w:tc>
          <w:tcPr>
            <w:tcW w:w="2832" w:type="dxa"/>
            <w:vAlign w:val="center"/>
          </w:tcPr>
          <w:p w14:paraId="0E518575" w14:textId="686AF73C" w:rsidR="00E200A5" w:rsidRPr="00FF4480"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5DDA1DEB" w14:textId="5A72F366" w:rsidR="006C27A4" w:rsidRPr="00733E51" w:rsidRDefault="006C27A4" w:rsidP="006C27A4">
            <w:pPr>
              <w:jc w:val="both"/>
              <w:rPr>
                <w:rFonts w:ascii="Times New Roman" w:hAnsi="Times New Roman" w:cs="Times New Roman"/>
                <w:sz w:val="20"/>
              </w:rPr>
            </w:pPr>
            <w:r w:rsidRPr="00733E51">
              <w:rPr>
                <w:rFonts w:ascii="Times New Roman" w:hAnsi="Times New Roman" w:cs="Times New Roman"/>
                <w:sz w:val="20"/>
              </w:rPr>
              <w:t xml:space="preserve">Projektodawca powinien doprecyzować co rozumie pod pojęciem „znaczne zwiększenie”. Mimo iż zwrot taki pojawia się w art. 18 ust. 10 dyrektywy 2023/2225, zdaje </w:t>
            </w:r>
            <w:proofErr w:type="gramStart"/>
            <w:r w:rsidRPr="00733E51">
              <w:rPr>
                <w:rFonts w:ascii="Times New Roman" w:hAnsi="Times New Roman" w:cs="Times New Roman"/>
                <w:sz w:val="20"/>
              </w:rPr>
              <w:t>się</w:t>
            </w:r>
            <w:proofErr w:type="gramEnd"/>
            <w:r w:rsidRPr="00733E51">
              <w:rPr>
                <w:rFonts w:ascii="Times New Roman" w:hAnsi="Times New Roman" w:cs="Times New Roman"/>
                <w:sz w:val="20"/>
              </w:rPr>
              <w:t xml:space="preserve"> iż możliwym jest jego </w:t>
            </w:r>
            <w:r w:rsidR="00537F1C" w:rsidRPr="00733E51">
              <w:rPr>
                <w:rFonts w:ascii="Times New Roman" w:hAnsi="Times New Roman" w:cs="Times New Roman"/>
                <w:sz w:val="20"/>
              </w:rPr>
              <w:t>do</w:t>
            </w:r>
            <w:r w:rsidR="004D22FE" w:rsidRPr="00733E51">
              <w:rPr>
                <w:rFonts w:ascii="Times New Roman" w:hAnsi="Times New Roman" w:cs="Times New Roman"/>
                <w:sz w:val="20"/>
              </w:rPr>
              <w:t>określenie</w:t>
            </w:r>
            <w:r w:rsidRPr="00733E51">
              <w:rPr>
                <w:rFonts w:ascii="Times New Roman" w:hAnsi="Times New Roman" w:cs="Times New Roman"/>
                <w:sz w:val="20"/>
              </w:rPr>
              <w:t xml:space="preserve"> tj. co projektodawca uważa za ,,znaczne zwiększenie”</w:t>
            </w:r>
            <w:r w:rsidR="004D22FE" w:rsidRPr="00733E51">
              <w:rPr>
                <w:rFonts w:ascii="Times New Roman" w:hAnsi="Times New Roman" w:cs="Times New Roman"/>
                <w:sz w:val="20"/>
              </w:rPr>
              <w:t xml:space="preserve"> (wskazanie synonimu znacznego zwiększenia)</w:t>
            </w:r>
            <w:r w:rsidRPr="00733E51">
              <w:rPr>
                <w:rFonts w:ascii="Times New Roman" w:hAnsi="Times New Roman" w:cs="Times New Roman"/>
                <w:sz w:val="20"/>
              </w:rPr>
              <w:t xml:space="preserve">. Przykładowo, art. 40 mógłby brzmieć: </w:t>
            </w:r>
          </w:p>
          <w:p w14:paraId="687999CA" w14:textId="12FD93EF" w:rsidR="00E200A5" w:rsidRPr="00733E51" w:rsidRDefault="006C27A4" w:rsidP="006C27A4">
            <w:pPr>
              <w:jc w:val="both"/>
              <w:rPr>
                <w:rFonts w:ascii="Times New Roman" w:hAnsi="Times New Roman" w:cs="Times New Roman"/>
                <w:sz w:val="20"/>
              </w:rPr>
            </w:pPr>
            <w:proofErr w:type="gramStart"/>
            <w:r w:rsidRPr="00733E51">
              <w:rPr>
                <w:rFonts w:ascii="Times New Roman" w:hAnsi="Times New Roman" w:cs="Times New Roman"/>
                <w:sz w:val="20"/>
              </w:rPr>
              <w:t>,,</w:t>
            </w:r>
            <w:proofErr w:type="gramEnd"/>
            <w:r w:rsidRPr="00733E51">
              <w:rPr>
                <w:rFonts w:ascii="Times New Roman" w:hAnsi="Times New Roman" w:cs="Times New Roman"/>
                <w:sz w:val="20"/>
              </w:rPr>
              <w:t>Kredytodawca dokonuje ponownej oceny zdolności kredytowej na podstawie uaktualnionych informacji przed każdym zwiększeniem całkowitej kwoty kredytu konsumenckiego o wartość  co najmniej równą minimalnemu wynagrodzeniu za pracę ustalanemu na podstawie ustawy z dnia 10 października 2002 r. o minimalnym wynagrodzeniu za pracę (Dz. U. z 2024 r. poz. 1773) i obowiązującemu w dniu zwiększenia”</w:t>
            </w:r>
          </w:p>
        </w:tc>
      </w:tr>
      <w:tr w:rsidR="00E200A5" w:rsidRPr="00FF4480" w14:paraId="13455E15" w14:textId="77777777" w:rsidTr="00517157">
        <w:trPr>
          <w:trHeight w:val="356"/>
          <w:jc w:val="center"/>
        </w:trPr>
        <w:tc>
          <w:tcPr>
            <w:tcW w:w="594" w:type="dxa"/>
          </w:tcPr>
          <w:p w14:paraId="12CA0E33"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6C8F817B" w14:textId="210E7548" w:rsidR="00E200A5" w:rsidRPr="00FF4480" w:rsidRDefault="004D22FE" w:rsidP="004A28E0">
            <w:pPr>
              <w:jc w:val="both"/>
              <w:rPr>
                <w:rFonts w:ascii="Times New Roman" w:hAnsi="Times New Roman" w:cs="Times New Roman"/>
                <w:sz w:val="20"/>
              </w:rPr>
            </w:pPr>
            <w:r>
              <w:rPr>
                <w:rFonts w:ascii="Times New Roman" w:hAnsi="Times New Roman" w:cs="Times New Roman"/>
                <w:sz w:val="20"/>
              </w:rPr>
              <w:t xml:space="preserve">Art. 41 </w:t>
            </w:r>
          </w:p>
        </w:tc>
        <w:tc>
          <w:tcPr>
            <w:tcW w:w="2832" w:type="dxa"/>
            <w:vAlign w:val="center"/>
          </w:tcPr>
          <w:p w14:paraId="58674C69" w14:textId="79A22DFD"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0DEB3462" w14:textId="1A0A5C7B" w:rsidR="00E200A5" w:rsidRPr="00733E51" w:rsidRDefault="004D22FE" w:rsidP="00537F1C">
            <w:pPr>
              <w:jc w:val="both"/>
              <w:rPr>
                <w:rFonts w:ascii="Times New Roman" w:hAnsi="Times New Roman" w:cs="Times New Roman"/>
                <w:sz w:val="20"/>
              </w:rPr>
            </w:pPr>
            <w:r w:rsidRPr="00733E51">
              <w:rPr>
                <w:rFonts w:ascii="Times New Roman" w:hAnsi="Times New Roman" w:cs="Times New Roman"/>
                <w:sz w:val="20"/>
              </w:rPr>
              <w:t xml:space="preserve">Rekomendujemy usunięcie tego przepisu - sankcje nim wprowadzone są nieproporcjonalne, związane są z </w:t>
            </w:r>
            <w:proofErr w:type="gramStart"/>
            <w:r w:rsidRPr="00733E51">
              <w:rPr>
                <w:rFonts w:ascii="Times New Roman" w:hAnsi="Times New Roman" w:cs="Times New Roman"/>
                <w:sz w:val="20"/>
              </w:rPr>
              <w:t>subiektywnymi ,</w:t>
            </w:r>
            <w:proofErr w:type="gramEnd"/>
            <w:r w:rsidRPr="00733E51">
              <w:rPr>
                <w:rFonts w:ascii="Times New Roman" w:hAnsi="Times New Roman" w:cs="Times New Roman"/>
                <w:sz w:val="20"/>
              </w:rPr>
              <w:t xml:space="preserve"> to jest innymi dla każdego kredytodawcy zasadami oceny zdolności kredytowej - poza zaległościami powyżej 6 miesięcy i dodatkowo pozbawione są wyjątków wprowadzonych obecnie w art. 9a </w:t>
            </w:r>
            <w:r w:rsidR="00537F1C" w:rsidRPr="00733E51">
              <w:rPr>
                <w:rFonts w:ascii="Times New Roman" w:hAnsi="Times New Roman" w:cs="Times New Roman"/>
                <w:sz w:val="20"/>
              </w:rPr>
              <w:t>o kredycie konsumenckim</w:t>
            </w:r>
            <w:r w:rsidRPr="00733E51">
              <w:rPr>
                <w:rFonts w:ascii="Times New Roman" w:hAnsi="Times New Roman" w:cs="Times New Roman"/>
                <w:sz w:val="20"/>
              </w:rPr>
              <w:t>.</w:t>
            </w:r>
            <w:r w:rsidR="00537F1C" w:rsidRPr="00733E51">
              <w:rPr>
                <w:rFonts w:ascii="Times New Roman" w:hAnsi="Times New Roman" w:cs="Times New Roman"/>
                <w:sz w:val="20"/>
              </w:rPr>
              <w:t xml:space="preserve"> Należy wskazać, że ustawa przewiduje równoległe sankcje za te </w:t>
            </w:r>
            <w:r w:rsidR="00537F1C" w:rsidRPr="00733E51">
              <w:rPr>
                <w:rFonts w:ascii="Times New Roman" w:hAnsi="Times New Roman" w:cs="Times New Roman"/>
                <w:sz w:val="20"/>
              </w:rPr>
              <w:lastRenderedPageBreak/>
              <w:t xml:space="preserve">same naruszenia – oprócz sankcji z art. 41 ustawa wprowadza w art. 66 sankcję kredytu darmowego. Wprowadzenie licznych, surowych sankcji za naruszenie norm o ogólnym, nieprecyzyjnym charakterze narusza zasadę proporcjonalności z art. 44 ust. 1 dyrektywy. Najwyższe kompetencje w zakresie poprawności i sposobu oceny zdolności kredytowej posiada wyspecjalizowany organ publiczny, tj. Komisja Nadzoru Finansowego. W zakresie zasad zarządzania detalicznymi ekspozycjami kredytowymi KNF wydał Rekomendację T. Poddanie badania poprawności oceny zdolności kredytowej pod osąd sądowy (a w praktyce ocenie powołanych biegłych), a także jednoczesne oparcie jej o nieostre kryteria ustawowe przy równoległym wprowadzeniu niezwykle surowych sankcji doprowadzi m.in. do: prewencyjnego zaostrzenia polityk kredytowych banków w związku z powstaniem trudnego do oszacowania ryzyka, </w:t>
            </w:r>
            <w:r w:rsidR="00801ABB" w:rsidRPr="00733E51">
              <w:rPr>
                <w:rFonts w:ascii="Times New Roman" w:hAnsi="Times New Roman" w:cs="Times New Roman"/>
                <w:sz w:val="20"/>
              </w:rPr>
              <w:t xml:space="preserve">czy </w:t>
            </w:r>
            <w:r w:rsidR="00537F1C" w:rsidRPr="00733E51">
              <w:rPr>
                <w:rFonts w:ascii="Times New Roman" w:hAnsi="Times New Roman" w:cs="Times New Roman"/>
                <w:sz w:val="20"/>
              </w:rPr>
              <w:t>wygenerowania ryzyka systemowego dla sektora bankowego.</w:t>
            </w:r>
          </w:p>
        </w:tc>
      </w:tr>
      <w:tr w:rsidR="00E200A5" w:rsidRPr="00FF4480" w14:paraId="4AEBAECC" w14:textId="77777777" w:rsidTr="00517157">
        <w:trPr>
          <w:trHeight w:val="356"/>
          <w:jc w:val="center"/>
        </w:trPr>
        <w:tc>
          <w:tcPr>
            <w:tcW w:w="594" w:type="dxa"/>
          </w:tcPr>
          <w:p w14:paraId="6737143B"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47101C03" w14:textId="40DD55BF" w:rsidR="00E200A5" w:rsidRPr="00FF4480" w:rsidRDefault="004D22FE" w:rsidP="004A28E0">
            <w:pPr>
              <w:jc w:val="both"/>
              <w:rPr>
                <w:rFonts w:ascii="Times New Roman" w:hAnsi="Times New Roman" w:cs="Times New Roman"/>
                <w:sz w:val="20"/>
              </w:rPr>
            </w:pPr>
            <w:r>
              <w:rPr>
                <w:rFonts w:ascii="Times New Roman" w:hAnsi="Times New Roman" w:cs="Times New Roman"/>
                <w:sz w:val="20"/>
              </w:rPr>
              <w:t>Art. 42</w:t>
            </w:r>
          </w:p>
        </w:tc>
        <w:tc>
          <w:tcPr>
            <w:tcW w:w="2832" w:type="dxa"/>
            <w:vAlign w:val="center"/>
          </w:tcPr>
          <w:p w14:paraId="500F6D3D" w14:textId="3BC22179"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7ADEA84E" w14:textId="50BDF9BC" w:rsidR="00E200A5" w:rsidRPr="00733E51" w:rsidRDefault="004D22FE" w:rsidP="004A28E0">
            <w:pPr>
              <w:jc w:val="both"/>
              <w:rPr>
                <w:rFonts w:ascii="Times New Roman" w:hAnsi="Times New Roman" w:cs="Times New Roman"/>
                <w:sz w:val="20"/>
              </w:rPr>
            </w:pPr>
            <w:r w:rsidRPr="00733E51">
              <w:rPr>
                <w:rFonts w:ascii="Times New Roman" w:hAnsi="Times New Roman" w:cs="Times New Roman"/>
                <w:sz w:val="20"/>
              </w:rPr>
              <w:t>W uzasadnieniu do projektu ustawy wskazano</w:t>
            </w:r>
            <w:proofErr w:type="gramStart"/>
            <w:r w:rsidRPr="00733E51">
              <w:rPr>
                <w:rFonts w:ascii="Times New Roman" w:hAnsi="Times New Roman" w:cs="Times New Roman"/>
                <w:sz w:val="20"/>
              </w:rPr>
              <w:t>: ,,Art.</w:t>
            </w:r>
            <w:proofErr w:type="gramEnd"/>
            <w:r w:rsidRPr="00733E51">
              <w:rPr>
                <w:rFonts w:ascii="Times New Roman" w:hAnsi="Times New Roman" w:cs="Times New Roman"/>
                <w:sz w:val="20"/>
              </w:rPr>
              <w:t xml:space="preserve"> 42 projektu ustawy jest tożsamy z art. 9b obowiązującej ustawy.” Tymczasem w projekcie pominięto jeden z ust, obecnego art. 9b - nie wykazując żadnego uzasadnienia dla takiego pominięcia. W zw. Z tym postulujemy faktyczne przeniesienie obecnych regulacji art. 9b ukk do nowej ustawy.</w:t>
            </w:r>
          </w:p>
        </w:tc>
      </w:tr>
      <w:tr w:rsidR="00E200A5" w:rsidRPr="00FF4480" w14:paraId="0F9A024C" w14:textId="77777777" w:rsidTr="00517157">
        <w:trPr>
          <w:trHeight w:val="356"/>
          <w:jc w:val="center"/>
        </w:trPr>
        <w:tc>
          <w:tcPr>
            <w:tcW w:w="594" w:type="dxa"/>
          </w:tcPr>
          <w:p w14:paraId="4E9DA8B1"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115D6D50" w14:textId="4E2DA16B" w:rsidR="00E200A5" w:rsidRPr="00FF4480" w:rsidRDefault="004D22FE" w:rsidP="004A28E0">
            <w:pPr>
              <w:jc w:val="both"/>
              <w:rPr>
                <w:rFonts w:ascii="Times New Roman" w:hAnsi="Times New Roman" w:cs="Times New Roman"/>
                <w:sz w:val="20"/>
              </w:rPr>
            </w:pPr>
            <w:r>
              <w:rPr>
                <w:rFonts w:ascii="Times New Roman" w:hAnsi="Times New Roman" w:cs="Times New Roman"/>
                <w:sz w:val="20"/>
              </w:rPr>
              <w:t>Art. 45</w:t>
            </w:r>
          </w:p>
        </w:tc>
        <w:tc>
          <w:tcPr>
            <w:tcW w:w="2832" w:type="dxa"/>
            <w:vAlign w:val="center"/>
          </w:tcPr>
          <w:p w14:paraId="483755D4" w14:textId="66E8ED36"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6861F960" w14:textId="52382151" w:rsidR="00E97B6A" w:rsidRPr="00733E51" w:rsidRDefault="00E97B6A" w:rsidP="00E97B6A">
            <w:pPr>
              <w:pStyle w:val="Akapitzlist"/>
              <w:numPr>
                <w:ilvl w:val="0"/>
                <w:numId w:val="19"/>
              </w:numPr>
              <w:jc w:val="both"/>
              <w:rPr>
                <w:rFonts w:ascii="Times New Roman" w:hAnsi="Times New Roman" w:cs="Times New Roman"/>
                <w:sz w:val="20"/>
              </w:rPr>
            </w:pPr>
            <w:r w:rsidRPr="00733E51">
              <w:rPr>
                <w:rFonts w:ascii="Times New Roman" w:hAnsi="Times New Roman" w:cs="Times New Roman"/>
                <w:sz w:val="20"/>
              </w:rPr>
              <w:t xml:space="preserve">Powinna nastąpić zmiana w ust. 1 </w:t>
            </w:r>
            <w:r w:rsidR="00801ABB" w:rsidRPr="00733E51">
              <w:rPr>
                <w:rFonts w:ascii="Times New Roman" w:hAnsi="Times New Roman" w:cs="Times New Roman"/>
                <w:sz w:val="20"/>
              </w:rPr>
              <w:t>na użycie słowa ,,wezwanie”,</w:t>
            </w:r>
            <w:r w:rsidRPr="00733E51">
              <w:rPr>
                <w:rFonts w:ascii="Times New Roman" w:hAnsi="Times New Roman" w:cs="Times New Roman"/>
                <w:sz w:val="20"/>
              </w:rPr>
              <w:t xml:space="preserve"> tożsam</w:t>
            </w:r>
            <w:r w:rsidR="00801ABB" w:rsidRPr="00733E51">
              <w:rPr>
                <w:rFonts w:ascii="Times New Roman" w:hAnsi="Times New Roman" w:cs="Times New Roman"/>
                <w:sz w:val="20"/>
              </w:rPr>
              <w:t>ego</w:t>
            </w:r>
            <w:r w:rsidRPr="00733E51">
              <w:rPr>
                <w:rFonts w:ascii="Times New Roman" w:hAnsi="Times New Roman" w:cs="Times New Roman"/>
                <w:sz w:val="20"/>
              </w:rPr>
              <w:t xml:space="preserve"> z</w:t>
            </w:r>
            <w:r w:rsidR="00801ABB" w:rsidRPr="00733E51">
              <w:rPr>
                <w:rFonts w:ascii="Times New Roman" w:hAnsi="Times New Roman" w:cs="Times New Roman"/>
                <w:sz w:val="20"/>
              </w:rPr>
              <w:t>e</w:t>
            </w:r>
            <w:r w:rsidRPr="00733E51">
              <w:rPr>
                <w:rFonts w:ascii="Times New Roman" w:hAnsi="Times New Roman" w:cs="Times New Roman"/>
                <w:sz w:val="20"/>
              </w:rPr>
              <w:t xml:space="preserve"> </w:t>
            </w:r>
            <w:r w:rsidR="00801ABB" w:rsidRPr="00733E51">
              <w:rPr>
                <w:rFonts w:ascii="Times New Roman" w:hAnsi="Times New Roman" w:cs="Times New Roman"/>
                <w:sz w:val="20"/>
              </w:rPr>
              <w:t>zwrotem</w:t>
            </w:r>
            <w:r w:rsidRPr="00733E51">
              <w:rPr>
                <w:rFonts w:ascii="Times New Roman" w:hAnsi="Times New Roman" w:cs="Times New Roman"/>
                <w:sz w:val="20"/>
              </w:rPr>
              <w:t xml:space="preserve"> </w:t>
            </w:r>
            <w:r w:rsidR="00801ABB" w:rsidRPr="00733E51">
              <w:rPr>
                <w:rFonts w:ascii="Times New Roman" w:hAnsi="Times New Roman" w:cs="Times New Roman"/>
                <w:sz w:val="20"/>
              </w:rPr>
              <w:t>używanym</w:t>
            </w:r>
            <w:r w:rsidRPr="00733E51">
              <w:rPr>
                <w:rFonts w:ascii="Times New Roman" w:hAnsi="Times New Roman" w:cs="Times New Roman"/>
                <w:sz w:val="20"/>
              </w:rPr>
              <w:t xml:space="preserve"> w ust. 2.</w:t>
            </w:r>
          </w:p>
          <w:p w14:paraId="46BFBBEE" w14:textId="77777777" w:rsidR="00E97B6A" w:rsidRPr="00733E51" w:rsidRDefault="004D22FE" w:rsidP="004D22FE">
            <w:pPr>
              <w:pStyle w:val="Akapitzlist"/>
              <w:numPr>
                <w:ilvl w:val="0"/>
                <w:numId w:val="19"/>
              </w:numPr>
              <w:jc w:val="both"/>
              <w:rPr>
                <w:rFonts w:ascii="Times New Roman" w:hAnsi="Times New Roman" w:cs="Times New Roman"/>
                <w:sz w:val="20"/>
              </w:rPr>
            </w:pPr>
            <w:r w:rsidRPr="00733E51">
              <w:rPr>
                <w:rFonts w:ascii="Times New Roman" w:hAnsi="Times New Roman" w:cs="Times New Roman"/>
                <w:sz w:val="20"/>
              </w:rPr>
              <w:t xml:space="preserve">Wyraz: “oferuje” oznacza bezwzględny obowiązek, tymczasem mogą być sytuacje w których wniosek klienta o restrukturyzację jest bezpodstawny. Proponujemy by </w:t>
            </w:r>
            <w:r w:rsidR="00E97B6A" w:rsidRPr="00733E51">
              <w:rPr>
                <w:rFonts w:ascii="Times New Roman" w:hAnsi="Times New Roman" w:cs="Times New Roman"/>
                <w:sz w:val="20"/>
              </w:rPr>
              <w:t xml:space="preserve">art. 45 ust. 3 </w:t>
            </w:r>
            <w:r w:rsidRPr="00733E51">
              <w:rPr>
                <w:rFonts w:ascii="Times New Roman" w:hAnsi="Times New Roman" w:cs="Times New Roman"/>
                <w:sz w:val="20"/>
              </w:rPr>
              <w:t>otrzymał brzmienie:</w:t>
            </w:r>
          </w:p>
          <w:p w14:paraId="597420BA" w14:textId="5AF366E8" w:rsidR="004D22FE" w:rsidRPr="00733E51" w:rsidRDefault="004D22FE" w:rsidP="00E97B6A">
            <w:pPr>
              <w:pStyle w:val="Akapitzlist"/>
              <w:ind w:left="1080"/>
              <w:jc w:val="both"/>
              <w:rPr>
                <w:rFonts w:ascii="Times New Roman" w:hAnsi="Times New Roman" w:cs="Times New Roman"/>
                <w:sz w:val="20"/>
              </w:rPr>
            </w:pPr>
            <w:proofErr w:type="gramStart"/>
            <w:r w:rsidRPr="00733E51">
              <w:rPr>
                <w:rFonts w:ascii="Times New Roman" w:hAnsi="Times New Roman" w:cs="Times New Roman"/>
                <w:sz w:val="20"/>
              </w:rPr>
              <w:t>,,</w:t>
            </w:r>
            <w:proofErr w:type="gramEnd"/>
            <w:r w:rsidRPr="00733E51">
              <w:rPr>
                <w:rFonts w:ascii="Times New Roman" w:hAnsi="Times New Roman" w:cs="Times New Roman"/>
                <w:sz w:val="20"/>
              </w:rPr>
              <w:t>3. Kredytodawca, na wniosek konsumenta, uwzględniając jego sytuację, może wyrazić zgodę na restrukturyzację zadłużenia polegającą na całkowitym albo częściowym refinansowaniu umowy o kredyt albo zmianie postanowień umowy o kredyt, która może obejmować, w szczególności: [...]”</w:t>
            </w:r>
          </w:p>
          <w:p w14:paraId="5F3B9F82" w14:textId="77777777" w:rsidR="00E97B6A" w:rsidRPr="00733E51" w:rsidRDefault="00E97B6A" w:rsidP="004D22FE">
            <w:pPr>
              <w:jc w:val="both"/>
              <w:rPr>
                <w:rFonts w:ascii="Times New Roman" w:hAnsi="Times New Roman" w:cs="Times New Roman"/>
                <w:sz w:val="20"/>
              </w:rPr>
            </w:pPr>
          </w:p>
          <w:p w14:paraId="0DE46F99" w14:textId="0E58E022" w:rsidR="00E97B6A" w:rsidRPr="00733E51" w:rsidRDefault="00E97B6A" w:rsidP="004D22FE">
            <w:pPr>
              <w:jc w:val="both"/>
              <w:rPr>
                <w:rFonts w:ascii="Times New Roman" w:hAnsi="Times New Roman" w:cs="Times New Roman"/>
                <w:sz w:val="20"/>
              </w:rPr>
            </w:pPr>
          </w:p>
        </w:tc>
      </w:tr>
      <w:tr w:rsidR="00E200A5" w:rsidRPr="00FF4480" w14:paraId="4B3B52DB" w14:textId="77777777" w:rsidTr="00517157">
        <w:trPr>
          <w:trHeight w:val="356"/>
          <w:jc w:val="center"/>
        </w:trPr>
        <w:tc>
          <w:tcPr>
            <w:tcW w:w="594" w:type="dxa"/>
          </w:tcPr>
          <w:p w14:paraId="2256DC8D"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7957D6E0" w14:textId="412B8F0A" w:rsidR="00E200A5" w:rsidRPr="00FF4480" w:rsidRDefault="004D22FE" w:rsidP="004A28E0">
            <w:pPr>
              <w:jc w:val="both"/>
              <w:rPr>
                <w:rFonts w:ascii="Times New Roman" w:hAnsi="Times New Roman" w:cs="Times New Roman"/>
                <w:sz w:val="20"/>
              </w:rPr>
            </w:pPr>
            <w:r>
              <w:rPr>
                <w:rFonts w:ascii="Times New Roman" w:hAnsi="Times New Roman" w:cs="Times New Roman"/>
                <w:sz w:val="20"/>
              </w:rPr>
              <w:t>Art. 46</w:t>
            </w:r>
          </w:p>
        </w:tc>
        <w:tc>
          <w:tcPr>
            <w:tcW w:w="2832" w:type="dxa"/>
            <w:vAlign w:val="center"/>
          </w:tcPr>
          <w:p w14:paraId="39DB3E6B" w14:textId="3A464775"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5990314E" w14:textId="07C6B4B3" w:rsidR="00E97B6A" w:rsidRPr="00E97B6A" w:rsidRDefault="00E97B6A" w:rsidP="00E97B6A">
            <w:pPr>
              <w:jc w:val="both"/>
              <w:rPr>
                <w:rFonts w:ascii="Times New Roman" w:hAnsi="Times New Roman" w:cs="Times New Roman"/>
                <w:sz w:val="20"/>
              </w:rPr>
            </w:pPr>
            <w:r w:rsidRPr="00E97B6A">
              <w:rPr>
                <w:rFonts w:ascii="Times New Roman" w:hAnsi="Times New Roman" w:cs="Times New Roman"/>
                <w:sz w:val="20"/>
              </w:rPr>
              <w:t xml:space="preserve">Przepis art. 15 dyrektywy </w:t>
            </w:r>
            <w:r w:rsidR="00C93A76" w:rsidRPr="00C93A76">
              <w:rPr>
                <w:rFonts w:ascii="Times New Roman" w:hAnsi="Times New Roman" w:cs="Times New Roman"/>
                <w:sz w:val="20"/>
              </w:rPr>
              <w:t>2023/2225</w:t>
            </w:r>
            <w:r w:rsidR="00C93A76">
              <w:rPr>
                <w:rFonts w:ascii="Times New Roman" w:hAnsi="Times New Roman" w:cs="Times New Roman"/>
                <w:sz w:val="20"/>
              </w:rPr>
              <w:t xml:space="preserve"> </w:t>
            </w:r>
            <w:r w:rsidRPr="00E97B6A">
              <w:rPr>
                <w:rFonts w:ascii="Times New Roman" w:hAnsi="Times New Roman" w:cs="Times New Roman"/>
                <w:sz w:val="20"/>
              </w:rPr>
              <w:t xml:space="preserve">reguluje jedynie wyrażanie przez konsumenta zgody w przypadku “opcji domyślnych” takich jako pola. Celem tego przepisu jest uniknięcie sytuacji, w której konsument nie wyraził oświadczenia woli o zawarciu umowy, a kredytodawca będzie twierdził, że taka umowa została zawarta przez domyślne opcje przedstawione konsumentowi. </w:t>
            </w:r>
          </w:p>
          <w:p w14:paraId="0BC06929" w14:textId="77777777" w:rsidR="00E97B6A" w:rsidRPr="00E97B6A" w:rsidRDefault="00E97B6A" w:rsidP="00E97B6A">
            <w:pPr>
              <w:jc w:val="both"/>
              <w:rPr>
                <w:rFonts w:ascii="Times New Roman" w:hAnsi="Times New Roman" w:cs="Times New Roman"/>
                <w:sz w:val="20"/>
              </w:rPr>
            </w:pPr>
          </w:p>
          <w:p w14:paraId="6F8F0BFB" w14:textId="77777777" w:rsidR="00E97B6A" w:rsidRPr="00E97B6A" w:rsidRDefault="00E97B6A" w:rsidP="00E97B6A">
            <w:pPr>
              <w:jc w:val="both"/>
              <w:rPr>
                <w:rFonts w:ascii="Times New Roman" w:hAnsi="Times New Roman" w:cs="Times New Roman"/>
                <w:sz w:val="20"/>
              </w:rPr>
            </w:pPr>
            <w:r w:rsidRPr="00E97B6A">
              <w:rPr>
                <w:rFonts w:ascii="Times New Roman" w:hAnsi="Times New Roman" w:cs="Times New Roman"/>
                <w:sz w:val="20"/>
              </w:rPr>
              <w:t>Ewidentnym celem przepisu dyrektywy jest więc wyeliminowanie sytuacji stosowania tzw. “dark patterns”, czyli sytuacji, gdy klient podstępnie mógłby zostać wmanewrowany w zaciągnięcie kredytu. Nie chodzi jednak o sytuacje, gdy klient wyraża oświadczenie woli o zaciągnięciu kredytu przez swoje zachowanie.</w:t>
            </w:r>
          </w:p>
          <w:p w14:paraId="5DCB7DF7" w14:textId="77777777" w:rsidR="00E97B6A" w:rsidRPr="00E97B6A" w:rsidRDefault="00E97B6A" w:rsidP="00E97B6A">
            <w:pPr>
              <w:jc w:val="both"/>
              <w:rPr>
                <w:rFonts w:ascii="Times New Roman" w:hAnsi="Times New Roman" w:cs="Times New Roman"/>
                <w:sz w:val="20"/>
              </w:rPr>
            </w:pPr>
          </w:p>
          <w:p w14:paraId="62AC4837" w14:textId="77777777" w:rsidR="00E97B6A" w:rsidRPr="00E97B6A" w:rsidRDefault="00E97B6A" w:rsidP="00E97B6A">
            <w:pPr>
              <w:jc w:val="both"/>
              <w:rPr>
                <w:rFonts w:ascii="Times New Roman" w:hAnsi="Times New Roman" w:cs="Times New Roman"/>
                <w:sz w:val="20"/>
              </w:rPr>
            </w:pPr>
            <w:r w:rsidRPr="00E97B6A">
              <w:rPr>
                <w:rFonts w:ascii="Times New Roman" w:hAnsi="Times New Roman" w:cs="Times New Roman"/>
                <w:sz w:val="20"/>
              </w:rPr>
              <w:t xml:space="preserve">Przepis w obecnym proponowanym brzmieniu jest sprzeczny z definicją oświadczenia woli w polskim prawie, które może zostać wyrażone przez każde zachowanie się osoby (art. 60 Kodeksu cywilnego) i może sugerować, że Ustawa o kredycie konsumenckim wyłącza zastosowanie </w:t>
            </w:r>
            <w:proofErr w:type="gramStart"/>
            <w:r w:rsidRPr="00E97B6A">
              <w:rPr>
                <w:rFonts w:ascii="Times New Roman" w:hAnsi="Times New Roman" w:cs="Times New Roman"/>
                <w:sz w:val="20"/>
              </w:rPr>
              <w:t>art.l</w:t>
            </w:r>
            <w:proofErr w:type="gramEnd"/>
            <w:r w:rsidRPr="00E97B6A">
              <w:rPr>
                <w:rFonts w:ascii="Times New Roman" w:hAnsi="Times New Roman" w:cs="Times New Roman"/>
                <w:sz w:val="20"/>
              </w:rPr>
              <w:t xml:space="preserve"> 60 KC. Nie to jest celem dyrektywy.</w:t>
            </w:r>
          </w:p>
          <w:p w14:paraId="065B5DDF" w14:textId="77777777" w:rsidR="00E97B6A" w:rsidRPr="00E97B6A" w:rsidRDefault="00E97B6A" w:rsidP="00E97B6A">
            <w:pPr>
              <w:jc w:val="both"/>
              <w:rPr>
                <w:rFonts w:ascii="Times New Roman" w:hAnsi="Times New Roman" w:cs="Times New Roman"/>
                <w:sz w:val="20"/>
              </w:rPr>
            </w:pPr>
          </w:p>
          <w:p w14:paraId="7A2CD919" w14:textId="77777777" w:rsidR="00E97B6A" w:rsidRPr="00E97B6A" w:rsidRDefault="00E97B6A" w:rsidP="00E97B6A">
            <w:pPr>
              <w:jc w:val="both"/>
              <w:rPr>
                <w:rFonts w:ascii="Times New Roman" w:hAnsi="Times New Roman" w:cs="Times New Roman"/>
                <w:sz w:val="20"/>
              </w:rPr>
            </w:pPr>
            <w:r w:rsidRPr="00E97B6A">
              <w:rPr>
                <w:rFonts w:ascii="Times New Roman" w:hAnsi="Times New Roman" w:cs="Times New Roman"/>
                <w:sz w:val="20"/>
              </w:rPr>
              <w:t xml:space="preserve">Poza tym, proponowane brzmienie może w praktyce budzić </w:t>
            </w:r>
            <w:proofErr w:type="gramStart"/>
            <w:r w:rsidRPr="00E97B6A">
              <w:rPr>
                <w:rFonts w:ascii="Times New Roman" w:hAnsi="Times New Roman" w:cs="Times New Roman"/>
                <w:sz w:val="20"/>
              </w:rPr>
              <w:t>wątpliwości,</w:t>
            </w:r>
            <w:proofErr w:type="gramEnd"/>
            <w:r w:rsidRPr="00E97B6A">
              <w:rPr>
                <w:rFonts w:ascii="Times New Roman" w:hAnsi="Times New Roman" w:cs="Times New Roman"/>
                <w:sz w:val="20"/>
              </w:rPr>
              <w:t xml:space="preserve"> czy konsument może zaciągać kredyt konsumencki za pomocą nowoczesnych technologii. Wątpliwości interpretacyjne mogą ograniczyć innowacyjność w sektorze finansowym na polskim rynku. </w:t>
            </w:r>
          </w:p>
          <w:p w14:paraId="259190EA" w14:textId="77777777" w:rsidR="00E97B6A" w:rsidRPr="00E97B6A" w:rsidRDefault="00E97B6A" w:rsidP="00E97B6A">
            <w:pPr>
              <w:jc w:val="both"/>
              <w:rPr>
                <w:rFonts w:ascii="Times New Roman" w:hAnsi="Times New Roman" w:cs="Times New Roman"/>
                <w:sz w:val="20"/>
              </w:rPr>
            </w:pPr>
          </w:p>
          <w:p w14:paraId="7CB801D9" w14:textId="6686B623" w:rsidR="00E97B6A" w:rsidRPr="00E97B6A" w:rsidRDefault="00E97B6A" w:rsidP="00E97B6A">
            <w:pPr>
              <w:jc w:val="both"/>
              <w:rPr>
                <w:rFonts w:ascii="Times New Roman" w:hAnsi="Times New Roman" w:cs="Times New Roman"/>
                <w:sz w:val="20"/>
              </w:rPr>
            </w:pPr>
            <w:r w:rsidRPr="00E97B6A">
              <w:rPr>
                <w:rFonts w:ascii="Times New Roman" w:hAnsi="Times New Roman" w:cs="Times New Roman"/>
                <w:sz w:val="20"/>
              </w:rPr>
              <w:t>Przykładowo:</w:t>
            </w:r>
          </w:p>
          <w:p w14:paraId="3A2BE3AF" w14:textId="7EF8C384" w:rsidR="00E97B6A" w:rsidRPr="00E97B6A" w:rsidRDefault="00E97B6A" w:rsidP="00E97B6A">
            <w:pPr>
              <w:jc w:val="both"/>
              <w:rPr>
                <w:rFonts w:ascii="Times New Roman" w:hAnsi="Times New Roman" w:cs="Times New Roman"/>
                <w:sz w:val="20"/>
              </w:rPr>
            </w:pPr>
            <w:r>
              <w:rPr>
                <w:rFonts w:ascii="Times New Roman" w:hAnsi="Times New Roman" w:cs="Times New Roman"/>
                <w:sz w:val="20"/>
              </w:rPr>
              <w:t xml:space="preserve">- </w:t>
            </w:r>
            <w:r w:rsidRPr="00E97B6A">
              <w:rPr>
                <w:rFonts w:ascii="Times New Roman" w:hAnsi="Times New Roman" w:cs="Times New Roman"/>
                <w:sz w:val="20"/>
              </w:rPr>
              <w:t>“podpięcie” karty kredytowej do aplikacji lub portalu w celu dokonywania cyklicznych płatności za usługi, bez składania odrębnego oświadczenia woli przy każdej płatności;</w:t>
            </w:r>
          </w:p>
          <w:p w14:paraId="40CA822C" w14:textId="0027B0F1" w:rsidR="00E97B6A" w:rsidRPr="00E97B6A" w:rsidRDefault="00E97B6A" w:rsidP="00E97B6A">
            <w:pPr>
              <w:jc w:val="both"/>
              <w:rPr>
                <w:rFonts w:ascii="Times New Roman" w:hAnsi="Times New Roman" w:cs="Times New Roman"/>
                <w:sz w:val="20"/>
              </w:rPr>
            </w:pPr>
            <w:r>
              <w:rPr>
                <w:rFonts w:ascii="Times New Roman" w:hAnsi="Times New Roman" w:cs="Times New Roman"/>
                <w:sz w:val="20"/>
              </w:rPr>
              <w:t xml:space="preserve">- </w:t>
            </w:r>
            <w:r w:rsidRPr="00E97B6A">
              <w:rPr>
                <w:rFonts w:ascii="Times New Roman" w:hAnsi="Times New Roman" w:cs="Times New Roman"/>
                <w:sz w:val="20"/>
              </w:rPr>
              <w:t>używanie kart płatniczych przez aplikacje, które pozwalają na ustawienie zautomatyzowanych reguł, która karta płatnicza została użyta w danym przypadku lub która ma zostać ostatecznie obciążona dokonanymi transakcjami;</w:t>
            </w:r>
          </w:p>
          <w:p w14:paraId="33F0A468" w14:textId="69A8AC58" w:rsidR="00E97B6A" w:rsidRPr="00E97B6A" w:rsidRDefault="00E97B6A" w:rsidP="00E97B6A">
            <w:pPr>
              <w:jc w:val="both"/>
              <w:rPr>
                <w:rFonts w:ascii="Times New Roman" w:hAnsi="Times New Roman" w:cs="Times New Roman"/>
                <w:sz w:val="20"/>
              </w:rPr>
            </w:pPr>
            <w:r>
              <w:rPr>
                <w:rFonts w:ascii="Times New Roman" w:hAnsi="Times New Roman" w:cs="Times New Roman"/>
                <w:sz w:val="20"/>
              </w:rPr>
              <w:t xml:space="preserve">- </w:t>
            </w:r>
            <w:r w:rsidRPr="00E97B6A">
              <w:rPr>
                <w:rFonts w:ascii="Times New Roman" w:hAnsi="Times New Roman" w:cs="Times New Roman"/>
                <w:sz w:val="20"/>
              </w:rPr>
              <w:t>projekty wykorzystujące agentic AI, gdzie sztuczna inteligencja robi dla konsumenta zakupy, wybiera metody płatności i dokonuje płatności (z ostatnio ogłoszonych np. Możliwość tworzenia własnych agentów AI w Chacie GPT i umożliwienia im logowania się do różnych aplikacji, Visa Intelligent Commerce; rozwiązania typu Walk-in/walk-out, gdzie klient wchodzi do sklepu, a płatność z góry wybraną metodą jest dokonywana automatycznie na podstawie jego koszyka zakupowego).</w:t>
            </w:r>
          </w:p>
          <w:p w14:paraId="31DFFC21" w14:textId="77777777" w:rsidR="00E97B6A" w:rsidRPr="00E97B6A" w:rsidRDefault="00E97B6A" w:rsidP="00E97B6A">
            <w:pPr>
              <w:jc w:val="both"/>
              <w:rPr>
                <w:rFonts w:ascii="Times New Roman" w:hAnsi="Times New Roman" w:cs="Times New Roman"/>
                <w:sz w:val="20"/>
              </w:rPr>
            </w:pPr>
          </w:p>
          <w:p w14:paraId="07CE5A74" w14:textId="192FEEBB" w:rsidR="00E97B6A" w:rsidRPr="00E97B6A" w:rsidRDefault="00E97B6A" w:rsidP="00E97B6A">
            <w:pPr>
              <w:jc w:val="both"/>
              <w:rPr>
                <w:rFonts w:ascii="Times New Roman" w:hAnsi="Times New Roman" w:cs="Times New Roman"/>
                <w:sz w:val="20"/>
              </w:rPr>
            </w:pPr>
            <w:r w:rsidRPr="00E97B6A">
              <w:rPr>
                <w:rFonts w:ascii="Times New Roman" w:hAnsi="Times New Roman" w:cs="Times New Roman"/>
                <w:sz w:val="20"/>
              </w:rPr>
              <w:t>Wszystkie powyższe przykłady obrazują sytuacje, w których konsumenci złożyli oświadczenia woli i mogą to być oświadczenia woli o zaciągnięciu kredytu. Oświadczenia te są wyrażone przez ich świadome zachowanie, które obejmuje swoją wolą zaciągnięcie kredytu konsumenckiego.</w:t>
            </w:r>
            <w:r>
              <w:rPr>
                <w:rFonts w:ascii="Times New Roman" w:hAnsi="Times New Roman" w:cs="Times New Roman"/>
                <w:sz w:val="20"/>
              </w:rPr>
              <w:t xml:space="preserve"> </w:t>
            </w:r>
            <w:r w:rsidRPr="00E97B6A">
              <w:rPr>
                <w:rFonts w:ascii="Times New Roman" w:hAnsi="Times New Roman" w:cs="Times New Roman"/>
                <w:sz w:val="20"/>
              </w:rPr>
              <w:t>Natomiast proponowane brzmienie przepisu wprowadza niebezpieczną niepewność prawną. Przepis w obecnym brzmieniu mógłby prowadzić do interpretacji, w której takie przykłady zachowań zostałyby uznane za brak oświadczenia woli o zawarciu kredytu z powodu “milczącej zgody, działania domyślnego” - które są przez projekt ustawy zakazane.</w:t>
            </w:r>
            <w:r>
              <w:rPr>
                <w:rFonts w:ascii="Times New Roman" w:hAnsi="Times New Roman" w:cs="Times New Roman"/>
                <w:sz w:val="20"/>
              </w:rPr>
              <w:t xml:space="preserve"> </w:t>
            </w:r>
            <w:r w:rsidRPr="00E97B6A">
              <w:rPr>
                <w:rFonts w:ascii="Times New Roman" w:hAnsi="Times New Roman" w:cs="Times New Roman"/>
                <w:sz w:val="20"/>
              </w:rPr>
              <w:t>Wprawdzie w drodze interpretacji można uznać, że konsument wyraził zgodę na zawarcie umów kredytu konsumenckiego w takich sytuacjach, skoro korzysta z produktów, których mechanikę zna. Natomiast takie sytuacje nie powinny rodzić wątpliwości interpretacyjnych spowodowanych prawem. Wystawiają bowiem kredytodawców działających zgodnie z prawem i interesem konsumenta na zarzut naruszenia przepisów UKK.</w:t>
            </w:r>
          </w:p>
          <w:p w14:paraId="1270D388" w14:textId="77777777" w:rsidR="00E97B6A" w:rsidRPr="00E97B6A" w:rsidRDefault="00E97B6A" w:rsidP="00E97B6A">
            <w:pPr>
              <w:jc w:val="both"/>
              <w:rPr>
                <w:rFonts w:ascii="Times New Roman" w:hAnsi="Times New Roman" w:cs="Times New Roman"/>
                <w:sz w:val="20"/>
              </w:rPr>
            </w:pPr>
          </w:p>
          <w:p w14:paraId="2AF67034" w14:textId="094B4C3A" w:rsidR="00E200A5" w:rsidRPr="00FF4480" w:rsidRDefault="00E97B6A" w:rsidP="00E97B6A">
            <w:pPr>
              <w:jc w:val="both"/>
              <w:rPr>
                <w:rFonts w:ascii="Times New Roman" w:hAnsi="Times New Roman" w:cs="Times New Roman"/>
                <w:sz w:val="20"/>
              </w:rPr>
            </w:pPr>
            <w:r w:rsidRPr="00E97B6A">
              <w:rPr>
                <w:rFonts w:ascii="Times New Roman" w:hAnsi="Times New Roman" w:cs="Times New Roman"/>
                <w:sz w:val="20"/>
              </w:rPr>
              <w:t xml:space="preserve">Z tych względów </w:t>
            </w:r>
            <w:r>
              <w:rPr>
                <w:rFonts w:ascii="Times New Roman" w:hAnsi="Times New Roman" w:cs="Times New Roman"/>
                <w:sz w:val="20"/>
              </w:rPr>
              <w:t>rekomendujemy</w:t>
            </w:r>
            <w:r w:rsidRPr="00E97B6A">
              <w:rPr>
                <w:rFonts w:ascii="Times New Roman" w:hAnsi="Times New Roman" w:cs="Times New Roman"/>
                <w:sz w:val="20"/>
              </w:rPr>
              <w:t xml:space="preserve"> użycie w przepisie brzmienia wynikającego wprost z dyrektywy, bez jakichkolwiek zmian.</w:t>
            </w:r>
          </w:p>
        </w:tc>
      </w:tr>
      <w:tr w:rsidR="00E200A5" w:rsidRPr="00FF4480" w14:paraId="15A0319E" w14:textId="77777777" w:rsidTr="00517157">
        <w:trPr>
          <w:trHeight w:val="356"/>
          <w:jc w:val="center"/>
        </w:trPr>
        <w:tc>
          <w:tcPr>
            <w:tcW w:w="594" w:type="dxa"/>
          </w:tcPr>
          <w:p w14:paraId="3DE67ED7"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4E9CCB6E" w14:textId="7B0723A1" w:rsidR="00E200A5" w:rsidRPr="00FF4480" w:rsidRDefault="00C93A76" w:rsidP="004A28E0">
            <w:pPr>
              <w:jc w:val="both"/>
              <w:rPr>
                <w:rFonts w:ascii="Times New Roman" w:hAnsi="Times New Roman" w:cs="Times New Roman"/>
                <w:sz w:val="20"/>
              </w:rPr>
            </w:pPr>
            <w:r>
              <w:rPr>
                <w:rFonts w:ascii="Times New Roman" w:hAnsi="Times New Roman" w:cs="Times New Roman"/>
                <w:sz w:val="20"/>
              </w:rPr>
              <w:t>Art. 48 ust. 1 pkt. 17</w:t>
            </w:r>
          </w:p>
        </w:tc>
        <w:tc>
          <w:tcPr>
            <w:tcW w:w="2832" w:type="dxa"/>
            <w:vAlign w:val="center"/>
          </w:tcPr>
          <w:p w14:paraId="7035262E" w14:textId="370B4BC6"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6D60EA52" w14:textId="77777777" w:rsidR="0015104B" w:rsidRPr="00733E51" w:rsidRDefault="0015104B" w:rsidP="0015104B">
            <w:pPr>
              <w:jc w:val="both"/>
              <w:rPr>
                <w:rFonts w:ascii="Times New Roman" w:hAnsi="Times New Roman" w:cs="Times New Roman"/>
                <w:sz w:val="20"/>
              </w:rPr>
            </w:pPr>
            <w:r w:rsidRPr="00733E51">
              <w:rPr>
                <w:rFonts w:ascii="Times New Roman" w:hAnsi="Times New Roman" w:cs="Times New Roman"/>
                <w:sz w:val="20"/>
              </w:rPr>
              <w:t>Takie brzmienie przepisu zakłada, że na gruncie jednej umowy klient będzie miał prawo wyboru różnych typów/ form trwałego nośnika dla poszczególnych rodzajów informacji, nawet jeśli dany typ trwałego nośnika jest niedopasowany do kanału, w którym klient zawiera umowę (przykładowo, w procesach zdalnych informacje dostarczane są konsumentowi elektronicznie, a nie papierowo). Może być to trudniejsze do zrealizowania przez kredytodawców, stąd proponujemy, aby zapis miał następujące brzmienie:</w:t>
            </w:r>
          </w:p>
          <w:p w14:paraId="4206B024" w14:textId="34F304F9" w:rsidR="00E200A5" w:rsidRPr="00FF4480" w:rsidRDefault="0015104B" w:rsidP="00C93A76">
            <w:pPr>
              <w:jc w:val="both"/>
              <w:rPr>
                <w:rFonts w:ascii="Times New Roman" w:hAnsi="Times New Roman" w:cs="Times New Roman"/>
                <w:sz w:val="20"/>
              </w:rPr>
            </w:pPr>
            <w:proofErr w:type="gramStart"/>
            <w:r w:rsidRPr="00733E51">
              <w:rPr>
                <w:rFonts w:ascii="Times New Roman" w:hAnsi="Times New Roman" w:cs="Times New Roman"/>
                <w:sz w:val="20"/>
              </w:rPr>
              <w:t>,,</w:t>
            </w:r>
            <w:proofErr w:type="gramEnd"/>
            <w:r w:rsidRPr="00733E51">
              <w:rPr>
                <w:rFonts w:ascii="Times New Roman" w:hAnsi="Times New Roman" w:cs="Times New Roman"/>
                <w:sz w:val="20"/>
              </w:rPr>
              <w:t>trwały nośnik wybrany przez konsumenta spośród udostępnionych przez kredytodawcę […]”</w:t>
            </w:r>
          </w:p>
        </w:tc>
      </w:tr>
      <w:tr w:rsidR="00E200A5" w:rsidRPr="00FF4480" w14:paraId="42376132" w14:textId="77777777" w:rsidTr="00517157">
        <w:trPr>
          <w:trHeight w:val="356"/>
          <w:jc w:val="center"/>
        </w:trPr>
        <w:tc>
          <w:tcPr>
            <w:tcW w:w="594" w:type="dxa"/>
          </w:tcPr>
          <w:p w14:paraId="3D9C3A63"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2D78C673" w14:textId="54E5F1E7" w:rsidR="00E200A5" w:rsidRPr="00FF4480" w:rsidRDefault="00C93A76" w:rsidP="004A28E0">
            <w:pPr>
              <w:jc w:val="both"/>
              <w:rPr>
                <w:rFonts w:ascii="Times New Roman" w:hAnsi="Times New Roman" w:cs="Times New Roman"/>
                <w:sz w:val="20"/>
              </w:rPr>
            </w:pPr>
            <w:r w:rsidRPr="00C93A76">
              <w:rPr>
                <w:rFonts w:ascii="Times New Roman" w:hAnsi="Times New Roman" w:cs="Times New Roman"/>
                <w:sz w:val="20"/>
              </w:rPr>
              <w:t xml:space="preserve">Art. 48 ust. 1 pkt. </w:t>
            </w:r>
            <w:r>
              <w:rPr>
                <w:rFonts w:ascii="Times New Roman" w:hAnsi="Times New Roman" w:cs="Times New Roman"/>
                <w:sz w:val="20"/>
              </w:rPr>
              <w:t>23</w:t>
            </w:r>
          </w:p>
        </w:tc>
        <w:tc>
          <w:tcPr>
            <w:tcW w:w="2832" w:type="dxa"/>
            <w:vAlign w:val="center"/>
          </w:tcPr>
          <w:p w14:paraId="0D62057E" w14:textId="7B57DFF0"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3B996400" w14:textId="77777777" w:rsidR="00C93A76" w:rsidRDefault="00C93A76" w:rsidP="00C93A76">
            <w:pPr>
              <w:pStyle w:val="Akapitzlist"/>
              <w:numPr>
                <w:ilvl w:val="0"/>
                <w:numId w:val="20"/>
              </w:numPr>
              <w:jc w:val="both"/>
              <w:rPr>
                <w:rFonts w:ascii="Times New Roman" w:hAnsi="Times New Roman" w:cs="Times New Roman"/>
                <w:sz w:val="20"/>
              </w:rPr>
            </w:pPr>
            <w:r w:rsidRPr="00C93A76">
              <w:rPr>
                <w:rFonts w:ascii="Times New Roman" w:hAnsi="Times New Roman" w:cs="Times New Roman"/>
                <w:sz w:val="20"/>
              </w:rPr>
              <w:t xml:space="preserve">Przepis w tej formie rodzi wątpliwości interpretacyjne czy dotyczy obowiązku wskazania wszystkich podmiotów z listy, czy wyboru lub przykładu. Wątpliwość jest również aktualna w kontekście brzmienia dyrektywy 2023/2225. Projektodawca mógłby ją rozwiać wpisując </w:t>
            </w:r>
            <w:proofErr w:type="gramStart"/>
            <w:r w:rsidRPr="00C93A76">
              <w:rPr>
                <w:rFonts w:ascii="Times New Roman" w:hAnsi="Times New Roman" w:cs="Times New Roman"/>
                <w:sz w:val="20"/>
              </w:rPr>
              <w:t>wprost</w:t>
            </w:r>
            <w:proofErr w:type="gramEnd"/>
            <w:r w:rsidRPr="00C93A76">
              <w:rPr>
                <w:rFonts w:ascii="Times New Roman" w:hAnsi="Times New Roman" w:cs="Times New Roman"/>
                <w:sz w:val="20"/>
              </w:rPr>
              <w:t xml:space="preserve"> że wystarczy odwołanie do strony Rzecznika Finansowego gdzie będzie funkcjonowała lista/ rejestr.  </w:t>
            </w:r>
          </w:p>
          <w:p w14:paraId="1EEB6D21" w14:textId="40E8BCA2" w:rsidR="00C93A76" w:rsidRPr="00C93A76" w:rsidRDefault="00C93A76" w:rsidP="00C93A76">
            <w:pPr>
              <w:pStyle w:val="Akapitzlist"/>
              <w:numPr>
                <w:ilvl w:val="0"/>
                <w:numId w:val="20"/>
              </w:numPr>
              <w:jc w:val="both"/>
              <w:rPr>
                <w:rFonts w:ascii="Times New Roman" w:hAnsi="Times New Roman" w:cs="Times New Roman"/>
                <w:sz w:val="20"/>
              </w:rPr>
            </w:pPr>
            <w:r w:rsidRPr="00C93A76">
              <w:rPr>
                <w:rFonts w:ascii="Times New Roman" w:hAnsi="Times New Roman" w:cs="Times New Roman"/>
                <w:sz w:val="20"/>
              </w:rPr>
              <w:t xml:space="preserve">Powinno zostać doprecyzowane co oznaczają „rekomendacje dla konsumenta”. Umowa kredytu konsumenckiego powinna zawierać informacje o danych kontaktowych tych podmiotów poprzez odesłanie i </w:t>
            </w:r>
            <w:proofErr w:type="gramStart"/>
            <w:r w:rsidRPr="00C93A76">
              <w:rPr>
                <w:rFonts w:ascii="Times New Roman" w:hAnsi="Times New Roman" w:cs="Times New Roman"/>
                <w:sz w:val="20"/>
              </w:rPr>
              <w:t>wskazanie</w:t>
            </w:r>
            <w:proofErr w:type="gramEnd"/>
            <w:r w:rsidRPr="00C93A76">
              <w:rPr>
                <w:rFonts w:ascii="Times New Roman" w:hAnsi="Times New Roman" w:cs="Times New Roman"/>
                <w:sz w:val="20"/>
              </w:rPr>
              <w:t xml:space="preserve"> kiedy z ich pomocy konsument może skorzystać. Rekomendacja wskazuje na to, że jest to bardziej zalecenie niż informacja.</w:t>
            </w:r>
          </w:p>
          <w:p w14:paraId="047972D7" w14:textId="77777777" w:rsidR="00E200A5" w:rsidRPr="00FF4480" w:rsidRDefault="00E200A5" w:rsidP="004A28E0">
            <w:pPr>
              <w:jc w:val="both"/>
              <w:rPr>
                <w:rFonts w:ascii="Times New Roman" w:hAnsi="Times New Roman" w:cs="Times New Roman"/>
                <w:sz w:val="20"/>
              </w:rPr>
            </w:pPr>
          </w:p>
        </w:tc>
      </w:tr>
      <w:tr w:rsidR="00E200A5" w:rsidRPr="00FF4480" w14:paraId="217BB466" w14:textId="77777777" w:rsidTr="00517157">
        <w:trPr>
          <w:trHeight w:val="356"/>
          <w:jc w:val="center"/>
        </w:trPr>
        <w:tc>
          <w:tcPr>
            <w:tcW w:w="594" w:type="dxa"/>
          </w:tcPr>
          <w:p w14:paraId="23A01E72"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50BCCBD0" w14:textId="0FB6B35E" w:rsidR="00E200A5" w:rsidRPr="00FF4480" w:rsidRDefault="005B70BA" w:rsidP="004A28E0">
            <w:pPr>
              <w:jc w:val="both"/>
              <w:rPr>
                <w:rFonts w:ascii="Times New Roman" w:hAnsi="Times New Roman" w:cs="Times New Roman"/>
                <w:sz w:val="20"/>
              </w:rPr>
            </w:pPr>
            <w:r>
              <w:rPr>
                <w:rFonts w:ascii="Times New Roman" w:hAnsi="Times New Roman" w:cs="Times New Roman"/>
                <w:sz w:val="20"/>
              </w:rPr>
              <w:t xml:space="preserve">Art. 50 ust. 1 pkt 1 </w:t>
            </w:r>
          </w:p>
        </w:tc>
        <w:tc>
          <w:tcPr>
            <w:tcW w:w="2832" w:type="dxa"/>
            <w:vAlign w:val="center"/>
          </w:tcPr>
          <w:p w14:paraId="75E3C094" w14:textId="73CF6C5D"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3D5FDBB0" w14:textId="50A4D3C1" w:rsidR="00E200A5" w:rsidRPr="00FF4480" w:rsidRDefault="005B70BA" w:rsidP="004A28E0">
            <w:pPr>
              <w:jc w:val="both"/>
              <w:rPr>
                <w:rFonts w:ascii="Times New Roman" w:hAnsi="Times New Roman" w:cs="Times New Roman"/>
                <w:sz w:val="20"/>
              </w:rPr>
            </w:pPr>
            <w:r w:rsidRPr="005B70BA">
              <w:rPr>
                <w:rFonts w:ascii="Times New Roman" w:hAnsi="Times New Roman" w:cs="Times New Roman"/>
                <w:sz w:val="20"/>
              </w:rPr>
              <w:t xml:space="preserve">Przepis powinien określać co oznacza „szczegółowo”. Zapis </w:t>
            </w:r>
            <w:proofErr w:type="gramStart"/>
            <w:r w:rsidRPr="005B70BA">
              <w:rPr>
                <w:rFonts w:ascii="Times New Roman" w:hAnsi="Times New Roman" w:cs="Times New Roman"/>
                <w:sz w:val="20"/>
              </w:rPr>
              <w:t>wskazuje</w:t>
            </w:r>
            <w:proofErr w:type="gramEnd"/>
            <w:r w:rsidRPr="005B70BA">
              <w:rPr>
                <w:rFonts w:ascii="Times New Roman" w:hAnsi="Times New Roman" w:cs="Times New Roman"/>
                <w:sz w:val="20"/>
              </w:rPr>
              <w:t xml:space="preserve"> że towar lub usługa powinna zostać określona co do tożsamości a nie co do gatunku. Często takie określenie jest niemożliwe. Proponujemy przywrócenie obowiązującej obecnie wersji przepisu.</w:t>
            </w:r>
          </w:p>
        </w:tc>
      </w:tr>
      <w:tr w:rsidR="00E200A5" w:rsidRPr="00FF4480" w14:paraId="5601E2AF" w14:textId="77777777" w:rsidTr="00517157">
        <w:trPr>
          <w:trHeight w:val="356"/>
          <w:jc w:val="center"/>
        </w:trPr>
        <w:tc>
          <w:tcPr>
            <w:tcW w:w="594" w:type="dxa"/>
          </w:tcPr>
          <w:p w14:paraId="21C46F25"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07E899DD" w14:textId="1D5C3F9F" w:rsidR="00E200A5" w:rsidRPr="00FF4480" w:rsidRDefault="005B70BA" w:rsidP="004A28E0">
            <w:pPr>
              <w:jc w:val="both"/>
              <w:rPr>
                <w:rFonts w:ascii="Times New Roman" w:hAnsi="Times New Roman" w:cs="Times New Roman"/>
                <w:sz w:val="20"/>
              </w:rPr>
            </w:pPr>
            <w:r w:rsidRPr="005B70BA">
              <w:rPr>
                <w:rFonts w:ascii="Times New Roman" w:hAnsi="Times New Roman" w:cs="Times New Roman"/>
                <w:sz w:val="20"/>
              </w:rPr>
              <w:t>Art. 5</w:t>
            </w:r>
            <w:r>
              <w:rPr>
                <w:rFonts w:ascii="Times New Roman" w:hAnsi="Times New Roman" w:cs="Times New Roman"/>
                <w:sz w:val="20"/>
              </w:rPr>
              <w:t>2</w:t>
            </w:r>
            <w:r w:rsidRPr="005B70BA">
              <w:rPr>
                <w:rFonts w:ascii="Times New Roman" w:hAnsi="Times New Roman" w:cs="Times New Roman"/>
                <w:sz w:val="20"/>
              </w:rPr>
              <w:t xml:space="preserve"> ust. 1 pkt </w:t>
            </w:r>
            <w:r>
              <w:rPr>
                <w:rFonts w:ascii="Times New Roman" w:hAnsi="Times New Roman" w:cs="Times New Roman"/>
                <w:sz w:val="20"/>
              </w:rPr>
              <w:t>2</w:t>
            </w:r>
          </w:p>
        </w:tc>
        <w:tc>
          <w:tcPr>
            <w:tcW w:w="2832" w:type="dxa"/>
            <w:vAlign w:val="center"/>
          </w:tcPr>
          <w:p w14:paraId="01636857" w14:textId="6754D910"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5DA675CB" w14:textId="5C3DC735" w:rsidR="00E200A5" w:rsidRPr="00FF4480" w:rsidRDefault="005B70BA" w:rsidP="004A28E0">
            <w:pPr>
              <w:jc w:val="both"/>
              <w:rPr>
                <w:rFonts w:ascii="Times New Roman" w:hAnsi="Times New Roman" w:cs="Times New Roman"/>
                <w:sz w:val="20"/>
              </w:rPr>
            </w:pPr>
            <w:r>
              <w:rPr>
                <w:rFonts w:ascii="Times New Roman" w:hAnsi="Times New Roman" w:cs="Times New Roman"/>
                <w:sz w:val="20"/>
              </w:rPr>
              <w:t xml:space="preserve">W </w:t>
            </w:r>
            <w:r w:rsidRPr="005B70BA">
              <w:rPr>
                <w:rFonts w:ascii="Times New Roman" w:hAnsi="Times New Roman" w:cs="Times New Roman"/>
                <w:sz w:val="20"/>
              </w:rPr>
              <w:t>ust. 1 jest mowa o zmianach postanowień umowy wynikających m.in. z mocy prawa</w:t>
            </w:r>
            <w:r>
              <w:rPr>
                <w:rFonts w:ascii="Times New Roman" w:hAnsi="Times New Roman" w:cs="Times New Roman"/>
                <w:sz w:val="20"/>
              </w:rPr>
              <w:t>.</w:t>
            </w:r>
            <w:r w:rsidRPr="005B70BA">
              <w:rPr>
                <w:rFonts w:ascii="Times New Roman" w:hAnsi="Times New Roman" w:cs="Times New Roman"/>
                <w:sz w:val="20"/>
              </w:rPr>
              <w:t xml:space="preserve"> </w:t>
            </w:r>
            <w:r>
              <w:rPr>
                <w:rFonts w:ascii="Times New Roman" w:hAnsi="Times New Roman" w:cs="Times New Roman"/>
                <w:sz w:val="20"/>
              </w:rPr>
              <w:t>Z</w:t>
            </w:r>
            <w:r w:rsidRPr="005B70BA">
              <w:rPr>
                <w:rFonts w:ascii="Times New Roman" w:hAnsi="Times New Roman" w:cs="Times New Roman"/>
                <w:sz w:val="20"/>
              </w:rPr>
              <w:t>atem wpisanie w ust. 2 możliwości złożenia reklamacji do tego rodzaju zmian jest pozbawione sensu - taka reklamacja nie powinna być rozpatrzona poprzez uwzględnienie roszczeń, gdyż prowadziłoby to do działania kredytodawcy niezgodnie z przepisami prawa.</w:t>
            </w:r>
          </w:p>
        </w:tc>
      </w:tr>
      <w:tr w:rsidR="00E200A5" w:rsidRPr="00FF4480" w14:paraId="5EB7AF3E" w14:textId="77777777" w:rsidTr="00517157">
        <w:trPr>
          <w:trHeight w:val="356"/>
          <w:jc w:val="center"/>
        </w:trPr>
        <w:tc>
          <w:tcPr>
            <w:tcW w:w="594" w:type="dxa"/>
          </w:tcPr>
          <w:p w14:paraId="21623522"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4F9D1FDC" w14:textId="35EE39C1" w:rsidR="00E200A5" w:rsidRPr="00FF4480" w:rsidRDefault="005B70BA" w:rsidP="004A28E0">
            <w:pPr>
              <w:jc w:val="both"/>
              <w:rPr>
                <w:rFonts w:ascii="Times New Roman" w:hAnsi="Times New Roman" w:cs="Times New Roman"/>
                <w:sz w:val="20"/>
              </w:rPr>
            </w:pPr>
            <w:r>
              <w:rPr>
                <w:rFonts w:ascii="Times New Roman" w:hAnsi="Times New Roman" w:cs="Times New Roman"/>
                <w:sz w:val="20"/>
              </w:rPr>
              <w:t xml:space="preserve">Art. </w:t>
            </w:r>
            <w:r w:rsidR="009734F6">
              <w:rPr>
                <w:rFonts w:ascii="Times New Roman" w:hAnsi="Times New Roman" w:cs="Times New Roman"/>
                <w:sz w:val="20"/>
              </w:rPr>
              <w:t>61</w:t>
            </w:r>
          </w:p>
        </w:tc>
        <w:tc>
          <w:tcPr>
            <w:tcW w:w="2832" w:type="dxa"/>
            <w:vAlign w:val="center"/>
          </w:tcPr>
          <w:p w14:paraId="59DC11D6" w14:textId="138611C5"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222128B7" w14:textId="7FFE3876" w:rsidR="009734F6" w:rsidRDefault="009734F6" w:rsidP="004A28E0">
            <w:pPr>
              <w:jc w:val="both"/>
              <w:rPr>
                <w:rFonts w:ascii="Times New Roman" w:hAnsi="Times New Roman" w:cs="Times New Roman"/>
                <w:sz w:val="20"/>
              </w:rPr>
            </w:pPr>
            <w:r w:rsidRPr="009734F6">
              <w:rPr>
                <w:rFonts w:ascii="Times New Roman" w:hAnsi="Times New Roman" w:cs="Times New Roman"/>
                <w:sz w:val="20"/>
              </w:rPr>
              <w:t>Proponujemy zmianę w celu doprecyzowania przepisu - tak, żeby wprost obejmował tylko kredyty na refinansowanie zaciągniętych kredytów, zgodnie z celem przepisu, wyrażonym również w decyzji Prezesa UOKiK z dnia 12 czerwca 2024 r. (RWR.610.1.2023.AK) oraz w wyroku Sądu Ochrony Konkurencji i Konsumentów z dnia 18 marca 2024 r. (XVII AmA 50/23)</w:t>
            </w:r>
            <w:r>
              <w:rPr>
                <w:rFonts w:ascii="Times New Roman" w:hAnsi="Times New Roman" w:cs="Times New Roman"/>
                <w:sz w:val="20"/>
              </w:rPr>
              <w:t xml:space="preserve">: </w:t>
            </w:r>
          </w:p>
          <w:p w14:paraId="17F68AF9" w14:textId="71DE80C0" w:rsidR="009734F6" w:rsidRPr="009734F6" w:rsidRDefault="009734F6" w:rsidP="009734F6">
            <w:pPr>
              <w:jc w:val="both"/>
              <w:rPr>
                <w:rFonts w:ascii="Times New Roman" w:hAnsi="Times New Roman" w:cs="Times New Roman"/>
                <w:sz w:val="20"/>
              </w:rPr>
            </w:pPr>
            <w:proofErr w:type="gramStart"/>
            <w:r>
              <w:rPr>
                <w:rFonts w:ascii="Times New Roman" w:hAnsi="Times New Roman" w:cs="Times New Roman"/>
                <w:sz w:val="20"/>
              </w:rPr>
              <w:t>,,</w:t>
            </w:r>
            <w:proofErr w:type="gramEnd"/>
            <w:r w:rsidRPr="009734F6">
              <w:rPr>
                <w:rFonts w:ascii="Times New Roman" w:hAnsi="Times New Roman" w:cs="Times New Roman"/>
                <w:sz w:val="20"/>
              </w:rPr>
              <w:t xml:space="preserve">Art. 61. W przypadku udzielenia przez kredytodawcę lub podmiot z nim powiązany kredytu refinansującego, przeznaczonego na spłatę poprzednio zaciągniętych </w:t>
            </w:r>
            <w:proofErr w:type="gramStart"/>
            <w:r w:rsidRPr="009734F6">
              <w:rPr>
                <w:rFonts w:ascii="Times New Roman" w:hAnsi="Times New Roman" w:cs="Times New Roman"/>
                <w:sz w:val="20"/>
              </w:rPr>
              <w:t xml:space="preserve">kredytów,   </w:t>
            </w:r>
            <w:proofErr w:type="gramEnd"/>
            <w:r w:rsidRPr="009734F6">
              <w:rPr>
                <w:rFonts w:ascii="Times New Roman" w:hAnsi="Times New Roman" w:cs="Times New Roman"/>
                <w:sz w:val="20"/>
              </w:rPr>
              <w:t>w okresie 120 dni od dnia wypłaty pierwszego z tych kredytów, konsumentowi, który nie dokonał pełnej spłaty tych wcześniej zaciągniętych kredytów:</w:t>
            </w:r>
          </w:p>
          <w:p w14:paraId="683E434D" w14:textId="77777777" w:rsidR="009734F6" w:rsidRPr="009734F6" w:rsidRDefault="009734F6" w:rsidP="009734F6">
            <w:pPr>
              <w:jc w:val="both"/>
              <w:rPr>
                <w:rFonts w:ascii="Times New Roman" w:hAnsi="Times New Roman" w:cs="Times New Roman"/>
                <w:sz w:val="20"/>
              </w:rPr>
            </w:pPr>
            <w:r w:rsidRPr="009734F6">
              <w:rPr>
                <w:rFonts w:ascii="Times New Roman" w:hAnsi="Times New Roman" w:cs="Times New Roman"/>
                <w:sz w:val="20"/>
              </w:rPr>
              <w:t>1)</w:t>
            </w:r>
            <w:r w:rsidRPr="009734F6">
              <w:rPr>
                <w:rFonts w:ascii="Times New Roman" w:hAnsi="Times New Roman" w:cs="Times New Roman"/>
                <w:sz w:val="20"/>
              </w:rPr>
              <w:tab/>
              <w:t xml:space="preserve">całkowitą kwotę kredytu przeznaczonego na spłatę kredytów refinansowanych, dla celów ustalenia maksymalnej wysokości pozaodsetkowych kosztów kredytu refinansującego, o której mowa w art. 59, stanowi kwota pierwszego </w:t>
            </w:r>
            <w:proofErr w:type="gramStart"/>
            <w:r w:rsidRPr="009734F6">
              <w:rPr>
                <w:rFonts w:ascii="Times New Roman" w:hAnsi="Times New Roman" w:cs="Times New Roman"/>
                <w:sz w:val="20"/>
              </w:rPr>
              <w:t>z  kredytów</w:t>
            </w:r>
            <w:proofErr w:type="gramEnd"/>
            <w:r w:rsidRPr="009734F6">
              <w:rPr>
                <w:rFonts w:ascii="Times New Roman" w:hAnsi="Times New Roman" w:cs="Times New Roman"/>
                <w:sz w:val="20"/>
              </w:rPr>
              <w:t xml:space="preserve"> refinansowanych;</w:t>
            </w:r>
          </w:p>
          <w:p w14:paraId="6AA5338E" w14:textId="37A8E0CD" w:rsidR="009734F6" w:rsidRPr="00FF4480" w:rsidRDefault="009734F6" w:rsidP="009734F6">
            <w:pPr>
              <w:jc w:val="both"/>
              <w:rPr>
                <w:rFonts w:ascii="Times New Roman" w:hAnsi="Times New Roman" w:cs="Times New Roman"/>
                <w:sz w:val="20"/>
              </w:rPr>
            </w:pPr>
            <w:r w:rsidRPr="009734F6">
              <w:rPr>
                <w:rFonts w:ascii="Times New Roman" w:hAnsi="Times New Roman" w:cs="Times New Roman"/>
                <w:sz w:val="20"/>
              </w:rPr>
              <w:t>2)</w:t>
            </w:r>
            <w:r w:rsidRPr="009734F6">
              <w:rPr>
                <w:rFonts w:ascii="Times New Roman" w:hAnsi="Times New Roman" w:cs="Times New Roman"/>
                <w:sz w:val="20"/>
              </w:rPr>
              <w:tab/>
              <w:t>pozaodsetkowe koszty kredytu obejmują sumę pozaodsetkowych kosztów kredytów refinansowanych i kredytu refinansującego”</w:t>
            </w:r>
          </w:p>
        </w:tc>
      </w:tr>
      <w:tr w:rsidR="00E200A5" w:rsidRPr="00FF4480" w14:paraId="5082B666" w14:textId="77777777" w:rsidTr="00517157">
        <w:trPr>
          <w:trHeight w:val="356"/>
          <w:jc w:val="center"/>
        </w:trPr>
        <w:tc>
          <w:tcPr>
            <w:tcW w:w="594" w:type="dxa"/>
          </w:tcPr>
          <w:p w14:paraId="47CAC380"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48BAE782" w14:textId="69324CFA" w:rsidR="00E200A5" w:rsidRPr="00FF4480" w:rsidRDefault="009734F6" w:rsidP="004A28E0">
            <w:pPr>
              <w:jc w:val="both"/>
              <w:rPr>
                <w:rFonts w:ascii="Times New Roman" w:hAnsi="Times New Roman" w:cs="Times New Roman"/>
                <w:sz w:val="20"/>
              </w:rPr>
            </w:pPr>
            <w:r>
              <w:rPr>
                <w:rFonts w:ascii="Times New Roman" w:hAnsi="Times New Roman" w:cs="Times New Roman"/>
                <w:sz w:val="20"/>
              </w:rPr>
              <w:t xml:space="preserve">Art. 62 </w:t>
            </w:r>
          </w:p>
        </w:tc>
        <w:tc>
          <w:tcPr>
            <w:tcW w:w="2832" w:type="dxa"/>
            <w:vAlign w:val="center"/>
          </w:tcPr>
          <w:p w14:paraId="4550302E" w14:textId="63FB9B29"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03CDE7CD" w14:textId="0D6CC783" w:rsidR="00F021E0" w:rsidRPr="00F021E0" w:rsidRDefault="00F021E0" w:rsidP="00F021E0">
            <w:pPr>
              <w:pStyle w:val="Akapitzlist"/>
              <w:numPr>
                <w:ilvl w:val="0"/>
                <w:numId w:val="21"/>
              </w:numPr>
              <w:jc w:val="both"/>
              <w:rPr>
                <w:rFonts w:ascii="Times New Roman" w:hAnsi="Times New Roman" w:cs="Times New Roman"/>
                <w:sz w:val="20"/>
              </w:rPr>
            </w:pPr>
            <w:r>
              <w:rPr>
                <w:rFonts w:ascii="Times New Roman" w:hAnsi="Times New Roman" w:cs="Times New Roman"/>
                <w:sz w:val="20"/>
              </w:rPr>
              <w:t xml:space="preserve">Zauważyć </w:t>
            </w:r>
            <w:proofErr w:type="gramStart"/>
            <w:r>
              <w:rPr>
                <w:rFonts w:ascii="Times New Roman" w:hAnsi="Times New Roman" w:cs="Times New Roman"/>
                <w:sz w:val="20"/>
              </w:rPr>
              <w:t>należy</w:t>
            </w:r>
            <w:proofErr w:type="gramEnd"/>
            <w:r>
              <w:rPr>
                <w:rFonts w:ascii="Times New Roman" w:hAnsi="Times New Roman" w:cs="Times New Roman"/>
                <w:sz w:val="20"/>
              </w:rPr>
              <w:t xml:space="preserve"> iż </w:t>
            </w:r>
            <w:r w:rsidRPr="00F021E0">
              <w:rPr>
                <w:rFonts w:ascii="Times New Roman" w:hAnsi="Times New Roman" w:cs="Times New Roman"/>
                <w:sz w:val="20"/>
              </w:rPr>
              <w:t>limit maksymalnych pozaodsetkowych kosztów kredytu dla kart kredytowych i kredytów w rachunku płatniczym może prowadzić w praktyce do ograniczenia dostępności usługi – po wyczerpaniu limitu kredytodawca byłby zmuszony świadczyć usługę za darmo</w:t>
            </w:r>
            <w:r>
              <w:rPr>
                <w:rFonts w:ascii="Times New Roman" w:hAnsi="Times New Roman" w:cs="Times New Roman"/>
                <w:sz w:val="20"/>
              </w:rPr>
              <w:t>.</w:t>
            </w:r>
            <w:r w:rsidR="00742428">
              <w:rPr>
                <w:rFonts w:ascii="Times New Roman" w:hAnsi="Times New Roman" w:cs="Times New Roman"/>
                <w:sz w:val="20"/>
              </w:rPr>
              <w:t xml:space="preserve"> </w:t>
            </w:r>
          </w:p>
          <w:p w14:paraId="7147D4E1" w14:textId="7401CACC" w:rsidR="009734F6" w:rsidRDefault="009734F6" w:rsidP="00F021E0">
            <w:pPr>
              <w:pStyle w:val="Akapitzlist"/>
              <w:numPr>
                <w:ilvl w:val="0"/>
                <w:numId w:val="21"/>
              </w:numPr>
              <w:jc w:val="both"/>
              <w:rPr>
                <w:rFonts w:ascii="Times New Roman" w:hAnsi="Times New Roman" w:cs="Times New Roman"/>
                <w:sz w:val="20"/>
              </w:rPr>
            </w:pPr>
            <w:r w:rsidRPr="009734F6">
              <w:rPr>
                <w:rFonts w:ascii="Times New Roman" w:hAnsi="Times New Roman" w:cs="Times New Roman"/>
                <w:sz w:val="20"/>
              </w:rPr>
              <w:t>Rekomendowane jest wskazanie, że w przypadku tych umów, o których mowa w projektowanym art. 62, nie stosuje się przepisów z art 59-61 ustawy, które zawierają postanowienia charakterystyczne dla kredytów ratalnych (pożyczek).</w:t>
            </w:r>
          </w:p>
          <w:p w14:paraId="5CEA3D62" w14:textId="77777777" w:rsidR="009734F6" w:rsidRPr="00733E51" w:rsidRDefault="009734F6" w:rsidP="00F021E0">
            <w:pPr>
              <w:pStyle w:val="Akapitzlist"/>
              <w:numPr>
                <w:ilvl w:val="0"/>
                <w:numId w:val="21"/>
              </w:numPr>
              <w:jc w:val="both"/>
              <w:rPr>
                <w:rFonts w:ascii="Times New Roman" w:hAnsi="Times New Roman" w:cs="Times New Roman"/>
                <w:sz w:val="20"/>
              </w:rPr>
            </w:pPr>
            <w:r w:rsidRPr="00733E51">
              <w:rPr>
                <w:rFonts w:ascii="Times New Roman" w:hAnsi="Times New Roman" w:cs="Times New Roman"/>
                <w:sz w:val="20"/>
              </w:rPr>
              <w:lastRenderedPageBreak/>
              <w:t>Aktualnie określona wartość limitu jest na zbyt niskim poziomie. Mając na uwadze szereg obowiązków i kosztów, które obciążają kredytodawcę, postulujemy propozycje podwyższenia limitu do 4/5 % przy pozostawieniu zaprojektowanego mechanizmu.</w:t>
            </w:r>
          </w:p>
          <w:p w14:paraId="3723F4C9" w14:textId="78A2DE1C" w:rsidR="00C41C63" w:rsidRPr="00733E51" w:rsidRDefault="009734F6" w:rsidP="00087EC4">
            <w:pPr>
              <w:pStyle w:val="Akapitzlist"/>
              <w:numPr>
                <w:ilvl w:val="0"/>
                <w:numId w:val="21"/>
              </w:numPr>
              <w:jc w:val="both"/>
              <w:rPr>
                <w:rFonts w:ascii="Times New Roman" w:hAnsi="Times New Roman" w:cs="Times New Roman"/>
                <w:sz w:val="20"/>
              </w:rPr>
            </w:pPr>
            <w:r w:rsidRPr="00733E51">
              <w:rPr>
                <w:rFonts w:ascii="Times New Roman" w:hAnsi="Times New Roman" w:cs="Times New Roman"/>
                <w:sz w:val="20"/>
              </w:rPr>
              <w:t xml:space="preserve">Kluczowa też jest kwestia </w:t>
            </w:r>
            <w:r w:rsidR="00087EC4" w:rsidRPr="00733E51">
              <w:rPr>
                <w:rFonts w:ascii="Times New Roman" w:hAnsi="Times New Roman" w:cs="Times New Roman"/>
                <w:sz w:val="20"/>
              </w:rPr>
              <w:t xml:space="preserve">rozumienia kosztów pozaodsetkowych, </w:t>
            </w:r>
            <w:r w:rsidRPr="00733E51">
              <w:rPr>
                <w:rFonts w:ascii="Times New Roman" w:hAnsi="Times New Roman" w:cs="Times New Roman"/>
                <w:sz w:val="20"/>
              </w:rPr>
              <w:t xml:space="preserve">czy obejmują koszty zw. z instrumentem płatniczym oraz </w:t>
            </w:r>
            <w:r w:rsidR="00087EC4" w:rsidRPr="00733E51">
              <w:rPr>
                <w:rFonts w:ascii="Times New Roman" w:hAnsi="Times New Roman" w:cs="Times New Roman"/>
                <w:sz w:val="20"/>
              </w:rPr>
              <w:t xml:space="preserve">ich wyłączenie wprost </w:t>
            </w:r>
            <w:r w:rsidRPr="00733E51">
              <w:rPr>
                <w:rFonts w:ascii="Times New Roman" w:hAnsi="Times New Roman" w:cs="Times New Roman"/>
                <w:sz w:val="20"/>
              </w:rPr>
              <w:t xml:space="preserve">w przepisie. </w:t>
            </w:r>
            <w:r w:rsidR="00C41C63" w:rsidRPr="00733E51">
              <w:rPr>
                <w:rFonts w:ascii="Times New Roman" w:hAnsi="Times New Roman" w:cs="Times New Roman"/>
                <w:sz w:val="20"/>
              </w:rPr>
              <w:t xml:space="preserve">Wnosimy o rozważenie doprecyzowania definicji kosztów, które znajdą się w limicie. W naszej ocenie uzasadnione jest, aby w limicie znalazły się koszty, które konsument jest zobowiązany ponieść, korzystając z kredytu, takie jak: opłata za kartę, za skorzystanie z limitu kredytowego, itd. Należy natomiast wprost doprecyzować, że w limicie nie znajdują się koszty, których konsument nie musi </w:t>
            </w:r>
            <w:proofErr w:type="gramStart"/>
            <w:r w:rsidR="00C41C63" w:rsidRPr="00733E51">
              <w:rPr>
                <w:rFonts w:ascii="Times New Roman" w:hAnsi="Times New Roman" w:cs="Times New Roman"/>
                <w:sz w:val="20"/>
              </w:rPr>
              <w:t>ponosić</w:t>
            </w:r>
            <w:proofErr w:type="gramEnd"/>
            <w:r w:rsidR="00C41C63" w:rsidRPr="00733E51">
              <w:rPr>
                <w:rFonts w:ascii="Times New Roman" w:hAnsi="Times New Roman" w:cs="Times New Roman"/>
                <w:sz w:val="20"/>
              </w:rPr>
              <w:t xml:space="preserve"> czyli opłaty opcjonalne (zależące od jego aktywności) – dotyczy to, przykładowo, kosztów wypłat gotówki z bankomatów, kosztów transakcji zagranicznych, przelewów z karty kredytowej, etc. Projekt powinien to wyraźnie wskazywać, dla uniknięcia możliwych wątpliwości.</w:t>
            </w:r>
          </w:p>
          <w:p w14:paraId="30553944" w14:textId="5D8CC352" w:rsidR="00E200A5" w:rsidRPr="009734F6" w:rsidRDefault="009734F6" w:rsidP="00F021E0">
            <w:pPr>
              <w:pStyle w:val="Akapitzlist"/>
              <w:numPr>
                <w:ilvl w:val="0"/>
                <w:numId w:val="21"/>
              </w:numPr>
              <w:jc w:val="both"/>
              <w:rPr>
                <w:rFonts w:ascii="Times New Roman" w:hAnsi="Times New Roman" w:cs="Times New Roman"/>
                <w:sz w:val="20"/>
              </w:rPr>
            </w:pPr>
            <w:r w:rsidRPr="00733E51">
              <w:rPr>
                <w:rFonts w:ascii="Times New Roman" w:hAnsi="Times New Roman" w:cs="Times New Roman"/>
                <w:sz w:val="20"/>
              </w:rPr>
              <w:t xml:space="preserve">Projektowany art. 62 ust 2 przewiduje, że podwyższenie limitu kredytowego nigdy nie może prowadzić do wzrostu limitu kosztów pozaodsetkowych związanych z kredytem w karcie kredytowej. Takie rozwiązanie jest nieuzasadnione ekonomicznie i nieproporcjonalne, choć można zidentyfikować obawę stojącą za propozycją jego wprowadzenia. </w:t>
            </w:r>
            <w:r w:rsidR="003E6FC2" w:rsidRPr="00733E51">
              <w:rPr>
                <w:rFonts w:ascii="Times New Roman" w:hAnsi="Times New Roman" w:cs="Times New Roman"/>
                <w:sz w:val="20"/>
              </w:rPr>
              <w:t xml:space="preserve">Rekomendujemy w pierwszej kolejności, aby to ograniczenie w ust 2 zostało usunięte; alternatywnie, aby </w:t>
            </w:r>
            <w:r w:rsidR="006C1BC0" w:rsidRPr="00733E51">
              <w:rPr>
                <w:rFonts w:ascii="Times New Roman" w:hAnsi="Times New Roman" w:cs="Times New Roman"/>
                <w:sz w:val="20"/>
              </w:rPr>
              <w:t xml:space="preserve">przynajmniej </w:t>
            </w:r>
            <w:r w:rsidRPr="00733E51">
              <w:rPr>
                <w:rFonts w:ascii="Times New Roman" w:hAnsi="Times New Roman" w:cs="Times New Roman"/>
                <w:sz w:val="20"/>
              </w:rPr>
              <w:t>wprowadzić większą równowagę i zezwolić na wzrost limitu kosztów pozaodsetkowych w przypadku zmiany limitu kredytowego, aczkolwiek w sposób proporcjonalny i równoważący interesy obu stron umowy tak aby to ograniczenie obowiązywało wyłącznie przez określony czas, np. przez 6 miesięcy od daty podwyższenia limitu.</w:t>
            </w:r>
          </w:p>
        </w:tc>
      </w:tr>
      <w:tr w:rsidR="00E200A5" w:rsidRPr="00FF4480" w14:paraId="65CF7A1A" w14:textId="77777777" w:rsidTr="00517157">
        <w:trPr>
          <w:trHeight w:val="356"/>
          <w:jc w:val="center"/>
        </w:trPr>
        <w:tc>
          <w:tcPr>
            <w:tcW w:w="594" w:type="dxa"/>
          </w:tcPr>
          <w:p w14:paraId="419C58F2"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260D195A" w14:textId="74210F7C" w:rsidR="00E200A5" w:rsidRPr="00FF4480" w:rsidRDefault="002459A4" w:rsidP="004A28E0">
            <w:pPr>
              <w:jc w:val="both"/>
              <w:rPr>
                <w:rFonts w:ascii="Times New Roman" w:hAnsi="Times New Roman" w:cs="Times New Roman"/>
                <w:sz w:val="20"/>
              </w:rPr>
            </w:pPr>
            <w:r>
              <w:rPr>
                <w:rFonts w:ascii="Times New Roman" w:hAnsi="Times New Roman" w:cs="Times New Roman"/>
                <w:sz w:val="20"/>
              </w:rPr>
              <w:t>Art. 6</w:t>
            </w:r>
            <w:r w:rsidR="00F71C60">
              <w:rPr>
                <w:rFonts w:ascii="Times New Roman" w:hAnsi="Times New Roman" w:cs="Times New Roman"/>
                <w:sz w:val="20"/>
              </w:rPr>
              <w:t>5</w:t>
            </w:r>
          </w:p>
        </w:tc>
        <w:tc>
          <w:tcPr>
            <w:tcW w:w="2832" w:type="dxa"/>
            <w:vAlign w:val="center"/>
          </w:tcPr>
          <w:p w14:paraId="5F925893" w14:textId="4559DE39"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3FCFFAAD" w14:textId="20C7F9E6" w:rsidR="00F71C60" w:rsidRPr="00F71C60" w:rsidRDefault="00F71C60" w:rsidP="00F71C60">
            <w:pPr>
              <w:jc w:val="both"/>
              <w:rPr>
                <w:rFonts w:ascii="Times New Roman" w:hAnsi="Times New Roman" w:cs="Times New Roman"/>
                <w:sz w:val="20"/>
              </w:rPr>
            </w:pPr>
            <w:r>
              <w:rPr>
                <w:rFonts w:ascii="Times New Roman" w:hAnsi="Times New Roman" w:cs="Times New Roman"/>
                <w:sz w:val="20"/>
              </w:rPr>
              <w:t xml:space="preserve">Dodanie </w:t>
            </w:r>
            <w:r w:rsidRPr="00F71C60">
              <w:rPr>
                <w:rFonts w:ascii="Times New Roman" w:hAnsi="Times New Roman" w:cs="Times New Roman"/>
                <w:sz w:val="20"/>
              </w:rPr>
              <w:t>do ust. 2 słowa „niezwłocznie” może powodować trudności w procesie obsługi spraw nabytych. Przepis nie jest jednoznaczny, pozostawia możliwość subiektywnej oceny niezwłoczności zawiadomienia. Kwestia dotycząca terminu zawiadomienia o cesji została uregulowana w art. 26 ust. 2 UNPL. Zgodnie z nim w przypadku przeniesienia na nabywcę kredytu praw kredytodawcy wynikających z nieobsługiwanej umowy o kredyt lub wierzytelności z tytułu nieobsługiwanej umowy o kredyt, nabywca kredytu lub przedstawiciel albo podmiot obsługujący kredyty, w terminie 21 dni od dnia tego przeniesienia, bezpłatnie przekazuje kredytobiorcy napisaną jasnym i powszechnie zrozumiałym językiem informację zawierającą informacje o nabyciu i związanym z nich szczegółach.</w:t>
            </w:r>
          </w:p>
          <w:p w14:paraId="28D08BBA" w14:textId="77777777" w:rsidR="00F71C60" w:rsidRPr="00F71C60" w:rsidRDefault="00F71C60" w:rsidP="00F71C60">
            <w:pPr>
              <w:jc w:val="both"/>
              <w:rPr>
                <w:rFonts w:ascii="Times New Roman" w:hAnsi="Times New Roman" w:cs="Times New Roman"/>
                <w:sz w:val="20"/>
              </w:rPr>
            </w:pPr>
          </w:p>
          <w:p w14:paraId="638D1FFB" w14:textId="77777777" w:rsidR="00F71C60" w:rsidRPr="00F71C60" w:rsidRDefault="00F71C60" w:rsidP="00F71C60">
            <w:pPr>
              <w:jc w:val="both"/>
              <w:rPr>
                <w:rFonts w:ascii="Times New Roman" w:hAnsi="Times New Roman" w:cs="Times New Roman"/>
                <w:sz w:val="20"/>
              </w:rPr>
            </w:pPr>
            <w:r w:rsidRPr="00F71C60">
              <w:rPr>
                <w:rFonts w:ascii="Times New Roman" w:hAnsi="Times New Roman" w:cs="Times New Roman"/>
                <w:sz w:val="20"/>
              </w:rPr>
              <w:t>W związku z powyższym rekomendujemy usunięcie zwrotu „niezwłocznie” albo ujednolicenie i przyjęcie dla zawiadomienia, o którym mowa w art. 65 ust. 2 niniejszego projektu - terminu min. 21 dni od dnia cesji (jaki terminu adekwatnego w realiach praktyki rynkowej). Z praktyki rynkowej wynika, iż dane dotyczące wierzytelności często nie są przekazywane w dniu przeniesienia, lecz kilka a nawet kilkanaście dni roboczych później. Nabiera to znaczenia w szczególności przy nabywaniu portfeli masowych, gdzie należy zadbać szczególnie o kompletność i jakość danych, które importuje się do systemu nowego nabywcy, aby przygotować się do kompleksowej obsługi zadłużenia kredytobiorców</w:t>
            </w:r>
          </w:p>
          <w:p w14:paraId="3810CFFA" w14:textId="77777777" w:rsidR="00F71C60" w:rsidRPr="00F71C60" w:rsidRDefault="00F71C60" w:rsidP="00F71C60">
            <w:pPr>
              <w:jc w:val="both"/>
              <w:rPr>
                <w:rFonts w:ascii="Times New Roman" w:hAnsi="Times New Roman" w:cs="Times New Roman"/>
                <w:sz w:val="20"/>
              </w:rPr>
            </w:pPr>
          </w:p>
          <w:p w14:paraId="0C5CF92A" w14:textId="780783F5" w:rsidR="002459A4" w:rsidRPr="00FF4480" w:rsidRDefault="00F71C60" w:rsidP="00F71C60">
            <w:pPr>
              <w:jc w:val="both"/>
              <w:rPr>
                <w:rFonts w:ascii="Times New Roman" w:hAnsi="Times New Roman" w:cs="Times New Roman"/>
                <w:sz w:val="20"/>
              </w:rPr>
            </w:pPr>
            <w:r w:rsidRPr="00F71C60">
              <w:rPr>
                <w:rFonts w:ascii="Times New Roman" w:hAnsi="Times New Roman" w:cs="Times New Roman"/>
                <w:sz w:val="20"/>
              </w:rPr>
              <w:t>Zaproponowana zmiana nie spowoduje pogorszenia sytuacji konsumenta i zagwarantuje jego należyte poinformowanie o przeniesieniu umowy o kredyt na osobę trzecią (spełni więc cel wynikający z art. 39 Dyrektywy 2023/2225.</w:t>
            </w:r>
          </w:p>
        </w:tc>
      </w:tr>
      <w:tr w:rsidR="00E200A5" w:rsidRPr="00FF4480" w14:paraId="67246119" w14:textId="77777777" w:rsidTr="00517157">
        <w:trPr>
          <w:trHeight w:val="356"/>
          <w:jc w:val="center"/>
        </w:trPr>
        <w:tc>
          <w:tcPr>
            <w:tcW w:w="594" w:type="dxa"/>
          </w:tcPr>
          <w:p w14:paraId="638C19F9" w14:textId="77777777" w:rsidR="00E200A5" w:rsidRPr="00FF4480" w:rsidRDefault="00E200A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10CD6031" w14:textId="071A17AF" w:rsidR="00E200A5" w:rsidRPr="00FF4480" w:rsidRDefault="00F71C60" w:rsidP="004A28E0">
            <w:pPr>
              <w:jc w:val="both"/>
              <w:rPr>
                <w:rFonts w:ascii="Times New Roman" w:hAnsi="Times New Roman" w:cs="Times New Roman"/>
                <w:sz w:val="20"/>
              </w:rPr>
            </w:pPr>
            <w:r>
              <w:rPr>
                <w:rFonts w:ascii="Times New Roman" w:hAnsi="Times New Roman" w:cs="Times New Roman"/>
                <w:sz w:val="20"/>
              </w:rPr>
              <w:t xml:space="preserve">Art. 66 </w:t>
            </w:r>
          </w:p>
        </w:tc>
        <w:tc>
          <w:tcPr>
            <w:tcW w:w="2832" w:type="dxa"/>
            <w:vAlign w:val="center"/>
          </w:tcPr>
          <w:p w14:paraId="31EFFF82" w14:textId="7CDE1A72" w:rsidR="00E200A5" w:rsidRPr="00E200A5" w:rsidRDefault="00E200A5" w:rsidP="00E200A5">
            <w:pPr>
              <w:jc w:val="center"/>
              <w:rPr>
                <w:rFonts w:ascii="Times New Roman" w:hAnsi="Times New Roman" w:cs="Times New Roman"/>
                <w:sz w:val="20"/>
              </w:rPr>
            </w:pPr>
            <w:r w:rsidRPr="00E200A5">
              <w:rPr>
                <w:rFonts w:ascii="Times New Roman" w:hAnsi="Times New Roman" w:cs="Times New Roman"/>
                <w:sz w:val="20"/>
              </w:rPr>
              <w:t>Konfederacja Lewiatan</w:t>
            </w:r>
          </w:p>
        </w:tc>
        <w:tc>
          <w:tcPr>
            <w:tcW w:w="8467" w:type="dxa"/>
            <w:vAlign w:val="center"/>
          </w:tcPr>
          <w:p w14:paraId="524DE6E5" w14:textId="77777777" w:rsidR="00F71C60" w:rsidRPr="00F71C60" w:rsidRDefault="00F71C60" w:rsidP="00F71C60">
            <w:pPr>
              <w:jc w:val="both"/>
              <w:rPr>
                <w:rFonts w:ascii="Times New Roman" w:hAnsi="Times New Roman" w:cs="Times New Roman"/>
                <w:sz w:val="20"/>
              </w:rPr>
            </w:pPr>
            <w:r w:rsidRPr="00F71C60">
              <w:rPr>
                <w:rFonts w:ascii="Times New Roman" w:hAnsi="Times New Roman" w:cs="Times New Roman"/>
                <w:sz w:val="20"/>
              </w:rPr>
              <w:t xml:space="preserve">Zasadnicza krytyka projektowanego przepisu dotyczy dwóch aspektów: poważnego braku proporcjonalności oraz daleko idących niejasności. Obie te wady, w powiązaniu, prowadzą do generowania systemowego ryzyka, co w konsekwencji jest szkodliwe tak dla konsumentów, jak i przedsiębiorców. </w:t>
            </w:r>
          </w:p>
          <w:p w14:paraId="119FBDFB" w14:textId="77777777" w:rsidR="00F71C60" w:rsidRPr="00F71C60" w:rsidRDefault="00F71C60" w:rsidP="00F71C60">
            <w:pPr>
              <w:jc w:val="both"/>
              <w:rPr>
                <w:rFonts w:ascii="Times New Roman" w:hAnsi="Times New Roman" w:cs="Times New Roman"/>
                <w:sz w:val="20"/>
              </w:rPr>
            </w:pPr>
          </w:p>
          <w:p w14:paraId="63291E95" w14:textId="347C6FFF" w:rsidR="006F697A" w:rsidRPr="008B0308" w:rsidRDefault="008B0308" w:rsidP="008B0308">
            <w:pPr>
              <w:pStyle w:val="Akapitzlist"/>
              <w:numPr>
                <w:ilvl w:val="0"/>
                <w:numId w:val="22"/>
              </w:numPr>
              <w:jc w:val="both"/>
              <w:rPr>
                <w:rFonts w:ascii="Times New Roman" w:hAnsi="Times New Roman" w:cs="Times New Roman"/>
                <w:sz w:val="20"/>
              </w:rPr>
            </w:pPr>
            <w:r w:rsidRPr="00733E51">
              <w:rPr>
                <w:rFonts w:ascii="Times New Roman" w:hAnsi="Times New Roman" w:cs="Times New Roman"/>
                <w:sz w:val="20"/>
              </w:rPr>
              <w:t xml:space="preserve">Projekt uzależnia wielkość sankcji (brak konieczności spłaty kredytu, brak konieczności spłaty połowy kosztów, brak konieczności spłaty jakichkolwiek kosztów) od rodzaju naruszonych przepisów. Nie rozróżnia natomiast w żaden sposób stopnia naruszenia </w:t>
            </w:r>
            <w:proofErr w:type="gramStart"/>
            <w:r w:rsidRPr="00733E51">
              <w:rPr>
                <w:rFonts w:ascii="Times New Roman" w:hAnsi="Times New Roman" w:cs="Times New Roman"/>
                <w:sz w:val="20"/>
              </w:rPr>
              <w:t>-  inaczej</w:t>
            </w:r>
            <w:proofErr w:type="gramEnd"/>
            <w:r w:rsidRPr="00733E51">
              <w:rPr>
                <w:rFonts w:ascii="Times New Roman" w:hAnsi="Times New Roman" w:cs="Times New Roman"/>
                <w:sz w:val="20"/>
              </w:rPr>
              <w:t xml:space="preserve"> niż interpretujący te przepisy Trybunał Sprawiedliwości Unii Europejskiej. Konieczne jest zastosowanie w omawianych przepisach zasady proporcjonalności, a konkretnie, że skutki opisane w art. 66 powinno rodzić tylko naruszenie wskazanych przepisów, które negatywnie wpływa na możliwość oceny zakresu zobowiązania przez konsumenta. Nie jest uzasadnione jednakie traktowanie rażących, intencjonalnych uchybień oraz drobnych, niezawinionych błędów formalnych, takich jak omyłka w formularzu czy brak zaznaczenia pola wyboru. W każdym z tych przypadków sankcja jest maksymalna i oznacza</w:t>
            </w:r>
            <w:r w:rsidRPr="008B0308">
              <w:rPr>
                <w:rFonts w:ascii="Times New Roman" w:hAnsi="Times New Roman" w:cs="Times New Roman"/>
                <w:sz w:val="20"/>
              </w:rPr>
              <w:t xml:space="preserve"> dla kredytodawcy utratę całej wierzytelności lub całości czy części odsetek oraz wszelkich kosztów. Jest to sprzeczne z ugruntowanym orzecznictwem Trybunału Sprawiedliwości UE (m.in. wyrok w sprawie C-42/15, Home Credit Slovakia), które wymaga, aby sankcje były skuteczne, ale i proporcjonalne.</w:t>
            </w:r>
          </w:p>
          <w:p w14:paraId="3847F10B" w14:textId="693CF8FE" w:rsidR="00F71C60" w:rsidRPr="00F71C60" w:rsidRDefault="00F71C60" w:rsidP="00F71C60">
            <w:pPr>
              <w:numPr>
                <w:ilvl w:val="0"/>
                <w:numId w:val="22"/>
              </w:numPr>
              <w:jc w:val="both"/>
              <w:rPr>
                <w:rFonts w:ascii="Times New Roman" w:hAnsi="Times New Roman" w:cs="Times New Roman"/>
                <w:sz w:val="20"/>
              </w:rPr>
            </w:pPr>
            <w:r w:rsidRPr="00F71C60">
              <w:rPr>
                <w:rFonts w:ascii="Times New Roman" w:hAnsi="Times New Roman" w:cs="Times New Roman"/>
                <w:sz w:val="20"/>
              </w:rPr>
              <w:t xml:space="preserve">Karanie kredytodawcy brakiem możliwości pobrania odsetek (w przypadku naruszeń z ust. 3 i 4), a także brakiem możliwości odzyskania odsetek i kapitału (w przypadku naruszeń z ust. 1) narusza zasadę proporcjonalności. </w:t>
            </w:r>
          </w:p>
          <w:p w14:paraId="3AF708F1" w14:textId="77777777" w:rsidR="00F71C60" w:rsidRPr="00F71C60" w:rsidRDefault="00F71C60" w:rsidP="00F71C60">
            <w:pPr>
              <w:numPr>
                <w:ilvl w:val="0"/>
                <w:numId w:val="22"/>
              </w:numPr>
              <w:jc w:val="both"/>
              <w:rPr>
                <w:rFonts w:ascii="Times New Roman" w:hAnsi="Times New Roman" w:cs="Times New Roman"/>
                <w:sz w:val="20"/>
              </w:rPr>
            </w:pPr>
            <w:r w:rsidRPr="00F71C60">
              <w:rPr>
                <w:rFonts w:ascii="Times New Roman" w:hAnsi="Times New Roman" w:cs="Times New Roman"/>
                <w:sz w:val="20"/>
              </w:rPr>
              <w:t>Z zasadą proporcjonalności niezgodny jest też zbyt szeroki zakres naruszeń, za które grozi sankcja – część z nich ma charakter jednorazowy (np. dostarczenie klientowi dokumentu informacyjnego przed zawarciem aneksu czy naruszenie limitu pozaodsetkowych kosztów w ujęciu miesięcznym), a część odnosząca się do zgody na zawarcie umowy (składania oświadczenia woli), wad oświadczenia woli oraz ich skutków została już uregulowana w powszechnie obowiązujących przepisach prawa (art. 82 i nast. KC), które zapewniają ochronę.</w:t>
            </w:r>
          </w:p>
          <w:p w14:paraId="321EC624" w14:textId="5DF75F2E" w:rsidR="00F71C60" w:rsidRPr="00F71C60" w:rsidRDefault="00F71C60" w:rsidP="00F71C60">
            <w:pPr>
              <w:numPr>
                <w:ilvl w:val="0"/>
                <w:numId w:val="22"/>
              </w:numPr>
              <w:jc w:val="both"/>
              <w:rPr>
                <w:rFonts w:ascii="Times New Roman" w:hAnsi="Times New Roman" w:cs="Times New Roman"/>
                <w:sz w:val="20"/>
              </w:rPr>
            </w:pPr>
            <w:r w:rsidRPr="00F71C60">
              <w:rPr>
                <w:rFonts w:ascii="Times New Roman" w:hAnsi="Times New Roman" w:cs="Times New Roman"/>
                <w:sz w:val="20"/>
              </w:rPr>
              <w:t xml:space="preserve">W ust. 3 art. 66 z zakresu objętego przepisem powinny zostać usunięte odniesienia do art. 29 i 40, które dotyczą dokonywania oceny zdolności kredytowej. Powiązanie tych nieprecyzyjnych i otwartych na interpretację norm z automatyczną i maksymalnie dotkliwą sankcją z art. 66 tworzy system, w którym każda decyzja o udzieleniu kredytu jest obarczona nieakceptowalnym ryzykiem prawnym. Kredytodawca może być karany za merytoryczną ocenę ekonomiczną, co jest zaprzeczeniem celu, dla którego sankcja kredytu </w:t>
            </w:r>
            <w:r w:rsidRPr="00F71C60">
              <w:rPr>
                <w:rFonts w:ascii="Times New Roman" w:hAnsi="Times New Roman" w:cs="Times New Roman"/>
                <w:sz w:val="20"/>
              </w:rPr>
              <w:lastRenderedPageBreak/>
              <w:t>darmowego została stworzona</w:t>
            </w:r>
            <w:r>
              <w:rPr>
                <w:rFonts w:ascii="Times New Roman" w:hAnsi="Times New Roman" w:cs="Times New Roman"/>
                <w:sz w:val="20"/>
              </w:rPr>
              <w:t xml:space="preserve">. </w:t>
            </w:r>
            <w:r w:rsidRPr="00F71C60">
              <w:rPr>
                <w:rFonts w:ascii="Times New Roman" w:hAnsi="Times New Roman" w:cs="Times New Roman"/>
                <w:sz w:val="20"/>
              </w:rPr>
              <w:t xml:space="preserve">Ocena zdolności kredytowej powinna być poddawana ocenie ze strony organu nadzorującego, ale nie powinna być przedmiotem sankcji kredytu darmowego (SKD). Sankcjonowanie błędnej oceny zdolności kredytowej poprzez SKD może powodować kwestionowanie praktycznie każdej decyzji kredytowej, co może stworzyć problem systemowy masowego kwestionowania decyzji kredytodawców oraz występowania z roszczeniami. Sądy, w tym biegli sądowi, nie mają instrumentarium do weryfikacji poprawności dokonywanej oceny zdolności kredytowej - posiada je organ nadzoru.  Można sobie </w:t>
            </w:r>
            <w:proofErr w:type="gramStart"/>
            <w:r w:rsidRPr="00F71C60">
              <w:rPr>
                <w:rFonts w:ascii="Times New Roman" w:hAnsi="Times New Roman" w:cs="Times New Roman"/>
                <w:sz w:val="20"/>
              </w:rPr>
              <w:t>wyobrazić</w:t>
            </w:r>
            <w:proofErr w:type="gramEnd"/>
            <w:r w:rsidRPr="00F71C60">
              <w:rPr>
                <w:rFonts w:ascii="Times New Roman" w:hAnsi="Times New Roman" w:cs="Times New Roman"/>
                <w:sz w:val="20"/>
              </w:rPr>
              <w:t xml:space="preserve"> gdy w toku postępowania sądowego sąd powołuje biegłego, w celu weryfikacji dokonanej oceny, biegły taką ocenę kwestionuje, podczas gdy organ nadzoru nie kieruje w stronę kredytodawcy żadnych zastrzeżeń związanych z jego polityką kredytową, zaś portfel kredytowy kredytodawcy jest “zdrowy”.</w:t>
            </w:r>
          </w:p>
          <w:p w14:paraId="61A41C95" w14:textId="77777777" w:rsidR="00F71C60" w:rsidRPr="00F71C60" w:rsidRDefault="00F71C60" w:rsidP="00F71C60">
            <w:pPr>
              <w:numPr>
                <w:ilvl w:val="0"/>
                <w:numId w:val="22"/>
              </w:numPr>
              <w:jc w:val="both"/>
              <w:rPr>
                <w:rFonts w:ascii="Times New Roman" w:hAnsi="Times New Roman" w:cs="Times New Roman"/>
                <w:sz w:val="20"/>
              </w:rPr>
            </w:pPr>
            <w:r w:rsidRPr="00F71C60">
              <w:rPr>
                <w:rFonts w:ascii="Times New Roman" w:hAnsi="Times New Roman" w:cs="Times New Roman"/>
                <w:sz w:val="20"/>
              </w:rPr>
              <w:t>Miarkowanie sankcji przez sąd przyjęte w ust. 5 mogłoby mieć charakter pozorny, gdyż zgodnie z przepisem sąd mógłby podwyższyć sankcję w stosunku do określonej w przepisie (w ust. 4). Miarkowanie sankcji powinno być dopuszczalne w każdym przypadku i nie powinno prowadzić do podwyższenia wymiaru sankcji,</w:t>
            </w:r>
          </w:p>
          <w:p w14:paraId="6FE9613C" w14:textId="042B8BF9" w:rsidR="00F71C60" w:rsidRDefault="00F71C60" w:rsidP="00F71C60">
            <w:pPr>
              <w:numPr>
                <w:ilvl w:val="0"/>
                <w:numId w:val="22"/>
              </w:numPr>
              <w:jc w:val="both"/>
              <w:rPr>
                <w:rFonts w:ascii="Times New Roman" w:hAnsi="Times New Roman" w:cs="Times New Roman"/>
                <w:sz w:val="20"/>
              </w:rPr>
            </w:pPr>
            <w:r w:rsidRPr="00F71C60">
              <w:rPr>
                <w:rFonts w:ascii="Times New Roman" w:hAnsi="Times New Roman" w:cs="Times New Roman"/>
                <w:sz w:val="20"/>
              </w:rPr>
              <w:t>Termin na skorzystanie z sankcji jest zbyt długi – zgodnie z przepisem ma on wygasać po upływie roku od dnia spłaty całkowitej kwoty do zapłaty, co będzie prowadziło do stanu długotrwałej niepewności prawnej po stronie kredytodawców (termin na skorzystanie z sankcji dla klienta, który nie spłaci kredytu, będzie w praktyce nieograniczony).</w:t>
            </w:r>
            <w:r w:rsidR="00542D00">
              <w:rPr>
                <w:rFonts w:ascii="Times New Roman" w:hAnsi="Times New Roman" w:cs="Times New Roman"/>
                <w:sz w:val="20"/>
              </w:rPr>
              <w:t xml:space="preserve"> Regulacja tworzy </w:t>
            </w:r>
            <w:proofErr w:type="gramStart"/>
            <w:r w:rsidR="00542D00">
              <w:rPr>
                <w:rFonts w:ascii="Times New Roman" w:hAnsi="Times New Roman" w:cs="Times New Roman"/>
                <w:sz w:val="20"/>
              </w:rPr>
              <w:t>mechanizm</w:t>
            </w:r>
            <w:proofErr w:type="gramEnd"/>
            <w:r w:rsidR="00542D00">
              <w:rPr>
                <w:rFonts w:ascii="Times New Roman" w:hAnsi="Times New Roman" w:cs="Times New Roman"/>
                <w:sz w:val="20"/>
              </w:rPr>
              <w:t xml:space="preserve"> w którym nastąpi p</w:t>
            </w:r>
            <w:r w:rsidR="00542D00" w:rsidRPr="00542D00">
              <w:rPr>
                <w:rFonts w:ascii="Times New Roman" w:hAnsi="Times New Roman" w:cs="Times New Roman"/>
                <w:sz w:val="20"/>
              </w:rPr>
              <w:t xml:space="preserve">remiowanie </w:t>
            </w:r>
            <w:r w:rsidR="00542D00">
              <w:rPr>
                <w:rFonts w:ascii="Times New Roman" w:hAnsi="Times New Roman" w:cs="Times New Roman"/>
                <w:sz w:val="20"/>
              </w:rPr>
              <w:t xml:space="preserve">tych </w:t>
            </w:r>
            <w:r w:rsidR="00542D00" w:rsidRPr="00542D00">
              <w:rPr>
                <w:rFonts w:ascii="Times New Roman" w:hAnsi="Times New Roman" w:cs="Times New Roman"/>
                <w:sz w:val="20"/>
              </w:rPr>
              <w:t>klientów, którzy celowo nie spłacają swoich zobowiązań (przez celowe niewykonywanie umowy)</w:t>
            </w:r>
            <w:r w:rsidR="00542D00">
              <w:rPr>
                <w:rFonts w:ascii="Times New Roman" w:hAnsi="Times New Roman" w:cs="Times New Roman"/>
                <w:sz w:val="20"/>
              </w:rPr>
              <w:t xml:space="preserve">. </w:t>
            </w:r>
            <w:r w:rsidR="00542D00" w:rsidRPr="00542D00">
              <w:rPr>
                <w:rFonts w:ascii="Times New Roman" w:hAnsi="Times New Roman" w:cs="Times New Roman"/>
                <w:sz w:val="20"/>
              </w:rPr>
              <w:t>Ograniczenie terminu powinno być wyraźne i jednoznaczne, gdyż jest to konieczne dla stabilizacji ryzyka gospodarczego i bezpieczeństwa obrotu</w:t>
            </w:r>
            <w:r w:rsidR="00C75C58">
              <w:rPr>
                <w:rFonts w:ascii="Times New Roman" w:hAnsi="Times New Roman" w:cs="Times New Roman"/>
                <w:sz w:val="20"/>
              </w:rPr>
              <w:t xml:space="preserve">, a także wygasać </w:t>
            </w:r>
            <w:r w:rsidRPr="00F71C60">
              <w:rPr>
                <w:rFonts w:ascii="Times New Roman" w:hAnsi="Times New Roman" w:cs="Times New Roman"/>
                <w:sz w:val="20"/>
              </w:rPr>
              <w:t>z upływem roku od wcześniejszej z da</w:t>
            </w:r>
            <w:r w:rsidR="00542D00">
              <w:rPr>
                <w:rFonts w:ascii="Times New Roman" w:hAnsi="Times New Roman" w:cs="Times New Roman"/>
                <w:sz w:val="20"/>
              </w:rPr>
              <w:t xml:space="preserve">t </w:t>
            </w:r>
            <w:r w:rsidR="00C75C58">
              <w:rPr>
                <w:rFonts w:ascii="Times New Roman" w:hAnsi="Times New Roman" w:cs="Times New Roman"/>
                <w:sz w:val="20"/>
              </w:rPr>
              <w:t>np.:</w:t>
            </w:r>
            <w:r w:rsidR="00542D00">
              <w:rPr>
                <w:rFonts w:ascii="Times New Roman" w:hAnsi="Times New Roman" w:cs="Times New Roman"/>
                <w:sz w:val="20"/>
              </w:rPr>
              <w:t xml:space="preserve"> </w:t>
            </w:r>
            <w:r w:rsidRPr="00F71C60">
              <w:rPr>
                <w:rFonts w:ascii="Times New Roman" w:hAnsi="Times New Roman" w:cs="Times New Roman"/>
                <w:sz w:val="20"/>
              </w:rPr>
              <w:t>terminu spłaty kredytu konsumenckiego oznaczonego w umowie</w:t>
            </w:r>
            <w:r w:rsidR="00CF45F4">
              <w:rPr>
                <w:rFonts w:ascii="Times New Roman" w:hAnsi="Times New Roman" w:cs="Times New Roman"/>
                <w:sz w:val="20"/>
              </w:rPr>
              <w:t xml:space="preserve"> bądź </w:t>
            </w:r>
            <w:r w:rsidR="00CF45F4" w:rsidRPr="00CF45F4">
              <w:rPr>
                <w:rFonts w:ascii="Times New Roman" w:hAnsi="Times New Roman" w:cs="Times New Roman"/>
                <w:sz w:val="20"/>
              </w:rPr>
              <w:t>termin dnia zawarcia umowy i udostępnienia kredytu</w:t>
            </w:r>
            <w:r w:rsidR="00CF45F4">
              <w:rPr>
                <w:rFonts w:ascii="Times New Roman" w:hAnsi="Times New Roman" w:cs="Times New Roman"/>
                <w:sz w:val="20"/>
              </w:rPr>
              <w:t xml:space="preserve"> (w tym </w:t>
            </w:r>
            <w:proofErr w:type="gramStart"/>
            <w:r w:rsidR="00CF45F4">
              <w:rPr>
                <w:rFonts w:ascii="Times New Roman" w:hAnsi="Times New Roman" w:cs="Times New Roman"/>
                <w:sz w:val="20"/>
              </w:rPr>
              <w:t>wypadku</w:t>
            </w:r>
            <w:proofErr w:type="gramEnd"/>
            <w:r w:rsidR="00CF45F4">
              <w:rPr>
                <w:rFonts w:ascii="Times New Roman" w:hAnsi="Times New Roman" w:cs="Times New Roman"/>
                <w:sz w:val="20"/>
              </w:rPr>
              <w:t xml:space="preserve"> j</w:t>
            </w:r>
            <w:r w:rsidR="00CF45F4" w:rsidRPr="00CF45F4">
              <w:rPr>
                <w:rFonts w:ascii="Times New Roman" w:hAnsi="Times New Roman" w:cs="Times New Roman"/>
                <w:sz w:val="20"/>
              </w:rPr>
              <w:t>eśli poszczególne obowiązki miałyby się materializować później, można rozróżnić moment, od którego termin biegnie</w:t>
            </w:r>
            <w:r w:rsidR="00CF45F4">
              <w:rPr>
                <w:rFonts w:ascii="Times New Roman" w:hAnsi="Times New Roman" w:cs="Times New Roman"/>
                <w:sz w:val="20"/>
              </w:rPr>
              <w:t>)</w:t>
            </w:r>
            <w:r w:rsidR="00CF45F4" w:rsidRPr="00CF45F4">
              <w:rPr>
                <w:rFonts w:ascii="Times New Roman" w:hAnsi="Times New Roman" w:cs="Times New Roman"/>
                <w:sz w:val="20"/>
              </w:rPr>
              <w:t>.</w:t>
            </w:r>
          </w:p>
          <w:p w14:paraId="3BEBA156" w14:textId="59993E80" w:rsidR="00F71C60" w:rsidRDefault="00F71C60" w:rsidP="007E4EDA">
            <w:pPr>
              <w:jc w:val="both"/>
              <w:rPr>
                <w:rFonts w:ascii="Times New Roman" w:hAnsi="Times New Roman" w:cs="Times New Roman"/>
                <w:sz w:val="20"/>
              </w:rPr>
            </w:pPr>
          </w:p>
          <w:p w14:paraId="5F29F18C" w14:textId="13D0F2EB" w:rsidR="00E200A5" w:rsidRPr="00FF4480" w:rsidRDefault="007E4EDA" w:rsidP="004A28E0">
            <w:pPr>
              <w:jc w:val="both"/>
              <w:rPr>
                <w:rFonts w:ascii="Times New Roman" w:hAnsi="Times New Roman" w:cs="Times New Roman"/>
                <w:sz w:val="20"/>
              </w:rPr>
            </w:pPr>
            <w:r>
              <w:rPr>
                <w:rFonts w:ascii="Times New Roman" w:hAnsi="Times New Roman" w:cs="Times New Roman"/>
                <w:sz w:val="20"/>
              </w:rPr>
              <w:t xml:space="preserve">Reasumując, art. 66 powinien zostać niemal całkowicie przebudowany z uwzględnieniem zasad proporcjonalności i klarowności. Obecna konstrukcja rodzi ryzyka </w:t>
            </w:r>
            <w:r w:rsidRPr="007E4EDA">
              <w:rPr>
                <w:rFonts w:ascii="Times New Roman" w:hAnsi="Times New Roman" w:cs="Times New Roman"/>
                <w:sz w:val="20"/>
              </w:rPr>
              <w:t xml:space="preserve">prewencyjnego zaostrzenia polityk kredytowych w związku z powstaniem trudnego do oszacowania ryzyka, zwiększenie presji na system sądownictwa, wygenerowania ryzyka systemowego dla sektora </w:t>
            </w:r>
            <w:r>
              <w:rPr>
                <w:rFonts w:ascii="Times New Roman" w:hAnsi="Times New Roman" w:cs="Times New Roman"/>
                <w:sz w:val="20"/>
              </w:rPr>
              <w:t>finansowego</w:t>
            </w:r>
            <w:r w:rsidRPr="007E4EDA">
              <w:rPr>
                <w:rFonts w:ascii="Times New Roman" w:hAnsi="Times New Roman" w:cs="Times New Roman"/>
                <w:sz w:val="20"/>
              </w:rPr>
              <w:t>.</w:t>
            </w:r>
            <w:r>
              <w:rPr>
                <w:rFonts w:ascii="Times New Roman" w:hAnsi="Times New Roman" w:cs="Times New Roman"/>
                <w:sz w:val="20"/>
              </w:rPr>
              <w:t xml:space="preserve"> Paradoksalnie zaproponowany mechanizm ma charakter antykonsumencki. </w:t>
            </w:r>
          </w:p>
        </w:tc>
      </w:tr>
      <w:tr w:rsidR="005B70BA" w:rsidRPr="00FF4480" w14:paraId="62C0F1FA" w14:textId="77777777" w:rsidTr="00517157">
        <w:trPr>
          <w:trHeight w:val="356"/>
          <w:jc w:val="center"/>
        </w:trPr>
        <w:tc>
          <w:tcPr>
            <w:tcW w:w="594" w:type="dxa"/>
          </w:tcPr>
          <w:p w14:paraId="585D3DDB" w14:textId="77777777" w:rsidR="005B70BA" w:rsidRPr="00FF4480" w:rsidRDefault="005B70B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0C1ACEA2" w14:textId="1BE09E03" w:rsidR="005B70BA" w:rsidRPr="00FF4480" w:rsidRDefault="007E114F" w:rsidP="004A28E0">
            <w:pPr>
              <w:jc w:val="both"/>
              <w:rPr>
                <w:rFonts w:ascii="Times New Roman" w:hAnsi="Times New Roman" w:cs="Times New Roman"/>
                <w:sz w:val="20"/>
              </w:rPr>
            </w:pPr>
            <w:r>
              <w:rPr>
                <w:rFonts w:ascii="Times New Roman" w:hAnsi="Times New Roman" w:cs="Times New Roman"/>
                <w:sz w:val="20"/>
              </w:rPr>
              <w:t xml:space="preserve">Art. 67 </w:t>
            </w:r>
          </w:p>
        </w:tc>
        <w:tc>
          <w:tcPr>
            <w:tcW w:w="2832" w:type="dxa"/>
            <w:vAlign w:val="center"/>
          </w:tcPr>
          <w:p w14:paraId="7B75C8AE" w14:textId="5560E10B" w:rsidR="005B70BA" w:rsidRPr="00E200A5" w:rsidRDefault="005B70BA" w:rsidP="00E200A5">
            <w:pPr>
              <w:jc w:val="center"/>
              <w:rPr>
                <w:rFonts w:ascii="Times New Roman" w:hAnsi="Times New Roman" w:cs="Times New Roman"/>
                <w:sz w:val="20"/>
              </w:rPr>
            </w:pPr>
            <w:r w:rsidRPr="005B70BA">
              <w:rPr>
                <w:rFonts w:ascii="Times New Roman" w:hAnsi="Times New Roman" w:cs="Times New Roman"/>
                <w:sz w:val="20"/>
              </w:rPr>
              <w:t>Konfederacja Lewiatan</w:t>
            </w:r>
          </w:p>
        </w:tc>
        <w:tc>
          <w:tcPr>
            <w:tcW w:w="8467" w:type="dxa"/>
            <w:vAlign w:val="center"/>
          </w:tcPr>
          <w:p w14:paraId="70A0C560" w14:textId="45E52846" w:rsidR="005B70BA" w:rsidRPr="00FF4480" w:rsidRDefault="007E114F" w:rsidP="004A28E0">
            <w:pPr>
              <w:jc w:val="both"/>
              <w:rPr>
                <w:rFonts w:ascii="Times New Roman" w:hAnsi="Times New Roman" w:cs="Times New Roman"/>
                <w:sz w:val="20"/>
              </w:rPr>
            </w:pPr>
            <w:r w:rsidRPr="007E114F">
              <w:rPr>
                <w:rFonts w:ascii="Times New Roman" w:hAnsi="Times New Roman" w:cs="Times New Roman"/>
                <w:sz w:val="20"/>
              </w:rPr>
              <w:t xml:space="preserve">Przepis powinien być uzupełniony o aspekt dotyczący braku możliwości powoływania się przez takich przedsiębiorców na zarzuty przysługujące konsumentom </w:t>
            </w:r>
            <w:r>
              <w:rPr>
                <w:rFonts w:ascii="Times New Roman" w:hAnsi="Times New Roman" w:cs="Times New Roman"/>
                <w:sz w:val="20"/>
              </w:rPr>
              <w:t>(</w:t>
            </w:r>
            <w:r w:rsidRPr="007E114F">
              <w:rPr>
                <w:rFonts w:ascii="Times New Roman" w:hAnsi="Times New Roman" w:cs="Times New Roman"/>
                <w:sz w:val="20"/>
              </w:rPr>
              <w:t>w tym SKD</w:t>
            </w:r>
            <w:r>
              <w:rPr>
                <w:rFonts w:ascii="Times New Roman" w:hAnsi="Times New Roman" w:cs="Times New Roman"/>
                <w:sz w:val="20"/>
              </w:rPr>
              <w:t>)</w:t>
            </w:r>
            <w:r w:rsidRPr="007E114F">
              <w:rPr>
                <w:rFonts w:ascii="Times New Roman" w:hAnsi="Times New Roman" w:cs="Times New Roman"/>
                <w:sz w:val="20"/>
              </w:rPr>
              <w:t>.</w:t>
            </w:r>
          </w:p>
        </w:tc>
      </w:tr>
      <w:tr w:rsidR="005B70BA" w:rsidRPr="00FF4480" w14:paraId="236FEAEF" w14:textId="77777777" w:rsidTr="00517157">
        <w:trPr>
          <w:trHeight w:val="356"/>
          <w:jc w:val="center"/>
        </w:trPr>
        <w:tc>
          <w:tcPr>
            <w:tcW w:w="594" w:type="dxa"/>
          </w:tcPr>
          <w:p w14:paraId="12462183" w14:textId="77777777" w:rsidR="005B70BA" w:rsidRPr="00FF4480" w:rsidRDefault="005B70B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27805CC8" w14:textId="0BE97132" w:rsidR="005B70BA" w:rsidRPr="00FF4480" w:rsidRDefault="007E114F" w:rsidP="004A28E0">
            <w:pPr>
              <w:jc w:val="both"/>
              <w:rPr>
                <w:rFonts w:ascii="Times New Roman" w:hAnsi="Times New Roman" w:cs="Times New Roman"/>
                <w:sz w:val="20"/>
              </w:rPr>
            </w:pPr>
            <w:r>
              <w:rPr>
                <w:rFonts w:ascii="Times New Roman" w:hAnsi="Times New Roman" w:cs="Times New Roman"/>
                <w:sz w:val="20"/>
              </w:rPr>
              <w:t xml:space="preserve">Art. 71 ust. 4 </w:t>
            </w:r>
          </w:p>
        </w:tc>
        <w:tc>
          <w:tcPr>
            <w:tcW w:w="2832" w:type="dxa"/>
            <w:vAlign w:val="center"/>
          </w:tcPr>
          <w:p w14:paraId="0274355C" w14:textId="09616AAD" w:rsidR="005B70BA" w:rsidRPr="00E200A5" w:rsidRDefault="005B70BA" w:rsidP="00E200A5">
            <w:pPr>
              <w:jc w:val="center"/>
              <w:rPr>
                <w:rFonts w:ascii="Times New Roman" w:hAnsi="Times New Roman" w:cs="Times New Roman"/>
                <w:sz w:val="20"/>
              </w:rPr>
            </w:pPr>
            <w:r w:rsidRPr="005B70BA">
              <w:rPr>
                <w:rFonts w:ascii="Times New Roman" w:hAnsi="Times New Roman" w:cs="Times New Roman"/>
                <w:sz w:val="20"/>
              </w:rPr>
              <w:t>Konfederacja Lewiatan</w:t>
            </w:r>
          </w:p>
        </w:tc>
        <w:tc>
          <w:tcPr>
            <w:tcW w:w="8467" w:type="dxa"/>
            <w:vAlign w:val="center"/>
          </w:tcPr>
          <w:p w14:paraId="1701F8A4" w14:textId="2056D45B" w:rsidR="007E114F" w:rsidRPr="007E114F" w:rsidRDefault="007E114F" w:rsidP="007E114F">
            <w:pPr>
              <w:jc w:val="both"/>
              <w:rPr>
                <w:rFonts w:ascii="Times New Roman" w:hAnsi="Times New Roman" w:cs="Times New Roman"/>
                <w:sz w:val="20"/>
              </w:rPr>
            </w:pPr>
            <w:r w:rsidRPr="007E114F">
              <w:rPr>
                <w:rFonts w:ascii="Times New Roman" w:hAnsi="Times New Roman" w:cs="Times New Roman"/>
                <w:sz w:val="20"/>
              </w:rPr>
              <w:t>Proponowane brzmienie wykracza poza zakres dyrektywy, która w ogóle nie przewiduje takiego przepisu.</w:t>
            </w:r>
            <w:r>
              <w:rPr>
                <w:rFonts w:ascii="Times New Roman" w:hAnsi="Times New Roman" w:cs="Times New Roman"/>
                <w:sz w:val="20"/>
              </w:rPr>
              <w:t xml:space="preserve"> Rekomendujemy</w:t>
            </w:r>
            <w:r w:rsidRPr="007E114F">
              <w:rPr>
                <w:rFonts w:ascii="Times New Roman" w:hAnsi="Times New Roman" w:cs="Times New Roman"/>
                <w:sz w:val="20"/>
              </w:rPr>
              <w:t xml:space="preserve"> przywrócenie przepisu obecnego.</w:t>
            </w:r>
          </w:p>
          <w:p w14:paraId="41AC5E74" w14:textId="77777777" w:rsidR="007E114F" w:rsidRPr="007E114F" w:rsidRDefault="007E114F" w:rsidP="007E114F">
            <w:pPr>
              <w:jc w:val="both"/>
              <w:rPr>
                <w:rFonts w:ascii="Times New Roman" w:hAnsi="Times New Roman" w:cs="Times New Roman"/>
                <w:sz w:val="20"/>
              </w:rPr>
            </w:pPr>
          </w:p>
          <w:p w14:paraId="3F2FAF96" w14:textId="03693B9B" w:rsidR="005B70BA" w:rsidRPr="00FF4480" w:rsidRDefault="007E114F" w:rsidP="007E114F">
            <w:pPr>
              <w:jc w:val="both"/>
              <w:rPr>
                <w:rFonts w:ascii="Times New Roman" w:hAnsi="Times New Roman" w:cs="Times New Roman"/>
                <w:sz w:val="20"/>
              </w:rPr>
            </w:pPr>
            <w:r w:rsidRPr="007E114F">
              <w:rPr>
                <w:rFonts w:ascii="Times New Roman" w:hAnsi="Times New Roman" w:cs="Times New Roman"/>
                <w:sz w:val="20"/>
              </w:rPr>
              <w:lastRenderedPageBreak/>
              <w:t>Kredytodawca nie można ponosić konsekwencji tego, że klient za późno “zrobi przelew”. Konsument również musi zachować minimum staranności w działaniu</w:t>
            </w:r>
            <w:r>
              <w:rPr>
                <w:rFonts w:ascii="Times New Roman" w:hAnsi="Times New Roman" w:cs="Times New Roman"/>
                <w:sz w:val="20"/>
              </w:rPr>
              <w:t xml:space="preserve">. </w:t>
            </w:r>
            <w:r w:rsidRPr="007E114F">
              <w:rPr>
                <w:rFonts w:ascii="Times New Roman" w:hAnsi="Times New Roman" w:cs="Times New Roman"/>
                <w:sz w:val="20"/>
              </w:rPr>
              <w:t xml:space="preserve">Dodatkowo może to spowodować sytuacje w których z powodu procesowania płatności przez dostawcę płatnika, kwota spłaty wpłynie do kredytodawcy z opóźnieniem, co spowoduje konieczność korekt w systemach kredytodawców a także np. </w:t>
            </w:r>
            <w:r w:rsidR="007662C5">
              <w:rPr>
                <w:rFonts w:ascii="Times New Roman" w:hAnsi="Times New Roman" w:cs="Times New Roman"/>
                <w:sz w:val="20"/>
              </w:rPr>
              <w:t>w</w:t>
            </w:r>
            <w:r w:rsidRPr="007E114F">
              <w:rPr>
                <w:rFonts w:ascii="Times New Roman" w:hAnsi="Times New Roman" w:cs="Times New Roman"/>
                <w:sz w:val="20"/>
              </w:rPr>
              <w:t xml:space="preserve"> bazach danych</w:t>
            </w:r>
            <w:r w:rsidR="007662C5">
              <w:rPr>
                <w:rFonts w:ascii="Times New Roman" w:hAnsi="Times New Roman" w:cs="Times New Roman"/>
                <w:sz w:val="20"/>
              </w:rPr>
              <w:t>.</w:t>
            </w:r>
          </w:p>
        </w:tc>
      </w:tr>
      <w:tr w:rsidR="005B70BA" w:rsidRPr="00FF4480" w14:paraId="48635AAC" w14:textId="77777777" w:rsidTr="00517157">
        <w:trPr>
          <w:trHeight w:val="356"/>
          <w:jc w:val="center"/>
        </w:trPr>
        <w:tc>
          <w:tcPr>
            <w:tcW w:w="594" w:type="dxa"/>
          </w:tcPr>
          <w:p w14:paraId="30AC5CA3" w14:textId="77777777" w:rsidR="005B70BA" w:rsidRPr="00FF4480" w:rsidRDefault="005B70B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5F6AB2FA" w14:textId="6D45772B" w:rsidR="005B70BA" w:rsidRPr="00FF4480" w:rsidRDefault="001D7E99" w:rsidP="004A28E0">
            <w:pPr>
              <w:jc w:val="both"/>
              <w:rPr>
                <w:rFonts w:ascii="Times New Roman" w:hAnsi="Times New Roman" w:cs="Times New Roman"/>
                <w:sz w:val="20"/>
              </w:rPr>
            </w:pPr>
            <w:r>
              <w:rPr>
                <w:rFonts w:ascii="Times New Roman" w:hAnsi="Times New Roman" w:cs="Times New Roman"/>
                <w:sz w:val="20"/>
              </w:rPr>
              <w:t xml:space="preserve">Art. 78 ust. 2 </w:t>
            </w:r>
          </w:p>
        </w:tc>
        <w:tc>
          <w:tcPr>
            <w:tcW w:w="2832" w:type="dxa"/>
            <w:vAlign w:val="center"/>
          </w:tcPr>
          <w:p w14:paraId="1B6111E4" w14:textId="2A3959D1" w:rsidR="005B70BA" w:rsidRPr="00E200A5" w:rsidRDefault="005B70BA" w:rsidP="00E200A5">
            <w:pPr>
              <w:jc w:val="center"/>
              <w:rPr>
                <w:rFonts w:ascii="Times New Roman" w:hAnsi="Times New Roman" w:cs="Times New Roman"/>
                <w:sz w:val="20"/>
              </w:rPr>
            </w:pPr>
            <w:r w:rsidRPr="005B70BA">
              <w:rPr>
                <w:rFonts w:ascii="Times New Roman" w:hAnsi="Times New Roman" w:cs="Times New Roman"/>
                <w:sz w:val="20"/>
              </w:rPr>
              <w:t>Konfederacja Lewiatan</w:t>
            </w:r>
          </w:p>
        </w:tc>
        <w:tc>
          <w:tcPr>
            <w:tcW w:w="8467" w:type="dxa"/>
            <w:vAlign w:val="center"/>
          </w:tcPr>
          <w:p w14:paraId="75F80EF9" w14:textId="568EF9B3" w:rsidR="005B70BA" w:rsidRPr="00FF4480" w:rsidRDefault="001D7E99" w:rsidP="004A28E0">
            <w:pPr>
              <w:jc w:val="both"/>
              <w:rPr>
                <w:rFonts w:ascii="Times New Roman" w:hAnsi="Times New Roman" w:cs="Times New Roman"/>
                <w:sz w:val="20"/>
              </w:rPr>
            </w:pPr>
            <w:r>
              <w:rPr>
                <w:rFonts w:ascii="Times New Roman" w:hAnsi="Times New Roman" w:cs="Times New Roman"/>
                <w:sz w:val="20"/>
              </w:rPr>
              <w:t xml:space="preserve">Przepis zaimplementowano błędnie. Zgodnie z </w:t>
            </w:r>
            <w:r w:rsidRPr="001D7E99">
              <w:rPr>
                <w:rFonts w:ascii="Times New Roman" w:hAnsi="Times New Roman" w:cs="Times New Roman"/>
                <w:sz w:val="20"/>
              </w:rPr>
              <w:t>28 ust. 2 dyrektywy 2023/2225</w:t>
            </w:r>
            <w:r>
              <w:rPr>
                <w:rFonts w:ascii="Times New Roman" w:hAnsi="Times New Roman" w:cs="Times New Roman"/>
                <w:sz w:val="20"/>
              </w:rPr>
              <w:t>: ,,</w:t>
            </w:r>
            <w:r w:rsidRPr="001D7E99">
              <w:rPr>
                <w:rFonts w:ascii="Times New Roman" w:hAnsi="Times New Roman" w:cs="Times New Roman"/>
                <w:sz w:val="20"/>
              </w:rPr>
              <w:t xml:space="preserve">Kredytodawca informuje konsumenta o wypowiedzeniu takiego prawa i o jego przyczynach na papierze lub innym trwałym nośniku określonym w umowie o kredyt, </w:t>
            </w:r>
            <w:r w:rsidRPr="001D7E99">
              <w:rPr>
                <w:rFonts w:ascii="Times New Roman" w:hAnsi="Times New Roman" w:cs="Times New Roman"/>
                <w:b/>
                <w:bCs/>
                <w:sz w:val="20"/>
              </w:rPr>
              <w:t>w miarę możliwości przed tym wypowiedzeniem, a najpóźniej natychmiast po tym fakcie</w:t>
            </w:r>
            <w:r w:rsidRPr="001D7E99">
              <w:rPr>
                <w:rFonts w:ascii="Times New Roman" w:hAnsi="Times New Roman" w:cs="Times New Roman"/>
                <w:sz w:val="20"/>
              </w:rPr>
              <w:t>, chyba że udzielenie takiej informacji jest zakazane na podstawie prawa Unii lub prawa krajowego lub sprzeczne z celami porządku publicznego lub bezpieczeństwa publicznego</w:t>
            </w:r>
            <w:r>
              <w:rPr>
                <w:rFonts w:ascii="Times New Roman" w:hAnsi="Times New Roman" w:cs="Times New Roman"/>
                <w:sz w:val="20"/>
              </w:rPr>
              <w:t>” podczas gdy przepis wskazuje ,,</w:t>
            </w:r>
            <w:r w:rsidRPr="001D7E99">
              <w:rPr>
                <w:rFonts w:ascii="Times New Roman" w:hAnsi="Times New Roman" w:cs="Times New Roman"/>
                <w:sz w:val="20"/>
              </w:rPr>
              <w:t xml:space="preserve">Kredytodawca przekazuje bezpłatnie konsumentowi informacje o zamiarze zawieszenia prawa do dokonywania wypłat na podstawie umowy o kredyt odnawialny i przyczynach zawieszenia tego prawa, w postaci papierowej lub na innym trwałym nośniku, </w:t>
            </w:r>
            <w:r w:rsidRPr="001D7E99">
              <w:rPr>
                <w:rFonts w:ascii="Times New Roman" w:hAnsi="Times New Roman" w:cs="Times New Roman"/>
                <w:b/>
                <w:bCs/>
                <w:sz w:val="20"/>
              </w:rPr>
              <w:t>przed złożeniem oświadczenia o zawieszeniu tego prawa</w:t>
            </w:r>
            <w:r w:rsidRPr="001D7E99">
              <w:rPr>
                <w:rFonts w:ascii="Times New Roman" w:hAnsi="Times New Roman" w:cs="Times New Roman"/>
                <w:sz w:val="20"/>
              </w:rPr>
              <w:t>, chyba że przekazanie tych informacji jest zabronione na podstawie przepisów szczególnych</w:t>
            </w:r>
            <w:r>
              <w:rPr>
                <w:rFonts w:ascii="Times New Roman" w:hAnsi="Times New Roman" w:cs="Times New Roman"/>
                <w:sz w:val="20"/>
              </w:rPr>
              <w:t xml:space="preserve">”. </w:t>
            </w:r>
          </w:p>
        </w:tc>
      </w:tr>
      <w:tr w:rsidR="005B70BA" w:rsidRPr="00FF4480" w14:paraId="439BE6ED" w14:textId="77777777" w:rsidTr="00517157">
        <w:trPr>
          <w:trHeight w:val="356"/>
          <w:jc w:val="center"/>
        </w:trPr>
        <w:tc>
          <w:tcPr>
            <w:tcW w:w="594" w:type="dxa"/>
          </w:tcPr>
          <w:p w14:paraId="575B21CD" w14:textId="77777777" w:rsidR="005B70BA" w:rsidRPr="00FF4480" w:rsidRDefault="005B70B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5E2C88F1" w14:textId="47792DD2" w:rsidR="005B70BA" w:rsidRPr="00FF4480" w:rsidRDefault="001260C6" w:rsidP="004A28E0">
            <w:pPr>
              <w:jc w:val="both"/>
              <w:rPr>
                <w:rFonts w:ascii="Times New Roman" w:hAnsi="Times New Roman" w:cs="Times New Roman"/>
                <w:sz w:val="20"/>
              </w:rPr>
            </w:pPr>
            <w:r>
              <w:rPr>
                <w:rFonts w:ascii="Times New Roman" w:hAnsi="Times New Roman" w:cs="Times New Roman"/>
                <w:sz w:val="20"/>
              </w:rPr>
              <w:t xml:space="preserve">Art. 84 </w:t>
            </w:r>
          </w:p>
        </w:tc>
        <w:tc>
          <w:tcPr>
            <w:tcW w:w="2832" w:type="dxa"/>
            <w:vAlign w:val="center"/>
          </w:tcPr>
          <w:p w14:paraId="6D8E6CB9" w14:textId="0DD0FFB5" w:rsidR="005B70BA" w:rsidRPr="00E200A5" w:rsidRDefault="005B70BA" w:rsidP="00E200A5">
            <w:pPr>
              <w:jc w:val="center"/>
              <w:rPr>
                <w:rFonts w:ascii="Times New Roman" w:hAnsi="Times New Roman" w:cs="Times New Roman"/>
                <w:sz w:val="20"/>
              </w:rPr>
            </w:pPr>
            <w:r w:rsidRPr="005B70BA">
              <w:rPr>
                <w:rFonts w:ascii="Times New Roman" w:hAnsi="Times New Roman" w:cs="Times New Roman"/>
                <w:sz w:val="20"/>
              </w:rPr>
              <w:t>Konfederacja Lewiatan</w:t>
            </w:r>
          </w:p>
        </w:tc>
        <w:tc>
          <w:tcPr>
            <w:tcW w:w="8467" w:type="dxa"/>
            <w:vAlign w:val="center"/>
          </w:tcPr>
          <w:p w14:paraId="76A5C519" w14:textId="77777777" w:rsidR="001260C6" w:rsidRDefault="001260C6" w:rsidP="001260C6">
            <w:pPr>
              <w:pStyle w:val="Akapitzlist"/>
              <w:numPr>
                <w:ilvl w:val="0"/>
                <w:numId w:val="24"/>
              </w:numPr>
              <w:jc w:val="both"/>
              <w:rPr>
                <w:rFonts w:ascii="Times New Roman" w:hAnsi="Times New Roman" w:cs="Times New Roman"/>
                <w:sz w:val="20"/>
              </w:rPr>
            </w:pPr>
            <w:r w:rsidRPr="001260C6">
              <w:rPr>
                <w:rFonts w:ascii="Times New Roman" w:hAnsi="Times New Roman" w:cs="Times New Roman"/>
                <w:sz w:val="20"/>
              </w:rPr>
              <w:t>Zwracamy uwagę na rozwój technologii: dnia 17 lipca 2025 r. Firma OpenAI udostępniła ogłoszenie użytkownikom Chata GPT możliwości tworzenia własnych agentów AI. Technologie oparte na sztucznej inteligencji mogą zostać wykorzystane przez dowolną osobę, do stworzenia asystenta czy agenta, który analizuje różne oferty na rynku. Takie działania nie powinny być objęte pojęciem “usług doradczych”, ponieważ nie taki był cel dyrektywy</w:t>
            </w:r>
            <w:r>
              <w:rPr>
                <w:rFonts w:ascii="Times New Roman" w:hAnsi="Times New Roman" w:cs="Times New Roman"/>
                <w:sz w:val="20"/>
              </w:rPr>
              <w:t xml:space="preserve"> </w:t>
            </w:r>
            <w:r w:rsidRPr="001260C6">
              <w:rPr>
                <w:rFonts w:ascii="Times New Roman" w:hAnsi="Times New Roman" w:cs="Times New Roman"/>
                <w:sz w:val="20"/>
              </w:rPr>
              <w:t>2023/2225. Bez takiego doprecyzowania, “usługi doradcze” mogą być interpretowane na tyle szeroko, że zabiją innowacyjność (przy obecnym brzmieniu przepis oznaczałby, że każdy kto stworzy “analizatora” ofert rynkowych albo asystenta, która pokazuje jakimi kredytami można opłacić zakupy, musiałby zarejestrować się jako instytucja pożyczkowa lub pośrednik kredytowy</w:t>
            </w:r>
            <w:r>
              <w:rPr>
                <w:rFonts w:ascii="Times New Roman" w:hAnsi="Times New Roman" w:cs="Times New Roman"/>
                <w:sz w:val="20"/>
              </w:rPr>
              <w:t>).</w:t>
            </w:r>
            <w:r w:rsidRPr="001260C6">
              <w:rPr>
                <w:rFonts w:ascii="Times New Roman" w:hAnsi="Times New Roman" w:cs="Times New Roman"/>
                <w:sz w:val="20"/>
              </w:rPr>
              <w:t xml:space="preserve"> Celem uregulowania usług doradczych jest zabezpieczenie konsumenta przed sytuacją, w której kredytodawca “doradza” klientowi produkt najkorzystniejszy - ale dla kredytodawcy. Nie ma takiego ryzyka np. przez podmiot, który stworzył taki system rekomendacji jedynie w celu uproszczenia dostępu do informacji o kredytach.</w:t>
            </w:r>
            <w:r>
              <w:rPr>
                <w:rFonts w:ascii="Times New Roman" w:hAnsi="Times New Roman" w:cs="Times New Roman"/>
                <w:sz w:val="20"/>
              </w:rPr>
              <w:t xml:space="preserve"> Należy przebudować art. 82 ust. 2 tak aby uwzględniał powyższe kwestie. </w:t>
            </w:r>
          </w:p>
          <w:p w14:paraId="0D0FEFD7" w14:textId="3FE08661" w:rsidR="005B70BA" w:rsidRDefault="00CD07C8" w:rsidP="001260C6">
            <w:pPr>
              <w:pStyle w:val="Akapitzlist"/>
              <w:numPr>
                <w:ilvl w:val="0"/>
                <w:numId w:val="24"/>
              </w:numPr>
              <w:jc w:val="both"/>
              <w:rPr>
                <w:rFonts w:ascii="Times New Roman" w:hAnsi="Times New Roman" w:cs="Times New Roman"/>
                <w:sz w:val="20"/>
              </w:rPr>
            </w:pPr>
            <w:r>
              <w:rPr>
                <w:rFonts w:ascii="Times New Roman" w:hAnsi="Times New Roman" w:cs="Times New Roman"/>
                <w:sz w:val="20"/>
              </w:rPr>
              <w:t>Projekt</w:t>
            </w:r>
            <w:r w:rsidRPr="00CD07C8">
              <w:rPr>
                <w:rFonts w:ascii="Times New Roman" w:hAnsi="Times New Roman" w:cs="Times New Roman"/>
                <w:sz w:val="20"/>
              </w:rPr>
              <w:t xml:space="preserve"> nie wskazuje, czy świadczenie usług doradczych jest po stronie kredytodawców i pośredników kredytowych obowiązkowe czy opcjonalne. </w:t>
            </w:r>
            <w:r w:rsidR="000223DA">
              <w:rPr>
                <w:rFonts w:ascii="Times New Roman" w:hAnsi="Times New Roman" w:cs="Times New Roman"/>
                <w:sz w:val="20"/>
              </w:rPr>
              <w:t xml:space="preserve">Iż jest to </w:t>
            </w:r>
            <w:r w:rsidRPr="00CD07C8">
              <w:rPr>
                <w:rFonts w:ascii="Times New Roman" w:hAnsi="Times New Roman" w:cs="Times New Roman"/>
                <w:sz w:val="20"/>
              </w:rPr>
              <w:t>możliwość, powinno zostać wyraźnie wskazane w art. 84 ust 1.</w:t>
            </w:r>
          </w:p>
          <w:p w14:paraId="0BEDF9FC" w14:textId="1323DBC0" w:rsidR="00CB3FD0" w:rsidRPr="00CB3FD0" w:rsidRDefault="00CD07C8" w:rsidP="00CB3FD0">
            <w:pPr>
              <w:pStyle w:val="Akapitzlist"/>
              <w:numPr>
                <w:ilvl w:val="0"/>
                <w:numId w:val="24"/>
              </w:numPr>
              <w:jc w:val="both"/>
              <w:rPr>
                <w:rFonts w:ascii="Times New Roman" w:hAnsi="Times New Roman" w:cs="Times New Roman"/>
                <w:sz w:val="20"/>
              </w:rPr>
            </w:pPr>
            <w:r w:rsidRPr="00CD07C8">
              <w:rPr>
                <w:rFonts w:ascii="Times New Roman" w:hAnsi="Times New Roman" w:cs="Times New Roman"/>
                <w:sz w:val="20"/>
              </w:rPr>
              <w:t xml:space="preserve">Projekt ustawy, zakazując używania określenia doradca, wprowadza przepis przewidziany przez </w:t>
            </w:r>
            <w:r>
              <w:rPr>
                <w:rFonts w:ascii="Times New Roman" w:hAnsi="Times New Roman" w:cs="Times New Roman"/>
                <w:sz w:val="20"/>
              </w:rPr>
              <w:t>d</w:t>
            </w:r>
            <w:r w:rsidRPr="00CD07C8">
              <w:rPr>
                <w:rFonts w:ascii="Times New Roman" w:hAnsi="Times New Roman" w:cs="Times New Roman"/>
                <w:sz w:val="20"/>
              </w:rPr>
              <w:t>yrektywę 2023/2225</w:t>
            </w:r>
            <w:r>
              <w:rPr>
                <w:rFonts w:ascii="Times New Roman" w:hAnsi="Times New Roman" w:cs="Times New Roman"/>
                <w:sz w:val="20"/>
              </w:rPr>
              <w:t xml:space="preserve"> </w:t>
            </w:r>
            <w:r w:rsidRPr="00CD07C8">
              <w:rPr>
                <w:rFonts w:ascii="Times New Roman" w:hAnsi="Times New Roman" w:cs="Times New Roman"/>
                <w:sz w:val="20"/>
              </w:rPr>
              <w:t>jako opcjonalny (art. 16 ust 4 Dyrektywy). Nazwy „doradca” czy „doradztwo” są szeroko rozpowszechnione na rynku finansowym (w tym rynku kredytu konsumenckiego) i używane przez osoby reprezentujące kredytodawców (pracownicy, zleceniobiorcy czy osoby będące pośrednikami).</w:t>
            </w:r>
            <w:r>
              <w:rPr>
                <w:rFonts w:ascii="Times New Roman" w:hAnsi="Times New Roman" w:cs="Times New Roman"/>
                <w:sz w:val="20"/>
              </w:rPr>
              <w:t xml:space="preserve"> Projektodawca w żaden sposób nie wykazał czy n</w:t>
            </w:r>
            <w:r w:rsidRPr="00CD07C8">
              <w:rPr>
                <w:rFonts w:ascii="Times New Roman" w:hAnsi="Times New Roman" w:cs="Times New Roman"/>
                <w:sz w:val="20"/>
              </w:rPr>
              <w:t>a polskim rynku konsumenci</w:t>
            </w:r>
            <w:r>
              <w:rPr>
                <w:rFonts w:ascii="Times New Roman" w:hAnsi="Times New Roman" w:cs="Times New Roman"/>
                <w:sz w:val="20"/>
              </w:rPr>
              <w:t xml:space="preserve"> np.: mylnie </w:t>
            </w:r>
            <w:proofErr w:type="gramStart"/>
            <w:r>
              <w:rPr>
                <w:rFonts w:ascii="Times New Roman" w:hAnsi="Times New Roman" w:cs="Times New Roman"/>
                <w:sz w:val="20"/>
              </w:rPr>
              <w:t>uważają</w:t>
            </w:r>
            <w:proofErr w:type="gramEnd"/>
            <w:r>
              <w:rPr>
                <w:rFonts w:ascii="Times New Roman" w:hAnsi="Times New Roman" w:cs="Times New Roman"/>
                <w:sz w:val="20"/>
              </w:rPr>
              <w:t xml:space="preserve"> że taki doradca </w:t>
            </w:r>
            <w:r>
              <w:rPr>
                <w:rFonts w:ascii="Times New Roman" w:hAnsi="Times New Roman" w:cs="Times New Roman"/>
                <w:sz w:val="20"/>
              </w:rPr>
              <w:lastRenderedPageBreak/>
              <w:t>działa w imieniu i na rzecz klienta, a nie kredytodawcy</w:t>
            </w:r>
            <w:r w:rsidRPr="00CD07C8">
              <w:rPr>
                <w:rFonts w:ascii="Times New Roman" w:hAnsi="Times New Roman" w:cs="Times New Roman"/>
                <w:sz w:val="20"/>
              </w:rPr>
              <w:t xml:space="preserve"> </w:t>
            </w:r>
            <w:r>
              <w:rPr>
                <w:rFonts w:ascii="Times New Roman" w:hAnsi="Times New Roman" w:cs="Times New Roman"/>
                <w:sz w:val="20"/>
              </w:rPr>
              <w:t xml:space="preserve">bądź też nie przeprowadził analizy skutków funkcjonującej od lat praktyki używania takiego zwrotu. Projektodawca podjął zatem decyzję nie w oparciu o uzasadnione (a w każdym razie nie w oparciu o wykazane) przesłanki. </w:t>
            </w:r>
            <w:r w:rsidR="00CB3FD0">
              <w:rPr>
                <w:rFonts w:ascii="Times New Roman" w:hAnsi="Times New Roman" w:cs="Times New Roman"/>
                <w:sz w:val="20"/>
              </w:rPr>
              <w:t xml:space="preserve">Ponadto dyrektywa </w:t>
            </w:r>
            <w:r w:rsidR="00CB3FD0" w:rsidRPr="00CB3FD0">
              <w:rPr>
                <w:rFonts w:ascii="Times New Roman" w:hAnsi="Times New Roman" w:cs="Times New Roman"/>
                <w:sz w:val="20"/>
              </w:rPr>
              <w:t xml:space="preserve">2023/2225 wskazuje, że państwa mogą przewidzieć ograniczenia co do używania terminu „niezależnego” doradztwa „jeżeli nie zakazują stosowania terminów doradca i doradztwo”. Tymczasem projekt ustawy zarówno zakazuje ich stosowania jak i wprowadza wymogi co do terminów „niezależne doradztwo”. </w:t>
            </w:r>
          </w:p>
        </w:tc>
      </w:tr>
      <w:tr w:rsidR="005B70BA" w:rsidRPr="00FF4480" w14:paraId="2CF418EC" w14:textId="77777777" w:rsidTr="00517157">
        <w:trPr>
          <w:trHeight w:val="356"/>
          <w:jc w:val="center"/>
        </w:trPr>
        <w:tc>
          <w:tcPr>
            <w:tcW w:w="594" w:type="dxa"/>
          </w:tcPr>
          <w:p w14:paraId="4EF6FCA5" w14:textId="77777777" w:rsidR="005B70BA" w:rsidRPr="00FF4480" w:rsidRDefault="005B70B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74472B04" w14:textId="1D55A953" w:rsidR="005B70BA" w:rsidRPr="00FF4480" w:rsidRDefault="000223DA" w:rsidP="004A28E0">
            <w:pPr>
              <w:jc w:val="both"/>
              <w:rPr>
                <w:rFonts w:ascii="Times New Roman" w:hAnsi="Times New Roman" w:cs="Times New Roman"/>
                <w:sz w:val="20"/>
              </w:rPr>
            </w:pPr>
            <w:r>
              <w:rPr>
                <w:rFonts w:ascii="Times New Roman" w:hAnsi="Times New Roman" w:cs="Times New Roman"/>
                <w:sz w:val="20"/>
              </w:rPr>
              <w:t xml:space="preserve">Art. 85 </w:t>
            </w:r>
          </w:p>
        </w:tc>
        <w:tc>
          <w:tcPr>
            <w:tcW w:w="2832" w:type="dxa"/>
            <w:vAlign w:val="center"/>
          </w:tcPr>
          <w:p w14:paraId="694A39ED" w14:textId="567BD4B8" w:rsidR="005B70BA" w:rsidRPr="00E200A5" w:rsidRDefault="005B70BA" w:rsidP="00E200A5">
            <w:pPr>
              <w:jc w:val="center"/>
              <w:rPr>
                <w:rFonts w:ascii="Times New Roman" w:hAnsi="Times New Roman" w:cs="Times New Roman"/>
                <w:sz w:val="20"/>
              </w:rPr>
            </w:pPr>
            <w:r w:rsidRPr="005B70BA">
              <w:rPr>
                <w:rFonts w:ascii="Times New Roman" w:hAnsi="Times New Roman" w:cs="Times New Roman"/>
                <w:sz w:val="20"/>
              </w:rPr>
              <w:t>Konfederacja Lewiatan</w:t>
            </w:r>
          </w:p>
        </w:tc>
        <w:tc>
          <w:tcPr>
            <w:tcW w:w="8467" w:type="dxa"/>
            <w:vAlign w:val="center"/>
          </w:tcPr>
          <w:p w14:paraId="5F9D3481" w14:textId="1770D72C" w:rsidR="005B70BA" w:rsidRPr="00FF4480" w:rsidRDefault="000223DA" w:rsidP="004A28E0">
            <w:pPr>
              <w:jc w:val="both"/>
              <w:rPr>
                <w:rFonts w:ascii="Times New Roman" w:hAnsi="Times New Roman" w:cs="Times New Roman"/>
                <w:sz w:val="20"/>
              </w:rPr>
            </w:pPr>
            <w:r w:rsidRPr="000223DA">
              <w:rPr>
                <w:rFonts w:ascii="Times New Roman" w:hAnsi="Times New Roman" w:cs="Times New Roman"/>
                <w:sz w:val="20"/>
              </w:rPr>
              <w:t>W celu usunięcia wątpliwości co do zgodności z</w:t>
            </w:r>
            <w:r>
              <w:t xml:space="preserve"> </w:t>
            </w:r>
            <w:r w:rsidRPr="000223DA">
              <w:rPr>
                <w:rFonts w:ascii="Times New Roman" w:hAnsi="Times New Roman" w:cs="Times New Roman"/>
                <w:sz w:val="20"/>
              </w:rPr>
              <w:t>dyrektyw</w:t>
            </w:r>
            <w:r>
              <w:rPr>
                <w:rFonts w:ascii="Times New Roman" w:hAnsi="Times New Roman" w:cs="Times New Roman"/>
                <w:sz w:val="20"/>
              </w:rPr>
              <w:t>ą</w:t>
            </w:r>
            <w:r w:rsidRPr="000223DA">
              <w:rPr>
                <w:rFonts w:ascii="Times New Roman" w:hAnsi="Times New Roman" w:cs="Times New Roman"/>
                <w:sz w:val="20"/>
              </w:rPr>
              <w:t xml:space="preserve"> 2023/</w:t>
            </w:r>
            <w:proofErr w:type="gramStart"/>
            <w:r w:rsidRPr="000223DA">
              <w:rPr>
                <w:rFonts w:ascii="Times New Roman" w:hAnsi="Times New Roman" w:cs="Times New Roman"/>
                <w:sz w:val="20"/>
              </w:rPr>
              <w:t>2225  (</w:t>
            </w:r>
            <w:proofErr w:type="gramEnd"/>
            <w:r w:rsidRPr="000223DA">
              <w:rPr>
                <w:rFonts w:ascii="Times New Roman" w:hAnsi="Times New Roman" w:cs="Times New Roman"/>
                <w:sz w:val="20"/>
              </w:rPr>
              <w:t>art. 16 ust. 2) należy posłużyć się spójnikiem „lub” a nie ”oraz” w kontekście alternatywy między świadczeniem usług doradczych a zawarciem umowy o świadczenie takich usług.</w:t>
            </w:r>
          </w:p>
        </w:tc>
      </w:tr>
      <w:tr w:rsidR="005B70BA" w:rsidRPr="00FF4480" w14:paraId="1C8D26E2" w14:textId="77777777" w:rsidTr="00517157">
        <w:trPr>
          <w:trHeight w:val="356"/>
          <w:jc w:val="center"/>
        </w:trPr>
        <w:tc>
          <w:tcPr>
            <w:tcW w:w="594" w:type="dxa"/>
          </w:tcPr>
          <w:p w14:paraId="2B6CEA54" w14:textId="77777777" w:rsidR="005B70BA" w:rsidRPr="00FF4480" w:rsidRDefault="005B70B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0C667521" w14:textId="6E2A6936" w:rsidR="005B70BA" w:rsidRPr="00FF4480" w:rsidRDefault="00744565" w:rsidP="004A28E0">
            <w:pPr>
              <w:jc w:val="both"/>
              <w:rPr>
                <w:rFonts w:ascii="Times New Roman" w:hAnsi="Times New Roman" w:cs="Times New Roman"/>
                <w:sz w:val="20"/>
              </w:rPr>
            </w:pPr>
            <w:r w:rsidRPr="00744565">
              <w:rPr>
                <w:rFonts w:ascii="Times New Roman" w:hAnsi="Times New Roman" w:cs="Times New Roman"/>
                <w:sz w:val="20"/>
              </w:rPr>
              <w:t>Art. 94 ust. 2 pkt 2</w:t>
            </w:r>
          </w:p>
        </w:tc>
        <w:tc>
          <w:tcPr>
            <w:tcW w:w="2832" w:type="dxa"/>
            <w:vAlign w:val="center"/>
          </w:tcPr>
          <w:p w14:paraId="51A839F2" w14:textId="11CFCD5A" w:rsidR="005B70BA" w:rsidRPr="00E200A5" w:rsidRDefault="005B70BA" w:rsidP="00E200A5">
            <w:pPr>
              <w:jc w:val="center"/>
              <w:rPr>
                <w:rFonts w:ascii="Times New Roman" w:hAnsi="Times New Roman" w:cs="Times New Roman"/>
                <w:sz w:val="20"/>
              </w:rPr>
            </w:pPr>
            <w:r w:rsidRPr="005B70BA">
              <w:rPr>
                <w:rFonts w:ascii="Times New Roman" w:hAnsi="Times New Roman" w:cs="Times New Roman"/>
                <w:sz w:val="20"/>
              </w:rPr>
              <w:t>Konfederacja Lewiatan</w:t>
            </w:r>
          </w:p>
        </w:tc>
        <w:tc>
          <w:tcPr>
            <w:tcW w:w="8467" w:type="dxa"/>
            <w:vAlign w:val="center"/>
          </w:tcPr>
          <w:p w14:paraId="25C3D05D" w14:textId="0C5E0F23" w:rsidR="00744565" w:rsidRPr="00744565" w:rsidRDefault="00744565" w:rsidP="00744565">
            <w:pPr>
              <w:jc w:val="both"/>
              <w:rPr>
                <w:rFonts w:ascii="Times New Roman" w:hAnsi="Times New Roman" w:cs="Times New Roman"/>
                <w:sz w:val="20"/>
              </w:rPr>
            </w:pPr>
            <w:r w:rsidRPr="00744565">
              <w:rPr>
                <w:rFonts w:ascii="Times New Roman" w:hAnsi="Times New Roman" w:cs="Times New Roman"/>
                <w:sz w:val="20"/>
              </w:rPr>
              <w:t xml:space="preserve">Instytucja pożyczkowa nie powinna ponosić konsekwencji, jeżeli </w:t>
            </w:r>
            <w:r>
              <w:rPr>
                <w:rFonts w:ascii="Times New Roman" w:hAnsi="Times New Roman" w:cs="Times New Roman"/>
                <w:sz w:val="20"/>
              </w:rPr>
              <w:t xml:space="preserve">sprawnie </w:t>
            </w:r>
            <w:r w:rsidRPr="00744565">
              <w:rPr>
                <w:rFonts w:ascii="Times New Roman" w:hAnsi="Times New Roman" w:cs="Times New Roman"/>
                <w:sz w:val="20"/>
              </w:rPr>
              <w:t>odwoła ukaraną osobę z pełnionej funkcji.</w:t>
            </w:r>
          </w:p>
          <w:p w14:paraId="641D3AC0" w14:textId="77777777" w:rsidR="00744565" w:rsidRPr="00744565" w:rsidRDefault="00744565" w:rsidP="00744565">
            <w:pPr>
              <w:jc w:val="both"/>
              <w:rPr>
                <w:rFonts w:ascii="Times New Roman" w:hAnsi="Times New Roman" w:cs="Times New Roman"/>
                <w:sz w:val="20"/>
              </w:rPr>
            </w:pPr>
          </w:p>
          <w:p w14:paraId="722FBD72" w14:textId="77777777" w:rsidR="005B70BA" w:rsidRDefault="00744565" w:rsidP="00744565">
            <w:pPr>
              <w:jc w:val="both"/>
              <w:rPr>
                <w:rFonts w:ascii="Times New Roman" w:hAnsi="Times New Roman" w:cs="Times New Roman"/>
                <w:sz w:val="20"/>
              </w:rPr>
            </w:pPr>
            <w:r w:rsidRPr="00744565">
              <w:rPr>
                <w:rFonts w:ascii="Times New Roman" w:hAnsi="Times New Roman" w:cs="Times New Roman"/>
                <w:sz w:val="20"/>
              </w:rPr>
              <w:t>Przy czym, należy zwrócić uwagę, że prokurenta może odwołać zarząd, zarząd może zostać odwołany przez radę nadzorczą, natomiast odwołanie członka rady nadzorczej wymaga zwołania walnego zgromadzenia akcjonariuszy (to ostatnie wymaga najwięcej czasu).</w:t>
            </w:r>
          </w:p>
          <w:p w14:paraId="5218490B" w14:textId="77777777" w:rsidR="00744565" w:rsidRDefault="00744565" w:rsidP="00744565">
            <w:pPr>
              <w:jc w:val="both"/>
              <w:rPr>
                <w:rFonts w:ascii="Times New Roman" w:hAnsi="Times New Roman" w:cs="Times New Roman"/>
                <w:sz w:val="20"/>
              </w:rPr>
            </w:pPr>
          </w:p>
          <w:p w14:paraId="1A246223" w14:textId="77777777" w:rsidR="00744565" w:rsidRDefault="00744565" w:rsidP="00744565">
            <w:pPr>
              <w:jc w:val="both"/>
              <w:rPr>
                <w:rFonts w:ascii="Times New Roman" w:hAnsi="Times New Roman" w:cs="Times New Roman"/>
                <w:sz w:val="20"/>
              </w:rPr>
            </w:pPr>
            <w:r>
              <w:rPr>
                <w:rFonts w:ascii="Times New Roman" w:hAnsi="Times New Roman" w:cs="Times New Roman"/>
                <w:sz w:val="20"/>
              </w:rPr>
              <w:t xml:space="preserve">Rekomendowane brzmienie przepisu to: </w:t>
            </w:r>
          </w:p>
          <w:p w14:paraId="3DC3D347" w14:textId="322F2B79" w:rsidR="00744565" w:rsidRPr="00FF4480" w:rsidRDefault="00744565" w:rsidP="00744565">
            <w:pPr>
              <w:jc w:val="both"/>
              <w:rPr>
                <w:rFonts w:ascii="Times New Roman" w:hAnsi="Times New Roman" w:cs="Times New Roman"/>
                <w:sz w:val="20"/>
              </w:rPr>
            </w:pPr>
            <w:proofErr w:type="gramStart"/>
            <w:r>
              <w:rPr>
                <w:rFonts w:ascii="Times New Roman" w:hAnsi="Times New Roman" w:cs="Times New Roman"/>
                <w:sz w:val="20"/>
              </w:rPr>
              <w:t>,,</w:t>
            </w:r>
            <w:proofErr w:type="gramEnd"/>
            <w:r w:rsidRPr="00744565">
              <w:rPr>
                <w:rFonts w:ascii="Times New Roman" w:hAnsi="Times New Roman" w:cs="Times New Roman"/>
                <w:sz w:val="20"/>
              </w:rPr>
              <w:t xml:space="preserve">2) na którego członka zarządu, rady nadzorczej lub prokurenta została nałożona kara pieniężna na podstawie art. 106b ust. 1 lub 2 ustawy z dnia 16 lutego 2007 r. o ochronie konkurencji i konsumentów - jeżeli instytucja pożyczkowa nie dokonała odwołania takiego członka zarządu lub prokurenta w terminie </w:t>
            </w:r>
            <w:r>
              <w:rPr>
                <w:rFonts w:ascii="Times New Roman" w:hAnsi="Times New Roman" w:cs="Times New Roman"/>
                <w:sz w:val="20"/>
              </w:rPr>
              <w:t>2</w:t>
            </w:r>
            <w:r w:rsidRPr="00744565">
              <w:rPr>
                <w:rFonts w:ascii="Times New Roman" w:hAnsi="Times New Roman" w:cs="Times New Roman"/>
                <w:sz w:val="20"/>
              </w:rPr>
              <w:t xml:space="preserve">0 dni, a członka rady nadzorczej w terminie </w:t>
            </w:r>
            <w:r>
              <w:rPr>
                <w:rFonts w:ascii="Times New Roman" w:hAnsi="Times New Roman" w:cs="Times New Roman"/>
                <w:sz w:val="20"/>
              </w:rPr>
              <w:t>3</w:t>
            </w:r>
            <w:r w:rsidRPr="00744565">
              <w:rPr>
                <w:rFonts w:ascii="Times New Roman" w:hAnsi="Times New Roman" w:cs="Times New Roman"/>
                <w:sz w:val="20"/>
              </w:rPr>
              <w:t xml:space="preserve"> miesięcy, od dnia doręczenia spółce decyzji Komisji Nadzoru Finansowego o obowiązku odwołania go w związku z nałożoną karą, lub</w:t>
            </w:r>
            <w:r>
              <w:rPr>
                <w:rFonts w:ascii="Times New Roman" w:hAnsi="Times New Roman" w:cs="Times New Roman"/>
                <w:sz w:val="20"/>
              </w:rPr>
              <w:t>”</w:t>
            </w:r>
          </w:p>
        </w:tc>
      </w:tr>
      <w:tr w:rsidR="005B70BA" w:rsidRPr="00FF4480" w14:paraId="654C1810" w14:textId="77777777" w:rsidTr="00517157">
        <w:trPr>
          <w:trHeight w:val="356"/>
          <w:jc w:val="center"/>
        </w:trPr>
        <w:tc>
          <w:tcPr>
            <w:tcW w:w="594" w:type="dxa"/>
          </w:tcPr>
          <w:p w14:paraId="6E1968A4" w14:textId="77777777" w:rsidR="005B70BA" w:rsidRPr="00FF4480" w:rsidRDefault="005B70B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5FD052CA" w14:textId="747494E6" w:rsidR="005B70BA" w:rsidRPr="00FF4480" w:rsidRDefault="00E93D96" w:rsidP="004A28E0">
            <w:pPr>
              <w:jc w:val="both"/>
              <w:rPr>
                <w:rFonts w:ascii="Times New Roman" w:hAnsi="Times New Roman" w:cs="Times New Roman"/>
                <w:sz w:val="20"/>
              </w:rPr>
            </w:pPr>
            <w:r>
              <w:rPr>
                <w:rFonts w:ascii="Times New Roman" w:hAnsi="Times New Roman" w:cs="Times New Roman"/>
                <w:sz w:val="20"/>
              </w:rPr>
              <w:t xml:space="preserve">Art. 95 oraz art. 130 i </w:t>
            </w:r>
            <w:r w:rsidR="00AF39D1">
              <w:rPr>
                <w:rFonts w:ascii="Times New Roman" w:hAnsi="Times New Roman" w:cs="Times New Roman"/>
                <w:sz w:val="20"/>
              </w:rPr>
              <w:t xml:space="preserve">art. </w:t>
            </w:r>
            <w:r>
              <w:rPr>
                <w:rFonts w:ascii="Times New Roman" w:hAnsi="Times New Roman" w:cs="Times New Roman"/>
                <w:sz w:val="20"/>
              </w:rPr>
              <w:t xml:space="preserve">141. </w:t>
            </w:r>
          </w:p>
        </w:tc>
        <w:tc>
          <w:tcPr>
            <w:tcW w:w="2832" w:type="dxa"/>
            <w:vAlign w:val="center"/>
          </w:tcPr>
          <w:p w14:paraId="5604E8EC" w14:textId="1E28A946" w:rsidR="005B70BA" w:rsidRPr="00E200A5" w:rsidRDefault="005B70BA" w:rsidP="00E200A5">
            <w:pPr>
              <w:jc w:val="center"/>
              <w:rPr>
                <w:rFonts w:ascii="Times New Roman" w:hAnsi="Times New Roman" w:cs="Times New Roman"/>
                <w:sz w:val="20"/>
              </w:rPr>
            </w:pPr>
            <w:r w:rsidRPr="005B70BA">
              <w:rPr>
                <w:rFonts w:ascii="Times New Roman" w:hAnsi="Times New Roman" w:cs="Times New Roman"/>
                <w:sz w:val="20"/>
              </w:rPr>
              <w:t>Konfederacja Lewiatan</w:t>
            </w:r>
          </w:p>
        </w:tc>
        <w:tc>
          <w:tcPr>
            <w:tcW w:w="8467" w:type="dxa"/>
            <w:vAlign w:val="center"/>
          </w:tcPr>
          <w:p w14:paraId="407D48EF" w14:textId="04A4C485" w:rsidR="00E93D96" w:rsidRDefault="00E93D96" w:rsidP="00E93D96">
            <w:pPr>
              <w:pStyle w:val="Akapitzlist"/>
              <w:numPr>
                <w:ilvl w:val="0"/>
                <w:numId w:val="25"/>
              </w:numPr>
              <w:jc w:val="both"/>
              <w:rPr>
                <w:rFonts w:ascii="Times New Roman" w:hAnsi="Times New Roman" w:cs="Times New Roman"/>
                <w:sz w:val="20"/>
              </w:rPr>
            </w:pPr>
            <w:r>
              <w:rPr>
                <w:rFonts w:ascii="Times New Roman" w:hAnsi="Times New Roman" w:cs="Times New Roman"/>
                <w:sz w:val="20"/>
              </w:rPr>
              <w:t xml:space="preserve">Art. 95 należy uzupełnić o biura informacji gospodarczej. Zwiększenie </w:t>
            </w:r>
            <w:r w:rsidRPr="00E93D96">
              <w:rPr>
                <w:rFonts w:ascii="Times New Roman" w:hAnsi="Times New Roman" w:cs="Times New Roman"/>
                <w:sz w:val="20"/>
              </w:rPr>
              <w:t xml:space="preserve">konkurencji w zakresie baz przetwarzających informacje pochodzące od kredytodawców kredytu konsumenckiego o biura informacji gospodarczej, będzie miało pozytywny wpływ na konkurencyjność produktów dostępnych na tym rynku, co wpłynie zarówno na jakość świadczonych usług dla kredytodawców, a także ich cenę, a docelowo wpłynie pozytywnie na tzw. użytkowników końcowych rynku usług finansowych. </w:t>
            </w:r>
            <w:r>
              <w:rPr>
                <w:rFonts w:ascii="Times New Roman" w:hAnsi="Times New Roman" w:cs="Times New Roman"/>
                <w:sz w:val="20"/>
              </w:rPr>
              <w:t>N</w:t>
            </w:r>
            <w:r w:rsidRPr="00E93D96">
              <w:rPr>
                <w:rFonts w:ascii="Times New Roman" w:hAnsi="Times New Roman" w:cs="Times New Roman"/>
                <w:sz w:val="20"/>
              </w:rPr>
              <w:t>ie ma ani przeszkód prawnych, ani faktycznych, aby ograniczyć kredytodawcom możliwość wyboru bazy danych do jakiej raportować będą zarówno informacje o udzieleniu finansowania, jak i o zaległościach w spłacie – tym bardziej, że podmioty weryfikujące zdolność kredytową dokonują już dziś weryfikacji w bazie BIK S.A. i w bazach BIGów.</w:t>
            </w:r>
          </w:p>
          <w:p w14:paraId="5387C3B8" w14:textId="328C8F61" w:rsidR="00E93D96" w:rsidRPr="00E93D96" w:rsidRDefault="00E93D96" w:rsidP="00E93D96">
            <w:pPr>
              <w:pStyle w:val="Akapitzlist"/>
              <w:ind w:left="1080"/>
              <w:jc w:val="both"/>
              <w:rPr>
                <w:rFonts w:ascii="Times New Roman" w:hAnsi="Times New Roman" w:cs="Times New Roman"/>
                <w:sz w:val="20"/>
              </w:rPr>
            </w:pPr>
            <w:r w:rsidRPr="00E93D96">
              <w:rPr>
                <w:rFonts w:ascii="Times New Roman" w:hAnsi="Times New Roman" w:cs="Times New Roman"/>
                <w:sz w:val="20"/>
              </w:rPr>
              <w:t>Proponowana zmiana powoduje także potrzebę dostosowania brzmienia Art. 130 projektu, a także dalszych zmian w ustawie o udostępnianiu informacji gospodarczych i wymianie danych gospodarczych w projektowanym Art. 141.</w:t>
            </w:r>
          </w:p>
          <w:p w14:paraId="36EBD9C1" w14:textId="77777777" w:rsidR="00E93D96" w:rsidRDefault="00E93D96" w:rsidP="00E93D96">
            <w:pPr>
              <w:pStyle w:val="Akapitzlist"/>
              <w:numPr>
                <w:ilvl w:val="0"/>
                <w:numId w:val="25"/>
              </w:numPr>
              <w:jc w:val="both"/>
              <w:rPr>
                <w:rFonts w:ascii="Times New Roman" w:hAnsi="Times New Roman" w:cs="Times New Roman"/>
                <w:sz w:val="20"/>
              </w:rPr>
            </w:pPr>
            <w:r w:rsidRPr="00E93D96">
              <w:rPr>
                <w:rFonts w:ascii="Times New Roman" w:hAnsi="Times New Roman" w:cs="Times New Roman"/>
                <w:sz w:val="20"/>
              </w:rPr>
              <w:t xml:space="preserve">Dane powinny być wymieniane w sposób spójny, ustrukturyzowany, w zakresie i celu określonym przepisami oraz na podstawie przepisów ustawy nie zaś w oparciu o upoważnienie od konsumenta. Przyczyni się to do posiadania rzetelnych i spójnych </w:t>
            </w:r>
            <w:r w:rsidRPr="00E93D96">
              <w:rPr>
                <w:rFonts w:ascii="Times New Roman" w:hAnsi="Times New Roman" w:cs="Times New Roman"/>
                <w:sz w:val="20"/>
              </w:rPr>
              <w:lastRenderedPageBreak/>
              <w:t>informacji przez kredytodawców oraz uniezależni możliwość korzystania z danych od zgody klienta.</w:t>
            </w:r>
          </w:p>
          <w:p w14:paraId="37ABF25B" w14:textId="77777777" w:rsidR="00AF39D1" w:rsidRPr="00AF39D1" w:rsidRDefault="00AF39D1" w:rsidP="00AF39D1">
            <w:pPr>
              <w:pStyle w:val="Akapitzlist"/>
              <w:numPr>
                <w:ilvl w:val="0"/>
                <w:numId w:val="25"/>
              </w:numPr>
              <w:jc w:val="both"/>
              <w:rPr>
                <w:rFonts w:ascii="Times New Roman" w:hAnsi="Times New Roman" w:cs="Times New Roman"/>
                <w:sz w:val="20"/>
              </w:rPr>
            </w:pPr>
            <w:r w:rsidRPr="00AF39D1">
              <w:rPr>
                <w:rFonts w:ascii="Times New Roman" w:hAnsi="Times New Roman" w:cs="Times New Roman"/>
                <w:sz w:val="20"/>
              </w:rPr>
              <w:t xml:space="preserve">Zasadnym jest, aby ten obowiązek nadal wynikał z ustawy i obejmował wszystkich kredytodawców (jako obowiązek wynikający z ustawy nie wymagałby zgody klienta). </w:t>
            </w:r>
          </w:p>
          <w:p w14:paraId="5F837E7D" w14:textId="77777777" w:rsidR="00AF39D1" w:rsidRDefault="00AF39D1" w:rsidP="00AF39D1">
            <w:pPr>
              <w:pStyle w:val="Akapitzlist"/>
              <w:ind w:left="1080"/>
              <w:jc w:val="both"/>
              <w:rPr>
                <w:rFonts w:ascii="Times New Roman" w:hAnsi="Times New Roman" w:cs="Times New Roman"/>
                <w:sz w:val="20"/>
              </w:rPr>
            </w:pPr>
            <w:r w:rsidRPr="00AF39D1">
              <w:rPr>
                <w:rFonts w:ascii="Times New Roman" w:hAnsi="Times New Roman" w:cs="Times New Roman"/>
                <w:sz w:val="20"/>
              </w:rPr>
              <w:t>Raportowanie o wszystkich zobowiązaniach kredytowych przez wszystkich kredytodawców jest kluczowe dla zapewnienia właściwej oceny zdolności kredytowej konsumenta i zapobieganiu zjawisku nadmiernego obciążenia zobowiązaniami kredytowymi. Brak takiego obowiązku zmniejszy wiarygodność i rzetelność informacji o faktycznym zadłużeniu, sposobie i terminie spłat zobowiązań kredytowych konsumenta.</w:t>
            </w:r>
          </w:p>
          <w:p w14:paraId="3D4451A4" w14:textId="77777777" w:rsidR="00AF39D1" w:rsidRDefault="00AF39D1" w:rsidP="00AF39D1">
            <w:pPr>
              <w:pStyle w:val="Akapitzlist"/>
              <w:ind w:left="1080"/>
              <w:jc w:val="both"/>
              <w:rPr>
                <w:rFonts w:ascii="Times New Roman" w:hAnsi="Times New Roman" w:cs="Times New Roman"/>
                <w:sz w:val="20"/>
              </w:rPr>
            </w:pPr>
          </w:p>
          <w:p w14:paraId="4501C697" w14:textId="77777777" w:rsidR="00AF39D1" w:rsidRDefault="00AF39D1" w:rsidP="00AF39D1">
            <w:pPr>
              <w:pStyle w:val="Akapitzlist"/>
              <w:ind w:left="1080"/>
              <w:jc w:val="both"/>
              <w:rPr>
                <w:rFonts w:ascii="Times New Roman" w:hAnsi="Times New Roman" w:cs="Times New Roman"/>
                <w:sz w:val="20"/>
              </w:rPr>
            </w:pPr>
            <w:r>
              <w:rPr>
                <w:rFonts w:ascii="Times New Roman" w:hAnsi="Times New Roman" w:cs="Times New Roman"/>
                <w:sz w:val="20"/>
              </w:rPr>
              <w:t xml:space="preserve">Wobec powyższego rekomendowane jest następujące brzmienie przepisu: </w:t>
            </w:r>
          </w:p>
          <w:p w14:paraId="7573C6E8" w14:textId="77777777" w:rsidR="00AF39D1" w:rsidRDefault="00AF39D1" w:rsidP="00AF39D1">
            <w:pPr>
              <w:pStyle w:val="Akapitzlist"/>
              <w:ind w:left="1080"/>
              <w:jc w:val="both"/>
              <w:rPr>
                <w:rFonts w:ascii="Times New Roman" w:hAnsi="Times New Roman" w:cs="Times New Roman"/>
                <w:sz w:val="20"/>
              </w:rPr>
            </w:pPr>
          </w:p>
          <w:p w14:paraId="314E1892" w14:textId="67795A42" w:rsidR="00AF39D1" w:rsidRPr="00AF39D1" w:rsidRDefault="00AF39D1" w:rsidP="00AF39D1">
            <w:pPr>
              <w:pStyle w:val="Akapitzlist"/>
              <w:ind w:left="1080"/>
              <w:jc w:val="both"/>
              <w:rPr>
                <w:rFonts w:ascii="Times New Roman" w:hAnsi="Times New Roman" w:cs="Times New Roman"/>
                <w:sz w:val="20"/>
              </w:rPr>
            </w:pPr>
            <w:proofErr w:type="gramStart"/>
            <w:r>
              <w:rPr>
                <w:rFonts w:ascii="Times New Roman" w:hAnsi="Times New Roman" w:cs="Times New Roman"/>
                <w:sz w:val="20"/>
              </w:rPr>
              <w:t>,,</w:t>
            </w:r>
            <w:proofErr w:type="gramEnd"/>
            <w:r w:rsidRPr="00AF39D1">
              <w:rPr>
                <w:rFonts w:ascii="Times New Roman" w:hAnsi="Times New Roman" w:cs="Times New Roman"/>
                <w:sz w:val="20"/>
              </w:rPr>
              <w:t xml:space="preserve">Art. 95. 1. </w:t>
            </w:r>
            <w:r>
              <w:rPr>
                <w:rFonts w:ascii="Times New Roman" w:hAnsi="Times New Roman" w:cs="Times New Roman"/>
                <w:sz w:val="20"/>
              </w:rPr>
              <w:t>Kredytodawca</w:t>
            </w:r>
            <w:r w:rsidRPr="00AF39D1">
              <w:rPr>
                <w:rFonts w:ascii="Times New Roman" w:hAnsi="Times New Roman" w:cs="Times New Roman"/>
                <w:sz w:val="20"/>
              </w:rPr>
              <w:t>, któr</w:t>
            </w:r>
            <w:r>
              <w:rPr>
                <w:rFonts w:ascii="Times New Roman" w:hAnsi="Times New Roman" w:cs="Times New Roman"/>
                <w:sz w:val="20"/>
              </w:rPr>
              <w:t>y</w:t>
            </w:r>
            <w:r w:rsidRPr="00AF39D1">
              <w:rPr>
                <w:rFonts w:ascii="Times New Roman" w:hAnsi="Times New Roman" w:cs="Times New Roman"/>
                <w:sz w:val="20"/>
              </w:rPr>
              <w:t xml:space="preserve"> udzielił kredytu konsumenckiego, przekazuje informację o jego udzieleniu instytucjom utworzonym na podstawie art. 105 ust. 4 ustawy z dnia 29 sierpnia 1997 r.  Prawo bankowe lub biuru informacji gospodarczej, o którym mowa w ustawie z dnia 9 kwietnia 2010 r. o udostępnianiu informacji gospodarczych i wymianie danych </w:t>
            </w:r>
            <w:proofErr w:type="gramStart"/>
            <w:r w:rsidRPr="00AF39D1">
              <w:rPr>
                <w:rFonts w:ascii="Times New Roman" w:hAnsi="Times New Roman" w:cs="Times New Roman"/>
                <w:sz w:val="20"/>
              </w:rPr>
              <w:t>gospodarczych  terminie</w:t>
            </w:r>
            <w:proofErr w:type="gramEnd"/>
            <w:r w:rsidRPr="00AF39D1">
              <w:rPr>
                <w:rFonts w:ascii="Times New Roman" w:hAnsi="Times New Roman" w:cs="Times New Roman"/>
                <w:sz w:val="20"/>
              </w:rPr>
              <w:t xml:space="preserve"> 7 dni od dnia udzielenia kredytu konsumenckiego. Za przekazanie informacji nie pobiera się żadnych opłat.</w:t>
            </w:r>
          </w:p>
          <w:p w14:paraId="1C117966" w14:textId="29A81DAC" w:rsidR="00AF39D1" w:rsidRPr="00AF39D1" w:rsidRDefault="00AF39D1" w:rsidP="00AF39D1">
            <w:pPr>
              <w:pStyle w:val="Akapitzlist"/>
              <w:ind w:left="1080"/>
              <w:jc w:val="both"/>
              <w:rPr>
                <w:rFonts w:ascii="Times New Roman" w:hAnsi="Times New Roman" w:cs="Times New Roman"/>
                <w:sz w:val="20"/>
              </w:rPr>
            </w:pPr>
            <w:r w:rsidRPr="00AF39D1">
              <w:rPr>
                <w:rFonts w:ascii="Times New Roman" w:hAnsi="Times New Roman" w:cs="Times New Roman"/>
                <w:sz w:val="20"/>
              </w:rPr>
              <w:t>2.</w:t>
            </w:r>
            <w:r>
              <w:rPr>
                <w:rFonts w:ascii="Times New Roman" w:hAnsi="Times New Roman" w:cs="Times New Roman"/>
                <w:sz w:val="20"/>
              </w:rPr>
              <w:t xml:space="preserve"> Kredytodawca</w:t>
            </w:r>
            <w:r w:rsidRPr="00AF39D1">
              <w:rPr>
                <w:rFonts w:ascii="Times New Roman" w:hAnsi="Times New Roman" w:cs="Times New Roman"/>
                <w:sz w:val="20"/>
              </w:rPr>
              <w:t>, któr</w:t>
            </w:r>
            <w:r>
              <w:rPr>
                <w:rFonts w:ascii="Times New Roman" w:hAnsi="Times New Roman" w:cs="Times New Roman"/>
                <w:sz w:val="20"/>
              </w:rPr>
              <w:t>y</w:t>
            </w:r>
            <w:r w:rsidRPr="00AF39D1">
              <w:rPr>
                <w:rFonts w:ascii="Times New Roman" w:hAnsi="Times New Roman" w:cs="Times New Roman"/>
                <w:sz w:val="20"/>
              </w:rPr>
              <w:t xml:space="preserve"> udzielił kredytu konsumenckiego, przekazuje informację o zaległości w spłacie tego kredytu instytucjom utworzonym na podstawie art. 105 ust. 4 ustawy z dnia 29 sierpnia 1997 r. – Prawo bankowe lub biuru informacji gospodarczej, o którym mowa w ustawie z dnia 9 kwietnia 2010 r. o udostępnianiu informacji gospodarczych i wymianie danych </w:t>
            </w:r>
            <w:proofErr w:type="gramStart"/>
            <w:r w:rsidRPr="00AF39D1">
              <w:rPr>
                <w:rFonts w:ascii="Times New Roman" w:hAnsi="Times New Roman" w:cs="Times New Roman"/>
                <w:sz w:val="20"/>
              </w:rPr>
              <w:t>gospodarczych  w</w:t>
            </w:r>
            <w:proofErr w:type="gramEnd"/>
            <w:r w:rsidRPr="00AF39D1">
              <w:rPr>
                <w:rFonts w:ascii="Times New Roman" w:hAnsi="Times New Roman" w:cs="Times New Roman"/>
                <w:sz w:val="20"/>
              </w:rPr>
              <w:t xml:space="preserve"> terminie 7 dni od wystąpienia tej zaległości. Za przekazanie informacji nie pobiera się żadnych opłat.</w:t>
            </w:r>
          </w:p>
          <w:p w14:paraId="5EA683A2" w14:textId="52B16E67" w:rsidR="00AF39D1" w:rsidRPr="00AF39D1" w:rsidRDefault="00AF39D1" w:rsidP="00AF39D1">
            <w:pPr>
              <w:pStyle w:val="Akapitzlist"/>
              <w:ind w:left="1080"/>
              <w:jc w:val="both"/>
              <w:rPr>
                <w:rFonts w:ascii="Times New Roman" w:hAnsi="Times New Roman" w:cs="Times New Roman"/>
                <w:sz w:val="20"/>
              </w:rPr>
            </w:pPr>
            <w:r w:rsidRPr="00AF39D1">
              <w:rPr>
                <w:rFonts w:ascii="Times New Roman" w:hAnsi="Times New Roman" w:cs="Times New Roman"/>
                <w:sz w:val="20"/>
              </w:rPr>
              <w:t xml:space="preserve">3. </w:t>
            </w:r>
            <w:r>
              <w:rPr>
                <w:rFonts w:ascii="Times New Roman" w:hAnsi="Times New Roman" w:cs="Times New Roman"/>
                <w:sz w:val="20"/>
              </w:rPr>
              <w:t xml:space="preserve">Kredytodawca </w:t>
            </w:r>
            <w:r w:rsidRPr="00AF39D1">
              <w:rPr>
                <w:rFonts w:ascii="Times New Roman" w:hAnsi="Times New Roman" w:cs="Times New Roman"/>
                <w:sz w:val="20"/>
              </w:rPr>
              <w:t>może udostępniać instytucji utworzonej na podstawie art. 105 ust. 4 ustawy z dnia 29 sierpnia 1997 r. – Prawo bankowe lub biuru informacji gospodarczej, o którym mowa w ustawie z dnia 9 kwietnia 2010 r. o udostępnianiu informacji gospodarczych inne informacje niż określone w ust. 1 i 2, w zakresie niezbędnym do oceny zdolności kredytowej konsumenta, o której mowa w art. 29, i analizy ryzyka kredytowego.</w:t>
            </w:r>
          </w:p>
          <w:p w14:paraId="156881E6" w14:textId="4AA271E5" w:rsidR="00AF39D1" w:rsidRPr="00E93D96" w:rsidRDefault="00AF39D1" w:rsidP="00AF39D1">
            <w:pPr>
              <w:pStyle w:val="Akapitzlist"/>
              <w:ind w:left="1080"/>
              <w:jc w:val="both"/>
              <w:rPr>
                <w:rFonts w:ascii="Times New Roman" w:hAnsi="Times New Roman" w:cs="Times New Roman"/>
                <w:sz w:val="20"/>
              </w:rPr>
            </w:pPr>
            <w:r w:rsidRPr="00AF39D1">
              <w:rPr>
                <w:rFonts w:ascii="Times New Roman" w:hAnsi="Times New Roman" w:cs="Times New Roman"/>
                <w:sz w:val="20"/>
              </w:rPr>
              <w:t xml:space="preserve"> 4. Po udostępnieniu danych konsumenta </w:t>
            </w:r>
            <w:r>
              <w:rPr>
                <w:rFonts w:ascii="Times New Roman" w:hAnsi="Times New Roman" w:cs="Times New Roman"/>
                <w:sz w:val="20"/>
              </w:rPr>
              <w:t xml:space="preserve">kredytodawca </w:t>
            </w:r>
            <w:r w:rsidRPr="00AF39D1">
              <w:rPr>
                <w:rFonts w:ascii="Times New Roman" w:hAnsi="Times New Roman" w:cs="Times New Roman"/>
                <w:sz w:val="20"/>
              </w:rPr>
              <w:t>obowiązan</w:t>
            </w:r>
            <w:r>
              <w:rPr>
                <w:rFonts w:ascii="Times New Roman" w:hAnsi="Times New Roman" w:cs="Times New Roman"/>
                <w:sz w:val="20"/>
              </w:rPr>
              <w:t>y</w:t>
            </w:r>
            <w:r w:rsidRPr="00AF39D1">
              <w:rPr>
                <w:rFonts w:ascii="Times New Roman" w:hAnsi="Times New Roman" w:cs="Times New Roman"/>
                <w:sz w:val="20"/>
              </w:rPr>
              <w:t xml:space="preserve"> jest do informowania instytucji utworzonej na podstawie art. 105 ust. 4 ustawy z dnia 29 sierpnia 1997 r. – Prawo </w:t>
            </w:r>
            <w:proofErr w:type="gramStart"/>
            <w:r w:rsidRPr="00AF39D1">
              <w:rPr>
                <w:rFonts w:ascii="Times New Roman" w:hAnsi="Times New Roman" w:cs="Times New Roman"/>
                <w:sz w:val="20"/>
              </w:rPr>
              <w:t>bankowe,  lub</w:t>
            </w:r>
            <w:proofErr w:type="gramEnd"/>
            <w:r w:rsidRPr="00AF39D1">
              <w:rPr>
                <w:rFonts w:ascii="Times New Roman" w:hAnsi="Times New Roman" w:cs="Times New Roman"/>
                <w:sz w:val="20"/>
              </w:rPr>
              <w:t xml:space="preserve"> biuru informacji gospodarczej, o którym mowa w ustawie z dnia 9 kwietnia 2010 r. o udostępnianiu informacji gospodarczych która otrzymała te dane, o całkowitej spłacie zobowiązań, ich wygaśnięciu, o stwierdzeniu nieistnienia zobowiązania lub korekcie jego wysokości oraz o nowo powstałych zobowiązaniach i ich aktualizacji, w terminie 7 dni od wystąpienia okoliczności uzasadniających przekazanie informacji. Instytucja utworzona na podstawie art. 105 ust. 4 ustawy z dnia 29 sierpnia 1997 r. – Prawo bankowe lub biuro informacji gospodarczej, o którym mowa w ustawie z dnia 9 kwietnia 2010 r. o udostępnianiu informacji gospodarczych obowiązana jest wprowadzić </w:t>
            </w:r>
            <w:r w:rsidRPr="00AF39D1">
              <w:rPr>
                <w:rFonts w:ascii="Times New Roman" w:hAnsi="Times New Roman" w:cs="Times New Roman"/>
                <w:sz w:val="20"/>
              </w:rPr>
              <w:lastRenderedPageBreak/>
              <w:t>informacje, o których mowa w zdaniu poprzedzającym, do zbioru, w którym są one przetwarzane, w terminie nie dłuższym niż 7 dni od dnia ich otrzymania</w:t>
            </w:r>
            <w:r>
              <w:rPr>
                <w:rFonts w:ascii="Times New Roman" w:hAnsi="Times New Roman" w:cs="Times New Roman"/>
                <w:sz w:val="20"/>
              </w:rPr>
              <w:t>”</w:t>
            </w:r>
          </w:p>
        </w:tc>
      </w:tr>
      <w:tr w:rsidR="005B70BA" w:rsidRPr="00FF4480" w14:paraId="7D913276" w14:textId="77777777" w:rsidTr="00517157">
        <w:trPr>
          <w:trHeight w:val="356"/>
          <w:jc w:val="center"/>
        </w:trPr>
        <w:tc>
          <w:tcPr>
            <w:tcW w:w="594" w:type="dxa"/>
          </w:tcPr>
          <w:p w14:paraId="334410E7" w14:textId="77777777" w:rsidR="005B70BA" w:rsidRPr="00FF4480" w:rsidRDefault="005B70B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554947C2" w14:textId="584C4833" w:rsidR="005B70BA" w:rsidRPr="00FF4480" w:rsidRDefault="00E50D22" w:rsidP="004A28E0">
            <w:pPr>
              <w:jc w:val="both"/>
              <w:rPr>
                <w:rFonts w:ascii="Times New Roman" w:hAnsi="Times New Roman" w:cs="Times New Roman"/>
                <w:sz w:val="20"/>
              </w:rPr>
            </w:pPr>
            <w:r>
              <w:rPr>
                <w:rFonts w:ascii="Times New Roman" w:hAnsi="Times New Roman" w:cs="Times New Roman"/>
                <w:sz w:val="20"/>
              </w:rPr>
              <w:t xml:space="preserve">Art. 97 </w:t>
            </w:r>
          </w:p>
        </w:tc>
        <w:tc>
          <w:tcPr>
            <w:tcW w:w="2832" w:type="dxa"/>
            <w:vAlign w:val="center"/>
          </w:tcPr>
          <w:p w14:paraId="7752AF25" w14:textId="242E73F1" w:rsidR="005B70BA" w:rsidRPr="00E200A5" w:rsidRDefault="005B70BA" w:rsidP="00E200A5">
            <w:pPr>
              <w:jc w:val="center"/>
              <w:rPr>
                <w:rFonts w:ascii="Times New Roman" w:hAnsi="Times New Roman" w:cs="Times New Roman"/>
                <w:sz w:val="20"/>
              </w:rPr>
            </w:pPr>
            <w:r w:rsidRPr="005B70BA">
              <w:rPr>
                <w:rFonts w:ascii="Times New Roman" w:hAnsi="Times New Roman" w:cs="Times New Roman"/>
                <w:sz w:val="20"/>
              </w:rPr>
              <w:t>Konfederacja Lewiatan</w:t>
            </w:r>
          </w:p>
        </w:tc>
        <w:tc>
          <w:tcPr>
            <w:tcW w:w="8467" w:type="dxa"/>
            <w:vAlign w:val="center"/>
          </w:tcPr>
          <w:p w14:paraId="617C3B03" w14:textId="77777777" w:rsidR="00E50D22" w:rsidRDefault="00E50D22" w:rsidP="004A28E0">
            <w:pPr>
              <w:jc w:val="both"/>
              <w:rPr>
                <w:rFonts w:ascii="Times New Roman" w:hAnsi="Times New Roman" w:cs="Times New Roman"/>
                <w:sz w:val="20"/>
              </w:rPr>
            </w:pPr>
            <w:r>
              <w:rPr>
                <w:rFonts w:ascii="Times New Roman" w:hAnsi="Times New Roman" w:cs="Times New Roman"/>
                <w:sz w:val="20"/>
              </w:rPr>
              <w:t>Należy całkowicie przebudować analizowany przepis: projektowany art. 97 nie ma ani sektorowego, ani systemowego uzasadnienia. Zaproponowane niżej zmiany</w:t>
            </w:r>
            <w:r w:rsidRPr="00E50D22">
              <w:rPr>
                <w:rFonts w:ascii="Times New Roman" w:hAnsi="Times New Roman" w:cs="Times New Roman"/>
                <w:sz w:val="20"/>
              </w:rPr>
              <w:t xml:space="preserve"> pozwalają </w:t>
            </w:r>
            <w:r>
              <w:rPr>
                <w:rFonts w:ascii="Times New Roman" w:hAnsi="Times New Roman" w:cs="Times New Roman"/>
                <w:sz w:val="20"/>
              </w:rPr>
              <w:t xml:space="preserve">przede wszystkim </w:t>
            </w:r>
            <w:r w:rsidRPr="00E50D22">
              <w:rPr>
                <w:rFonts w:ascii="Times New Roman" w:hAnsi="Times New Roman" w:cs="Times New Roman"/>
                <w:sz w:val="20"/>
              </w:rPr>
              <w:t xml:space="preserve">na emisje obligacji, zarówno na poziomie instytucji kredytowej, jak i jej grupy kapitałowej, skierowane do inwestorów profesjonalnych (klientów profesjonalnych w rozumieniu </w:t>
            </w:r>
            <w:r>
              <w:rPr>
                <w:rFonts w:ascii="Times New Roman" w:hAnsi="Times New Roman" w:cs="Times New Roman"/>
                <w:sz w:val="20"/>
              </w:rPr>
              <w:t>u</w:t>
            </w:r>
            <w:r w:rsidRPr="00E50D22">
              <w:rPr>
                <w:rFonts w:ascii="Times New Roman" w:hAnsi="Times New Roman" w:cs="Times New Roman"/>
                <w:sz w:val="20"/>
              </w:rPr>
              <w:t>stawy o obrocie instrumentami finansowymi/ dyrektywy MiFID II)</w:t>
            </w:r>
            <w:r>
              <w:rPr>
                <w:rFonts w:ascii="Times New Roman" w:hAnsi="Times New Roman" w:cs="Times New Roman"/>
                <w:sz w:val="20"/>
              </w:rPr>
              <w:t xml:space="preserve">. Były przedmiotem debat i konsultacji. Art. 97 powinien odpowiadać kształtowi i treści zmianom już dotychczas wypracowanym na gruncie obecnej ustawy w poniższym brzmieniu: </w:t>
            </w:r>
          </w:p>
          <w:p w14:paraId="08D1114E" w14:textId="77777777" w:rsidR="006C30AF" w:rsidRPr="006C30AF" w:rsidRDefault="006C30AF" w:rsidP="006C30AF">
            <w:pPr>
              <w:jc w:val="both"/>
              <w:rPr>
                <w:rFonts w:ascii="Times New Roman" w:hAnsi="Times New Roman" w:cs="Times New Roman"/>
                <w:sz w:val="20"/>
              </w:rPr>
            </w:pPr>
          </w:p>
          <w:p w14:paraId="5791A1E5" w14:textId="57798DFA" w:rsidR="006C30AF" w:rsidRPr="006C30AF" w:rsidRDefault="006C30AF" w:rsidP="006C30AF">
            <w:pPr>
              <w:jc w:val="both"/>
              <w:rPr>
                <w:rFonts w:ascii="Times New Roman" w:hAnsi="Times New Roman" w:cs="Times New Roman"/>
                <w:sz w:val="20"/>
              </w:rPr>
            </w:pPr>
            <w:proofErr w:type="gramStart"/>
            <w:r>
              <w:rPr>
                <w:rFonts w:ascii="Times New Roman" w:hAnsi="Times New Roman" w:cs="Times New Roman"/>
                <w:sz w:val="20"/>
              </w:rPr>
              <w:t>,,</w:t>
            </w:r>
            <w:proofErr w:type="gramEnd"/>
            <w:r w:rsidRPr="006C30AF">
              <w:rPr>
                <w:rFonts w:ascii="Times New Roman" w:hAnsi="Times New Roman" w:cs="Times New Roman"/>
                <w:sz w:val="20"/>
              </w:rPr>
              <w:t>2) po art. 59ca dodaje się art. 59caa w brzmieniu:</w:t>
            </w:r>
          </w:p>
          <w:p w14:paraId="08FCAFC0" w14:textId="77777777" w:rsidR="006C30AF" w:rsidRPr="006C30AF" w:rsidRDefault="006C30AF" w:rsidP="006C30AF">
            <w:pPr>
              <w:jc w:val="both"/>
              <w:rPr>
                <w:rFonts w:ascii="Times New Roman" w:hAnsi="Times New Roman" w:cs="Times New Roman"/>
                <w:sz w:val="20"/>
              </w:rPr>
            </w:pPr>
          </w:p>
          <w:p w14:paraId="60EF1F41"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„Art. 59caa. 1. Instytucja pożyczkowa może finansować swoją działalność środkami</w:t>
            </w:r>
          </w:p>
          <w:p w14:paraId="508EFDE5"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zgromadzonymi pod tytułem zwrotnym w postaci:</w:t>
            </w:r>
          </w:p>
          <w:p w14:paraId="18AF08A5"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1) emisji obligacji, obejmowanych przez</w:t>
            </w:r>
          </w:p>
          <w:p w14:paraId="0DEB5C3D"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klientów profesjonalnych, w rozumieniu art. 3 pkt 39b lit. a-m ustawy z dnia 29 lipca 2005 r. o obrocie instrumentami finansowymi;</w:t>
            </w:r>
          </w:p>
          <w:p w14:paraId="193E4FC7"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2) emisji obligacji, obejmowanych przez</w:t>
            </w:r>
          </w:p>
          <w:p w14:paraId="068740F1"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klientów profesjonalnych, w rozumieniu art. 3 pkt 39b lit. n ustawy z dnia 29 lipca 2005 r. o</w:t>
            </w:r>
          </w:p>
          <w:p w14:paraId="0DD30125"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obrocie instrumentami finansowymi, jeżeli wartość nominalna obligacji nie jest mniejsza niż</w:t>
            </w:r>
          </w:p>
          <w:p w14:paraId="72DFA6A1"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400 000 zł lub równowartość tej kwoty wyrażona w innej walucie, ustalona przyzastosowaniu średniego kursu tej waluty ogłaszanego przez Narodowy Bank Polski w dniu</w:t>
            </w:r>
          </w:p>
          <w:p w14:paraId="0908658E"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podjęcia decyzji emitenta o emisji;</w:t>
            </w:r>
          </w:p>
          <w:p w14:paraId="222C9DD4"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3) pożyczek od podmiotów powiązanych albo wspólników lub akcjonariuszy instytucji</w:t>
            </w:r>
          </w:p>
          <w:p w14:paraId="24AF8C0F"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pożyczkowej, którzy jednocześnie nie spełniają przesłanek, o których mowa w pkt 4, posiadających bezpośrednio lub pośrednio co najmniej 10% udziałów lub akcji w tej</w:t>
            </w:r>
          </w:p>
          <w:p w14:paraId="7D9CDE35"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instytucji pożyczkowej, pod warunkiem, że podmiot udzielający pożyczki złoży instytucji</w:t>
            </w:r>
          </w:p>
          <w:p w14:paraId="06059164"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pożyczkowej pisemne oświadczenie, że środki przeznaczone na udzielenie pożyczki nie</w:t>
            </w:r>
          </w:p>
          <w:p w14:paraId="1EA75FCE"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pochodzą bezpośrednio od osób fizycznych gromadzonych pod tytułem zwrotnym, z</w:t>
            </w:r>
          </w:p>
          <w:p w14:paraId="16131756"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wyłączeniem klientów profesjonalnych, w rozumieniu art. 3 pkt 39b lit. a-n ustawy z dnia 29</w:t>
            </w:r>
          </w:p>
          <w:p w14:paraId="75730C3D"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lipca 2005 r. o obrocie instrumentami finansowymi;</w:t>
            </w:r>
          </w:p>
          <w:p w14:paraId="59A983BC"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4) kredytów lub pożyczek od podmiotów, o których mowa w art. 3 pkt 39b lit. a–n ustawy z</w:t>
            </w:r>
          </w:p>
          <w:p w14:paraId="572F9BA3"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dnia 29 lipca 2005 r. o obrocie instrumentami finansowymi;</w:t>
            </w:r>
          </w:p>
          <w:p w14:paraId="58729BF9"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5) pożyczek od osób fizycznych, osób prawnych lub jednostek organizacyjnych niemających</w:t>
            </w:r>
          </w:p>
          <w:p w14:paraId="3FD67E8B"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osobowości prawnej innych niż wymienione w pkt 3 i 4 pod warunkiem, że:</w:t>
            </w:r>
          </w:p>
          <w:p w14:paraId="22C1613B"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a) minimalna kwota pożyczki, od jednego pożyczkodawcy wynosi 600 000 zł lub</w:t>
            </w:r>
          </w:p>
          <w:p w14:paraId="6FBBD9E4"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równowartość tej kwoty wyrażoną w innej walucie, ustaloną przy zastosowaniu</w:t>
            </w:r>
          </w:p>
          <w:p w14:paraId="14A2E848"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średniego kursu tej waluty ogłaszanego przez Narodowy Bank Polski w dniu zawarcia</w:t>
            </w:r>
          </w:p>
          <w:p w14:paraId="48B5CDB9"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umowy pożyczki,</w:t>
            </w:r>
          </w:p>
          <w:p w14:paraId="01A21B8F"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lastRenderedPageBreak/>
              <w:t>b) podmiot udzielający pożyczki złoży instytucji pożyczkowej pisemne oświadczenie, że</w:t>
            </w:r>
          </w:p>
          <w:p w14:paraId="4307FF43"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środki przeznaczone na udzielenie pożyczki nie pochodzą bezpośrednio od osób</w:t>
            </w:r>
          </w:p>
          <w:p w14:paraId="24D87DAB"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fizycznych gromadzonych pod tytułem zwrotnym, z wyłączeniem klientów</w:t>
            </w:r>
          </w:p>
          <w:p w14:paraId="2059BD46"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profesjonalnych, w rozumieniu art. 3 pkt 39b lit. a-n ustawy z dnia 29 lipca 2005 r. o</w:t>
            </w:r>
          </w:p>
          <w:p w14:paraId="2DBEEA17"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obrocie instrumentami finansowym.</w:t>
            </w:r>
          </w:p>
          <w:p w14:paraId="10274F06"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2. Obligacje, o których mowa w ust. 1 pkt 1 i 2 mogą być nabyte wyłącznie przez klientów</w:t>
            </w:r>
          </w:p>
          <w:p w14:paraId="4F0F446A"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profesjonalnych, w rozumieniu art. 3 pkt 39b lit. a-n ustawy z dnia 29 lipca 2005 r. o obrocie</w:t>
            </w:r>
          </w:p>
          <w:p w14:paraId="17C068EF"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instrumentami finansowymi.</w:t>
            </w:r>
          </w:p>
          <w:p w14:paraId="4B8644CF"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3. Zawarcie umowy nabycia obligacji przez podmiot, o którym mowa w ust. 1 pkt 2, wymaga</w:t>
            </w:r>
          </w:p>
          <w:p w14:paraId="790A8493"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pośrednictwa firmy inwestycyjnej.</w:t>
            </w:r>
          </w:p>
          <w:p w14:paraId="238CF144"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5. Oświadczenia, o których mowa w ust. 1 pkt 3 i 5, składa się pod rygorem</w:t>
            </w:r>
          </w:p>
          <w:p w14:paraId="71108CE6"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odpowiedzialności karnej za składanie fałszywych oświadczeń. Składający oświadczenie jest</w:t>
            </w:r>
          </w:p>
          <w:p w14:paraId="22FA5389"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obowiązany do zawarcia w nim klauzuli następującej treści: „Jestem świadomy</w:t>
            </w:r>
          </w:p>
          <w:p w14:paraId="78636B89"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odpowiedzialności karnej za złożenie fałszywego oświadczenia.”. Klauzula ta zastępuje</w:t>
            </w:r>
          </w:p>
          <w:p w14:paraId="19214C86"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pouczenie organu o odpowiedzialności karnej za składanie fałszywych oświadczeń.</w:t>
            </w:r>
          </w:p>
          <w:p w14:paraId="2D817DEF" w14:textId="77777777" w:rsidR="006C30AF" w:rsidRPr="006C30AF" w:rsidRDefault="006C30AF" w:rsidP="006C30AF">
            <w:pPr>
              <w:jc w:val="both"/>
              <w:rPr>
                <w:rFonts w:ascii="Times New Roman" w:hAnsi="Times New Roman" w:cs="Times New Roman"/>
                <w:sz w:val="20"/>
              </w:rPr>
            </w:pPr>
          </w:p>
          <w:p w14:paraId="5BC8F7B7"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Propozycja przepisu przejściowego:</w:t>
            </w:r>
          </w:p>
          <w:p w14:paraId="47D402AB"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1. Do obligacji wyemitowanych przed dniem wejścia w życie ustawy lub będących w procesie</w:t>
            </w:r>
          </w:p>
          <w:p w14:paraId="2B773622"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emisji w dniu wejścia w życie ustawy stosuje się przepisy dotychczasowe. Finansowanie</w:t>
            </w:r>
          </w:p>
          <w:p w14:paraId="1764924B"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działalności przez instytucję pożyczkową, na podstawie umów lub innych stosunków prawnych</w:t>
            </w:r>
          </w:p>
          <w:p w14:paraId="084CF5DB" w14:textId="77777777"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zawartych przed dniem wejścia w życie ustawy, odbywać się może na podstawie przepisów</w:t>
            </w:r>
          </w:p>
          <w:p w14:paraId="0B80854A" w14:textId="3824ED95" w:rsidR="006C30AF" w:rsidRPr="006C30AF" w:rsidRDefault="006C30AF" w:rsidP="006C30AF">
            <w:pPr>
              <w:jc w:val="both"/>
              <w:rPr>
                <w:rFonts w:ascii="Times New Roman" w:hAnsi="Times New Roman" w:cs="Times New Roman"/>
                <w:sz w:val="20"/>
              </w:rPr>
            </w:pPr>
            <w:r w:rsidRPr="006C30AF">
              <w:rPr>
                <w:rFonts w:ascii="Times New Roman" w:hAnsi="Times New Roman" w:cs="Times New Roman"/>
                <w:sz w:val="20"/>
              </w:rPr>
              <w:t>dotychczasowych</w:t>
            </w:r>
            <w:r>
              <w:rPr>
                <w:rFonts w:ascii="Times New Roman" w:hAnsi="Times New Roman" w:cs="Times New Roman"/>
                <w:sz w:val="20"/>
              </w:rPr>
              <w:t>”</w:t>
            </w:r>
          </w:p>
          <w:p w14:paraId="5C861A3C" w14:textId="77777777" w:rsidR="006C30AF" w:rsidRPr="006C30AF" w:rsidRDefault="006C30AF" w:rsidP="006C30AF">
            <w:pPr>
              <w:jc w:val="both"/>
              <w:rPr>
                <w:rFonts w:ascii="Times New Roman" w:hAnsi="Times New Roman" w:cs="Times New Roman"/>
                <w:sz w:val="20"/>
              </w:rPr>
            </w:pPr>
          </w:p>
          <w:p w14:paraId="1FA94C09" w14:textId="77777777" w:rsidR="006C30AF" w:rsidRPr="006C30AF" w:rsidRDefault="006C30AF" w:rsidP="006C30AF">
            <w:pPr>
              <w:jc w:val="both"/>
              <w:rPr>
                <w:rFonts w:ascii="Times New Roman" w:hAnsi="Times New Roman" w:cs="Times New Roman"/>
                <w:sz w:val="20"/>
              </w:rPr>
            </w:pPr>
          </w:p>
          <w:p w14:paraId="1B4338BD" w14:textId="77777777" w:rsidR="006C30AF" w:rsidRDefault="006C30AF" w:rsidP="004A28E0">
            <w:pPr>
              <w:jc w:val="both"/>
              <w:rPr>
                <w:rFonts w:ascii="Times New Roman" w:hAnsi="Times New Roman" w:cs="Times New Roman"/>
                <w:sz w:val="20"/>
              </w:rPr>
            </w:pPr>
          </w:p>
          <w:p w14:paraId="3A161E32" w14:textId="6672B5C2" w:rsidR="00E50D22" w:rsidRPr="00FF4480" w:rsidRDefault="00E50D22" w:rsidP="004A28E0">
            <w:pPr>
              <w:jc w:val="both"/>
              <w:rPr>
                <w:rFonts w:ascii="Times New Roman" w:hAnsi="Times New Roman" w:cs="Times New Roman"/>
                <w:sz w:val="20"/>
              </w:rPr>
            </w:pPr>
          </w:p>
        </w:tc>
      </w:tr>
      <w:tr w:rsidR="005B70BA" w:rsidRPr="00FF4480" w14:paraId="1E84D86A" w14:textId="77777777" w:rsidTr="00517157">
        <w:trPr>
          <w:trHeight w:val="356"/>
          <w:jc w:val="center"/>
        </w:trPr>
        <w:tc>
          <w:tcPr>
            <w:tcW w:w="594" w:type="dxa"/>
          </w:tcPr>
          <w:p w14:paraId="4649D1F4" w14:textId="77777777" w:rsidR="005B70BA" w:rsidRPr="00FF4480" w:rsidRDefault="005B70B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19084580" w14:textId="27E1AD66" w:rsidR="005B70BA" w:rsidRPr="00FF4480" w:rsidRDefault="00DD1A52" w:rsidP="004A28E0">
            <w:pPr>
              <w:jc w:val="both"/>
              <w:rPr>
                <w:rFonts w:ascii="Times New Roman" w:hAnsi="Times New Roman" w:cs="Times New Roman"/>
                <w:sz w:val="20"/>
              </w:rPr>
            </w:pPr>
            <w:r w:rsidRPr="00DD1A52">
              <w:rPr>
                <w:rFonts w:ascii="Times New Roman" w:hAnsi="Times New Roman" w:cs="Times New Roman"/>
                <w:sz w:val="20"/>
              </w:rPr>
              <w:t>Art. 108 ust. 3 pkt 1</w:t>
            </w:r>
          </w:p>
        </w:tc>
        <w:tc>
          <w:tcPr>
            <w:tcW w:w="2832" w:type="dxa"/>
            <w:vAlign w:val="center"/>
          </w:tcPr>
          <w:p w14:paraId="6D5EFA64" w14:textId="34EC180F" w:rsidR="005B70BA" w:rsidRPr="00E200A5" w:rsidRDefault="005B70BA" w:rsidP="00E200A5">
            <w:pPr>
              <w:jc w:val="center"/>
              <w:rPr>
                <w:rFonts w:ascii="Times New Roman" w:hAnsi="Times New Roman" w:cs="Times New Roman"/>
                <w:sz w:val="20"/>
              </w:rPr>
            </w:pPr>
            <w:r w:rsidRPr="005B70BA">
              <w:rPr>
                <w:rFonts w:ascii="Times New Roman" w:hAnsi="Times New Roman" w:cs="Times New Roman"/>
                <w:sz w:val="20"/>
              </w:rPr>
              <w:t>Konfederacja Lewiatan</w:t>
            </w:r>
          </w:p>
        </w:tc>
        <w:tc>
          <w:tcPr>
            <w:tcW w:w="8467" w:type="dxa"/>
            <w:vAlign w:val="center"/>
          </w:tcPr>
          <w:p w14:paraId="6FB8C5B0" w14:textId="177AD0C6" w:rsidR="005B70BA" w:rsidRPr="00FF4480" w:rsidRDefault="00DD1A52" w:rsidP="004A28E0">
            <w:pPr>
              <w:jc w:val="both"/>
              <w:rPr>
                <w:rFonts w:ascii="Times New Roman" w:hAnsi="Times New Roman" w:cs="Times New Roman"/>
                <w:sz w:val="20"/>
              </w:rPr>
            </w:pPr>
            <w:r w:rsidRPr="00DD1A52">
              <w:rPr>
                <w:rFonts w:ascii="Times New Roman" w:hAnsi="Times New Roman" w:cs="Times New Roman"/>
                <w:sz w:val="20"/>
              </w:rPr>
              <w:t>Należy dodać możliwość złożenia oświadczenia o niekaralności przez osoby związane z pośrednikiem kredytowym tak jak jest to możliwe dla kredytodawców w art. 87 ust. 4 pkt 1</w:t>
            </w:r>
            <w:r>
              <w:rPr>
                <w:rFonts w:ascii="Times New Roman" w:hAnsi="Times New Roman" w:cs="Times New Roman"/>
                <w:sz w:val="20"/>
              </w:rPr>
              <w:t>.</w:t>
            </w:r>
          </w:p>
        </w:tc>
      </w:tr>
      <w:tr w:rsidR="005B70BA" w:rsidRPr="00FF4480" w14:paraId="7CCC3B93" w14:textId="77777777" w:rsidTr="00517157">
        <w:trPr>
          <w:trHeight w:val="356"/>
          <w:jc w:val="center"/>
        </w:trPr>
        <w:tc>
          <w:tcPr>
            <w:tcW w:w="594" w:type="dxa"/>
          </w:tcPr>
          <w:p w14:paraId="696F2E80" w14:textId="77777777" w:rsidR="005B70BA" w:rsidRPr="00FF4480" w:rsidRDefault="005B70BA"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6957D617" w14:textId="3457977F" w:rsidR="005B70BA" w:rsidRPr="00FF4480" w:rsidRDefault="005140E1" w:rsidP="004A28E0">
            <w:pPr>
              <w:jc w:val="both"/>
              <w:rPr>
                <w:rFonts w:ascii="Times New Roman" w:hAnsi="Times New Roman" w:cs="Times New Roman"/>
                <w:sz w:val="20"/>
              </w:rPr>
            </w:pPr>
            <w:r w:rsidRPr="005140E1">
              <w:rPr>
                <w:rFonts w:ascii="Times New Roman" w:hAnsi="Times New Roman" w:cs="Times New Roman"/>
                <w:sz w:val="20"/>
              </w:rPr>
              <w:t>Art. 111 ust. 2 pkt 2 i 4</w:t>
            </w:r>
          </w:p>
        </w:tc>
        <w:tc>
          <w:tcPr>
            <w:tcW w:w="2832" w:type="dxa"/>
            <w:vAlign w:val="center"/>
          </w:tcPr>
          <w:p w14:paraId="69BD1847" w14:textId="3FAE1670" w:rsidR="005B70BA" w:rsidRPr="00E200A5" w:rsidRDefault="005B70BA" w:rsidP="00E200A5">
            <w:pPr>
              <w:jc w:val="center"/>
              <w:rPr>
                <w:rFonts w:ascii="Times New Roman" w:hAnsi="Times New Roman" w:cs="Times New Roman"/>
                <w:sz w:val="20"/>
              </w:rPr>
            </w:pPr>
            <w:r w:rsidRPr="005B70BA">
              <w:rPr>
                <w:rFonts w:ascii="Times New Roman" w:hAnsi="Times New Roman" w:cs="Times New Roman"/>
                <w:sz w:val="20"/>
              </w:rPr>
              <w:t>Konfederacja Lewiatan</w:t>
            </w:r>
          </w:p>
        </w:tc>
        <w:tc>
          <w:tcPr>
            <w:tcW w:w="8467" w:type="dxa"/>
            <w:vAlign w:val="center"/>
          </w:tcPr>
          <w:p w14:paraId="7378B680" w14:textId="75049FE9" w:rsidR="00DD1A52" w:rsidRDefault="00DD1A52" w:rsidP="004A28E0">
            <w:pPr>
              <w:jc w:val="both"/>
              <w:rPr>
                <w:rFonts w:ascii="Times New Roman" w:hAnsi="Times New Roman" w:cs="Times New Roman"/>
                <w:sz w:val="20"/>
              </w:rPr>
            </w:pPr>
            <w:r>
              <w:rPr>
                <w:rFonts w:ascii="Times New Roman" w:hAnsi="Times New Roman" w:cs="Times New Roman"/>
                <w:sz w:val="20"/>
              </w:rPr>
              <w:t xml:space="preserve"> </w:t>
            </w:r>
          </w:p>
          <w:p w14:paraId="0D10C9FD" w14:textId="67DDA8A0" w:rsidR="00DD1A52" w:rsidRDefault="00DD1A52" w:rsidP="00DD1A52">
            <w:pPr>
              <w:pStyle w:val="Akapitzlist"/>
              <w:widowControl w:val="0"/>
              <w:numPr>
                <w:ilvl w:val="0"/>
                <w:numId w:val="26"/>
              </w:numPr>
              <w:pBdr>
                <w:top w:val="nil"/>
                <w:left w:val="nil"/>
                <w:bottom w:val="nil"/>
                <w:right w:val="nil"/>
                <w:between w:val="nil"/>
              </w:pBdr>
              <w:jc w:val="both"/>
              <w:rPr>
                <w:rFonts w:ascii="Times New Roman" w:hAnsi="Times New Roman" w:cs="Times New Roman"/>
                <w:sz w:val="20"/>
              </w:rPr>
            </w:pPr>
            <w:r>
              <w:rPr>
                <w:rFonts w:ascii="Times New Roman" w:hAnsi="Times New Roman" w:cs="Times New Roman"/>
                <w:sz w:val="20"/>
              </w:rPr>
              <w:t xml:space="preserve">Względem pkt 2 który </w:t>
            </w:r>
            <w:r w:rsidRPr="00DD1A52">
              <w:rPr>
                <w:rFonts w:ascii="Times New Roman" w:hAnsi="Times New Roman" w:cs="Times New Roman"/>
                <w:sz w:val="20"/>
              </w:rPr>
              <w:t>dotyczy kary nałożonej na członka zarządu</w:t>
            </w:r>
            <w:r>
              <w:rPr>
                <w:rFonts w:ascii="Times New Roman" w:hAnsi="Times New Roman" w:cs="Times New Roman"/>
                <w:sz w:val="20"/>
              </w:rPr>
              <w:t xml:space="preserve"> –</w:t>
            </w:r>
            <w:r w:rsidRPr="00DD1A52">
              <w:rPr>
                <w:rFonts w:ascii="Times New Roman" w:hAnsi="Times New Roman" w:cs="Times New Roman"/>
                <w:sz w:val="20"/>
              </w:rPr>
              <w:t xml:space="preserve"> </w:t>
            </w:r>
            <w:r>
              <w:rPr>
                <w:rFonts w:ascii="Times New Roman" w:hAnsi="Times New Roman" w:cs="Times New Roman"/>
                <w:sz w:val="20"/>
              </w:rPr>
              <w:t xml:space="preserve">zrozumiałe </w:t>
            </w:r>
            <w:proofErr w:type="gramStart"/>
            <w:r>
              <w:rPr>
                <w:rFonts w:ascii="Times New Roman" w:hAnsi="Times New Roman" w:cs="Times New Roman"/>
                <w:sz w:val="20"/>
              </w:rPr>
              <w:t>jest</w:t>
            </w:r>
            <w:proofErr w:type="gramEnd"/>
            <w:r>
              <w:rPr>
                <w:rFonts w:ascii="Times New Roman" w:hAnsi="Times New Roman" w:cs="Times New Roman"/>
                <w:sz w:val="20"/>
              </w:rPr>
              <w:t xml:space="preserve"> </w:t>
            </w:r>
            <w:r w:rsidRPr="00DD1A52">
              <w:rPr>
                <w:rFonts w:ascii="Times New Roman" w:hAnsi="Times New Roman" w:cs="Times New Roman"/>
                <w:sz w:val="20"/>
              </w:rPr>
              <w:t>że taki członek powinien zostać odwołany</w:t>
            </w:r>
            <w:r>
              <w:rPr>
                <w:rFonts w:ascii="Times New Roman" w:hAnsi="Times New Roman" w:cs="Times New Roman"/>
                <w:sz w:val="20"/>
              </w:rPr>
              <w:t xml:space="preserve"> jednak k</w:t>
            </w:r>
            <w:r w:rsidRPr="00DD1A52">
              <w:rPr>
                <w:rFonts w:ascii="Times New Roman" w:hAnsi="Times New Roman" w:cs="Times New Roman"/>
                <w:sz w:val="20"/>
              </w:rPr>
              <w:t>onsekwencją nie powinno być wykreślenie pośrednika z rejestru.</w:t>
            </w:r>
            <w:r>
              <w:rPr>
                <w:rFonts w:ascii="Times New Roman" w:hAnsi="Times New Roman" w:cs="Times New Roman"/>
                <w:sz w:val="20"/>
              </w:rPr>
              <w:t xml:space="preserve"> Zagadnienie to poddajemy pod rozwagę co do proporcjonalności. </w:t>
            </w:r>
          </w:p>
          <w:p w14:paraId="2960910C" w14:textId="3AAE2BA6" w:rsidR="00DD1A52" w:rsidRPr="00DD1A52" w:rsidRDefault="00DD1A52" w:rsidP="00DD1A52">
            <w:pPr>
              <w:pStyle w:val="Akapitzlist"/>
              <w:widowControl w:val="0"/>
              <w:numPr>
                <w:ilvl w:val="0"/>
                <w:numId w:val="26"/>
              </w:numPr>
              <w:pBdr>
                <w:top w:val="nil"/>
                <w:left w:val="nil"/>
                <w:bottom w:val="nil"/>
                <w:right w:val="nil"/>
                <w:between w:val="nil"/>
              </w:pBdr>
              <w:jc w:val="both"/>
              <w:rPr>
                <w:rFonts w:ascii="Times New Roman" w:hAnsi="Times New Roman" w:cs="Times New Roman"/>
                <w:sz w:val="20"/>
              </w:rPr>
            </w:pPr>
            <w:r w:rsidRPr="00DD1A52">
              <w:rPr>
                <w:rFonts w:ascii="Times New Roman" w:hAnsi="Times New Roman" w:cs="Times New Roman"/>
                <w:sz w:val="20"/>
              </w:rPr>
              <w:t xml:space="preserve">Względem pkt </w:t>
            </w:r>
            <w:r>
              <w:rPr>
                <w:rFonts w:ascii="Times New Roman" w:hAnsi="Times New Roman" w:cs="Times New Roman"/>
                <w:sz w:val="20"/>
              </w:rPr>
              <w:t xml:space="preserve">4 </w:t>
            </w:r>
            <w:r w:rsidR="005140E1">
              <w:rPr>
                <w:rFonts w:ascii="Times New Roman" w:hAnsi="Times New Roman" w:cs="Times New Roman"/>
                <w:sz w:val="20"/>
              </w:rPr>
              <w:t>–</w:t>
            </w:r>
            <w:r>
              <w:rPr>
                <w:rFonts w:ascii="Times New Roman" w:hAnsi="Times New Roman" w:cs="Times New Roman"/>
                <w:sz w:val="20"/>
              </w:rPr>
              <w:t xml:space="preserve"> </w:t>
            </w:r>
            <w:r w:rsidR="005140E1">
              <w:rPr>
                <w:rFonts w:ascii="Times New Roman" w:hAnsi="Times New Roman" w:cs="Times New Roman"/>
                <w:sz w:val="20"/>
              </w:rPr>
              <w:t>konstrukcja jest możliwie najogólniejsza, trudno określić jej zakres, a w dodatku n</w:t>
            </w:r>
            <w:r w:rsidR="005140E1" w:rsidRPr="005140E1">
              <w:rPr>
                <w:rFonts w:ascii="Times New Roman" w:hAnsi="Times New Roman" w:cs="Times New Roman"/>
                <w:sz w:val="20"/>
              </w:rPr>
              <w:t>aruszeni</w:t>
            </w:r>
            <w:r w:rsidR="005140E1">
              <w:rPr>
                <w:rFonts w:ascii="Times New Roman" w:hAnsi="Times New Roman" w:cs="Times New Roman"/>
                <w:sz w:val="20"/>
              </w:rPr>
              <w:t>e</w:t>
            </w:r>
            <w:r w:rsidR="005140E1" w:rsidRPr="005140E1">
              <w:rPr>
                <w:rFonts w:ascii="Times New Roman" w:hAnsi="Times New Roman" w:cs="Times New Roman"/>
                <w:sz w:val="20"/>
              </w:rPr>
              <w:t xml:space="preserve"> konkretnych przepisów, uzasadniających wykreślenie pośrednika z rejestru, są już wymienione w pkt 1</w:t>
            </w:r>
            <w:r w:rsidR="005140E1">
              <w:rPr>
                <w:rFonts w:ascii="Times New Roman" w:hAnsi="Times New Roman" w:cs="Times New Roman"/>
                <w:sz w:val="20"/>
              </w:rPr>
              <w:t xml:space="preserve">. Takie sformułowanie nie odpowiada wymogom precyzji sankcji i powinno być usunięte. </w:t>
            </w:r>
          </w:p>
          <w:p w14:paraId="16595987" w14:textId="46CD40B8" w:rsidR="00DD1A52" w:rsidRPr="00FF4480" w:rsidRDefault="00DD1A52" w:rsidP="00DD1A52">
            <w:pPr>
              <w:widowControl w:val="0"/>
              <w:pBdr>
                <w:top w:val="nil"/>
                <w:left w:val="nil"/>
                <w:bottom w:val="nil"/>
                <w:right w:val="nil"/>
                <w:between w:val="nil"/>
              </w:pBdr>
              <w:jc w:val="both"/>
              <w:rPr>
                <w:rFonts w:ascii="Times New Roman" w:hAnsi="Times New Roman" w:cs="Times New Roman"/>
                <w:sz w:val="20"/>
              </w:rPr>
            </w:pPr>
          </w:p>
        </w:tc>
      </w:tr>
      <w:tr w:rsidR="00744565" w:rsidRPr="00FF4480" w14:paraId="33464C8F" w14:textId="77777777" w:rsidTr="00517157">
        <w:trPr>
          <w:trHeight w:val="356"/>
          <w:jc w:val="center"/>
        </w:trPr>
        <w:tc>
          <w:tcPr>
            <w:tcW w:w="594" w:type="dxa"/>
          </w:tcPr>
          <w:p w14:paraId="42D2E765" w14:textId="77777777" w:rsidR="00744565" w:rsidRPr="00FF4480" w:rsidRDefault="0074456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3003D9F8" w14:textId="1CC9BFC7" w:rsidR="00744565" w:rsidRPr="00FF4480" w:rsidRDefault="005140E1" w:rsidP="004A28E0">
            <w:pPr>
              <w:jc w:val="both"/>
              <w:rPr>
                <w:rFonts w:ascii="Times New Roman" w:hAnsi="Times New Roman" w:cs="Times New Roman"/>
                <w:sz w:val="20"/>
              </w:rPr>
            </w:pPr>
            <w:r>
              <w:rPr>
                <w:rFonts w:ascii="Times New Roman" w:hAnsi="Times New Roman" w:cs="Times New Roman"/>
                <w:sz w:val="20"/>
              </w:rPr>
              <w:t xml:space="preserve">Art. 112 </w:t>
            </w:r>
          </w:p>
        </w:tc>
        <w:tc>
          <w:tcPr>
            <w:tcW w:w="2832" w:type="dxa"/>
            <w:vAlign w:val="center"/>
          </w:tcPr>
          <w:p w14:paraId="1ECDD57D" w14:textId="6A678A37" w:rsidR="00744565" w:rsidRPr="005B70BA" w:rsidRDefault="005140E1" w:rsidP="00E200A5">
            <w:pPr>
              <w:jc w:val="center"/>
              <w:rPr>
                <w:rFonts w:ascii="Times New Roman" w:hAnsi="Times New Roman" w:cs="Times New Roman"/>
                <w:sz w:val="20"/>
              </w:rPr>
            </w:pPr>
            <w:r>
              <w:rPr>
                <w:rFonts w:ascii="Times New Roman" w:hAnsi="Times New Roman" w:cs="Times New Roman"/>
                <w:sz w:val="20"/>
              </w:rPr>
              <w:t xml:space="preserve">Konfederacja Lewiatan </w:t>
            </w:r>
          </w:p>
        </w:tc>
        <w:tc>
          <w:tcPr>
            <w:tcW w:w="8467" w:type="dxa"/>
            <w:vAlign w:val="center"/>
          </w:tcPr>
          <w:p w14:paraId="22FCEED8" w14:textId="5C639E92" w:rsidR="00733E51" w:rsidRDefault="005140E1" w:rsidP="00733E51">
            <w:pPr>
              <w:pStyle w:val="Akapitzlist"/>
              <w:numPr>
                <w:ilvl w:val="0"/>
                <w:numId w:val="29"/>
              </w:numPr>
              <w:jc w:val="both"/>
              <w:rPr>
                <w:rFonts w:ascii="Times New Roman" w:hAnsi="Times New Roman" w:cs="Times New Roman"/>
                <w:sz w:val="20"/>
              </w:rPr>
            </w:pPr>
            <w:r w:rsidRPr="003E6FC2">
              <w:rPr>
                <w:rFonts w:ascii="Times New Roman" w:hAnsi="Times New Roman" w:cs="Times New Roman"/>
                <w:sz w:val="20"/>
              </w:rPr>
              <w:t xml:space="preserve">Przepis wykracza poza ramy harmonizacji. Artykuł 32 dyrektywy 2023/2225nakazuje kredytodawcom działać “uczciwie, rzetelnie, w sposób przejrzysty i profesjonalnie oraz </w:t>
            </w:r>
            <w:r w:rsidRPr="003E6FC2">
              <w:rPr>
                <w:rFonts w:ascii="Times New Roman" w:hAnsi="Times New Roman" w:cs="Times New Roman"/>
                <w:sz w:val="20"/>
              </w:rPr>
              <w:lastRenderedPageBreak/>
              <w:t>uwzględniali prawa i interesy konsumentów podczas prowadzenia dowolnej z poniższych działalności”.</w:t>
            </w:r>
            <w:r w:rsidR="003E6FC2">
              <w:rPr>
                <w:rFonts w:ascii="Times New Roman" w:hAnsi="Times New Roman" w:cs="Times New Roman"/>
                <w:sz w:val="20"/>
              </w:rPr>
              <w:t xml:space="preserve"> </w:t>
            </w:r>
            <w:r w:rsidRPr="003E6FC2">
              <w:rPr>
                <w:rFonts w:ascii="Times New Roman" w:hAnsi="Times New Roman" w:cs="Times New Roman"/>
                <w:sz w:val="20"/>
              </w:rPr>
              <w:t>Te obowiązki wynikają już w polskim prawie z art. 354 oraz art. 56 Kodeksu cywilnego, które w stosunkach zobowiązaniowych nakazują działać zgodnie z zasadami współżycia społecznego i dobrymi obyczajami. Dyrektywa nie przewiduje obowiązku stosowania jakichkolwiek dobrych praktyk. Obowiązkowość stosowania dobrych praktyk jest sprzeczna z ideą “dobrych praktyk”. Dobre praktyki z definicji mają charakter dobrowolny, a nie wynikający z obowiązku prawnego. Poza tym, dobre praktyki są zazwyczaj tworzone przez organizacje, które zrzeszają różne rodzaje podmiotów.</w:t>
            </w:r>
          </w:p>
          <w:p w14:paraId="74C73987" w14:textId="77777777" w:rsidR="00733E51" w:rsidRDefault="00733E51" w:rsidP="00733E51">
            <w:pPr>
              <w:pStyle w:val="Akapitzlist"/>
              <w:ind w:left="1080"/>
              <w:jc w:val="both"/>
              <w:rPr>
                <w:rFonts w:ascii="Times New Roman" w:hAnsi="Times New Roman" w:cs="Times New Roman"/>
                <w:sz w:val="20"/>
              </w:rPr>
            </w:pPr>
          </w:p>
          <w:p w14:paraId="5983E072" w14:textId="443AE8AC" w:rsidR="003E6FC2" w:rsidRPr="00733E51" w:rsidRDefault="003E6FC2" w:rsidP="00733E51">
            <w:pPr>
              <w:pStyle w:val="Akapitzlist"/>
              <w:numPr>
                <w:ilvl w:val="0"/>
                <w:numId w:val="29"/>
              </w:numPr>
              <w:jc w:val="both"/>
              <w:rPr>
                <w:rFonts w:ascii="Times New Roman" w:hAnsi="Times New Roman" w:cs="Times New Roman"/>
                <w:sz w:val="20"/>
              </w:rPr>
            </w:pPr>
            <w:r w:rsidRPr="00733E51">
              <w:rPr>
                <w:rFonts w:ascii="Times New Roman" w:hAnsi="Times New Roman" w:cs="Times New Roman"/>
                <w:sz w:val="20"/>
              </w:rPr>
              <w:t xml:space="preserve">Nie jest jasnym jak należy rozumieć projektowany art. 112 ust 4: czy chodzi o osoby, które wykonują jakiekolwiek czynności w zakresie oceny ryzyka (czyli np. zbierają dane, oceniają </w:t>
            </w:r>
            <w:proofErr w:type="gramStart"/>
            <w:r w:rsidRPr="00733E51">
              <w:rPr>
                <w:rFonts w:ascii="Times New Roman" w:hAnsi="Times New Roman" w:cs="Times New Roman"/>
                <w:sz w:val="20"/>
              </w:rPr>
              <w:t>otoczenie  jak</w:t>
            </w:r>
            <w:proofErr w:type="gramEnd"/>
            <w:r w:rsidRPr="00733E51">
              <w:rPr>
                <w:rFonts w:ascii="Times New Roman" w:hAnsi="Times New Roman" w:cs="Times New Roman"/>
                <w:sz w:val="20"/>
              </w:rPr>
              <w:t xml:space="preserve"> doradcy i konsultanci), czy też wyłącznie osoby, które finalnie oceniają te dane i zdolność kredytową (jak pracownicy credit risk)? Art. 32 ust. 3 dyrektywy 2023/2225 wskazuje ,,Państwa członkowskie zapewniają, by przy ustalaniu i stosowaniu polityk wynagrodzeń wobec personelu odpowiedzialnego za ocenę zdolności kredytowej, kredytodawcy przestrzegali następujących zasad w sposób i w zakresie stosownym do ich wielkości, organizacji wewnętrznej oraz charakteru, skali i stopnia złożoności ich działalności […]” stąd regulacja powinna być ograniczona do pracowników, którzy taką ocenę faktycznie przeprowadzają i przekazują jej wynik</w:t>
            </w:r>
            <w:r w:rsidR="00087EC4" w:rsidRPr="00733E51">
              <w:rPr>
                <w:rFonts w:ascii="Times New Roman" w:hAnsi="Times New Roman" w:cs="Times New Roman"/>
                <w:sz w:val="20"/>
              </w:rPr>
              <w:t>.</w:t>
            </w:r>
          </w:p>
        </w:tc>
      </w:tr>
      <w:tr w:rsidR="00744565" w:rsidRPr="00FF4480" w14:paraId="2873A78D" w14:textId="77777777" w:rsidTr="00517157">
        <w:trPr>
          <w:trHeight w:val="356"/>
          <w:jc w:val="center"/>
        </w:trPr>
        <w:tc>
          <w:tcPr>
            <w:tcW w:w="594" w:type="dxa"/>
          </w:tcPr>
          <w:p w14:paraId="2AF3C6F1" w14:textId="77777777" w:rsidR="00744565" w:rsidRPr="00FF4480" w:rsidRDefault="0074456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6523DFD8" w14:textId="019369C8" w:rsidR="00744565" w:rsidRPr="00FF4480" w:rsidRDefault="00496C8F" w:rsidP="004A28E0">
            <w:pPr>
              <w:jc w:val="both"/>
              <w:rPr>
                <w:rFonts w:ascii="Times New Roman" w:hAnsi="Times New Roman" w:cs="Times New Roman"/>
                <w:sz w:val="20"/>
              </w:rPr>
            </w:pPr>
            <w:r w:rsidRPr="00496C8F">
              <w:rPr>
                <w:rFonts w:ascii="Times New Roman" w:hAnsi="Times New Roman" w:cs="Times New Roman"/>
                <w:sz w:val="20"/>
              </w:rPr>
              <w:t>Art. 117 ust. 1 pkt 5) oraz ust. 2</w:t>
            </w:r>
          </w:p>
        </w:tc>
        <w:tc>
          <w:tcPr>
            <w:tcW w:w="2832" w:type="dxa"/>
            <w:vAlign w:val="center"/>
          </w:tcPr>
          <w:p w14:paraId="2C4F4892" w14:textId="2ABFE9C9" w:rsidR="00744565" w:rsidRPr="005B70BA" w:rsidRDefault="00496C8F" w:rsidP="00E200A5">
            <w:pPr>
              <w:jc w:val="center"/>
              <w:rPr>
                <w:rFonts w:ascii="Times New Roman" w:hAnsi="Times New Roman" w:cs="Times New Roman"/>
                <w:sz w:val="20"/>
              </w:rPr>
            </w:pPr>
            <w:r>
              <w:rPr>
                <w:rFonts w:ascii="Times New Roman" w:hAnsi="Times New Roman" w:cs="Times New Roman"/>
                <w:sz w:val="20"/>
              </w:rPr>
              <w:t>Konfederacja Lewiatan</w:t>
            </w:r>
          </w:p>
        </w:tc>
        <w:tc>
          <w:tcPr>
            <w:tcW w:w="8467" w:type="dxa"/>
            <w:vAlign w:val="center"/>
          </w:tcPr>
          <w:p w14:paraId="0E37ACAF" w14:textId="786AD611" w:rsidR="00744565" w:rsidRDefault="00AE7FE6" w:rsidP="004A28E0">
            <w:pPr>
              <w:jc w:val="both"/>
              <w:rPr>
                <w:rFonts w:ascii="Times New Roman" w:hAnsi="Times New Roman" w:cs="Times New Roman"/>
                <w:sz w:val="20"/>
              </w:rPr>
            </w:pPr>
            <w:r w:rsidRPr="00AE7FE6">
              <w:rPr>
                <w:rFonts w:ascii="Times New Roman" w:hAnsi="Times New Roman" w:cs="Times New Roman"/>
                <w:sz w:val="20"/>
              </w:rPr>
              <w:t>Kwestie z tych przepisów mogą mieć bardzo negatywne konsekwencje dla instytucji pożyczkowej</w:t>
            </w:r>
            <w:r>
              <w:rPr>
                <w:rFonts w:ascii="Times New Roman" w:hAnsi="Times New Roman" w:cs="Times New Roman"/>
                <w:sz w:val="20"/>
              </w:rPr>
              <w:t xml:space="preserve"> w zakresie ochrony jej praw</w:t>
            </w:r>
            <w:r w:rsidRPr="00AE7FE6">
              <w:rPr>
                <w:rFonts w:ascii="Times New Roman" w:hAnsi="Times New Roman" w:cs="Times New Roman"/>
                <w:sz w:val="20"/>
              </w:rPr>
              <w:t>. Taka decyzja powinna podlegać ogólnemu trybowi</w:t>
            </w:r>
            <w:r>
              <w:rPr>
                <w:rFonts w:ascii="Times New Roman" w:hAnsi="Times New Roman" w:cs="Times New Roman"/>
                <w:sz w:val="20"/>
              </w:rPr>
              <w:t xml:space="preserve"> KPA</w:t>
            </w:r>
            <w:r w:rsidRPr="00AE7FE6">
              <w:rPr>
                <w:rFonts w:ascii="Times New Roman" w:hAnsi="Times New Roman" w:cs="Times New Roman"/>
                <w:sz w:val="20"/>
              </w:rPr>
              <w:t>, który daje możliwość nadania decyzji rygoru natychmiastowej wykonalności na zasadach tam określonych</w:t>
            </w:r>
            <w:r>
              <w:rPr>
                <w:rFonts w:ascii="Times New Roman" w:hAnsi="Times New Roman" w:cs="Times New Roman"/>
                <w:sz w:val="20"/>
              </w:rPr>
              <w:t>. Pozwoliłoby to na stosowną ochronę praw podmiotu</w:t>
            </w:r>
            <w:r w:rsidR="00496C8F">
              <w:rPr>
                <w:rFonts w:ascii="Times New Roman" w:hAnsi="Times New Roman" w:cs="Times New Roman"/>
                <w:sz w:val="20"/>
              </w:rPr>
              <w:t xml:space="preserve"> i większą równowagę pomiędzy nią, a </w:t>
            </w:r>
            <w:r w:rsidR="00496C8F" w:rsidRPr="00496C8F">
              <w:rPr>
                <w:rFonts w:ascii="Times New Roman" w:hAnsi="Times New Roman" w:cs="Times New Roman"/>
                <w:i/>
                <w:iCs/>
                <w:sz w:val="20"/>
              </w:rPr>
              <w:t>imperium</w:t>
            </w:r>
            <w:r w:rsidR="00496C8F">
              <w:rPr>
                <w:rFonts w:ascii="Times New Roman" w:hAnsi="Times New Roman" w:cs="Times New Roman"/>
                <w:sz w:val="20"/>
              </w:rPr>
              <w:t xml:space="preserve"> państwa. </w:t>
            </w:r>
          </w:p>
          <w:p w14:paraId="59E468EF" w14:textId="77777777" w:rsidR="00AE7FE6" w:rsidRDefault="00AE7FE6" w:rsidP="004A28E0">
            <w:pPr>
              <w:jc w:val="both"/>
              <w:rPr>
                <w:rFonts w:ascii="Times New Roman" w:hAnsi="Times New Roman" w:cs="Times New Roman"/>
                <w:sz w:val="20"/>
              </w:rPr>
            </w:pPr>
          </w:p>
          <w:p w14:paraId="789FE07A" w14:textId="320C4C4B" w:rsidR="00AE7FE6" w:rsidRPr="00FF4480" w:rsidRDefault="00AE7FE6" w:rsidP="004A28E0">
            <w:pPr>
              <w:jc w:val="both"/>
              <w:rPr>
                <w:rFonts w:ascii="Times New Roman" w:hAnsi="Times New Roman" w:cs="Times New Roman"/>
                <w:sz w:val="20"/>
              </w:rPr>
            </w:pPr>
            <w:r w:rsidRPr="00AE7FE6">
              <w:rPr>
                <w:rFonts w:ascii="Times New Roman" w:hAnsi="Times New Roman" w:cs="Times New Roman"/>
                <w:sz w:val="20"/>
              </w:rPr>
              <w:t>Postulujemy usunięcie rygoru natychmiastowej wykonalności decyzji, czyli usunięcie ust. 2 w całości lub przynajmniej w zakresie pkt 5) ust. 1.</w:t>
            </w:r>
          </w:p>
        </w:tc>
      </w:tr>
      <w:tr w:rsidR="00744565" w:rsidRPr="00FF4480" w14:paraId="0DE27DCC" w14:textId="77777777" w:rsidTr="00517157">
        <w:trPr>
          <w:trHeight w:val="356"/>
          <w:jc w:val="center"/>
        </w:trPr>
        <w:tc>
          <w:tcPr>
            <w:tcW w:w="594" w:type="dxa"/>
          </w:tcPr>
          <w:p w14:paraId="77EF902E" w14:textId="77777777" w:rsidR="00744565" w:rsidRPr="00FF4480" w:rsidRDefault="00744565"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3C7B2B40" w14:textId="4BCCD5D6" w:rsidR="00744565" w:rsidRPr="00FF4480" w:rsidRDefault="00496C8F" w:rsidP="004A28E0">
            <w:pPr>
              <w:jc w:val="both"/>
              <w:rPr>
                <w:rFonts w:ascii="Times New Roman" w:hAnsi="Times New Roman" w:cs="Times New Roman"/>
                <w:sz w:val="20"/>
              </w:rPr>
            </w:pPr>
            <w:r>
              <w:rPr>
                <w:rFonts w:ascii="Times New Roman" w:hAnsi="Times New Roman" w:cs="Times New Roman"/>
                <w:sz w:val="20"/>
              </w:rPr>
              <w:t>Art. 128</w:t>
            </w:r>
          </w:p>
        </w:tc>
        <w:tc>
          <w:tcPr>
            <w:tcW w:w="2832" w:type="dxa"/>
            <w:vAlign w:val="center"/>
          </w:tcPr>
          <w:p w14:paraId="5C36F783" w14:textId="66CB822F" w:rsidR="00744565" w:rsidRPr="005B70BA" w:rsidRDefault="00496C8F" w:rsidP="00E200A5">
            <w:pPr>
              <w:jc w:val="center"/>
              <w:rPr>
                <w:rFonts w:ascii="Times New Roman" w:hAnsi="Times New Roman" w:cs="Times New Roman"/>
                <w:sz w:val="20"/>
              </w:rPr>
            </w:pPr>
            <w:r>
              <w:rPr>
                <w:rFonts w:ascii="Times New Roman" w:hAnsi="Times New Roman" w:cs="Times New Roman"/>
                <w:sz w:val="20"/>
              </w:rPr>
              <w:t xml:space="preserve">Konfederacja Lewiatan </w:t>
            </w:r>
          </w:p>
        </w:tc>
        <w:tc>
          <w:tcPr>
            <w:tcW w:w="8467" w:type="dxa"/>
            <w:vAlign w:val="center"/>
          </w:tcPr>
          <w:p w14:paraId="43C23E72" w14:textId="35E84A6B" w:rsidR="00744565" w:rsidRPr="00FF4480" w:rsidRDefault="00496C8F" w:rsidP="004A28E0">
            <w:pPr>
              <w:jc w:val="both"/>
              <w:rPr>
                <w:rFonts w:ascii="Times New Roman" w:hAnsi="Times New Roman" w:cs="Times New Roman"/>
                <w:sz w:val="20"/>
              </w:rPr>
            </w:pPr>
            <w:r w:rsidRPr="00496C8F">
              <w:rPr>
                <w:rFonts w:ascii="Times New Roman" w:hAnsi="Times New Roman" w:cs="Times New Roman"/>
                <w:sz w:val="20"/>
              </w:rPr>
              <w:t xml:space="preserve">Nie jest zrozumiałe 10-krotne zwiększenie kary finansowej i o jedną trzecią wydłużenie okresu pozbawienia wolności dla kary wolnościowej w porównaniu do przepisów art. 59e obecnej ustawy o kredycie konsumenckim. W uzasadnieniu do ustawy nie </w:t>
            </w:r>
            <w:r>
              <w:rPr>
                <w:rFonts w:ascii="Times New Roman" w:hAnsi="Times New Roman" w:cs="Times New Roman"/>
                <w:sz w:val="20"/>
              </w:rPr>
              <w:t xml:space="preserve">tylko nie wykazano żadnego </w:t>
            </w:r>
            <w:proofErr w:type="gramStart"/>
            <w:r>
              <w:rPr>
                <w:rFonts w:ascii="Times New Roman" w:hAnsi="Times New Roman" w:cs="Times New Roman"/>
                <w:sz w:val="20"/>
              </w:rPr>
              <w:t>powodu</w:t>
            </w:r>
            <w:proofErr w:type="gramEnd"/>
            <w:r>
              <w:rPr>
                <w:rFonts w:ascii="Times New Roman" w:hAnsi="Times New Roman" w:cs="Times New Roman"/>
                <w:sz w:val="20"/>
              </w:rPr>
              <w:t xml:space="preserve"> lecz wręcz nie </w:t>
            </w:r>
            <w:r w:rsidRPr="00496C8F">
              <w:rPr>
                <w:rFonts w:ascii="Times New Roman" w:hAnsi="Times New Roman" w:cs="Times New Roman"/>
                <w:sz w:val="20"/>
              </w:rPr>
              <w:t>wskazano żadnego powodu podwyższenia kar w tak drastyczny sposób, w szczególności nie wskazano, że kary dotychczas obowiązujące nie spełniły swej funkcji.</w:t>
            </w:r>
          </w:p>
        </w:tc>
      </w:tr>
      <w:tr w:rsidR="005140E1" w:rsidRPr="00FF4480" w14:paraId="7E0E000C" w14:textId="77777777" w:rsidTr="00517157">
        <w:trPr>
          <w:trHeight w:val="356"/>
          <w:jc w:val="center"/>
        </w:trPr>
        <w:tc>
          <w:tcPr>
            <w:tcW w:w="594" w:type="dxa"/>
          </w:tcPr>
          <w:p w14:paraId="10B806DD" w14:textId="77777777" w:rsidR="005140E1" w:rsidRPr="00FF4480" w:rsidRDefault="005140E1"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7EEBFEEF" w14:textId="6CFA6669" w:rsidR="005140E1" w:rsidRPr="00FF4480" w:rsidRDefault="00496C8F" w:rsidP="004A28E0">
            <w:pPr>
              <w:jc w:val="both"/>
              <w:rPr>
                <w:rFonts w:ascii="Times New Roman" w:hAnsi="Times New Roman" w:cs="Times New Roman"/>
                <w:sz w:val="20"/>
              </w:rPr>
            </w:pPr>
            <w:r>
              <w:rPr>
                <w:rFonts w:ascii="Times New Roman" w:hAnsi="Times New Roman" w:cs="Times New Roman"/>
                <w:sz w:val="20"/>
              </w:rPr>
              <w:t>Art. 145</w:t>
            </w:r>
          </w:p>
        </w:tc>
        <w:tc>
          <w:tcPr>
            <w:tcW w:w="2832" w:type="dxa"/>
            <w:vAlign w:val="center"/>
          </w:tcPr>
          <w:p w14:paraId="3EA00EEF" w14:textId="64CBBE9B" w:rsidR="005140E1" w:rsidRPr="005B70BA" w:rsidRDefault="00FE7EA9" w:rsidP="00E200A5">
            <w:pPr>
              <w:jc w:val="center"/>
              <w:rPr>
                <w:rFonts w:ascii="Times New Roman" w:hAnsi="Times New Roman" w:cs="Times New Roman"/>
                <w:sz w:val="20"/>
              </w:rPr>
            </w:pPr>
            <w:r>
              <w:rPr>
                <w:rFonts w:ascii="Times New Roman" w:hAnsi="Times New Roman" w:cs="Times New Roman"/>
                <w:sz w:val="20"/>
              </w:rPr>
              <w:t>Konfederacja Lewiatan</w:t>
            </w:r>
          </w:p>
        </w:tc>
        <w:tc>
          <w:tcPr>
            <w:tcW w:w="8467" w:type="dxa"/>
            <w:vAlign w:val="center"/>
          </w:tcPr>
          <w:p w14:paraId="48F03E76" w14:textId="77777777" w:rsidR="00270D13" w:rsidRPr="00270D13" w:rsidRDefault="00270D13" w:rsidP="00270D13">
            <w:pPr>
              <w:jc w:val="both"/>
              <w:rPr>
                <w:rFonts w:ascii="Times New Roman" w:hAnsi="Times New Roman" w:cs="Times New Roman"/>
                <w:sz w:val="20"/>
              </w:rPr>
            </w:pPr>
            <w:r w:rsidRPr="00270D13">
              <w:rPr>
                <w:rFonts w:ascii="Times New Roman" w:hAnsi="Times New Roman" w:cs="Times New Roman"/>
                <w:sz w:val="20"/>
              </w:rPr>
              <w:t xml:space="preserve">Kredytodawcy oferują różnorodne kanały komunikacji z klientami, umożliwiające zawarcie lub zainicjowanie umów o usługi finansowe, takie jak telefon, aplikacja mobilna, strona internetowa czy nawet zawarcie umowy poza lokalem przedsiębiorstwa. Często zdarza się, że proces zawarcia umowy rozpoczyna się w jednym kanale, a kończy w innym. W związku z tym należy postulować, aby przepisy wdrażające dyrektywę odległościową wyraźnie wskazywały, że przedsiębiorca nie musi zapewniać możliwości złożenia oświadczenia o odstąpieniu od umowy zawartej na odległość w ramach tego samego „procesu”, co zawarcie umowy, pod warunkiem że (i) procedura skorzystania z prawa do </w:t>
            </w:r>
            <w:r w:rsidRPr="00270D13">
              <w:rPr>
                <w:rFonts w:ascii="Times New Roman" w:hAnsi="Times New Roman" w:cs="Times New Roman"/>
                <w:sz w:val="20"/>
              </w:rPr>
              <w:lastRenderedPageBreak/>
              <w:t>odstąpienia jest równie łatwa, jak procedura zawarcia umowy na odległość (zgodnie z motywem 36 dyrektywy odległościowej) (ii) zostaną zachowane przepisy art. 11a dyrektywy 2011/83/UE, jeśli umowa jest zawierana za pośrednictwem interfejsu internetowego.</w:t>
            </w:r>
          </w:p>
          <w:p w14:paraId="439919DF" w14:textId="77777777" w:rsidR="00270D13" w:rsidRPr="00270D13" w:rsidRDefault="00270D13" w:rsidP="00270D13">
            <w:pPr>
              <w:jc w:val="both"/>
              <w:rPr>
                <w:rFonts w:ascii="Times New Roman" w:hAnsi="Times New Roman" w:cs="Times New Roman"/>
                <w:sz w:val="20"/>
              </w:rPr>
            </w:pPr>
            <w:r w:rsidRPr="00270D13">
              <w:rPr>
                <w:rFonts w:ascii="Times New Roman" w:hAnsi="Times New Roman" w:cs="Times New Roman"/>
                <w:sz w:val="20"/>
              </w:rPr>
              <w:t>Zgodnie z art. 16a ust. 1 lit. s) dyrektywy 2011/83/UE, przedsiębiorca ma obowiązek na etapie przedkontraktowym jasno i zrozumiale udzielić konsumentowi praktycznych instrukcji i procedur dotyczących wykonywania prawa do odstąpienia od umowy. Wymaga to wskazania m.in. numeru telefonu, adresu e-mail przedsiębiorcy oraz szczegółowych danych dotyczących innych środków komunikacji, istotnych do wysłania oświadczenia o odstąpieniu od umowy. W przypadku umów o świadczenie usług finansowych zawieranych za pośrednictwem interfejsu internetowego, konieczne jest również podanie informacji o istnieniu i umiejscowieniu funkcji odstąpienia od umowy, o której mowa w art. 11a dyrektywy 2011/83/UE.</w:t>
            </w:r>
          </w:p>
          <w:p w14:paraId="1D69C742" w14:textId="5AB55DB8" w:rsidR="005140E1" w:rsidRPr="00FF4480" w:rsidRDefault="00270D13" w:rsidP="00270D13">
            <w:pPr>
              <w:jc w:val="both"/>
              <w:rPr>
                <w:rFonts w:ascii="Times New Roman" w:hAnsi="Times New Roman" w:cs="Times New Roman"/>
                <w:sz w:val="20"/>
              </w:rPr>
            </w:pPr>
            <w:r w:rsidRPr="00270D13">
              <w:rPr>
                <w:rFonts w:ascii="Times New Roman" w:hAnsi="Times New Roman" w:cs="Times New Roman"/>
                <w:sz w:val="20"/>
              </w:rPr>
              <w:t xml:space="preserve">Przepisy te, jak również art. 16b ust. 3 dyrektywy 2011/83/UE, który stanowi o przekazaniu przedsiębiorcy przez konsumenta informacji o wykonaniu prawa do odstąpienia od umowy, nie nakładają na przedsiębiorcę wymogu, aby odstąpienie od umowy musiało być zapewnione dokładnie w ramach tego samego procesu, co jej zawarcie. Ważne jest, aby procedura odstąpienia była równie łatwa jak zawarcie umowy na odległość. Konsument powinien mieć możliwość odstąpienia od umowy tak samo łatwo, jak ją zawarł. </w:t>
            </w:r>
            <w:proofErr w:type="gramStart"/>
            <w:r w:rsidRPr="00270D13">
              <w:rPr>
                <w:rFonts w:ascii="Times New Roman" w:hAnsi="Times New Roman" w:cs="Times New Roman"/>
                <w:sz w:val="20"/>
              </w:rPr>
              <w:t>Kluczowa  jest</w:t>
            </w:r>
            <w:proofErr w:type="gramEnd"/>
            <w:r w:rsidRPr="00270D13">
              <w:rPr>
                <w:rFonts w:ascii="Times New Roman" w:hAnsi="Times New Roman" w:cs="Times New Roman"/>
                <w:sz w:val="20"/>
              </w:rPr>
              <w:t xml:space="preserve"> funkcjonalna wykładnia zgodna z duchem motywu 36 dyrektywy odległościowej. Na przykład, w przypadku umowy zawartej w kanale internetowym, wystarczające byłoby umożliwienie konsumentowi odstąpienia od umowy za pośrednictwem innego, łatwo dostępnego kanału zdalnego, takiego jak aplikacja mobilna, e-mail czy kontakt telefoniczny.</w:t>
            </w:r>
          </w:p>
        </w:tc>
      </w:tr>
      <w:tr w:rsidR="005140E1" w:rsidRPr="00FF4480" w14:paraId="48BAA067" w14:textId="77777777" w:rsidTr="00517157">
        <w:trPr>
          <w:trHeight w:val="356"/>
          <w:jc w:val="center"/>
        </w:trPr>
        <w:tc>
          <w:tcPr>
            <w:tcW w:w="594" w:type="dxa"/>
          </w:tcPr>
          <w:p w14:paraId="7A24BABA" w14:textId="77777777" w:rsidR="005140E1" w:rsidRPr="00FF4480" w:rsidRDefault="005140E1"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6E1C60D6" w14:textId="5D37B01F" w:rsidR="005140E1" w:rsidRPr="00FF4480" w:rsidRDefault="00496C8F" w:rsidP="004A28E0">
            <w:pPr>
              <w:jc w:val="both"/>
              <w:rPr>
                <w:rFonts w:ascii="Times New Roman" w:hAnsi="Times New Roman" w:cs="Times New Roman"/>
                <w:sz w:val="20"/>
              </w:rPr>
            </w:pPr>
            <w:r>
              <w:rPr>
                <w:rFonts w:ascii="Times New Roman" w:hAnsi="Times New Roman" w:cs="Times New Roman"/>
                <w:sz w:val="20"/>
              </w:rPr>
              <w:t>Art. 146</w:t>
            </w:r>
          </w:p>
        </w:tc>
        <w:tc>
          <w:tcPr>
            <w:tcW w:w="2832" w:type="dxa"/>
            <w:vAlign w:val="center"/>
          </w:tcPr>
          <w:p w14:paraId="51BBE7E7" w14:textId="72B2BD69" w:rsidR="005140E1" w:rsidRPr="005B70BA" w:rsidRDefault="00FE7EA9" w:rsidP="00E200A5">
            <w:pPr>
              <w:jc w:val="center"/>
              <w:rPr>
                <w:rFonts w:ascii="Times New Roman" w:hAnsi="Times New Roman" w:cs="Times New Roman"/>
                <w:sz w:val="20"/>
              </w:rPr>
            </w:pPr>
            <w:r>
              <w:rPr>
                <w:rFonts w:ascii="Times New Roman" w:hAnsi="Times New Roman" w:cs="Times New Roman"/>
                <w:sz w:val="20"/>
              </w:rPr>
              <w:t xml:space="preserve">Konfederacja Lewiatan </w:t>
            </w:r>
          </w:p>
        </w:tc>
        <w:tc>
          <w:tcPr>
            <w:tcW w:w="8467" w:type="dxa"/>
            <w:vAlign w:val="center"/>
          </w:tcPr>
          <w:p w14:paraId="7AB3C027" w14:textId="77777777" w:rsidR="005140E1" w:rsidRDefault="0072450C" w:rsidP="004A28E0">
            <w:pPr>
              <w:jc w:val="both"/>
              <w:rPr>
                <w:rFonts w:ascii="Times New Roman" w:hAnsi="Times New Roman" w:cs="Times New Roman"/>
                <w:sz w:val="20"/>
              </w:rPr>
            </w:pPr>
            <w:r>
              <w:rPr>
                <w:rFonts w:ascii="Times New Roman" w:hAnsi="Times New Roman" w:cs="Times New Roman"/>
                <w:sz w:val="20"/>
              </w:rPr>
              <w:t>Zmiany w zakresie poradnictwa zadłużeniowego</w:t>
            </w:r>
            <w:r w:rsidRPr="0072450C">
              <w:rPr>
                <w:rFonts w:ascii="Times New Roman" w:hAnsi="Times New Roman" w:cs="Times New Roman"/>
                <w:sz w:val="20"/>
              </w:rPr>
              <w:t xml:space="preserve"> (szczególe wymogi wprowadzane w tym zakresie do prawodawstwa krajowego) powinny zostać poparte szerszą dyskusją, z uwzględnieniem różnych stron - w </w:t>
            </w:r>
            <w:proofErr w:type="gramStart"/>
            <w:r w:rsidRPr="0072450C">
              <w:rPr>
                <w:rFonts w:ascii="Times New Roman" w:hAnsi="Times New Roman" w:cs="Times New Roman"/>
                <w:sz w:val="20"/>
              </w:rPr>
              <w:t>szczególności</w:t>
            </w:r>
            <w:proofErr w:type="gramEnd"/>
            <w:r w:rsidRPr="0072450C">
              <w:rPr>
                <w:rFonts w:ascii="Times New Roman" w:hAnsi="Times New Roman" w:cs="Times New Roman"/>
                <w:sz w:val="20"/>
              </w:rPr>
              <w:t xml:space="preserve"> gdy chodzi o działalność podmiotów doradczych, sposób ich funkcjonowania, </w:t>
            </w:r>
            <w:r>
              <w:rPr>
                <w:rFonts w:ascii="Times New Roman" w:hAnsi="Times New Roman" w:cs="Times New Roman"/>
                <w:sz w:val="20"/>
              </w:rPr>
              <w:t xml:space="preserve">efektywność i sprawność poradnictwa zadłużeniowego, </w:t>
            </w:r>
            <w:r w:rsidRPr="0072450C">
              <w:rPr>
                <w:rFonts w:ascii="Times New Roman" w:hAnsi="Times New Roman" w:cs="Times New Roman"/>
                <w:sz w:val="20"/>
              </w:rPr>
              <w:t>pokrywani</w:t>
            </w:r>
            <w:r>
              <w:rPr>
                <w:rFonts w:ascii="Times New Roman" w:hAnsi="Times New Roman" w:cs="Times New Roman"/>
                <w:sz w:val="20"/>
              </w:rPr>
              <w:t>e</w:t>
            </w:r>
            <w:r w:rsidRPr="0072450C">
              <w:rPr>
                <w:rFonts w:ascii="Times New Roman" w:hAnsi="Times New Roman" w:cs="Times New Roman"/>
                <w:sz w:val="20"/>
              </w:rPr>
              <w:t xml:space="preserve"> kosztów działalności przez uczestników rynku finansowego.</w:t>
            </w:r>
          </w:p>
          <w:p w14:paraId="060B271C" w14:textId="77777777" w:rsidR="0072450C" w:rsidRDefault="0072450C" w:rsidP="004A28E0">
            <w:pPr>
              <w:jc w:val="both"/>
              <w:rPr>
                <w:rFonts w:ascii="Times New Roman" w:hAnsi="Times New Roman" w:cs="Times New Roman"/>
                <w:sz w:val="20"/>
              </w:rPr>
            </w:pPr>
          </w:p>
          <w:p w14:paraId="645BC734" w14:textId="77777777" w:rsidR="0072450C" w:rsidRDefault="0072450C" w:rsidP="004A28E0">
            <w:pPr>
              <w:jc w:val="both"/>
              <w:rPr>
                <w:rFonts w:ascii="Times New Roman" w:hAnsi="Times New Roman" w:cs="Times New Roman"/>
                <w:sz w:val="20"/>
              </w:rPr>
            </w:pPr>
            <w:r>
              <w:rPr>
                <w:rFonts w:ascii="Times New Roman" w:hAnsi="Times New Roman" w:cs="Times New Roman"/>
                <w:sz w:val="20"/>
              </w:rPr>
              <w:t xml:space="preserve">Poradnictwo zadłużeniowe jest jednym z elementów systemu stabilności finansowej (szerzej, makroekonomicznej). W zakresie projektowanych rozwiązań można przedstawić przykładowe poniższe zarzuty o charakterze ogólnym, jak i szczególnym: </w:t>
            </w:r>
          </w:p>
          <w:p w14:paraId="51B9D13D" w14:textId="77777777" w:rsidR="0072450C" w:rsidRDefault="0072450C" w:rsidP="0072450C">
            <w:pPr>
              <w:pStyle w:val="Akapitzlist"/>
              <w:numPr>
                <w:ilvl w:val="0"/>
                <w:numId w:val="27"/>
              </w:numPr>
              <w:jc w:val="both"/>
              <w:rPr>
                <w:rFonts w:ascii="Times New Roman" w:hAnsi="Times New Roman" w:cs="Times New Roman"/>
                <w:sz w:val="20"/>
              </w:rPr>
            </w:pPr>
            <w:r>
              <w:rPr>
                <w:rFonts w:ascii="Times New Roman" w:hAnsi="Times New Roman" w:cs="Times New Roman"/>
                <w:sz w:val="20"/>
              </w:rPr>
              <w:t xml:space="preserve">Przykładowe zarzuty o charakterze ogólnym: </w:t>
            </w:r>
            <w:r w:rsidR="002658A1" w:rsidRPr="002658A1">
              <w:rPr>
                <w:rFonts w:ascii="Times New Roman" w:hAnsi="Times New Roman" w:cs="Times New Roman"/>
                <w:sz w:val="20"/>
              </w:rPr>
              <w:t>wątpliwości co do efektywności poradnictwa zadłużeniowego wobec np. ograniczonych zdolności Rzecznika do stworzenia sieci poradnictwa czy wymogów kwalifikacyjnych w zakresie kompetencji personelu zarówno Rzecznika, jak i podmiotów doradczych.</w:t>
            </w:r>
          </w:p>
          <w:p w14:paraId="7C3E0B87" w14:textId="77777777" w:rsidR="00DD351A" w:rsidRDefault="00DD351A" w:rsidP="0072450C">
            <w:pPr>
              <w:pStyle w:val="Akapitzlist"/>
              <w:numPr>
                <w:ilvl w:val="0"/>
                <w:numId w:val="27"/>
              </w:numPr>
              <w:jc w:val="both"/>
              <w:rPr>
                <w:rFonts w:ascii="Times New Roman" w:hAnsi="Times New Roman" w:cs="Times New Roman"/>
                <w:sz w:val="20"/>
              </w:rPr>
            </w:pPr>
            <w:r>
              <w:rPr>
                <w:rFonts w:ascii="Times New Roman" w:hAnsi="Times New Roman" w:cs="Times New Roman"/>
                <w:sz w:val="20"/>
              </w:rPr>
              <w:t xml:space="preserve">Przykładowe zarzuty o charakterze szczegółowym: </w:t>
            </w:r>
          </w:p>
          <w:p w14:paraId="0EC15EC7" w14:textId="77777777" w:rsidR="00DD351A" w:rsidRDefault="00DD351A" w:rsidP="00DD351A">
            <w:pPr>
              <w:pStyle w:val="Akapitzlist"/>
              <w:numPr>
                <w:ilvl w:val="0"/>
                <w:numId w:val="28"/>
              </w:numPr>
              <w:jc w:val="both"/>
              <w:rPr>
                <w:rFonts w:ascii="Times New Roman" w:hAnsi="Times New Roman" w:cs="Times New Roman"/>
                <w:sz w:val="20"/>
              </w:rPr>
            </w:pPr>
            <w:r>
              <w:rPr>
                <w:rFonts w:ascii="Times New Roman" w:hAnsi="Times New Roman" w:cs="Times New Roman"/>
                <w:sz w:val="20"/>
              </w:rPr>
              <w:t>Art. 34a ust. 6 - z</w:t>
            </w:r>
            <w:r w:rsidRPr="00DD351A">
              <w:rPr>
                <w:rFonts w:ascii="Times New Roman" w:hAnsi="Times New Roman" w:cs="Times New Roman"/>
                <w:sz w:val="20"/>
              </w:rPr>
              <w:t xml:space="preserve"> przepisu nie wynika jakie są realne zabezpieczenia potrzeb </w:t>
            </w:r>
            <w:proofErr w:type="gramStart"/>
            <w:r w:rsidRPr="00DD351A">
              <w:rPr>
                <w:rFonts w:ascii="Times New Roman" w:hAnsi="Times New Roman" w:cs="Times New Roman"/>
                <w:sz w:val="20"/>
              </w:rPr>
              <w:t>psychologicznych</w:t>
            </w:r>
            <w:proofErr w:type="gramEnd"/>
            <w:r w:rsidRPr="00DD351A">
              <w:rPr>
                <w:rFonts w:ascii="Times New Roman" w:hAnsi="Times New Roman" w:cs="Times New Roman"/>
                <w:sz w:val="20"/>
              </w:rPr>
              <w:t xml:space="preserve"> </w:t>
            </w:r>
            <w:r>
              <w:rPr>
                <w:rFonts w:ascii="Times New Roman" w:hAnsi="Times New Roman" w:cs="Times New Roman"/>
                <w:sz w:val="20"/>
              </w:rPr>
              <w:t>kiedy</w:t>
            </w:r>
            <w:r w:rsidRPr="00DD351A">
              <w:rPr>
                <w:rFonts w:ascii="Times New Roman" w:hAnsi="Times New Roman" w:cs="Times New Roman"/>
                <w:sz w:val="20"/>
              </w:rPr>
              <w:t xml:space="preserve"> pomoc udzielana jest dopiero po otrzymaniu kompletnego wniosku i to w terminie 60 dni? Dodatkowo zwrot „rozsądnych założeń dotyczących ryzyka dla konsumenta” może być interpretowany przez każdego inaczej i prowadzić de facto do udzielenia nieodpowiedniej pomocy.</w:t>
            </w:r>
          </w:p>
          <w:p w14:paraId="723C18F8" w14:textId="77777777" w:rsidR="00DD351A" w:rsidRDefault="00DD351A" w:rsidP="00DD351A">
            <w:pPr>
              <w:pStyle w:val="Akapitzlist"/>
              <w:numPr>
                <w:ilvl w:val="0"/>
                <w:numId w:val="28"/>
              </w:numPr>
              <w:jc w:val="both"/>
              <w:rPr>
                <w:rFonts w:ascii="Times New Roman" w:hAnsi="Times New Roman" w:cs="Times New Roman"/>
                <w:sz w:val="20"/>
              </w:rPr>
            </w:pPr>
            <w:r>
              <w:rPr>
                <w:rFonts w:ascii="Times New Roman" w:hAnsi="Times New Roman" w:cs="Times New Roman"/>
                <w:sz w:val="20"/>
              </w:rPr>
              <w:lastRenderedPageBreak/>
              <w:t>Art. 34b - b</w:t>
            </w:r>
            <w:r w:rsidRPr="00DD351A">
              <w:rPr>
                <w:rFonts w:ascii="Times New Roman" w:hAnsi="Times New Roman" w:cs="Times New Roman"/>
                <w:sz w:val="20"/>
              </w:rPr>
              <w:t>rak określenia zakresu przekazywanych informacji - często są to informacje osobiste i dostęp do nich powinien być raczej ograniczony.</w:t>
            </w:r>
          </w:p>
          <w:p w14:paraId="30BC73FE" w14:textId="616420F1" w:rsidR="00DD351A" w:rsidRPr="0072450C" w:rsidRDefault="00DD351A" w:rsidP="00DD351A">
            <w:pPr>
              <w:pStyle w:val="Akapitzlist"/>
              <w:numPr>
                <w:ilvl w:val="0"/>
                <w:numId w:val="28"/>
              </w:numPr>
              <w:jc w:val="both"/>
              <w:rPr>
                <w:rFonts w:ascii="Times New Roman" w:hAnsi="Times New Roman" w:cs="Times New Roman"/>
                <w:sz w:val="20"/>
              </w:rPr>
            </w:pPr>
            <w:r>
              <w:rPr>
                <w:rFonts w:ascii="Times New Roman" w:hAnsi="Times New Roman" w:cs="Times New Roman"/>
                <w:sz w:val="20"/>
              </w:rPr>
              <w:t>Art. 34d - b</w:t>
            </w:r>
            <w:r w:rsidRPr="00DD351A">
              <w:rPr>
                <w:rFonts w:ascii="Times New Roman" w:hAnsi="Times New Roman" w:cs="Times New Roman"/>
                <w:sz w:val="20"/>
              </w:rPr>
              <w:t>rak określenia zakresu przekazywanych informacji - często są to informacje osobiste i dostęp do nich powinien być raczej ograniczony.</w:t>
            </w:r>
          </w:p>
        </w:tc>
      </w:tr>
      <w:tr w:rsidR="005140E1" w:rsidRPr="00FF4480" w14:paraId="6BA4969D" w14:textId="77777777" w:rsidTr="00517157">
        <w:trPr>
          <w:trHeight w:val="356"/>
          <w:jc w:val="center"/>
        </w:trPr>
        <w:tc>
          <w:tcPr>
            <w:tcW w:w="594" w:type="dxa"/>
          </w:tcPr>
          <w:p w14:paraId="79E7D095" w14:textId="77777777" w:rsidR="005140E1" w:rsidRPr="00FF4480" w:rsidRDefault="005140E1" w:rsidP="004A28E0">
            <w:pPr>
              <w:pStyle w:val="Akapitzlist"/>
              <w:numPr>
                <w:ilvl w:val="0"/>
                <w:numId w:val="9"/>
              </w:numPr>
              <w:spacing w:before="120"/>
              <w:ind w:left="36" w:right="-534" w:firstLine="0"/>
              <w:jc w:val="center"/>
              <w:rPr>
                <w:rFonts w:ascii="Times New Roman" w:hAnsi="Times New Roman" w:cs="Times New Roman"/>
                <w:b/>
                <w:sz w:val="20"/>
              </w:rPr>
            </w:pPr>
          </w:p>
        </w:tc>
        <w:tc>
          <w:tcPr>
            <w:tcW w:w="2101" w:type="dxa"/>
            <w:vAlign w:val="center"/>
          </w:tcPr>
          <w:p w14:paraId="4D39EB86" w14:textId="46F1D107" w:rsidR="005140E1" w:rsidRPr="00FF4480" w:rsidRDefault="00496C8F" w:rsidP="004A28E0">
            <w:pPr>
              <w:jc w:val="both"/>
              <w:rPr>
                <w:rFonts w:ascii="Times New Roman" w:hAnsi="Times New Roman" w:cs="Times New Roman"/>
                <w:sz w:val="20"/>
              </w:rPr>
            </w:pPr>
            <w:r>
              <w:rPr>
                <w:rFonts w:ascii="Times New Roman" w:hAnsi="Times New Roman" w:cs="Times New Roman"/>
                <w:sz w:val="20"/>
              </w:rPr>
              <w:t xml:space="preserve">Art. 156 </w:t>
            </w:r>
          </w:p>
        </w:tc>
        <w:tc>
          <w:tcPr>
            <w:tcW w:w="2832" w:type="dxa"/>
            <w:vAlign w:val="center"/>
          </w:tcPr>
          <w:p w14:paraId="420D5636" w14:textId="1185B8CB" w:rsidR="005140E1" w:rsidRPr="005B70BA" w:rsidRDefault="00FE7EA9" w:rsidP="00E200A5">
            <w:pPr>
              <w:jc w:val="center"/>
              <w:rPr>
                <w:rFonts w:ascii="Times New Roman" w:hAnsi="Times New Roman" w:cs="Times New Roman"/>
                <w:sz w:val="20"/>
              </w:rPr>
            </w:pPr>
            <w:r>
              <w:rPr>
                <w:rFonts w:ascii="Times New Roman" w:hAnsi="Times New Roman" w:cs="Times New Roman"/>
                <w:sz w:val="20"/>
              </w:rPr>
              <w:t xml:space="preserve">Konfederacja Lewiatan </w:t>
            </w:r>
          </w:p>
        </w:tc>
        <w:tc>
          <w:tcPr>
            <w:tcW w:w="8467" w:type="dxa"/>
            <w:vAlign w:val="center"/>
          </w:tcPr>
          <w:p w14:paraId="44F6BC26" w14:textId="77777777" w:rsidR="00496C8F" w:rsidRPr="00496C8F" w:rsidRDefault="00496C8F" w:rsidP="00496C8F">
            <w:pPr>
              <w:jc w:val="both"/>
              <w:rPr>
                <w:rFonts w:ascii="Times New Roman" w:hAnsi="Times New Roman" w:cs="Times New Roman"/>
                <w:sz w:val="20"/>
              </w:rPr>
            </w:pPr>
            <w:r w:rsidRPr="00496C8F">
              <w:rPr>
                <w:rFonts w:ascii="Times New Roman" w:hAnsi="Times New Roman" w:cs="Times New Roman"/>
                <w:sz w:val="20"/>
              </w:rPr>
              <w:t xml:space="preserve">Rekomendujemy dodanie ust. </w:t>
            </w:r>
            <w:proofErr w:type="gramStart"/>
            <w:r w:rsidRPr="00496C8F">
              <w:rPr>
                <w:rFonts w:ascii="Times New Roman" w:hAnsi="Times New Roman" w:cs="Times New Roman"/>
                <w:sz w:val="20"/>
              </w:rPr>
              <w:t>dotyczącego  umów</w:t>
            </w:r>
            <w:proofErr w:type="gramEnd"/>
            <w:r w:rsidRPr="00496C8F">
              <w:rPr>
                <w:rFonts w:ascii="Times New Roman" w:hAnsi="Times New Roman" w:cs="Times New Roman"/>
                <w:sz w:val="20"/>
              </w:rPr>
              <w:t xml:space="preserve"> o charakterze ciągłym i zawieranych w ich ramach umów o kredyt konsumencki w kontekście konieczności weryfikacji w rejestrze zastrzeżeń PESEL:</w:t>
            </w:r>
          </w:p>
          <w:p w14:paraId="14B129FD" w14:textId="489CDF5C" w:rsidR="005140E1" w:rsidRPr="00FF4480" w:rsidRDefault="00496C8F" w:rsidP="00496C8F">
            <w:pPr>
              <w:jc w:val="both"/>
              <w:rPr>
                <w:rFonts w:ascii="Times New Roman" w:hAnsi="Times New Roman" w:cs="Times New Roman"/>
                <w:sz w:val="20"/>
              </w:rPr>
            </w:pPr>
            <w:r w:rsidRPr="00496C8F">
              <w:rPr>
                <w:rFonts w:ascii="Times New Roman" w:hAnsi="Times New Roman" w:cs="Times New Roman"/>
                <w:sz w:val="20"/>
              </w:rPr>
              <w:t xml:space="preserve">“Do umów o kredyt konsumenckich zawieranych na podstawie </w:t>
            </w:r>
            <w:proofErr w:type="gramStart"/>
            <w:r w:rsidRPr="00496C8F">
              <w:rPr>
                <w:rFonts w:ascii="Times New Roman" w:hAnsi="Times New Roman" w:cs="Times New Roman"/>
                <w:sz w:val="20"/>
              </w:rPr>
              <w:t>umów  o</w:t>
            </w:r>
            <w:proofErr w:type="gramEnd"/>
            <w:r w:rsidRPr="00496C8F">
              <w:rPr>
                <w:rFonts w:ascii="Times New Roman" w:hAnsi="Times New Roman" w:cs="Times New Roman"/>
                <w:sz w:val="20"/>
              </w:rPr>
              <w:t xml:space="preserve"> charakterze ciągłym regulujących zasady jego udzielania, o których mowa art. 9b ustawy z dnia 12 maja 2011 r. o kredycie konsumenckim, które zostały zawarte do dnia wejścia w życie niniejszej ustawy  zastosowanie znajduje art. 19 ustawy z dnia 7 lipca 2023 r. o zmianie niektórych ustaw w celu ograniczania niektórych skutków kradzieży tożsamości.”</w:t>
            </w:r>
          </w:p>
        </w:tc>
      </w:tr>
    </w:tbl>
    <w:p w14:paraId="0DFF3E5A" w14:textId="77777777" w:rsidR="00674BCF" w:rsidRPr="00FF4480" w:rsidRDefault="00674BCF">
      <w:pPr>
        <w:rPr>
          <w:rFonts w:ascii="Times New Roman" w:hAnsi="Times New Roman" w:cs="Times New Roman"/>
        </w:rPr>
      </w:pPr>
    </w:p>
    <w:p w14:paraId="1407A949" w14:textId="77777777" w:rsidR="009A3389" w:rsidRPr="00FF4480" w:rsidRDefault="009A3389" w:rsidP="00443077">
      <w:pPr>
        <w:spacing w:line="240" w:lineRule="auto"/>
        <w:rPr>
          <w:rFonts w:ascii="Times New Roman" w:hAnsi="Times New Roman" w:cs="Times New Roman"/>
        </w:rPr>
      </w:pPr>
    </w:p>
    <w:sectPr w:rsidR="009A3389" w:rsidRPr="00FF4480" w:rsidSect="001F3A0F">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4D5D6" w14:textId="77777777" w:rsidR="00071108" w:rsidRDefault="00071108" w:rsidP="00735AA5">
      <w:pPr>
        <w:spacing w:after="0" w:line="240" w:lineRule="auto"/>
      </w:pPr>
      <w:r>
        <w:separator/>
      </w:r>
    </w:p>
  </w:endnote>
  <w:endnote w:type="continuationSeparator" w:id="0">
    <w:p w14:paraId="702DEA43" w14:textId="77777777" w:rsidR="00071108" w:rsidRDefault="00071108" w:rsidP="00735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451909213"/>
      <w:docPartObj>
        <w:docPartGallery w:val="Page Numbers (Bottom of Page)"/>
        <w:docPartUnique/>
      </w:docPartObj>
    </w:sdtPr>
    <w:sdtEndPr/>
    <w:sdtContent>
      <w:p w14:paraId="30A54A08" w14:textId="77777777" w:rsidR="000B346A" w:rsidRPr="000B346A" w:rsidRDefault="000B346A">
        <w:pPr>
          <w:pStyle w:val="Stopka"/>
          <w:jc w:val="right"/>
          <w:rPr>
            <w:rFonts w:ascii="Arial" w:hAnsi="Arial" w:cs="Arial"/>
            <w:sz w:val="18"/>
          </w:rPr>
        </w:pPr>
        <w:r w:rsidRPr="000B346A">
          <w:rPr>
            <w:rFonts w:ascii="Arial" w:hAnsi="Arial" w:cs="Arial"/>
            <w:sz w:val="18"/>
          </w:rPr>
          <w:t xml:space="preserve">Strona | </w:t>
        </w:r>
        <w:r w:rsidRPr="000B346A">
          <w:rPr>
            <w:rFonts w:ascii="Arial" w:hAnsi="Arial" w:cs="Arial"/>
            <w:sz w:val="18"/>
          </w:rPr>
          <w:fldChar w:fldCharType="begin"/>
        </w:r>
        <w:r w:rsidRPr="000B346A">
          <w:rPr>
            <w:rFonts w:ascii="Arial" w:hAnsi="Arial" w:cs="Arial"/>
            <w:sz w:val="18"/>
          </w:rPr>
          <w:instrText>PAGE   \* MERGEFORMAT</w:instrText>
        </w:r>
        <w:r w:rsidRPr="000B346A">
          <w:rPr>
            <w:rFonts w:ascii="Arial" w:hAnsi="Arial" w:cs="Arial"/>
            <w:sz w:val="18"/>
          </w:rPr>
          <w:fldChar w:fldCharType="separate"/>
        </w:r>
        <w:r w:rsidR="00C63F1E">
          <w:rPr>
            <w:rFonts w:ascii="Arial" w:hAnsi="Arial" w:cs="Arial"/>
            <w:noProof/>
            <w:sz w:val="18"/>
          </w:rPr>
          <w:t>1</w:t>
        </w:r>
        <w:r w:rsidRPr="000B346A">
          <w:rPr>
            <w:rFonts w:ascii="Arial" w:hAnsi="Arial" w:cs="Arial"/>
            <w:sz w:val="18"/>
          </w:rPr>
          <w:fldChar w:fldCharType="end"/>
        </w:r>
        <w:r w:rsidRPr="000B346A">
          <w:rPr>
            <w:rFonts w:ascii="Arial" w:hAnsi="Arial" w:cs="Arial"/>
            <w:sz w:val="18"/>
          </w:rPr>
          <w:t xml:space="preserve"> </w:t>
        </w:r>
      </w:p>
    </w:sdtContent>
  </w:sdt>
  <w:p w14:paraId="5015E082" w14:textId="77777777" w:rsidR="00735AA5" w:rsidRDefault="00735A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ED166" w14:textId="77777777" w:rsidR="00071108" w:rsidRDefault="00071108" w:rsidP="00735AA5">
      <w:pPr>
        <w:spacing w:after="0" w:line="240" w:lineRule="auto"/>
      </w:pPr>
      <w:r>
        <w:separator/>
      </w:r>
    </w:p>
  </w:footnote>
  <w:footnote w:type="continuationSeparator" w:id="0">
    <w:p w14:paraId="5EDE7CEB" w14:textId="77777777" w:rsidR="00071108" w:rsidRDefault="00071108" w:rsidP="00735AA5">
      <w:pPr>
        <w:spacing w:after="0" w:line="240" w:lineRule="auto"/>
      </w:pPr>
      <w:r>
        <w:continuationSeparator/>
      </w:r>
    </w:p>
  </w:footnote>
  <w:footnote w:id="1">
    <w:p w14:paraId="2FD53804" w14:textId="6D63414B" w:rsidR="000A478D" w:rsidRDefault="000A478D">
      <w:pPr>
        <w:pStyle w:val="Tekstprzypisudolnego"/>
      </w:pPr>
      <w:r>
        <w:rPr>
          <w:rStyle w:val="Odwoanieprzypisudolnego"/>
        </w:rPr>
        <w:footnoteRef/>
      </w:r>
      <w:r>
        <w:t xml:space="preserve"> </w:t>
      </w:r>
      <w:bookmarkStart w:id="0" w:name="_Hlk204711456"/>
      <w:r w:rsidRPr="000A478D">
        <w:t>J. Maśnicki, Metody transpozycji dyrektyw, EPS 2017, nr 8, s. 4-13. https://sip.lex.pl/?_gl=1*1uhycal*_ga*MTUyNTM5NTMwOC4xNzUzODA5NTg3*_ga_TRNTF04CYF*czE3NTM4MDk1ODckbzEkZzEkdDE3NTM4MDk5MjIkajQwJGwwJGgw#/publication/151318317 (dostęp: 2025-07-29</w:t>
      </w:r>
      <w:r>
        <w:t xml:space="preserve">). </w:t>
      </w:r>
      <w:bookmarkEnd w:id="0"/>
    </w:p>
  </w:footnote>
  <w:footnote w:id="2">
    <w:p w14:paraId="26D5DD46" w14:textId="74595DB0" w:rsidR="00693B2A" w:rsidRDefault="00693B2A">
      <w:pPr>
        <w:pStyle w:val="Tekstprzypisudolnego"/>
      </w:pPr>
      <w:r>
        <w:rPr>
          <w:rStyle w:val="Odwoanieprzypisudolnego"/>
        </w:rPr>
        <w:footnoteRef/>
      </w:r>
      <w:r>
        <w:t xml:space="preserve"> Więcej w przedmiocie transpozycji przez przerobienie: </w:t>
      </w:r>
      <w:r w:rsidRPr="00693B2A">
        <w:t>J. Maśnicki, Metody transpozycji dyrektyw, EPS 2017, nr 8, s. 4-13. https://sip.lex.pl/?_gl=1*1uhycal*_ga*MTUyNTM5NTMwOC4xNzUzODA5NTg3*_ga_TRNTF04CYF*czE3NTM4MDk1ODckbzEkZzEkdDE3NTM4MDk5MjIkajQwJGwwJGgw#/publication/151318317 (dostęp: 2025-07-29).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4422"/>
    <w:multiLevelType w:val="hybridMultilevel"/>
    <w:tmpl w:val="1EA4D2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DB3421"/>
    <w:multiLevelType w:val="hybridMultilevel"/>
    <w:tmpl w:val="3F3C306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1F69C8"/>
    <w:multiLevelType w:val="hybridMultilevel"/>
    <w:tmpl w:val="401489DE"/>
    <w:lvl w:ilvl="0" w:tplc="2408B1AA">
      <w:start w:val="2"/>
      <w:numFmt w:val="decimal"/>
      <w:lvlText w:val="%1)"/>
      <w:lvlJc w:val="left"/>
      <w:pPr>
        <w:ind w:left="696" w:hanging="360"/>
      </w:pPr>
      <w:rPr>
        <w:rFonts w:hint="default"/>
      </w:r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3" w15:restartNumberingAfterBreak="0">
    <w:nsid w:val="1784680D"/>
    <w:multiLevelType w:val="hybridMultilevel"/>
    <w:tmpl w:val="2BB4171C"/>
    <w:lvl w:ilvl="0" w:tplc="BAE6A3BE">
      <w:start w:val="1"/>
      <w:numFmt w:val="decimal"/>
      <w:lvlText w:val="%1)"/>
      <w:lvlJc w:val="left"/>
      <w:pPr>
        <w:ind w:left="336" w:hanging="360"/>
      </w:pPr>
      <w:rPr>
        <w:rFonts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4" w15:restartNumberingAfterBreak="0">
    <w:nsid w:val="1C936BA2"/>
    <w:multiLevelType w:val="hybridMultilevel"/>
    <w:tmpl w:val="0504C93C"/>
    <w:lvl w:ilvl="0" w:tplc="C2ACBC2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484FB4"/>
    <w:multiLevelType w:val="hybridMultilevel"/>
    <w:tmpl w:val="49FA505E"/>
    <w:lvl w:ilvl="0" w:tplc="8B141934">
      <w:start w:val="20"/>
      <w:numFmt w:val="decimal"/>
      <w:lvlText w:val="%1"/>
      <w:lvlJc w:val="left"/>
      <w:pPr>
        <w:ind w:left="696" w:hanging="360"/>
      </w:pPr>
      <w:rPr>
        <w:rFonts w:hint="default"/>
      </w:r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6" w15:restartNumberingAfterBreak="0">
    <w:nsid w:val="2FA1707F"/>
    <w:multiLevelType w:val="hybridMultilevel"/>
    <w:tmpl w:val="3DB22936"/>
    <w:lvl w:ilvl="0" w:tplc="84E261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884FC8"/>
    <w:multiLevelType w:val="hybridMultilevel"/>
    <w:tmpl w:val="20A4B5B2"/>
    <w:lvl w:ilvl="0" w:tplc="9E301B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56C1CEE"/>
    <w:multiLevelType w:val="hybridMultilevel"/>
    <w:tmpl w:val="3F24C888"/>
    <w:lvl w:ilvl="0" w:tplc="98047B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58564AB"/>
    <w:multiLevelType w:val="hybridMultilevel"/>
    <w:tmpl w:val="A5842196"/>
    <w:lvl w:ilvl="0" w:tplc="7B64329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816873"/>
    <w:multiLevelType w:val="hybridMultilevel"/>
    <w:tmpl w:val="33826F0C"/>
    <w:lvl w:ilvl="0" w:tplc="D528175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3C08CD"/>
    <w:multiLevelType w:val="hybridMultilevel"/>
    <w:tmpl w:val="33AA8E86"/>
    <w:lvl w:ilvl="0" w:tplc="EA6495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1805FA"/>
    <w:multiLevelType w:val="hybridMultilevel"/>
    <w:tmpl w:val="46F8EAB0"/>
    <w:lvl w:ilvl="0" w:tplc="A0008E5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3A0B11"/>
    <w:multiLevelType w:val="hybridMultilevel"/>
    <w:tmpl w:val="79E85152"/>
    <w:lvl w:ilvl="0" w:tplc="50A06A4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39349E"/>
    <w:multiLevelType w:val="hybridMultilevel"/>
    <w:tmpl w:val="A50A0CCC"/>
    <w:lvl w:ilvl="0" w:tplc="6C4E68C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CD435BF"/>
    <w:multiLevelType w:val="hybridMultilevel"/>
    <w:tmpl w:val="767A8864"/>
    <w:lvl w:ilvl="0" w:tplc="8312AD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07325C"/>
    <w:multiLevelType w:val="hybridMultilevel"/>
    <w:tmpl w:val="04D843CE"/>
    <w:lvl w:ilvl="0" w:tplc="7ADA87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DD0B2E"/>
    <w:multiLevelType w:val="hybridMultilevel"/>
    <w:tmpl w:val="222087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7D67CCA"/>
    <w:multiLevelType w:val="hybridMultilevel"/>
    <w:tmpl w:val="F6060770"/>
    <w:lvl w:ilvl="0" w:tplc="8756912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1566145"/>
    <w:multiLevelType w:val="hybridMultilevel"/>
    <w:tmpl w:val="D64EFD7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 w15:restartNumberingAfterBreak="0">
    <w:nsid w:val="620E7721"/>
    <w:multiLevelType w:val="hybridMultilevel"/>
    <w:tmpl w:val="6694C8A2"/>
    <w:lvl w:ilvl="0" w:tplc="7610A23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96D3980"/>
    <w:multiLevelType w:val="hybridMultilevel"/>
    <w:tmpl w:val="1FB25D26"/>
    <w:lvl w:ilvl="0" w:tplc="A300E8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7109D4"/>
    <w:multiLevelType w:val="hybridMultilevel"/>
    <w:tmpl w:val="F4C82F44"/>
    <w:lvl w:ilvl="0" w:tplc="BBC653A2">
      <w:start w:val="1"/>
      <w:numFmt w:val="decimal"/>
      <w:lvlText w:val="%1)"/>
      <w:lvlJc w:val="left"/>
      <w:pPr>
        <w:ind w:left="321" w:hanging="360"/>
      </w:pPr>
      <w:rPr>
        <w:rFonts w:hint="default"/>
        <w:color w:val="000000" w:themeColor="text1"/>
      </w:rPr>
    </w:lvl>
    <w:lvl w:ilvl="1" w:tplc="04150019" w:tentative="1">
      <w:start w:val="1"/>
      <w:numFmt w:val="lowerLetter"/>
      <w:lvlText w:val="%2."/>
      <w:lvlJc w:val="left"/>
      <w:pPr>
        <w:ind w:left="1041" w:hanging="360"/>
      </w:pPr>
    </w:lvl>
    <w:lvl w:ilvl="2" w:tplc="0415001B" w:tentative="1">
      <w:start w:val="1"/>
      <w:numFmt w:val="lowerRoman"/>
      <w:lvlText w:val="%3."/>
      <w:lvlJc w:val="right"/>
      <w:pPr>
        <w:ind w:left="1761" w:hanging="180"/>
      </w:pPr>
    </w:lvl>
    <w:lvl w:ilvl="3" w:tplc="0415000F" w:tentative="1">
      <w:start w:val="1"/>
      <w:numFmt w:val="decimal"/>
      <w:lvlText w:val="%4."/>
      <w:lvlJc w:val="left"/>
      <w:pPr>
        <w:ind w:left="2481" w:hanging="360"/>
      </w:pPr>
    </w:lvl>
    <w:lvl w:ilvl="4" w:tplc="04150019" w:tentative="1">
      <w:start w:val="1"/>
      <w:numFmt w:val="lowerLetter"/>
      <w:lvlText w:val="%5."/>
      <w:lvlJc w:val="left"/>
      <w:pPr>
        <w:ind w:left="3201" w:hanging="360"/>
      </w:pPr>
    </w:lvl>
    <w:lvl w:ilvl="5" w:tplc="0415001B" w:tentative="1">
      <w:start w:val="1"/>
      <w:numFmt w:val="lowerRoman"/>
      <w:lvlText w:val="%6."/>
      <w:lvlJc w:val="right"/>
      <w:pPr>
        <w:ind w:left="3921" w:hanging="180"/>
      </w:pPr>
    </w:lvl>
    <w:lvl w:ilvl="6" w:tplc="0415000F" w:tentative="1">
      <w:start w:val="1"/>
      <w:numFmt w:val="decimal"/>
      <w:lvlText w:val="%7."/>
      <w:lvlJc w:val="left"/>
      <w:pPr>
        <w:ind w:left="4641" w:hanging="360"/>
      </w:pPr>
    </w:lvl>
    <w:lvl w:ilvl="7" w:tplc="04150019" w:tentative="1">
      <w:start w:val="1"/>
      <w:numFmt w:val="lowerLetter"/>
      <w:lvlText w:val="%8."/>
      <w:lvlJc w:val="left"/>
      <w:pPr>
        <w:ind w:left="5361" w:hanging="360"/>
      </w:pPr>
    </w:lvl>
    <w:lvl w:ilvl="8" w:tplc="0415001B" w:tentative="1">
      <w:start w:val="1"/>
      <w:numFmt w:val="lowerRoman"/>
      <w:lvlText w:val="%9."/>
      <w:lvlJc w:val="right"/>
      <w:pPr>
        <w:ind w:left="6081" w:hanging="180"/>
      </w:pPr>
    </w:lvl>
  </w:abstractNum>
  <w:abstractNum w:abstractNumId="23" w15:restartNumberingAfterBreak="0">
    <w:nsid w:val="6E324A48"/>
    <w:multiLevelType w:val="hybridMultilevel"/>
    <w:tmpl w:val="7804D764"/>
    <w:lvl w:ilvl="0" w:tplc="15941E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253848"/>
    <w:multiLevelType w:val="hybridMultilevel"/>
    <w:tmpl w:val="8F10F6AE"/>
    <w:lvl w:ilvl="0" w:tplc="C7B04F10">
      <w:start w:val="2"/>
      <w:numFmt w:val="decimal"/>
      <w:lvlText w:val="%1)"/>
      <w:lvlJc w:val="left"/>
      <w:pPr>
        <w:ind w:left="336" w:hanging="360"/>
      </w:pPr>
      <w:rPr>
        <w:rFonts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25" w15:restartNumberingAfterBreak="0">
    <w:nsid w:val="759B0A2C"/>
    <w:multiLevelType w:val="hybridMultilevel"/>
    <w:tmpl w:val="E0269474"/>
    <w:lvl w:ilvl="0" w:tplc="1792B93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3C2976"/>
    <w:multiLevelType w:val="hybridMultilevel"/>
    <w:tmpl w:val="435CB6DE"/>
    <w:lvl w:ilvl="0" w:tplc="60FC3D5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4744B3"/>
    <w:multiLevelType w:val="hybridMultilevel"/>
    <w:tmpl w:val="363600DC"/>
    <w:lvl w:ilvl="0" w:tplc="FF98001A">
      <w:start w:val="1"/>
      <w:numFmt w:val="decimal"/>
      <w:lvlText w:val="%1)"/>
      <w:lvlJc w:val="left"/>
      <w:pPr>
        <w:ind w:left="405" w:hanging="360"/>
      </w:pPr>
      <w:rPr>
        <w:rFonts w:hint="default"/>
        <w:u w:val="none"/>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8" w15:restartNumberingAfterBreak="0">
    <w:nsid w:val="7F1223D0"/>
    <w:multiLevelType w:val="hybridMultilevel"/>
    <w:tmpl w:val="FB847DD6"/>
    <w:lvl w:ilvl="0" w:tplc="97C85D1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5"/>
  </w:num>
  <w:num w:numId="3">
    <w:abstractNumId w:val="24"/>
  </w:num>
  <w:num w:numId="4">
    <w:abstractNumId w:val="2"/>
  </w:num>
  <w:num w:numId="5">
    <w:abstractNumId w:val="27"/>
  </w:num>
  <w:num w:numId="6">
    <w:abstractNumId w:val="22"/>
  </w:num>
  <w:num w:numId="7">
    <w:abstractNumId w:val="0"/>
  </w:num>
  <w:num w:numId="8">
    <w:abstractNumId w:val="1"/>
  </w:num>
  <w:num w:numId="9">
    <w:abstractNumId w:val="17"/>
  </w:num>
  <w:num w:numId="10">
    <w:abstractNumId w:val="6"/>
  </w:num>
  <w:num w:numId="11">
    <w:abstractNumId w:val="13"/>
  </w:num>
  <w:num w:numId="12">
    <w:abstractNumId w:val="18"/>
  </w:num>
  <w:num w:numId="13">
    <w:abstractNumId w:val="8"/>
  </w:num>
  <w:num w:numId="14">
    <w:abstractNumId w:val="16"/>
  </w:num>
  <w:num w:numId="15">
    <w:abstractNumId w:val="21"/>
  </w:num>
  <w:num w:numId="16">
    <w:abstractNumId w:val="28"/>
  </w:num>
  <w:num w:numId="17">
    <w:abstractNumId w:val="11"/>
  </w:num>
  <w:num w:numId="18">
    <w:abstractNumId w:val="4"/>
  </w:num>
  <w:num w:numId="19">
    <w:abstractNumId w:val="25"/>
  </w:num>
  <w:num w:numId="20">
    <w:abstractNumId w:val="15"/>
  </w:num>
  <w:num w:numId="21">
    <w:abstractNumId w:val="14"/>
  </w:num>
  <w:num w:numId="22">
    <w:abstractNumId w:val="26"/>
  </w:num>
  <w:num w:numId="23">
    <w:abstractNumId w:val="7"/>
  </w:num>
  <w:num w:numId="24">
    <w:abstractNumId w:val="12"/>
  </w:num>
  <w:num w:numId="25">
    <w:abstractNumId w:val="10"/>
  </w:num>
  <w:num w:numId="26">
    <w:abstractNumId w:val="20"/>
  </w:num>
  <w:num w:numId="27">
    <w:abstractNumId w:val="23"/>
  </w:num>
  <w:num w:numId="28">
    <w:abstractNumId w:val="19"/>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57"/>
    <w:rsid w:val="000034AE"/>
    <w:rsid w:val="000153D6"/>
    <w:rsid w:val="000223DA"/>
    <w:rsid w:val="000547D7"/>
    <w:rsid w:val="00071108"/>
    <w:rsid w:val="00084817"/>
    <w:rsid w:val="00085E2E"/>
    <w:rsid w:val="00087EC4"/>
    <w:rsid w:val="00091F2A"/>
    <w:rsid w:val="000A4084"/>
    <w:rsid w:val="000A478D"/>
    <w:rsid w:val="000B1157"/>
    <w:rsid w:val="000B346A"/>
    <w:rsid w:val="001014F6"/>
    <w:rsid w:val="001260C6"/>
    <w:rsid w:val="00141978"/>
    <w:rsid w:val="0015104B"/>
    <w:rsid w:val="00172A54"/>
    <w:rsid w:val="00177EC3"/>
    <w:rsid w:val="00181561"/>
    <w:rsid w:val="00192CB8"/>
    <w:rsid w:val="001978DF"/>
    <w:rsid w:val="001B5B7C"/>
    <w:rsid w:val="001D7E99"/>
    <w:rsid w:val="001E01AE"/>
    <w:rsid w:val="001F0431"/>
    <w:rsid w:val="001F3A0F"/>
    <w:rsid w:val="00242233"/>
    <w:rsid w:val="002459A4"/>
    <w:rsid w:val="00256036"/>
    <w:rsid w:val="002658A1"/>
    <w:rsid w:val="002662EA"/>
    <w:rsid w:val="00270D13"/>
    <w:rsid w:val="00272115"/>
    <w:rsid w:val="002875B9"/>
    <w:rsid w:val="0029790F"/>
    <w:rsid w:val="002B62A3"/>
    <w:rsid w:val="002E0918"/>
    <w:rsid w:val="00301CA2"/>
    <w:rsid w:val="003706A6"/>
    <w:rsid w:val="003802D2"/>
    <w:rsid w:val="003A384F"/>
    <w:rsid w:val="003A430E"/>
    <w:rsid w:val="003D7D21"/>
    <w:rsid w:val="003E6FC2"/>
    <w:rsid w:val="003F2ED2"/>
    <w:rsid w:val="00414EA2"/>
    <w:rsid w:val="004151ED"/>
    <w:rsid w:val="00437010"/>
    <w:rsid w:val="00443077"/>
    <w:rsid w:val="00452E52"/>
    <w:rsid w:val="00471031"/>
    <w:rsid w:val="00496C8F"/>
    <w:rsid w:val="004977F7"/>
    <w:rsid w:val="004A28E0"/>
    <w:rsid w:val="004D22FE"/>
    <w:rsid w:val="004D7362"/>
    <w:rsid w:val="004E0816"/>
    <w:rsid w:val="005140E1"/>
    <w:rsid w:val="00517157"/>
    <w:rsid w:val="005331F3"/>
    <w:rsid w:val="00537F1C"/>
    <w:rsid w:val="00537F4C"/>
    <w:rsid w:val="00542D00"/>
    <w:rsid w:val="00545CD3"/>
    <w:rsid w:val="00567ED7"/>
    <w:rsid w:val="00581A2C"/>
    <w:rsid w:val="005853FC"/>
    <w:rsid w:val="005A36AF"/>
    <w:rsid w:val="005B70BA"/>
    <w:rsid w:val="005C67EB"/>
    <w:rsid w:val="005C7FE5"/>
    <w:rsid w:val="005D442D"/>
    <w:rsid w:val="005D7B41"/>
    <w:rsid w:val="005F5ED1"/>
    <w:rsid w:val="00647814"/>
    <w:rsid w:val="00662570"/>
    <w:rsid w:val="006669AD"/>
    <w:rsid w:val="00674BCF"/>
    <w:rsid w:val="006833D2"/>
    <w:rsid w:val="00693B2A"/>
    <w:rsid w:val="006C1BC0"/>
    <w:rsid w:val="006C27A4"/>
    <w:rsid w:val="006C2BC9"/>
    <w:rsid w:val="006C30AF"/>
    <w:rsid w:val="006C42B2"/>
    <w:rsid w:val="006E4826"/>
    <w:rsid w:val="006F0D7B"/>
    <w:rsid w:val="006F1155"/>
    <w:rsid w:val="006F6137"/>
    <w:rsid w:val="006F697A"/>
    <w:rsid w:val="007018E8"/>
    <w:rsid w:val="0072450C"/>
    <w:rsid w:val="00730C35"/>
    <w:rsid w:val="00733E51"/>
    <w:rsid w:val="00735AA5"/>
    <w:rsid w:val="00742428"/>
    <w:rsid w:val="00744565"/>
    <w:rsid w:val="00751B0F"/>
    <w:rsid w:val="0076077D"/>
    <w:rsid w:val="007662C5"/>
    <w:rsid w:val="00770FEF"/>
    <w:rsid w:val="007D4D06"/>
    <w:rsid w:val="007E114F"/>
    <w:rsid w:val="007E4EDA"/>
    <w:rsid w:val="007F39C0"/>
    <w:rsid w:val="00801ABB"/>
    <w:rsid w:val="0081139F"/>
    <w:rsid w:val="008203CF"/>
    <w:rsid w:val="00824BA0"/>
    <w:rsid w:val="00830132"/>
    <w:rsid w:val="00836F82"/>
    <w:rsid w:val="00840DC6"/>
    <w:rsid w:val="008853DB"/>
    <w:rsid w:val="008A3C85"/>
    <w:rsid w:val="008B0308"/>
    <w:rsid w:val="009236A1"/>
    <w:rsid w:val="0093039C"/>
    <w:rsid w:val="009532CB"/>
    <w:rsid w:val="009672B1"/>
    <w:rsid w:val="009734F6"/>
    <w:rsid w:val="00974CF5"/>
    <w:rsid w:val="00983A14"/>
    <w:rsid w:val="009923E7"/>
    <w:rsid w:val="009A3389"/>
    <w:rsid w:val="009D4953"/>
    <w:rsid w:val="009E5157"/>
    <w:rsid w:val="00A07C72"/>
    <w:rsid w:val="00A1173B"/>
    <w:rsid w:val="00A11E28"/>
    <w:rsid w:val="00A1326C"/>
    <w:rsid w:val="00A251EE"/>
    <w:rsid w:val="00A407A4"/>
    <w:rsid w:val="00A43436"/>
    <w:rsid w:val="00A5373D"/>
    <w:rsid w:val="00A64143"/>
    <w:rsid w:val="00A65542"/>
    <w:rsid w:val="00A65DA2"/>
    <w:rsid w:val="00A92454"/>
    <w:rsid w:val="00AE7FE6"/>
    <w:rsid w:val="00AF2DCB"/>
    <w:rsid w:val="00AF39D1"/>
    <w:rsid w:val="00AF5CDF"/>
    <w:rsid w:val="00AF6B66"/>
    <w:rsid w:val="00B0068C"/>
    <w:rsid w:val="00B033E4"/>
    <w:rsid w:val="00B039B0"/>
    <w:rsid w:val="00B15F59"/>
    <w:rsid w:val="00B472E3"/>
    <w:rsid w:val="00B55112"/>
    <w:rsid w:val="00BA7C79"/>
    <w:rsid w:val="00BB7F6F"/>
    <w:rsid w:val="00BC2056"/>
    <w:rsid w:val="00BD18C2"/>
    <w:rsid w:val="00BD1AB7"/>
    <w:rsid w:val="00BF45D0"/>
    <w:rsid w:val="00BF66A8"/>
    <w:rsid w:val="00C0406B"/>
    <w:rsid w:val="00C15FA0"/>
    <w:rsid w:val="00C22A1F"/>
    <w:rsid w:val="00C41C63"/>
    <w:rsid w:val="00C45780"/>
    <w:rsid w:val="00C61B27"/>
    <w:rsid w:val="00C63F1E"/>
    <w:rsid w:val="00C75C58"/>
    <w:rsid w:val="00C93A76"/>
    <w:rsid w:val="00CB3FD0"/>
    <w:rsid w:val="00CB5636"/>
    <w:rsid w:val="00CD07C8"/>
    <w:rsid w:val="00CD128B"/>
    <w:rsid w:val="00CD5BB3"/>
    <w:rsid w:val="00CF0CF4"/>
    <w:rsid w:val="00CF45F4"/>
    <w:rsid w:val="00D23483"/>
    <w:rsid w:val="00D32FDA"/>
    <w:rsid w:val="00D34082"/>
    <w:rsid w:val="00D44D91"/>
    <w:rsid w:val="00D5626C"/>
    <w:rsid w:val="00D71974"/>
    <w:rsid w:val="00D84C5F"/>
    <w:rsid w:val="00DB30AA"/>
    <w:rsid w:val="00DD1A52"/>
    <w:rsid w:val="00DD351A"/>
    <w:rsid w:val="00DF4985"/>
    <w:rsid w:val="00E02DDD"/>
    <w:rsid w:val="00E053BF"/>
    <w:rsid w:val="00E063F8"/>
    <w:rsid w:val="00E121C0"/>
    <w:rsid w:val="00E200A5"/>
    <w:rsid w:val="00E26CD9"/>
    <w:rsid w:val="00E2744F"/>
    <w:rsid w:val="00E50D22"/>
    <w:rsid w:val="00E67BF3"/>
    <w:rsid w:val="00E7699F"/>
    <w:rsid w:val="00E92DC4"/>
    <w:rsid w:val="00E93D96"/>
    <w:rsid w:val="00E97B6A"/>
    <w:rsid w:val="00EB5B1E"/>
    <w:rsid w:val="00EC16AA"/>
    <w:rsid w:val="00EC7543"/>
    <w:rsid w:val="00F021E0"/>
    <w:rsid w:val="00F11CBF"/>
    <w:rsid w:val="00F3132A"/>
    <w:rsid w:val="00F507B1"/>
    <w:rsid w:val="00F64DE9"/>
    <w:rsid w:val="00F71C60"/>
    <w:rsid w:val="00F80086"/>
    <w:rsid w:val="00FA47E1"/>
    <w:rsid w:val="00FC4EA2"/>
    <w:rsid w:val="00FD481C"/>
    <w:rsid w:val="00FD7CD5"/>
    <w:rsid w:val="00FE7EA9"/>
    <w:rsid w:val="00FF44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E1979"/>
  <w15:docId w15:val="{D2ED7ECD-1E62-4CF1-B11C-62F4CA47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4A28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7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706A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706A6"/>
    <w:rPr>
      <w:rFonts w:ascii="Tahoma" w:hAnsi="Tahoma" w:cs="Tahoma"/>
      <w:sz w:val="16"/>
      <w:szCs w:val="16"/>
    </w:rPr>
  </w:style>
  <w:style w:type="paragraph" w:customStyle="1" w:styleId="TYTUAKTUprzedmiotregulacjiustawylubrozporzdzenia">
    <w:name w:val="TYTUŁ_AKTU – przedmiot regulacji ustawy lub rozporządzenia"/>
    <w:next w:val="Normalny"/>
    <w:uiPriority w:val="6"/>
    <w:qFormat/>
    <w:rsid w:val="003706A6"/>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ARTartustawynprozporzdzenia">
    <w:name w:val="ART(§) – art. ustawy (§ np. rozporządzenia)"/>
    <w:uiPriority w:val="11"/>
    <w:qFormat/>
    <w:rsid w:val="00983A14"/>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983A14"/>
    <w:pPr>
      <w:spacing w:after="0" w:line="360" w:lineRule="auto"/>
      <w:ind w:left="510" w:hanging="510"/>
      <w:jc w:val="both"/>
    </w:pPr>
    <w:rPr>
      <w:rFonts w:ascii="Times" w:eastAsia="Times New Roman" w:hAnsi="Times" w:cs="Arial"/>
      <w:bCs/>
      <w:sz w:val="24"/>
      <w:szCs w:val="20"/>
      <w:lang w:eastAsia="pl-PL"/>
    </w:rPr>
  </w:style>
  <w:style w:type="character" w:styleId="Odwoaniedokomentarza">
    <w:name w:val="annotation reference"/>
    <w:uiPriority w:val="99"/>
    <w:semiHidden/>
    <w:rsid w:val="00983A14"/>
    <w:rPr>
      <w:sz w:val="16"/>
      <w:szCs w:val="16"/>
    </w:rPr>
  </w:style>
  <w:style w:type="paragraph" w:styleId="Tekstkomentarza">
    <w:name w:val="annotation text"/>
    <w:basedOn w:val="Normalny"/>
    <w:link w:val="TekstkomentarzaZnak"/>
    <w:uiPriority w:val="99"/>
    <w:semiHidden/>
    <w:rsid w:val="00983A14"/>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TekstkomentarzaZnak">
    <w:name w:val="Tekst komentarza Znak"/>
    <w:basedOn w:val="Domylnaczcionkaakapitu"/>
    <w:link w:val="Tekstkomentarza"/>
    <w:uiPriority w:val="99"/>
    <w:semiHidden/>
    <w:rsid w:val="00983A14"/>
    <w:rPr>
      <w:rFonts w:ascii="Times" w:eastAsia="Times New Roman" w:hAnsi="Times" w:cs="Times New Roman"/>
      <w:sz w:val="24"/>
      <w:szCs w:val="24"/>
      <w:lang w:eastAsia="pl-PL"/>
    </w:rPr>
  </w:style>
  <w:style w:type="character" w:customStyle="1" w:styleId="Ppogrubienie">
    <w:name w:val="_P_ – pogrubienie"/>
    <w:uiPriority w:val="1"/>
    <w:qFormat/>
    <w:rsid w:val="00983A14"/>
    <w:rPr>
      <w:b/>
    </w:rPr>
  </w:style>
  <w:style w:type="paragraph" w:styleId="Akapitzlist">
    <w:name w:val="List Paragraph"/>
    <w:basedOn w:val="Normalny"/>
    <w:uiPriority w:val="72"/>
    <w:qFormat/>
    <w:rsid w:val="00983A14"/>
    <w:pPr>
      <w:ind w:left="720"/>
      <w:contextualSpacing/>
    </w:pPr>
  </w:style>
  <w:style w:type="paragraph" w:customStyle="1" w:styleId="USTustnpkodeksu">
    <w:name w:val="UST(§) – ust. (§ np. kodeksu)"/>
    <w:basedOn w:val="ARTartustawynprozporzdzenia"/>
    <w:uiPriority w:val="12"/>
    <w:qFormat/>
    <w:rsid w:val="009A3389"/>
    <w:pPr>
      <w:spacing w:before="0"/>
    </w:pPr>
    <w:rPr>
      <w:bCs/>
    </w:rPr>
  </w:style>
  <w:style w:type="paragraph" w:styleId="Nagwek">
    <w:name w:val="header"/>
    <w:basedOn w:val="Normalny"/>
    <w:link w:val="NagwekZnak"/>
    <w:uiPriority w:val="99"/>
    <w:unhideWhenUsed/>
    <w:rsid w:val="00735A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5AA5"/>
  </w:style>
  <w:style w:type="paragraph" w:styleId="Stopka">
    <w:name w:val="footer"/>
    <w:basedOn w:val="Normalny"/>
    <w:link w:val="StopkaZnak"/>
    <w:uiPriority w:val="99"/>
    <w:unhideWhenUsed/>
    <w:rsid w:val="00735A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5AA5"/>
  </w:style>
  <w:style w:type="character" w:customStyle="1" w:styleId="Nagwek2Znak">
    <w:name w:val="Nagłówek 2 Znak"/>
    <w:basedOn w:val="Domylnaczcionkaakapitu"/>
    <w:link w:val="Nagwek2"/>
    <w:uiPriority w:val="9"/>
    <w:rsid w:val="004A28E0"/>
    <w:rPr>
      <w:rFonts w:asciiTheme="majorHAnsi" w:eastAsiaTheme="majorEastAsia" w:hAnsiTheme="majorHAnsi" w:cstheme="majorBidi"/>
      <w:b/>
      <w:bCs/>
      <w:color w:val="4F81BD" w:themeColor="accent1"/>
      <w:sz w:val="26"/>
      <w:szCs w:val="26"/>
    </w:rPr>
  </w:style>
  <w:style w:type="paragraph" w:styleId="Tekstprzypisukocowego">
    <w:name w:val="endnote text"/>
    <w:basedOn w:val="Normalny"/>
    <w:link w:val="TekstprzypisukocowegoZnak"/>
    <w:uiPriority w:val="99"/>
    <w:semiHidden/>
    <w:unhideWhenUsed/>
    <w:rsid w:val="001B5B7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5B7C"/>
    <w:rPr>
      <w:sz w:val="20"/>
      <w:szCs w:val="20"/>
    </w:rPr>
  </w:style>
  <w:style w:type="character" w:styleId="Odwoanieprzypisukocowego">
    <w:name w:val="endnote reference"/>
    <w:basedOn w:val="Domylnaczcionkaakapitu"/>
    <w:uiPriority w:val="99"/>
    <w:semiHidden/>
    <w:unhideWhenUsed/>
    <w:rsid w:val="001B5B7C"/>
    <w:rPr>
      <w:vertAlign w:val="superscript"/>
    </w:rPr>
  </w:style>
  <w:style w:type="paragraph" w:styleId="Tekstprzypisudolnego">
    <w:name w:val="footnote text"/>
    <w:basedOn w:val="Normalny"/>
    <w:link w:val="TekstprzypisudolnegoZnak"/>
    <w:uiPriority w:val="99"/>
    <w:semiHidden/>
    <w:unhideWhenUsed/>
    <w:rsid w:val="000A478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A478D"/>
    <w:rPr>
      <w:sz w:val="20"/>
      <w:szCs w:val="20"/>
    </w:rPr>
  </w:style>
  <w:style w:type="character" w:styleId="Odwoanieprzypisudolnego">
    <w:name w:val="footnote reference"/>
    <w:basedOn w:val="Domylnaczcionkaakapitu"/>
    <w:uiPriority w:val="99"/>
    <w:semiHidden/>
    <w:unhideWhenUsed/>
    <w:rsid w:val="000A4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84763">
      <w:bodyDiv w:val="1"/>
      <w:marLeft w:val="0"/>
      <w:marRight w:val="0"/>
      <w:marTop w:val="0"/>
      <w:marBottom w:val="0"/>
      <w:divBdr>
        <w:top w:val="none" w:sz="0" w:space="0" w:color="auto"/>
        <w:left w:val="none" w:sz="0" w:space="0" w:color="auto"/>
        <w:bottom w:val="none" w:sz="0" w:space="0" w:color="auto"/>
        <w:right w:val="none" w:sz="0" w:space="0" w:color="auto"/>
      </w:divBdr>
    </w:div>
    <w:div w:id="1251231102">
      <w:bodyDiv w:val="1"/>
      <w:marLeft w:val="0"/>
      <w:marRight w:val="0"/>
      <w:marTop w:val="0"/>
      <w:marBottom w:val="0"/>
      <w:divBdr>
        <w:top w:val="none" w:sz="0" w:space="0" w:color="auto"/>
        <w:left w:val="none" w:sz="0" w:space="0" w:color="auto"/>
        <w:bottom w:val="none" w:sz="0" w:space="0" w:color="auto"/>
        <w:right w:val="none" w:sz="0" w:space="0" w:color="auto"/>
      </w:divBdr>
    </w:div>
    <w:div w:id="1454714331">
      <w:bodyDiv w:val="1"/>
      <w:marLeft w:val="0"/>
      <w:marRight w:val="0"/>
      <w:marTop w:val="0"/>
      <w:marBottom w:val="0"/>
      <w:divBdr>
        <w:top w:val="none" w:sz="0" w:space="0" w:color="auto"/>
        <w:left w:val="none" w:sz="0" w:space="0" w:color="auto"/>
        <w:bottom w:val="none" w:sz="0" w:space="0" w:color="auto"/>
        <w:right w:val="none" w:sz="0" w:space="0" w:color="auto"/>
      </w:divBdr>
    </w:div>
    <w:div w:id="174190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04A8D-2E98-4A8A-86BF-8BC10671D57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05892F8-354D-4279-BE4D-24BBD18CC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23</Pages>
  <Words>9677</Words>
  <Characters>58067</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67609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Adrian Zwoliński</cp:lastModifiedBy>
  <dcterms:created xsi:type="dcterms:W3CDTF">2025-07-02T06:23:00Z</dcterms:created>
  <dcterms:modified xsi:type="dcterms:W3CDTF">2025-08-01T11:07:00Z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9065ae30-dfde-4d18-b0a7-921279427982</vt:lpwstr>
  </property>
  <property fmtid="{D5CDD505-2E9C-101B-9397-08002B2CF9AE}" pid="3" name="bjSaver">
    <vt:lpwstr>AlEha9vVWOJjKnpEsD0pipbj2pL0KMK+</vt:lpwstr>
  </property>
  <property fmtid="{D5CDD505-2E9C-101B-9397-08002B2CF9AE}" pid="4"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5" name="bjDocumentLabelXML-0">
    <vt:lpwstr>ames.com/2008/01/sie/internal/label"&gt;&lt;element uid="89790441-96e2-477c-afd4-1e96c2fd8935" value="" /&gt;&lt;/sisl&gt;</vt:lpwstr>
  </property>
  <property fmtid="{D5CDD505-2E9C-101B-9397-08002B2CF9AE}" pid="6" name="bjDocumentSecurityLabel">
    <vt:lpwstr>JAWNE</vt:lpwstr>
  </property>
  <property fmtid="{D5CDD505-2E9C-101B-9397-08002B2CF9AE}" pid="7" name="bjClsUserRVM">
    <vt:lpwstr>[]</vt:lpwstr>
  </property>
</Properties>
</file>