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8759C" w14:textId="1BD75258" w:rsidR="00C93278" w:rsidRPr="0038322F" w:rsidRDefault="00CA2841" w:rsidP="00C83AC4">
      <w:pPr>
        <w:spacing w:after="0" w:line="240" w:lineRule="auto"/>
        <w:jc w:val="center"/>
        <w:rPr>
          <w:rFonts w:cstheme="minorHAnsi"/>
          <w:b/>
          <w:bCs/>
          <w:sz w:val="20"/>
          <w:szCs w:val="20"/>
        </w:rPr>
      </w:pPr>
      <w:bookmarkStart w:id="0" w:name="_Hlk107398740"/>
      <w:r w:rsidRPr="0038322F">
        <w:rPr>
          <w:rFonts w:cstheme="minorHAnsi"/>
          <w:b/>
          <w:bCs/>
          <w:sz w:val="20"/>
          <w:szCs w:val="20"/>
        </w:rPr>
        <w:t xml:space="preserve">Uwagi </w:t>
      </w:r>
      <w:r w:rsidR="00B156A4" w:rsidRPr="0038322F">
        <w:rPr>
          <w:rFonts w:cstheme="minorHAnsi"/>
          <w:b/>
          <w:bCs/>
          <w:sz w:val="20"/>
          <w:szCs w:val="20"/>
        </w:rPr>
        <w:t>Konfederacji Lewiatan</w:t>
      </w:r>
    </w:p>
    <w:p w14:paraId="653DA768" w14:textId="19637E28" w:rsidR="00894E5C" w:rsidRPr="0038322F" w:rsidRDefault="00CA2841" w:rsidP="00C83AC4">
      <w:pPr>
        <w:spacing w:after="0" w:line="240" w:lineRule="auto"/>
        <w:jc w:val="center"/>
        <w:rPr>
          <w:rFonts w:cstheme="minorHAnsi"/>
          <w:b/>
          <w:bCs/>
          <w:sz w:val="20"/>
          <w:szCs w:val="20"/>
        </w:rPr>
      </w:pPr>
      <w:r w:rsidRPr="0038322F">
        <w:rPr>
          <w:rFonts w:cstheme="minorHAnsi"/>
          <w:b/>
          <w:bCs/>
          <w:sz w:val="20"/>
          <w:szCs w:val="20"/>
        </w:rPr>
        <w:t>do projektu</w:t>
      </w:r>
      <w:bookmarkStart w:id="1" w:name="_Hlk163464623"/>
      <w:r w:rsidR="00894E5C" w:rsidRPr="0038322F">
        <w:rPr>
          <w:rFonts w:cstheme="minorHAnsi"/>
          <w:b/>
          <w:bCs/>
          <w:sz w:val="20"/>
          <w:szCs w:val="20"/>
        </w:rPr>
        <w:t xml:space="preserve"> ustawy</w:t>
      </w:r>
      <w:r w:rsidR="00894E5C" w:rsidRPr="0038322F">
        <w:rPr>
          <w:rFonts w:eastAsia="Times New Roman" w:cstheme="minorHAnsi"/>
          <w:b/>
          <w:color w:val="000000" w:themeColor="text1"/>
          <w:sz w:val="20"/>
          <w:szCs w:val="20"/>
          <w:lang w:eastAsia="pl-PL"/>
        </w:rPr>
        <w:t xml:space="preserve"> </w:t>
      </w:r>
      <w:r w:rsidR="00894E5C" w:rsidRPr="0038322F">
        <w:rPr>
          <w:rFonts w:cstheme="minorHAnsi"/>
          <w:b/>
          <w:bCs/>
          <w:sz w:val="20"/>
          <w:szCs w:val="20"/>
        </w:rPr>
        <w:t xml:space="preserve">o </w:t>
      </w:r>
      <w:r w:rsidR="00A01497" w:rsidRPr="0038322F">
        <w:rPr>
          <w:rFonts w:cstheme="minorHAnsi"/>
          <w:b/>
          <w:bCs/>
          <w:sz w:val="20"/>
          <w:szCs w:val="20"/>
        </w:rPr>
        <w:t xml:space="preserve">zmianie ustawy – </w:t>
      </w:r>
      <w:r w:rsidR="008A7A4E">
        <w:rPr>
          <w:rFonts w:cstheme="minorHAnsi"/>
          <w:b/>
          <w:bCs/>
          <w:sz w:val="20"/>
          <w:szCs w:val="20"/>
        </w:rPr>
        <w:t>P</w:t>
      </w:r>
      <w:r w:rsidR="00A01497" w:rsidRPr="0038322F">
        <w:rPr>
          <w:rFonts w:cstheme="minorHAnsi"/>
          <w:b/>
          <w:bCs/>
          <w:sz w:val="20"/>
          <w:szCs w:val="20"/>
        </w:rPr>
        <w:t>rawo energetyczne oraz niektórych innych ustaw</w:t>
      </w:r>
    </w:p>
    <w:bookmarkEnd w:id="1"/>
    <w:p w14:paraId="304455B3" w14:textId="52D42684" w:rsidR="00CA2841" w:rsidRPr="0038322F" w:rsidRDefault="00B91BB7" w:rsidP="00C83AC4">
      <w:pPr>
        <w:spacing w:after="0" w:line="240" w:lineRule="auto"/>
        <w:jc w:val="center"/>
        <w:rPr>
          <w:rFonts w:cstheme="minorHAnsi"/>
          <w:b/>
          <w:bCs/>
          <w:sz w:val="20"/>
          <w:szCs w:val="20"/>
        </w:rPr>
      </w:pPr>
      <w:r w:rsidRPr="0038322F">
        <w:rPr>
          <w:rFonts w:cstheme="minorHAnsi"/>
          <w:b/>
          <w:bCs/>
          <w:sz w:val="20"/>
          <w:szCs w:val="20"/>
        </w:rPr>
        <w:t>(</w:t>
      </w:r>
      <w:r w:rsidR="00894E5C" w:rsidRPr="0038322F">
        <w:rPr>
          <w:rFonts w:cstheme="minorHAnsi"/>
          <w:b/>
          <w:bCs/>
          <w:sz w:val="20"/>
          <w:szCs w:val="20"/>
        </w:rPr>
        <w:t xml:space="preserve">nr </w:t>
      </w:r>
      <w:r w:rsidR="00A01497" w:rsidRPr="0038322F">
        <w:rPr>
          <w:rFonts w:cstheme="minorHAnsi"/>
          <w:b/>
          <w:bCs/>
          <w:sz w:val="20"/>
          <w:szCs w:val="20"/>
        </w:rPr>
        <w:t xml:space="preserve">UC84 </w:t>
      </w:r>
      <w:r w:rsidR="00894E5C" w:rsidRPr="0038322F">
        <w:rPr>
          <w:rFonts w:cstheme="minorHAnsi"/>
          <w:b/>
          <w:bCs/>
          <w:sz w:val="20"/>
          <w:szCs w:val="20"/>
        </w:rPr>
        <w:t>w Wykazie prac legislacyjnych i programowych Rady Ministrów)</w:t>
      </w:r>
    </w:p>
    <w:p w14:paraId="408BBC10" w14:textId="718D6C4D" w:rsidR="00E33BCA" w:rsidRPr="0038322F" w:rsidRDefault="00E33BCA" w:rsidP="00E33BCA">
      <w:pPr>
        <w:jc w:val="center"/>
        <w:rPr>
          <w:rFonts w:cstheme="minorHAnsi"/>
          <w:i/>
          <w:iCs/>
          <w:sz w:val="20"/>
          <w:szCs w:val="20"/>
        </w:rPr>
      </w:pPr>
      <w:r w:rsidRPr="0038322F">
        <w:rPr>
          <w:rFonts w:cstheme="minorHAnsi"/>
          <w:i/>
          <w:iCs/>
          <w:sz w:val="20"/>
          <w:szCs w:val="20"/>
        </w:rPr>
        <w:t xml:space="preserve">uwagi do projektu w wersji z dnia </w:t>
      </w:r>
      <w:r w:rsidR="009E54BB" w:rsidRPr="0038322F">
        <w:rPr>
          <w:rFonts w:cstheme="minorHAnsi"/>
          <w:i/>
          <w:iCs/>
          <w:sz w:val="20"/>
          <w:szCs w:val="20"/>
        </w:rPr>
        <w:t>4 listopada</w:t>
      </w:r>
      <w:r w:rsidRPr="0038322F">
        <w:rPr>
          <w:rFonts w:cstheme="minorHAnsi"/>
          <w:i/>
          <w:iCs/>
          <w:sz w:val="20"/>
          <w:szCs w:val="20"/>
        </w:rPr>
        <w:t xml:space="preserve"> 2025 r.</w:t>
      </w:r>
    </w:p>
    <w:p w14:paraId="711D6FEE" w14:textId="77777777" w:rsidR="00CA2841" w:rsidRPr="0038322F" w:rsidRDefault="00CA2841" w:rsidP="00C83AC4">
      <w:pPr>
        <w:spacing w:after="0" w:line="240" w:lineRule="auto"/>
        <w:rPr>
          <w:rFonts w:cstheme="minorHAnsi"/>
          <w:sz w:val="20"/>
          <w:szCs w:val="20"/>
        </w:rPr>
      </w:pPr>
    </w:p>
    <w:tbl>
      <w:tblPr>
        <w:tblStyle w:val="Tabela-Siatka"/>
        <w:tblpPr w:leftFromText="142" w:rightFromText="142" w:vertAnchor="text" w:horzAnchor="margin" w:tblpXSpec="center" w:tblpY="58"/>
        <w:tblW w:w="14039" w:type="dxa"/>
        <w:tblLayout w:type="fixed"/>
        <w:tblLook w:val="04A0" w:firstRow="1" w:lastRow="0" w:firstColumn="1" w:lastColumn="0" w:noHBand="0" w:noVBand="1"/>
      </w:tblPr>
      <w:tblGrid>
        <w:gridCol w:w="846"/>
        <w:gridCol w:w="1843"/>
        <w:gridCol w:w="5670"/>
        <w:gridCol w:w="4394"/>
        <w:gridCol w:w="1286"/>
      </w:tblGrid>
      <w:tr w:rsidR="00B156A4" w:rsidRPr="0038322F" w14:paraId="47E9ED08" w14:textId="77777777" w:rsidTr="00862BFF">
        <w:trPr>
          <w:trHeight w:val="551"/>
          <w:tblHeader/>
        </w:trPr>
        <w:tc>
          <w:tcPr>
            <w:tcW w:w="846" w:type="dxa"/>
          </w:tcPr>
          <w:p w14:paraId="115BF413" w14:textId="48095830" w:rsidR="00B156A4" w:rsidRPr="0038322F" w:rsidRDefault="00862BFF" w:rsidP="00B74CC0">
            <w:pPr>
              <w:ind w:left="313"/>
              <w:rPr>
                <w:rFonts w:cstheme="minorHAnsi"/>
                <w:b/>
                <w:bCs/>
                <w:sz w:val="20"/>
                <w:szCs w:val="20"/>
              </w:rPr>
            </w:pPr>
            <w:r w:rsidRPr="0038322F">
              <w:rPr>
                <w:rFonts w:cstheme="minorHAnsi"/>
                <w:b/>
                <w:bCs/>
                <w:sz w:val="20"/>
                <w:szCs w:val="20"/>
              </w:rPr>
              <w:t>Nr</w:t>
            </w:r>
          </w:p>
        </w:tc>
        <w:tc>
          <w:tcPr>
            <w:tcW w:w="1843" w:type="dxa"/>
          </w:tcPr>
          <w:p w14:paraId="51F92737" w14:textId="48E4A866" w:rsidR="00B156A4" w:rsidRPr="0038322F" w:rsidRDefault="00B156A4" w:rsidP="00B156A4">
            <w:pPr>
              <w:jc w:val="center"/>
              <w:rPr>
                <w:rFonts w:cstheme="minorHAnsi"/>
                <w:b/>
                <w:bCs/>
                <w:sz w:val="20"/>
                <w:szCs w:val="20"/>
              </w:rPr>
            </w:pPr>
            <w:r w:rsidRPr="0038322F">
              <w:rPr>
                <w:rFonts w:cstheme="minorHAnsi"/>
                <w:b/>
                <w:bCs/>
                <w:sz w:val="20"/>
                <w:szCs w:val="20"/>
              </w:rPr>
              <w:t>Jednostka redakcyjna, do której wnoszona jest uwaga</w:t>
            </w:r>
            <w:r w:rsidRPr="0038322F">
              <w:rPr>
                <w:rStyle w:val="Odwoanieprzypisudolnego"/>
                <w:rFonts w:cstheme="minorHAnsi"/>
                <w:b/>
                <w:bCs/>
                <w:sz w:val="20"/>
                <w:szCs w:val="20"/>
              </w:rPr>
              <w:footnoteReference w:customMarkFollows="1" w:id="1"/>
              <w:t>1)</w:t>
            </w:r>
          </w:p>
        </w:tc>
        <w:tc>
          <w:tcPr>
            <w:tcW w:w="5670" w:type="dxa"/>
          </w:tcPr>
          <w:p w14:paraId="74AACE5A" w14:textId="0BDDBBD7" w:rsidR="00B156A4" w:rsidRPr="0038322F" w:rsidRDefault="00B156A4" w:rsidP="00C83AC4">
            <w:pPr>
              <w:jc w:val="center"/>
              <w:rPr>
                <w:rFonts w:cstheme="minorHAnsi"/>
                <w:b/>
                <w:bCs/>
                <w:sz w:val="20"/>
                <w:szCs w:val="20"/>
              </w:rPr>
            </w:pPr>
            <w:r w:rsidRPr="0038322F">
              <w:rPr>
                <w:rFonts w:cstheme="minorHAnsi"/>
                <w:b/>
                <w:bCs/>
                <w:sz w:val="20"/>
                <w:szCs w:val="20"/>
              </w:rPr>
              <w:t>Treść uwagi</w:t>
            </w:r>
          </w:p>
        </w:tc>
        <w:tc>
          <w:tcPr>
            <w:tcW w:w="4394" w:type="dxa"/>
          </w:tcPr>
          <w:p w14:paraId="7C9E6D74" w14:textId="597CDAA9" w:rsidR="00B156A4" w:rsidRPr="0038322F" w:rsidRDefault="00B156A4" w:rsidP="00C83AC4">
            <w:pPr>
              <w:jc w:val="center"/>
              <w:rPr>
                <w:rFonts w:cstheme="minorHAnsi"/>
                <w:b/>
                <w:bCs/>
                <w:sz w:val="20"/>
                <w:szCs w:val="20"/>
              </w:rPr>
            </w:pPr>
            <w:r w:rsidRPr="0038322F">
              <w:rPr>
                <w:rFonts w:cstheme="minorHAnsi"/>
                <w:b/>
                <w:bCs/>
                <w:sz w:val="20"/>
                <w:szCs w:val="20"/>
              </w:rPr>
              <w:t>Propozycja brzmienia przepisu</w:t>
            </w:r>
          </w:p>
        </w:tc>
        <w:tc>
          <w:tcPr>
            <w:tcW w:w="1286" w:type="dxa"/>
          </w:tcPr>
          <w:p w14:paraId="2C049C38" w14:textId="382C7B91" w:rsidR="00B156A4" w:rsidRPr="0038322F" w:rsidRDefault="00B156A4" w:rsidP="00C83AC4">
            <w:pPr>
              <w:jc w:val="center"/>
              <w:rPr>
                <w:rFonts w:cstheme="minorHAnsi"/>
                <w:b/>
                <w:bCs/>
                <w:sz w:val="20"/>
                <w:szCs w:val="20"/>
              </w:rPr>
            </w:pPr>
            <w:r w:rsidRPr="0038322F">
              <w:rPr>
                <w:rFonts w:cstheme="minorHAnsi"/>
                <w:b/>
                <w:bCs/>
                <w:sz w:val="20"/>
                <w:szCs w:val="20"/>
              </w:rPr>
              <w:t>Stanowisko do uwagi</w:t>
            </w:r>
          </w:p>
        </w:tc>
      </w:tr>
      <w:tr w:rsidR="00083278" w:rsidRPr="0038322F" w14:paraId="48D6C04F" w14:textId="77777777" w:rsidTr="00862BFF">
        <w:tc>
          <w:tcPr>
            <w:tcW w:w="846" w:type="dxa"/>
          </w:tcPr>
          <w:p w14:paraId="132A7602" w14:textId="77777777" w:rsidR="00083278" w:rsidRPr="0038322F" w:rsidRDefault="00083278" w:rsidP="00B74CC0">
            <w:pPr>
              <w:pStyle w:val="Akapitzlist"/>
              <w:numPr>
                <w:ilvl w:val="0"/>
                <w:numId w:val="15"/>
              </w:numPr>
              <w:ind w:left="313"/>
              <w:jc w:val="center"/>
              <w:rPr>
                <w:rFonts w:cstheme="minorHAnsi"/>
                <w:sz w:val="20"/>
                <w:szCs w:val="20"/>
              </w:rPr>
            </w:pPr>
          </w:p>
        </w:tc>
        <w:tc>
          <w:tcPr>
            <w:tcW w:w="1843" w:type="dxa"/>
          </w:tcPr>
          <w:p w14:paraId="5EFDEBD6" w14:textId="314FEB17" w:rsidR="00083278" w:rsidRPr="0038322F" w:rsidRDefault="00083278" w:rsidP="00083278">
            <w:pPr>
              <w:jc w:val="center"/>
              <w:rPr>
                <w:rFonts w:eastAsia="Calibri" w:cstheme="minorHAnsi"/>
                <w:sz w:val="20"/>
                <w:szCs w:val="20"/>
                <w:lang w:val="pl"/>
              </w:rPr>
            </w:pPr>
            <w:r w:rsidRPr="0038322F">
              <w:rPr>
                <w:rFonts w:eastAsia="Calibri" w:cstheme="minorHAnsi"/>
                <w:sz w:val="20"/>
                <w:szCs w:val="20"/>
                <w:lang w:val="pl"/>
              </w:rPr>
              <w:t>Uwaga ogólna, dotyczy wielu przepisów</w:t>
            </w:r>
          </w:p>
        </w:tc>
        <w:tc>
          <w:tcPr>
            <w:tcW w:w="5670" w:type="dxa"/>
          </w:tcPr>
          <w:p w14:paraId="4E4D6B06" w14:textId="61FAA439" w:rsidR="00083278" w:rsidRPr="0038322F" w:rsidRDefault="00083278" w:rsidP="00083278">
            <w:pPr>
              <w:jc w:val="both"/>
              <w:rPr>
                <w:rFonts w:eastAsia="Calibri" w:cstheme="minorHAnsi"/>
                <w:sz w:val="20"/>
                <w:szCs w:val="20"/>
                <w:lang w:val="pl"/>
              </w:rPr>
            </w:pPr>
            <w:r w:rsidRPr="0038322F">
              <w:rPr>
                <w:rFonts w:eastAsia="Calibri" w:cstheme="minorHAnsi"/>
                <w:sz w:val="20"/>
                <w:szCs w:val="20"/>
                <w:lang w:val="pl"/>
              </w:rPr>
              <w:t xml:space="preserve">Wprowadzony mechanizm udzielania mocy przyłączeniowej, wydawania warunków przyłączenia oraz zawierania umów przyłączeniowych powinien być wykluczony dla instalacji z </w:t>
            </w:r>
            <w:proofErr w:type="spellStart"/>
            <w:r w:rsidRPr="0038322F">
              <w:rPr>
                <w:rFonts w:eastAsia="Calibri" w:cstheme="minorHAnsi"/>
                <w:sz w:val="20"/>
                <w:szCs w:val="20"/>
                <w:lang w:val="pl"/>
              </w:rPr>
              <w:t>samokonsumpcją</w:t>
            </w:r>
            <w:proofErr w:type="spellEnd"/>
            <w:r w:rsidRPr="0038322F">
              <w:rPr>
                <w:rFonts w:eastAsia="Calibri" w:cstheme="minorHAnsi"/>
                <w:sz w:val="20"/>
                <w:szCs w:val="20"/>
                <w:lang w:val="pl"/>
              </w:rPr>
              <w:t xml:space="preserve"> lub z instalowanymi źródłami odnawialnymi „za licznikiem energii”. Rozciągnięty w czasie proces uzyskiwania warunków przyłączenia oraz koszty z tym związane negatywnie oddziałują na możliwość dekarbonizacji i transformacji energetycznej dla dużych zakładów produkcyjnych, które </w:t>
            </w:r>
            <w:proofErr w:type="spellStart"/>
            <w:r w:rsidRPr="0038322F">
              <w:rPr>
                <w:rFonts w:eastAsia="Calibri" w:cstheme="minorHAnsi"/>
                <w:sz w:val="20"/>
                <w:szCs w:val="20"/>
                <w:lang w:val="pl"/>
              </w:rPr>
              <w:t>samobilanosowałyby</w:t>
            </w:r>
            <w:proofErr w:type="spellEnd"/>
            <w:r w:rsidRPr="0038322F">
              <w:rPr>
                <w:rFonts w:eastAsia="Calibri" w:cstheme="minorHAnsi"/>
                <w:sz w:val="20"/>
                <w:szCs w:val="20"/>
                <w:lang w:val="pl"/>
              </w:rPr>
              <w:t xml:space="preserve"> się ze zużyciem energii elektrycznej lub wręcz miałyby możliwość pracy off-</w:t>
            </w:r>
            <w:proofErr w:type="spellStart"/>
            <w:r w:rsidRPr="0038322F">
              <w:rPr>
                <w:rFonts w:eastAsia="Calibri" w:cstheme="minorHAnsi"/>
                <w:sz w:val="20"/>
                <w:szCs w:val="20"/>
                <w:lang w:val="pl"/>
              </w:rPr>
              <w:t>gridowej</w:t>
            </w:r>
            <w:proofErr w:type="spellEnd"/>
            <w:r w:rsidRPr="0038322F">
              <w:rPr>
                <w:rFonts w:eastAsia="Calibri" w:cstheme="minorHAnsi"/>
                <w:sz w:val="20"/>
                <w:szCs w:val="20"/>
                <w:lang w:val="pl"/>
              </w:rPr>
              <w:t xml:space="preserve">. Mechanizm wprowadzony ustawą znacznie wpłynie na zmniejszenie chęci podejmowania działań inwestycyjnych oraz na opłacalność działań instalacji indywidualnych źródeł energii przez przedsiębiorców. Dodatkowo istnieje ryzyko, że inwestor będzie ulokowany na obszarze np. czerwonej strefy co poskutkuje brakiem możliwości budowy instalacji. </w:t>
            </w:r>
          </w:p>
        </w:tc>
        <w:tc>
          <w:tcPr>
            <w:tcW w:w="4394" w:type="dxa"/>
          </w:tcPr>
          <w:p w14:paraId="677B1ADC" w14:textId="77777777" w:rsidR="00083278" w:rsidRPr="0038322F" w:rsidRDefault="00083278" w:rsidP="00083278">
            <w:pPr>
              <w:jc w:val="both"/>
              <w:rPr>
                <w:rFonts w:cstheme="minorHAnsi"/>
                <w:sz w:val="20"/>
                <w:szCs w:val="20"/>
              </w:rPr>
            </w:pPr>
            <w:r w:rsidRPr="0038322F">
              <w:rPr>
                <w:rFonts w:eastAsia="Calibri" w:cstheme="minorHAnsi"/>
                <w:sz w:val="20"/>
                <w:szCs w:val="20"/>
                <w:lang w:val="pl"/>
              </w:rPr>
              <w:t xml:space="preserve">Art. X. </w:t>
            </w:r>
          </w:p>
          <w:p w14:paraId="0B0FAFCE" w14:textId="78C2694C" w:rsidR="00083278" w:rsidRPr="0038322F" w:rsidRDefault="00083278" w:rsidP="00083278">
            <w:pPr>
              <w:jc w:val="both"/>
              <w:rPr>
                <w:rFonts w:eastAsia="Calibri" w:cstheme="minorHAnsi"/>
                <w:sz w:val="20"/>
                <w:szCs w:val="20"/>
                <w:lang w:val="pl"/>
              </w:rPr>
            </w:pPr>
            <w:r w:rsidRPr="0038322F">
              <w:rPr>
                <w:rFonts w:eastAsia="Calibri" w:cstheme="minorHAnsi"/>
                <w:sz w:val="20"/>
                <w:szCs w:val="20"/>
                <w:lang w:val="pl"/>
              </w:rPr>
              <w:t xml:space="preserve">Dla instalacji </w:t>
            </w:r>
            <w:r w:rsidRPr="0038322F">
              <w:rPr>
                <w:rFonts w:eastAsia="Calibri" w:cstheme="minorHAnsi"/>
                <w:sz w:val="20"/>
                <w:szCs w:val="20"/>
              </w:rPr>
              <w:t>odnawialnego źródła energii przyłączonej do sieci elektroenergetycznej, która produkuje energię elektryczną na potrzeby własne przedsiębiorstwa, bez jej sprzedaży do sieci lub z ograniczonym eksportem nadwyżek</w:t>
            </w:r>
            <w:r w:rsidRPr="0038322F">
              <w:rPr>
                <w:rFonts w:eastAsia="Calibri" w:cstheme="minorHAnsi"/>
                <w:sz w:val="20"/>
                <w:szCs w:val="20"/>
                <w:lang w:val="pl"/>
              </w:rPr>
              <w:t>, zapisy dotyczące sposobu uzyskiwania warunków przyłączenia stosuje się jak dla stref „niebieskich” w pkt 8</w:t>
            </w:r>
            <w:r w:rsidRPr="0038322F">
              <w:rPr>
                <w:rFonts w:eastAsia="Calibri" w:cstheme="minorHAnsi"/>
                <w:sz w:val="20"/>
                <w:szCs w:val="20"/>
                <w:vertAlign w:val="superscript"/>
                <w:lang w:val="pl"/>
              </w:rPr>
              <w:t>1</w:t>
            </w:r>
            <w:r w:rsidRPr="0038322F">
              <w:rPr>
                <w:rFonts w:eastAsia="Calibri" w:cstheme="minorHAnsi"/>
                <w:sz w:val="20"/>
                <w:szCs w:val="20"/>
                <w:lang w:val="pl"/>
              </w:rPr>
              <w:t xml:space="preserve">. </w:t>
            </w:r>
          </w:p>
        </w:tc>
        <w:tc>
          <w:tcPr>
            <w:tcW w:w="1286" w:type="dxa"/>
          </w:tcPr>
          <w:p w14:paraId="73D83784" w14:textId="77777777" w:rsidR="00083278" w:rsidRPr="0038322F" w:rsidRDefault="00083278" w:rsidP="00083278">
            <w:pPr>
              <w:jc w:val="both"/>
              <w:rPr>
                <w:rFonts w:cstheme="minorHAnsi"/>
                <w:sz w:val="20"/>
                <w:szCs w:val="20"/>
              </w:rPr>
            </w:pPr>
          </w:p>
        </w:tc>
      </w:tr>
      <w:tr w:rsidR="00FA7013" w:rsidRPr="0038322F" w14:paraId="5E47CB7D" w14:textId="77777777" w:rsidTr="00862BFF">
        <w:tc>
          <w:tcPr>
            <w:tcW w:w="846" w:type="dxa"/>
          </w:tcPr>
          <w:p w14:paraId="2BBFC512" w14:textId="77777777" w:rsidR="00FA7013" w:rsidRPr="0038322F" w:rsidRDefault="00FA7013" w:rsidP="00B74CC0">
            <w:pPr>
              <w:pStyle w:val="Akapitzlist"/>
              <w:numPr>
                <w:ilvl w:val="0"/>
                <w:numId w:val="15"/>
              </w:numPr>
              <w:ind w:left="313"/>
              <w:jc w:val="center"/>
              <w:rPr>
                <w:rFonts w:cstheme="minorHAnsi"/>
                <w:sz w:val="20"/>
                <w:szCs w:val="20"/>
              </w:rPr>
            </w:pPr>
          </w:p>
        </w:tc>
        <w:tc>
          <w:tcPr>
            <w:tcW w:w="1843" w:type="dxa"/>
          </w:tcPr>
          <w:p w14:paraId="76F812F6" w14:textId="387FA3F1" w:rsidR="00FA7013" w:rsidRPr="0038322F" w:rsidRDefault="00FA7013" w:rsidP="00FA7013">
            <w:pPr>
              <w:jc w:val="center"/>
              <w:rPr>
                <w:rFonts w:eastAsia="Lato" w:cstheme="minorHAnsi"/>
                <w:sz w:val="20"/>
                <w:szCs w:val="20"/>
              </w:rPr>
            </w:pPr>
            <w:r w:rsidRPr="0038322F">
              <w:rPr>
                <w:rFonts w:eastAsia="Calibri" w:cstheme="minorHAnsi"/>
                <w:sz w:val="20"/>
                <w:szCs w:val="20"/>
                <w:lang w:val="pl"/>
              </w:rPr>
              <w:t>Art. 1 pkt 2 lit. a</w:t>
            </w:r>
          </w:p>
        </w:tc>
        <w:tc>
          <w:tcPr>
            <w:tcW w:w="5670" w:type="dxa"/>
          </w:tcPr>
          <w:p w14:paraId="25FC55E3" w14:textId="7A57F943" w:rsidR="00FA7013" w:rsidRPr="0038322F" w:rsidRDefault="00FA7013" w:rsidP="00FA7013">
            <w:pPr>
              <w:jc w:val="both"/>
              <w:rPr>
                <w:rFonts w:cstheme="minorHAnsi"/>
                <w:sz w:val="20"/>
                <w:szCs w:val="20"/>
              </w:rPr>
            </w:pPr>
            <w:r w:rsidRPr="0038322F">
              <w:rPr>
                <w:rFonts w:eastAsia="Calibri" w:cstheme="minorHAnsi"/>
                <w:sz w:val="20"/>
                <w:szCs w:val="20"/>
                <w:lang w:val="pl"/>
              </w:rPr>
              <w:t xml:space="preserve">Umowa z gwarancją ceny </w:t>
            </w:r>
            <w:r w:rsidR="00150A09" w:rsidRPr="0038322F">
              <w:rPr>
                <w:rFonts w:eastAsia="Calibri" w:cstheme="minorHAnsi"/>
                <w:sz w:val="20"/>
                <w:szCs w:val="20"/>
                <w:lang w:val="pl"/>
              </w:rPr>
              <w:t>po</w:t>
            </w:r>
            <w:r w:rsidRPr="0038322F">
              <w:rPr>
                <w:rFonts w:eastAsia="Calibri" w:cstheme="minorHAnsi"/>
                <w:sz w:val="20"/>
                <w:szCs w:val="20"/>
                <w:lang w:val="pl"/>
              </w:rPr>
              <w:t xml:space="preserve">winna być </w:t>
            </w:r>
            <w:r w:rsidR="00150A09" w:rsidRPr="0038322F">
              <w:rPr>
                <w:rFonts w:eastAsia="Calibri" w:cstheme="minorHAnsi"/>
                <w:sz w:val="20"/>
                <w:szCs w:val="20"/>
                <w:lang w:val="pl"/>
              </w:rPr>
              <w:t>niezależna</w:t>
            </w:r>
            <w:r w:rsidRPr="0038322F">
              <w:rPr>
                <w:rFonts w:eastAsia="Calibri" w:cstheme="minorHAnsi"/>
                <w:sz w:val="20"/>
                <w:szCs w:val="20"/>
                <w:lang w:val="pl"/>
              </w:rPr>
              <w:t xml:space="preserve"> od zmienności stawek na rynku w tym w okresach szczytowych –</w:t>
            </w:r>
            <w:r w:rsidR="001A65AF" w:rsidRPr="0038322F">
              <w:rPr>
                <w:rFonts w:eastAsia="Calibri" w:cstheme="minorHAnsi"/>
                <w:sz w:val="20"/>
                <w:szCs w:val="20"/>
                <w:lang w:val="pl"/>
              </w:rPr>
              <w:t xml:space="preserve"> stąd propozycja</w:t>
            </w:r>
            <w:r w:rsidRPr="0038322F">
              <w:rPr>
                <w:rFonts w:eastAsia="Calibri" w:cstheme="minorHAnsi"/>
                <w:sz w:val="20"/>
                <w:szCs w:val="20"/>
                <w:lang w:val="pl"/>
              </w:rPr>
              <w:t xml:space="preserve"> wykreśleni</w:t>
            </w:r>
            <w:r w:rsidR="001A65AF" w:rsidRPr="0038322F">
              <w:rPr>
                <w:rFonts w:eastAsia="Calibri" w:cstheme="minorHAnsi"/>
                <w:sz w:val="20"/>
                <w:szCs w:val="20"/>
                <w:lang w:val="pl"/>
              </w:rPr>
              <w:t>a</w:t>
            </w:r>
            <w:r w:rsidRPr="0038322F">
              <w:rPr>
                <w:rFonts w:eastAsia="Calibri" w:cstheme="minorHAnsi"/>
                <w:sz w:val="20"/>
                <w:szCs w:val="20"/>
                <w:lang w:val="pl"/>
              </w:rPr>
              <w:t xml:space="preserve"> wykluczenia niezmienności cen</w:t>
            </w:r>
            <w:r w:rsidR="001A65AF" w:rsidRPr="0038322F">
              <w:rPr>
                <w:rFonts w:eastAsia="Calibri" w:cstheme="minorHAnsi"/>
                <w:sz w:val="20"/>
                <w:szCs w:val="20"/>
                <w:lang w:val="pl"/>
              </w:rPr>
              <w:t>.</w:t>
            </w:r>
          </w:p>
        </w:tc>
        <w:tc>
          <w:tcPr>
            <w:tcW w:w="4394" w:type="dxa"/>
          </w:tcPr>
          <w:p w14:paraId="5C77BC4E" w14:textId="72C4BF07" w:rsidR="00FA7013" w:rsidRPr="0038322F" w:rsidRDefault="00FA7013" w:rsidP="00FA7013">
            <w:pPr>
              <w:jc w:val="both"/>
              <w:rPr>
                <w:rFonts w:cstheme="minorHAnsi"/>
                <w:sz w:val="20"/>
                <w:szCs w:val="20"/>
              </w:rPr>
            </w:pPr>
            <w:r w:rsidRPr="0038322F">
              <w:rPr>
                <w:rFonts w:eastAsia="Calibri" w:cstheme="minorHAnsi"/>
                <w:sz w:val="20"/>
                <w:szCs w:val="20"/>
                <w:lang w:val="pl"/>
              </w:rPr>
              <w:t xml:space="preserve">6da) umowa na czas oznaczony z gwarancją stałej ceny – zawartą z odbiorcą końcowym na czas oznaczony umowę sprzedaży energii elektrycznej lub umowę kompleksową, której warunki, w tym ceny i dodatkowe opłaty stosowane w rozliczeniach w obrocie energią elektryczną, pozostają niezmienione przez cały okres obowiązywania umowy, z wyjątkiem postanowień o charakterze elastycznym, </w:t>
            </w:r>
            <w:r w:rsidRPr="0038322F">
              <w:rPr>
                <w:rFonts w:eastAsia="Calibri" w:cstheme="minorHAnsi"/>
                <w:strike/>
                <w:sz w:val="20"/>
                <w:szCs w:val="20"/>
                <w:lang w:val="pl"/>
              </w:rPr>
              <w:t>w tym zróżnicowania cen w okresach szczytowych i pozaszczytowych</w:t>
            </w:r>
            <w:r w:rsidRPr="0038322F">
              <w:rPr>
                <w:rFonts w:eastAsia="Calibri" w:cstheme="minorHAnsi"/>
                <w:sz w:val="20"/>
                <w:szCs w:val="20"/>
                <w:lang w:val="pl"/>
              </w:rPr>
              <w:t xml:space="preserve"> oraz elementów rachunku, których wysokość nie jest określana przez sprzedawców energii elektrycznej, w szczególności podatków i opłat</w:t>
            </w:r>
          </w:p>
        </w:tc>
        <w:tc>
          <w:tcPr>
            <w:tcW w:w="1286" w:type="dxa"/>
          </w:tcPr>
          <w:p w14:paraId="787FEA2D" w14:textId="77777777" w:rsidR="00FA7013" w:rsidRPr="0038322F" w:rsidRDefault="00FA7013" w:rsidP="00FA7013">
            <w:pPr>
              <w:jc w:val="both"/>
              <w:rPr>
                <w:rFonts w:cstheme="minorHAnsi"/>
                <w:sz w:val="20"/>
                <w:szCs w:val="20"/>
              </w:rPr>
            </w:pPr>
          </w:p>
        </w:tc>
      </w:tr>
      <w:tr w:rsidR="00FA7013" w:rsidRPr="0038322F" w14:paraId="2911DAD2" w14:textId="77777777" w:rsidTr="00862BFF">
        <w:tc>
          <w:tcPr>
            <w:tcW w:w="846" w:type="dxa"/>
          </w:tcPr>
          <w:p w14:paraId="1CACAA29" w14:textId="77777777" w:rsidR="00FA7013" w:rsidRPr="0038322F" w:rsidRDefault="00FA7013" w:rsidP="00B74CC0">
            <w:pPr>
              <w:pStyle w:val="Akapitzlist"/>
              <w:numPr>
                <w:ilvl w:val="0"/>
                <w:numId w:val="15"/>
              </w:numPr>
              <w:ind w:left="313"/>
              <w:jc w:val="center"/>
              <w:rPr>
                <w:rFonts w:cstheme="minorHAnsi"/>
                <w:sz w:val="20"/>
                <w:szCs w:val="20"/>
              </w:rPr>
            </w:pPr>
          </w:p>
        </w:tc>
        <w:tc>
          <w:tcPr>
            <w:tcW w:w="1843" w:type="dxa"/>
          </w:tcPr>
          <w:p w14:paraId="2708A114" w14:textId="00E15A3F" w:rsidR="00FA7013" w:rsidRPr="0038322F" w:rsidRDefault="00FA7013" w:rsidP="00FA7013">
            <w:pPr>
              <w:jc w:val="center"/>
              <w:rPr>
                <w:rFonts w:eastAsia="Lato" w:cstheme="minorHAnsi"/>
                <w:sz w:val="20"/>
                <w:szCs w:val="20"/>
              </w:rPr>
            </w:pPr>
            <w:r w:rsidRPr="0038322F">
              <w:rPr>
                <w:rFonts w:eastAsia="Calibri" w:cstheme="minorHAnsi"/>
                <w:sz w:val="20"/>
                <w:szCs w:val="20"/>
                <w:lang w:val="pl"/>
              </w:rPr>
              <w:t>Art. 1 pkt 2 lit. b</w:t>
            </w:r>
          </w:p>
        </w:tc>
        <w:tc>
          <w:tcPr>
            <w:tcW w:w="5670" w:type="dxa"/>
          </w:tcPr>
          <w:p w14:paraId="1118449D" w14:textId="5AFCCF47" w:rsidR="00FA7013" w:rsidRPr="0038322F" w:rsidRDefault="00FA7013" w:rsidP="00FA7013">
            <w:pPr>
              <w:jc w:val="both"/>
              <w:rPr>
                <w:rFonts w:cstheme="minorHAnsi"/>
                <w:sz w:val="20"/>
                <w:szCs w:val="20"/>
              </w:rPr>
            </w:pPr>
            <w:r w:rsidRPr="0038322F">
              <w:rPr>
                <w:rFonts w:eastAsia="Calibri" w:cstheme="minorHAnsi"/>
                <w:sz w:val="20"/>
                <w:szCs w:val="20"/>
                <w:lang w:val="pl"/>
              </w:rPr>
              <w:t xml:space="preserve">Zasady i warunki zawierania elastycznych umów o przyłączenie, </w:t>
            </w:r>
            <w:r w:rsidR="00B9365D" w:rsidRPr="0038322F">
              <w:rPr>
                <w:rFonts w:eastAsia="Calibri" w:cstheme="minorHAnsi"/>
                <w:sz w:val="20"/>
                <w:szCs w:val="20"/>
                <w:lang w:val="pl"/>
              </w:rPr>
              <w:br/>
            </w:r>
            <w:r w:rsidRPr="0038322F">
              <w:rPr>
                <w:rFonts w:eastAsia="Calibri" w:cstheme="minorHAnsi"/>
                <w:sz w:val="20"/>
                <w:szCs w:val="20"/>
                <w:lang w:val="pl"/>
              </w:rPr>
              <w:t>z uwagi na ich charakter, powinny być zunifikowane i jednakowo stosowane przez wszystkich operatorów. Aby tak się stało, niezbędny jest nadzór URE.</w:t>
            </w:r>
          </w:p>
        </w:tc>
        <w:tc>
          <w:tcPr>
            <w:tcW w:w="4394" w:type="dxa"/>
          </w:tcPr>
          <w:p w14:paraId="6FE59638" w14:textId="77777777" w:rsidR="00FA7013" w:rsidRPr="0038322F" w:rsidRDefault="00FA7013" w:rsidP="00FA7013">
            <w:pPr>
              <w:jc w:val="both"/>
              <w:rPr>
                <w:rFonts w:eastAsia="Calibri" w:cstheme="minorHAnsi"/>
                <w:sz w:val="20"/>
                <w:szCs w:val="20"/>
                <w:lang w:val="pl"/>
              </w:rPr>
            </w:pPr>
            <w:r w:rsidRPr="0038322F">
              <w:rPr>
                <w:rFonts w:eastAsia="Calibri" w:cstheme="minorHAnsi"/>
                <w:sz w:val="20"/>
                <w:szCs w:val="20"/>
                <w:lang w:val="pl"/>
              </w:rPr>
              <w:t xml:space="preserve">W art. </w:t>
            </w:r>
            <w:r w:rsidRPr="0038322F">
              <w:rPr>
                <w:rFonts w:eastAsia="Calibri" w:cstheme="minorHAnsi"/>
                <w:sz w:val="20"/>
                <w:szCs w:val="20"/>
              </w:rPr>
              <w:t>7</w:t>
            </w:r>
            <w:r w:rsidRPr="0038322F">
              <w:rPr>
                <w:rFonts w:eastAsia="Calibri" w:cstheme="minorHAnsi"/>
                <w:position w:val="9"/>
                <w:sz w:val="20"/>
                <w:szCs w:val="20"/>
              </w:rPr>
              <w:t xml:space="preserve">1 </w:t>
            </w:r>
            <w:r w:rsidRPr="0038322F">
              <w:rPr>
                <w:rFonts w:cstheme="minorHAnsi"/>
                <w:sz w:val="20"/>
                <w:szCs w:val="20"/>
              </w:rPr>
              <w:t>po ust. 6 dodaje się ust. 7 w brzmieniu:</w:t>
            </w:r>
          </w:p>
          <w:p w14:paraId="6B0CE9AD" w14:textId="55C0C39A" w:rsidR="00FA7013" w:rsidRPr="0038322F" w:rsidRDefault="00FA7013" w:rsidP="00FA7013">
            <w:pPr>
              <w:jc w:val="both"/>
              <w:rPr>
                <w:rFonts w:cstheme="minorHAnsi"/>
                <w:sz w:val="20"/>
                <w:szCs w:val="20"/>
              </w:rPr>
            </w:pPr>
            <w:r w:rsidRPr="0038322F">
              <w:rPr>
                <w:rFonts w:eastAsia="Calibri" w:cstheme="minorHAnsi"/>
                <w:sz w:val="20"/>
                <w:szCs w:val="20"/>
                <w:lang w:val="pl"/>
              </w:rPr>
              <w:t xml:space="preserve">7. </w:t>
            </w:r>
            <w:r w:rsidRPr="0038322F">
              <w:rPr>
                <w:rFonts w:eastAsia="Calibri" w:cstheme="minorHAnsi"/>
                <w:b/>
                <w:bCs/>
                <w:sz w:val="20"/>
                <w:szCs w:val="20"/>
                <w:lang w:val="pl"/>
              </w:rPr>
              <w:t xml:space="preserve">Zasady zawierania elastycznych umów o przyłączenie do sieci są określane jednakowo dla wszystkich operatorów systemu elektroenergetycznego przez Prezesa URE oraz publikowane </w:t>
            </w:r>
            <w:r w:rsidRPr="0038322F">
              <w:rPr>
                <w:rFonts w:cstheme="minorHAnsi"/>
                <w:sz w:val="20"/>
                <w:szCs w:val="20"/>
              </w:rPr>
              <w:t xml:space="preserve"> </w:t>
            </w:r>
            <w:r w:rsidRPr="0038322F">
              <w:rPr>
                <w:rFonts w:eastAsia="Calibri" w:cstheme="minorHAnsi"/>
                <w:b/>
                <w:bCs/>
                <w:sz w:val="20"/>
                <w:szCs w:val="20"/>
                <w:lang w:val="pl"/>
              </w:rPr>
              <w:t>w Biuletynie Urzędu Regulacji Energetyki.</w:t>
            </w:r>
          </w:p>
        </w:tc>
        <w:tc>
          <w:tcPr>
            <w:tcW w:w="1286" w:type="dxa"/>
          </w:tcPr>
          <w:p w14:paraId="696D819A" w14:textId="77777777" w:rsidR="00FA7013" w:rsidRPr="0038322F" w:rsidRDefault="00FA7013" w:rsidP="00FA7013">
            <w:pPr>
              <w:jc w:val="both"/>
              <w:rPr>
                <w:rFonts w:cstheme="minorHAnsi"/>
                <w:sz w:val="20"/>
                <w:szCs w:val="20"/>
              </w:rPr>
            </w:pPr>
          </w:p>
        </w:tc>
      </w:tr>
      <w:tr w:rsidR="00FA7013" w:rsidRPr="0038322F" w14:paraId="5B66F74C" w14:textId="77777777" w:rsidTr="00862BFF">
        <w:tc>
          <w:tcPr>
            <w:tcW w:w="846" w:type="dxa"/>
          </w:tcPr>
          <w:p w14:paraId="0D18C6EF" w14:textId="77777777" w:rsidR="00FA7013" w:rsidRPr="0038322F" w:rsidRDefault="00FA7013" w:rsidP="00B74CC0">
            <w:pPr>
              <w:pStyle w:val="Akapitzlist"/>
              <w:numPr>
                <w:ilvl w:val="0"/>
                <w:numId w:val="15"/>
              </w:numPr>
              <w:ind w:left="313"/>
              <w:jc w:val="center"/>
              <w:rPr>
                <w:rFonts w:cstheme="minorHAnsi"/>
                <w:sz w:val="20"/>
                <w:szCs w:val="20"/>
              </w:rPr>
            </w:pPr>
          </w:p>
        </w:tc>
        <w:tc>
          <w:tcPr>
            <w:tcW w:w="1843" w:type="dxa"/>
          </w:tcPr>
          <w:p w14:paraId="5E93EF55" w14:textId="1C1B7729" w:rsidR="00FA7013" w:rsidRPr="0038322F" w:rsidRDefault="00FA7013" w:rsidP="00FA7013">
            <w:pPr>
              <w:jc w:val="center"/>
              <w:rPr>
                <w:rFonts w:eastAsia="Calibri" w:cstheme="minorHAnsi"/>
                <w:sz w:val="20"/>
                <w:szCs w:val="20"/>
              </w:rPr>
            </w:pPr>
            <w:r w:rsidRPr="0038322F">
              <w:rPr>
                <w:rFonts w:eastAsia="Calibri" w:cstheme="minorHAnsi"/>
                <w:sz w:val="20"/>
                <w:szCs w:val="20"/>
              </w:rPr>
              <w:t xml:space="preserve">Art. 1 pkt 2 lit. </w:t>
            </w:r>
            <w:r w:rsidR="008A62C4" w:rsidRPr="0038322F">
              <w:rPr>
                <w:rFonts w:eastAsia="Calibri" w:cstheme="minorHAnsi"/>
                <w:sz w:val="20"/>
                <w:szCs w:val="20"/>
              </w:rPr>
              <w:t>b</w:t>
            </w:r>
          </w:p>
          <w:p w14:paraId="13722F5E" w14:textId="77777777" w:rsidR="008A62C4" w:rsidRPr="0038322F" w:rsidRDefault="008A62C4" w:rsidP="00FA7013">
            <w:pPr>
              <w:jc w:val="center"/>
              <w:rPr>
                <w:rFonts w:eastAsia="Calibri" w:cstheme="minorHAnsi"/>
                <w:sz w:val="20"/>
                <w:szCs w:val="20"/>
              </w:rPr>
            </w:pPr>
          </w:p>
          <w:p w14:paraId="0A946471" w14:textId="4415998F" w:rsidR="008A62C4" w:rsidRPr="0038322F" w:rsidRDefault="008A62C4" w:rsidP="00FA7013">
            <w:pPr>
              <w:jc w:val="center"/>
              <w:rPr>
                <w:rFonts w:eastAsia="Lato" w:cstheme="minorHAnsi"/>
                <w:sz w:val="20"/>
                <w:szCs w:val="20"/>
              </w:rPr>
            </w:pPr>
            <w:r w:rsidRPr="0038322F">
              <w:rPr>
                <w:rFonts w:eastAsia="Calibri" w:cstheme="minorHAnsi"/>
                <w:sz w:val="20"/>
                <w:szCs w:val="20"/>
              </w:rPr>
              <w:t>Uwaga redakcyjna</w:t>
            </w:r>
          </w:p>
        </w:tc>
        <w:tc>
          <w:tcPr>
            <w:tcW w:w="5670" w:type="dxa"/>
          </w:tcPr>
          <w:p w14:paraId="79DDFD91" w14:textId="6BA2A5A3" w:rsidR="00FA7013" w:rsidRPr="0038322F" w:rsidRDefault="00FA7013" w:rsidP="00FA7013">
            <w:pPr>
              <w:jc w:val="both"/>
              <w:rPr>
                <w:rFonts w:cstheme="minorHAnsi"/>
                <w:sz w:val="20"/>
                <w:szCs w:val="20"/>
              </w:rPr>
            </w:pPr>
            <w:r w:rsidRPr="0038322F">
              <w:rPr>
                <w:rFonts w:eastAsia="Calibri" w:cstheme="minorHAnsi"/>
                <w:sz w:val="20"/>
                <w:szCs w:val="20"/>
                <w:lang w:val="pl"/>
              </w:rPr>
              <w:t>Brak dookreślenia zasad dotyczących parametrów sieci, które mogą powodować ograniczenia</w:t>
            </w:r>
            <w:r w:rsidR="00347B41" w:rsidRPr="0038322F">
              <w:rPr>
                <w:rFonts w:eastAsia="Calibri" w:cstheme="minorHAnsi"/>
                <w:sz w:val="20"/>
                <w:szCs w:val="20"/>
                <w:lang w:val="pl"/>
              </w:rPr>
              <w:t>.</w:t>
            </w:r>
          </w:p>
        </w:tc>
        <w:tc>
          <w:tcPr>
            <w:tcW w:w="4394" w:type="dxa"/>
          </w:tcPr>
          <w:p w14:paraId="54559E8F" w14:textId="07C27861" w:rsidR="00FA7013" w:rsidRPr="0038322F" w:rsidRDefault="00FA7013" w:rsidP="00FA7013">
            <w:pPr>
              <w:jc w:val="both"/>
              <w:rPr>
                <w:rFonts w:cstheme="minorHAnsi"/>
                <w:sz w:val="20"/>
                <w:szCs w:val="20"/>
              </w:rPr>
            </w:pPr>
            <w:r w:rsidRPr="0038322F">
              <w:rPr>
                <w:rFonts w:eastAsia="Calibri" w:cstheme="minorHAnsi"/>
                <w:sz w:val="20"/>
                <w:szCs w:val="20"/>
                <w:lang w:val="pl"/>
              </w:rPr>
              <w:t xml:space="preserve">11m) konfigurowalna umowa o przyłączenie do sieci – umowę o przyłączenie do sieci elektroenergetycznej zawierającą postanowienia dotyczące ograniczenia wprowadzania energii elektrycznej do sieci elektroenergetycznej lub poboru energii elektrycznej z tej sieci </w:t>
            </w:r>
            <w:r w:rsidRPr="0038322F">
              <w:rPr>
                <w:rFonts w:eastAsia="Calibri" w:cstheme="minorHAnsi"/>
                <w:b/>
                <w:bCs/>
                <w:sz w:val="20"/>
                <w:szCs w:val="20"/>
                <w:lang w:val="pl"/>
              </w:rPr>
              <w:t>w zależności od zastosowanej technologii wytwarzania lub poboru</w:t>
            </w:r>
            <w:r w:rsidRPr="0038322F">
              <w:rPr>
                <w:rFonts w:eastAsia="Calibri" w:cstheme="minorHAnsi"/>
                <w:sz w:val="20"/>
                <w:szCs w:val="20"/>
                <w:lang w:val="pl"/>
              </w:rPr>
              <w:t xml:space="preserve">, które mogą być zmienne w czasie i mogą odnosić się do zdefiniowanych zdarzeń lub parametrów związanych  z pracą tej sieci, </w:t>
            </w:r>
          </w:p>
        </w:tc>
        <w:tc>
          <w:tcPr>
            <w:tcW w:w="1286" w:type="dxa"/>
          </w:tcPr>
          <w:p w14:paraId="73B0A997" w14:textId="77777777" w:rsidR="00FA7013" w:rsidRPr="0038322F" w:rsidRDefault="00FA7013" w:rsidP="00FA7013">
            <w:pPr>
              <w:jc w:val="both"/>
              <w:rPr>
                <w:rFonts w:cstheme="minorHAnsi"/>
                <w:sz w:val="20"/>
                <w:szCs w:val="20"/>
              </w:rPr>
            </w:pPr>
          </w:p>
        </w:tc>
      </w:tr>
      <w:tr w:rsidR="00CF3FB2" w:rsidRPr="0038322F" w14:paraId="6315B8C8" w14:textId="77777777" w:rsidTr="00862BFF">
        <w:tc>
          <w:tcPr>
            <w:tcW w:w="846" w:type="dxa"/>
          </w:tcPr>
          <w:p w14:paraId="5FE50657" w14:textId="77777777" w:rsidR="00CF3FB2" w:rsidRPr="0038322F" w:rsidRDefault="00CF3FB2" w:rsidP="00B74CC0">
            <w:pPr>
              <w:pStyle w:val="Akapitzlist"/>
              <w:numPr>
                <w:ilvl w:val="0"/>
                <w:numId w:val="15"/>
              </w:numPr>
              <w:ind w:left="313"/>
              <w:jc w:val="center"/>
              <w:rPr>
                <w:rFonts w:cstheme="minorHAnsi"/>
                <w:sz w:val="20"/>
                <w:szCs w:val="20"/>
              </w:rPr>
            </w:pPr>
          </w:p>
        </w:tc>
        <w:tc>
          <w:tcPr>
            <w:tcW w:w="1843" w:type="dxa"/>
          </w:tcPr>
          <w:p w14:paraId="7248BF67" w14:textId="77777777" w:rsidR="00CF3FB2" w:rsidRPr="0038322F" w:rsidRDefault="00CF3FB2" w:rsidP="00CF3FB2">
            <w:pPr>
              <w:jc w:val="center"/>
              <w:rPr>
                <w:rFonts w:eastAsia="Calibri" w:cstheme="minorHAnsi"/>
                <w:sz w:val="20"/>
                <w:szCs w:val="20"/>
                <w:lang w:val="pl"/>
              </w:rPr>
            </w:pPr>
            <w:r w:rsidRPr="0038322F">
              <w:rPr>
                <w:rFonts w:eastAsia="Calibri" w:cstheme="minorHAnsi"/>
                <w:sz w:val="20"/>
                <w:szCs w:val="20"/>
                <w:lang w:val="pl"/>
              </w:rPr>
              <w:t>Art. 1 pkt 3 w zakresie dodawanego ust. 1be</w:t>
            </w:r>
          </w:p>
          <w:p w14:paraId="1C36C4FB" w14:textId="77777777" w:rsidR="008A62C4" w:rsidRPr="0038322F" w:rsidRDefault="008A62C4" w:rsidP="00CF3FB2">
            <w:pPr>
              <w:jc w:val="center"/>
              <w:rPr>
                <w:rFonts w:eastAsia="Calibri" w:cstheme="minorHAnsi"/>
                <w:sz w:val="20"/>
                <w:szCs w:val="20"/>
                <w:lang w:val="pl"/>
              </w:rPr>
            </w:pPr>
          </w:p>
          <w:p w14:paraId="703120E1" w14:textId="7C2F84CE" w:rsidR="008A62C4" w:rsidRPr="0038322F" w:rsidRDefault="008A62C4" w:rsidP="00CF3FB2">
            <w:pPr>
              <w:jc w:val="center"/>
              <w:rPr>
                <w:rFonts w:eastAsia="Calibri" w:cstheme="minorHAnsi"/>
                <w:sz w:val="20"/>
                <w:szCs w:val="20"/>
                <w:lang w:val="pl"/>
              </w:rPr>
            </w:pPr>
            <w:proofErr w:type="spellStart"/>
            <w:r w:rsidRPr="0038322F">
              <w:rPr>
                <w:rFonts w:eastAsia="Calibri" w:cstheme="minorHAnsi"/>
                <w:sz w:val="20"/>
                <w:szCs w:val="20"/>
                <w:lang w:val="en-GB"/>
              </w:rPr>
              <w:t>Uwaga</w:t>
            </w:r>
            <w:proofErr w:type="spellEnd"/>
            <w:r w:rsidRPr="0038322F">
              <w:rPr>
                <w:rFonts w:eastAsia="Calibri" w:cstheme="minorHAnsi"/>
                <w:sz w:val="20"/>
                <w:szCs w:val="20"/>
                <w:lang w:val="en-GB"/>
              </w:rPr>
              <w:t xml:space="preserve"> </w:t>
            </w:r>
            <w:proofErr w:type="spellStart"/>
            <w:r w:rsidRPr="0038322F">
              <w:rPr>
                <w:rFonts w:eastAsia="Calibri" w:cstheme="minorHAnsi"/>
                <w:sz w:val="20"/>
                <w:szCs w:val="20"/>
                <w:lang w:val="en-GB"/>
              </w:rPr>
              <w:t>redakcyjna</w:t>
            </w:r>
            <w:proofErr w:type="spellEnd"/>
          </w:p>
        </w:tc>
        <w:tc>
          <w:tcPr>
            <w:tcW w:w="5670" w:type="dxa"/>
          </w:tcPr>
          <w:p w14:paraId="27C73972" w14:textId="6B0C6926" w:rsidR="00CF3FB2" w:rsidRPr="0038322F" w:rsidRDefault="00CF3FB2" w:rsidP="00CF3FB2">
            <w:pPr>
              <w:jc w:val="both"/>
              <w:rPr>
                <w:rFonts w:eastAsia="Calibri" w:cstheme="minorHAnsi"/>
                <w:sz w:val="20"/>
                <w:szCs w:val="20"/>
                <w:lang w:val="pl"/>
              </w:rPr>
            </w:pPr>
            <w:r w:rsidRPr="0038322F">
              <w:rPr>
                <w:rFonts w:eastAsia="Calibri" w:cstheme="minorHAnsi"/>
                <w:sz w:val="20"/>
                <w:szCs w:val="20"/>
                <w:lang w:val="pl"/>
              </w:rPr>
              <w:t xml:space="preserve">Zapisy nie ujmują instalacji drugiego licznika dla układów </w:t>
            </w:r>
            <w:r w:rsidR="00347B41" w:rsidRPr="0038322F">
              <w:rPr>
                <w:rFonts w:eastAsia="Calibri" w:cstheme="minorHAnsi"/>
                <w:sz w:val="20"/>
                <w:szCs w:val="20"/>
                <w:lang w:val="pl"/>
              </w:rPr>
              <w:br/>
            </w:r>
            <w:r w:rsidRPr="0038322F">
              <w:rPr>
                <w:rFonts w:eastAsia="Calibri" w:cstheme="minorHAnsi"/>
                <w:sz w:val="20"/>
                <w:szCs w:val="20"/>
                <w:lang w:val="pl"/>
              </w:rPr>
              <w:t xml:space="preserve">z wprowadzaniem energii do sieci. Dotychczasowy zapis pominął liczniki dla instalacji wytwórczych. </w:t>
            </w:r>
          </w:p>
        </w:tc>
        <w:tc>
          <w:tcPr>
            <w:tcW w:w="4394" w:type="dxa"/>
          </w:tcPr>
          <w:p w14:paraId="0F3B14C2" w14:textId="77777777" w:rsidR="00CF3FB2" w:rsidRPr="0038322F" w:rsidRDefault="00CF3FB2" w:rsidP="00CF3FB2">
            <w:pPr>
              <w:jc w:val="both"/>
              <w:rPr>
                <w:rFonts w:eastAsia="Calibri" w:cstheme="minorHAnsi"/>
                <w:sz w:val="20"/>
                <w:szCs w:val="20"/>
                <w:lang w:val="pl"/>
              </w:rPr>
            </w:pPr>
            <w:r w:rsidRPr="0038322F">
              <w:rPr>
                <w:rFonts w:cstheme="minorHAnsi"/>
                <w:spacing w:val="-1"/>
                <w:sz w:val="20"/>
                <w:szCs w:val="20"/>
              </w:rPr>
              <w:t>Przedsiębiorstwo</w:t>
            </w:r>
            <w:r w:rsidRPr="0038322F">
              <w:rPr>
                <w:rFonts w:cstheme="minorHAnsi"/>
                <w:spacing w:val="56"/>
                <w:sz w:val="20"/>
                <w:szCs w:val="20"/>
              </w:rPr>
              <w:t xml:space="preserve"> </w:t>
            </w:r>
            <w:r w:rsidRPr="0038322F">
              <w:rPr>
                <w:rFonts w:cstheme="minorHAnsi"/>
                <w:spacing w:val="-1"/>
                <w:sz w:val="20"/>
                <w:szCs w:val="20"/>
              </w:rPr>
              <w:t>energetyczne</w:t>
            </w:r>
            <w:r w:rsidRPr="0038322F">
              <w:rPr>
                <w:rFonts w:cstheme="minorHAnsi"/>
                <w:spacing w:val="54"/>
                <w:sz w:val="20"/>
                <w:szCs w:val="20"/>
              </w:rPr>
              <w:t xml:space="preserve"> </w:t>
            </w:r>
            <w:r w:rsidRPr="0038322F">
              <w:rPr>
                <w:rFonts w:cstheme="minorHAnsi"/>
                <w:spacing w:val="-1"/>
                <w:sz w:val="20"/>
                <w:szCs w:val="20"/>
              </w:rPr>
              <w:t>zajmujące</w:t>
            </w:r>
            <w:r w:rsidRPr="0038322F">
              <w:rPr>
                <w:rFonts w:cstheme="minorHAnsi"/>
                <w:spacing w:val="54"/>
                <w:sz w:val="20"/>
                <w:szCs w:val="20"/>
              </w:rPr>
              <w:t xml:space="preserve"> </w:t>
            </w:r>
            <w:r w:rsidRPr="0038322F">
              <w:rPr>
                <w:rFonts w:cstheme="minorHAnsi"/>
                <w:sz w:val="20"/>
                <w:szCs w:val="20"/>
              </w:rPr>
              <w:t>się</w:t>
            </w:r>
            <w:r w:rsidRPr="0038322F">
              <w:rPr>
                <w:rFonts w:cstheme="minorHAnsi"/>
                <w:spacing w:val="54"/>
                <w:sz w:val="20"/>
                <w:szCs w:val="20"/>
              </w:rPr>
              <w:t xml:space="preserve"> </w:t>
            </w:r>
            <w:r w:rsidRPr="0038322F">
              <w:rPr>
                <w:rFonts w:cstheme="minorHAnsi"/>
                <w:spacing w:val="-1"/>
                <w:sz w:val="20"/>
                <w:szCs w:val="20"/>
              </w:rPr>
              <w:t>przesyłaniem</w:t>
            </w:r>
            <w:r w:rsidRPr="0038322F">
              <w:rPr>
                <w:rFonts w:cstheme="minorHAnsi"/>
                <w:spacing w:val="57"/>
                <w:sz w:val="20"/>
                <w:szCs w:val="20"/>
              </w:rPr>
              <w:t xml:space="preserve"> </w:t>
            </w:r>
            <w:r w:rsidRPr="0038322F">
              <w:rPr>
                <w:rFonts w:cstheme="minorHAnsi"/>
                <w:spacing w:val="-1"/>
                <w:sz w:val="20"/>
                <w:szCs w:val="20"/>
              </w:rPr>
              <w:t>lub</w:t>
            </w:r>
            <w:r w:rsidRPr="0038322F">
              <w:rPr>
                <w:rFonts w:cstheme="minorHAnsi"/>
                <w:spacing w:val="85"/>
                <w:sz w:val="20"/>
                <w:szCs w:val="20"/>
              </w:rPr>
              <w:t xml:space="preserve"> </w:t>
            </w:r>
            <w:r w:rsidRPr="0038322F">
              <w:rPr>
                <w:rFonts w:cstheme="minorHAnsi"/>
                <w:spacing w:val="-1"/>
                <w:sz w:val="20"/>
                <w:szCs w:val="20"/>
              </w:rPr>
              <w:t>dystrybucją</w:t>
            </w:r>
            <w:r w:rsidRPr="0038322F">
              <w:rPr>
                <w:rFonts w:cstheme="minorHAnsi"/>
                <w:sz w:val="20"/>
                <w:szCs w:val="20"/>
              </w:rPr>
              <w:t xml:space="preserve"> </w:t>
            </w:r>
            <w:r w:rsidRPr="0038322F">
              <w:rPr>
                <w:rFonts w:cstheme="minorHAnsi"/>
                <w:spacing w:val="-1"/>
                <w:sz w:val="20"/>
                <w:szCs w:val="20"/>
              </w:rPr>
              <w:t>energii</w:t>
            </w:r>
            <w:r w:rsidRPr="0038322F">
              <w:rPr>
                <w:rFonts w:cstheme="minorHAnsi"/>
                <w:sz w:val="20"/>
                <w:szCs w:val="20"/>
              </w:rPr>
              <w:t xml:space="preserve"> w </w:t>
            </w:r>
            <w:r w:rsidRPr="0038322F">
              <w:rPr>
                <w:rFonts w:cstheme="minorHAnsi"/>
                <w:spacing w:val="-1"/>
                <w:sz w:val="20"/>
                <w:szCs w:val="20"/>
              </w:rPr>
              <w:t>przypadku,</w:t>
            </w:r>
            <w:r w:rsidRPr="0038322F">
              <w:rPr>
                <w:rFonts w:cstheme="minorHAnsi"/>
                <w:sz w:val="20"/>
                <w:szCs w:val="20"/>
              </w:rPr>
              <w:t xml:space="preserve"> gdy:</w:t>
            </w:r>
          </w:p>
          <w:p w14:paraId="68980C59" w14:textId="77777777" w:rsidR="00CF3FB2" w:rsidRPr="0038322F" w:rsidRDefault="00CF3FB2" w:rsidP="00CF3FB2">
            <w:pPr>
              <w:jc w:val="both"/>
              <w:rPr>
                <w:rFonts w:cstheme="minorHAnsi"/>
                <w:sz w:val="20"/>
                <w:szCs w:val="20"/>
              </w:rPr>
            </w:pPr>
            <w:r w:rsidRPr="0038322F">
              <w:rPr>
                <w:rFonts w:eastAsia="Calibri" w:cstheme="minorHAnsi"/>
                <w:sz w:val="20"/>
                <w:szCs w:val="20"/>
                <w:lang w:val="pl"/>
              </w:rPr>
              <w:t xml:space="preserve">1)łączna moc pobierana </w:t>
            </w:r>
            <w:r w:rsidRPr="0038322F">
              <w:rPr>
                <w:rFonts w:eastAsia="Calibri" w:cstheme="minorHAnsi"/>
                <w:b/>
                <w:bCs/>
                <w:sz w:val="20"/>
                <w:szCs w:val="20"/>
                <w:lang w:val="pl"/>
              </w:rPr>
              <w:t>lub wprowadzana</w:t>
            </w:r>
            <w:r w:rsidRPr="0038322F">
              <w:rPr>
                <w:rFonts w:eastAsia="Calibri" w:cstheme="minorHAnsi"/>
                <w:sz w:val="20"/>
                <w:szCs w:val="20"/>
                <w:lang w:val="pl"/>
              </w:rPr>
              <w:t xml:space="preserve"> w dotychczasowym i dodatkowym punkcie poboru energii nie przekracza mocy przyłączeniowej – w terminie 30 dni od dnia poinformowania o spełnieniu wymagań technicznych, o których mowa w ust. 1bd, instaluje na koszt wnioskodawcy układ pomiarowo-rozliczeniowy i tworzy dodatkowy punkt poboru energii;</w:t>
            </w:r>
          </w:p>
          <w:p w14:paraId="20F39EDC" w14:textId="2C1EA32D" w:rsidR="00CF3FB2" w:rsidRPr="0038322F" w:rsidRDefault="00CF3FB2" w:rsidP="00CF3FB2">
            <w:pPr>
              <w:jc w:val="both"/>
              <w:rPr>
                <w:rFonts w:eastAsia="Calibri" w:cstheme="minorHAnsi"/>
                <w:sz w:val="20"/>
                <w:szCs w:val="20"/>
                <w:lang w:val="pl"/>
              </w:rPr>
            </w:pPr>
            <w:r w:rsidRPr="0038322F">
              <w:rPr>
                <w:rFonts w:eastAsia="Calibri" w:cstheme="minorHAnsi"/>
                <w:sz w:val="20"/>
                <w:szCs w:val="20"/>
                <w:lang w:val="pl"/>
              </w:rPr>
              <w:t xml:space="preserve">2)łączna moc pobierana </w:t>
            </w:r>
            <w:r w:rsidRPr="0038322F">
              <w:rPr>
                <w:rFonts w:eastAsia="Calibri" w:cstheme="minorHAnsi"/>
                <w:b/>
                <w:bCs/>
                <w:sz w:val="20"/>
                <w:szCs w:val="20"/>
                <w:lang w:val="pl"/>
              </w:rPr>
              <w:t>lub wprowadzana</w:t>
            </w:r>
            <w:r w:rsidRPr="0038322F">
              <w:rPr>
                <w:rFonts w:eastAsia="Calibri" w:cstheme="minorHAnsi"/>
                <w:sz w:val="20"/>
                <w:szCs w:val="20"/>
                <w:lang w:val="pl"/>
              </w:rPr>
              <w:t xml:space="preserve"> w dotychczasowym i dodatkowym punkcie poboru energii przekracza moc przyłączeniową – informuje wnioskodawcę o odmowie utworzenia dodatkowego punktu poboru energii i o możliwości złożenia wniosku o zwiększenie mocy przyłączeniowej w celu utworzenia dodatkowego punktu poboru energii.</w:t>
            </w:r>
          </w:p>
        </w:tc>
        <w:tc>
          <w:tcPr>
            <w:tcW w:w="1286" w:type="dxa"/>
          </w:tcPr>
          <w:p w14:paraId="3D222C99" w14:textId="77777777" w:rsidR="00CF3FB2" w:rsidRPr="0038322F" w:rsidRDefault="00CF3FB2" w:rsidP="00CF3FB2">
            <w:pPr>
              <w:jc w:val="both"/>
              <w:rPr>
                <w:rFonts w:cstheme="minorHAnsi"/>
                <w:sz w:val="20"/>
                <w:szCs w:val="20"/>
              </w:rPr>
            </w:pPr>
          </w:p>
        </w:tc>
      </w:tr>
      <w:tr w:rsidR="00D1147A" w:rsidRPr="0038322F" w14:paraId="3741C1BB" w14:textId="77777777" w:rsidTr="00862BFF">
        <w:tc>
          <w:tcPr>
            <w:tcW w:w="846" w:type="dxa"/>
          </w:tcPr>
          <w:p w14:paraId="5A1EDB47" w14:textId="77777777" w:rsidR="00D1147A" w:rsidRPr="0038322F" w:rsidRDefault="00D1147A" w:rsidP="00D1147A">
            <w:pPr>
              <w:pStyle w:val="Akapitzlist"/>
              <w:numPr>
                <w:ilvl w:val="0"/>
                <w:numId w:val="15"/>
              </w:numPr>
              <w:ind w:left="313"/>
              <w:jc w:val="center"/>
              <w:rPr>
                <w:rFonts w:cstheme="minorHAnsi"/>
                <w:sz w:val="20"/>
                <w:szCs w:val="20"/>
              </w:rPr>
            </w:pPr>
          </w:p>
        </w:tc>
        <w:tc>
          <w:tcPr>
            <w:tcW w:w="1843" w:type="dxa"/>
          </w:tcPr>
          <w:p w14:paraId="3D1BE0E7" w14:textId="77777777" w:rsidR="00D1147A" w:rsidRPr="0038322F" w:rsidRDefault="00D1147A" w:rsidP="00D1147A">
            <w:pPr>
              <w:ind w:left="174" w:right="121"/>
              <w:jc w:val="center"/>
              <w:rPr>
                <w:rFonts w:cstheme="minorHAnsi"/>
                <w:sz w:val="20"/>
                <w:szCs w:val="20"/>
                <w:lang w:val="en-GB"/>
              </w:rPr>
            </w:pPr>
            <w:r w:rsidRPr="0038322F">
              <w:rPr>
                <w:rFonts w:eastAsia="Lato" w:cstheme="minorHAnsi"/>
                <w:sz w:val="20"/>
                <w:szCs w:val="20"/>
                <w:lang w:val="en-US"/>
              </w:rPr>
              <w:t>Art. 1 pkt 3 lit. d</w:t>
            </w:r>
          </w:p>
          <w:p w14:paraId="718FC59F" w14:textId="77777777" w:rsidR="00D1147A" w:rsidRPr="0038322F" w:rsidRDefault="00D1147A" w:rsidP="00D1147A">
            <w:pPr>
              <w:ind w:left="174" w:right="121"/>
              <w:jc w:val="center"/>
              <w:rPr>
                <w:rFonts w:cstheme="minorHAnsi"/>
                <w:sz w:val="20"/>
                <w:szCs w:val="20"/>
                <w:lang w:val="en-GB"/>
              </w:rPr>
            </w:pPr>
          </w:p>
          <w:p w14:paraId="6CCF1F10" w14:textId="339D5E72" w:rsidR="00D1147A" w:rsidRPr="0038322F" w:rsidRDefault="00D1147A" w:rsidP="00D1147A">
            <w:pPr>
              <w:jc w:val="center"/>
              <w:rPr>
                <w:rFonts w:eastAsia="Calibri" w:cstheme="minorHAnsi"/>
                <w:sz w:val="20"/>
                <w:szCs w:val="20"/>
                <w:lang w:val="en-GB"/>
              </w:rPr>
            </w:pPr>
            <w:proofErr w:type="spellStart"/>
            <w:r w:rsidRPr="0038322F">
              <w:rPr>
                <w:rFonts w:eastAsia="Lato" w:cstheme="minorHAnsi"/>
                <w:sz w:val="20"/>
                <w:szCs w:val="20"/>
                <w:lang w:val="en-US"/>
              </w:rPr>
              <w:t>uPE</w:t>
            </w:r>
            <w:proofErr w:type="spellEnd"/>
            <w:r w:rsidRPr="0038322F">
              <w:rPr>
                <w:rFonts w:eastAsia="Lato" w:cstheme="minorHAnsi"/>
                <w:sz w:val="20"/>
                <w:szCs w:val="20"/>
                <w:lang w:val="en-US"/>
              </w:rPr>
              <w:t xml:space="preserve"> Art. 5 </w:t>
            </w:r>
            <w:proofErr w:type="spellStart"/>
            <w:r w:rsidRPr="0038322F">
              <w:rPr>
                <w:rFonts w:eastAsia="Lato" w:cstheme="minorHAnsi"/>
                <w:sz w:val="20"/>
                <w:szCs w:val="20"/>
                <w:lang w:val="en-US"/>
              </w:rPr>
              <w:t>ust</w:t>
            </w:r>
            <w:proofErr w:type="spellEnd"/>
            <w:r w:rsidRPr="0038322F">
              <w:rPr>
                <w:rFonts w:eastAsia="Lato" w:cstheme="minorHAnsi"/>
                <w:sz w:val="20"/>
                <w:szCs w:val="20"/>
                <w:lang w:val="en-US"/>
              </w:rPr>
              <w:t>. 4ha I 4hb</w:t>
            </w:r>
          </w:p>
        </w:tc>
        <w:tc>
          <w:tcPr>
            <w:tcW w:w="5670" w:type="dxa"/>
          </w:tcPr>
          <w:p w14:paraId="373D14A8" w14:textId="77777777" w:rsidR="00D1147A" w:rsidRPr="0038322F" w:rsidRDefault="00D1147A" w:rsidP="00D1147A">
            <w:pPr>
              <w:ind w:left="29" w:right="142"/>
              <w:jc w:val="both"/>
              <w:rPr>
                <w:rFonts w:cstheme="minorHAnsi"/>
                <w:sz w:val="20"/>
                <w:szCs w:val="20"/>
              </w:rPr>
            </w:pPr>
            <w:r w:rsidRPr="0038322F">
              <w:rPr>
                <w:rFonts w:eastAsia="Lato" w:cstheme="minorHAnsi"/>
                <w:sz w:val="20"/>
                <w:szCs w:val="20"/>
              </w:rPr>
              <w:t>Proponujemy aby zawarcie umowy na czas oznaczony z gwarancją stałej ceny umożliwiało takiemu odbiorcy końcowemu świadczenie usługi odpowiedzi odbioru lub usługi elastyczności ale po spełnieniu dodatkowych warunków takiej umowy. Umowa z gwarancją stałej ceny zawsze bazuje na pewnych podstawowych założeniach dotyczących zarówno prognozowanego wolumenu zużycia jak i profilu tego zużycia. W sytuacji gdyby odbiorca znacząco zmieniał swoje zużycie i jego profil w stosunku do zakładanych w momencie zawierania umowy, po stronie sprzedawcy powstaje ryzyko i koszty, którego ten sprzedawca nie pokryje. To z kolei może brak oferowania takich produktów pomimo zobowiązania ustawowego.</w:t>
            </w:r>
          </w:p>
          <w:p w14:paraId="3D4E3152" w14:textId="77777777" w:rsidR="00D1147A" w:rsidRPr="0038322F" w:rsidRDefault="00D1147A" w:rsidP="00D1147A">
            <w:pPr>
              <w:ind w:left="29" w:right="142"/>
              <w:jc w:val="both"/>
              <w:rPr>
                <w:rFonts w:cstheme="minorHAnsi"/>
                <w:sz w:val="20"/>
                <w:szCs w:val="20"/>
              </w:rPr>
            </w:pPr>
            <w:r w:rsidRPr="0038322F">
              <w:rPr>
                <w:rFonts w:eastAsia="Lato" w:cstheme="minorHAnsi"/>
                <w:sz w:val="20"/>
                <w:szCs w:val="20"/>
              </w:rPr>
              <w:t>W sytuacji niespełnienia tych warunków, sprzedawca powinien mieć możliwość wypowiedzenia takiej umowy przed upływem okresu na jaki została zawarta.</w:t>
            </w:r>
          </w:p>
          <w:p w14:paraId="7BC6EAC8" w14:textId="77777777" w:rsidR="00D1147A" w:rsidRPr="0038322F" w:rsidRDefault="00D1147A" w:rsidP="00D1147A">
            <w:pPr>
              <w:ind w:left="29" w:right="142"/>
              <w:jc w:val="both"/>
              <w:rPr>
                <w:rFonts w:cstheme="minorHAnsi"/>
                <w:sz w:val="20"/>
                <w:szCs w:val="20"/>
              </w:rPr>
            </w:pPr>
            <w:r w:rsidRPr="0038322F">
              <w:rPr>
                <w:rFonts w:eastAsia="Lato" w:cstheme="minorHAnsi"/>
                <w:sz w:val="20"/>
                <w:szCs w:val="20"/>
              </w:rPr>
              <w:t xml:space="preserve">Dodatkowo proponujemy ograniczenie zakazu wypowiedzenia umowy przez Sprzedawcę przed okresem końca obowiązywania umowy z gwarancją stałej ceny względem </w:t>
            </w:r>
            <w:r w:rsidRPr="0038322F">
              <w:rPr>
                <w:rFonts w:eastAsia="Lato" w:cstheme="minorHAnsi"/>
                <w:sz w:val="20"/>
                <w:szCs w:val="20"/>
                <w:u w:val="single"/>
              </w:rPr>
              <w:t xml:space="preserve">odbiorcy energii elektrycznej w gospodarstwie domowym, </w:t>
            </w:r>
            <w:r w:rsidRPr="0038322F">
              <w:rPr>
                <w:rFonts w:eastAsia="Lato" w:cstheme="minorHAnsi"/>
                <w:sz w:val="20"/>
                <w:szCs w:val="20"/>
              </w:rPr>
              <w:t>ewentualnie wobec odbiorców korzystających z ochrony konsumenckiej.</w:t>
            </w:r>
          </w:p>
          <w:p w14:paraId="60E794B5" w14:textId="1929EC40" w:rsidR="00D1147A" w:rsidRPr="0038322F" w:rsidRDefault="00D1147A" w:rsidP="00D1147A">
            <w:pPr>
              <w:jc w:val="both"/>
              <w:rPr>
                <w:rFonts w:eastAsia="Calibri" w:cstheme="minorHAnsi"/>
                <w:sz w:val="20"/>
                <w:szCs w:val="20"/>
                <w:lang w:val="pl"/>
              </w:rPr>
            </w:pPr>
            <w:r w:rsidRPr="0038322F">
              <w:rPr>
                <w:rFonts w:eastAsia="Lato" w:cstheme="minorHAnsi"/>
                <w:sz w:val="20"/>
                <w:szCs w:val="20"/>
              </w:rPr>
              <w:t>Rozszerzenie zakazu wypowiadania na wszystkich odbiorców pozbawia sprzedawcę możliwości zabezpieczenia realizacji umowy, w tym jej zakończenia z przyczyn leżących po stronie odbiorcy, w stosunkach między profesjonalnymi podmiotami.</w:t>
            </w:r>
          </w:p>
        </w:tc>
        <w:tc>
          <w:tcPr>
            <w:tcW w:w="4394" w:type="dxa"/>
          </w:tcPr>
          <w:p w14:paraId="785914CF" w14:textId="77777777" w:rsidR="00D1147A" w:rsidRPr="0038322F" w:rsidRDefault="00D1147A" w:rsidP="00D1147A">
            <w:pPr>
              <w:ind w:left="141" w:right="141"/>
              <w:jc w:val="both"/>
              <w:rPr>
                <w:rFonts w:cstheme="minorHAnsi"/>
                <w:sz w:val="20"/>
                <w:szCs w:val="20"/>
              </w:rPr>
            </w:pPr>
            <w:r w:rsidRPr="0038322F">
              <w:rPr>
                <w:rFonts w:eastAsia="Lato" w:cstheme="minorHAnsi"/>
                <w:sz w:val="20"/>
                <w:szCs w:val="20"/>
              </w:rPr>
              <w:t xml:space="preserve">4ha. Zawarcie umowy na czas oznaczony z gwarancją stałej ceny nie może uniemożliwiać albo utrudniać odbiorcy końcowemu świadczenia usługi odpowiedzi odbioru lub usługi elastyczności </w:t>
            </w:r>
            <w:r w:rsidRPr="0038322F">
              <w:rPr>
                <w:rFonts w:eastAsia="Lato" w:cstheme="minorHAnsi"/>
                <w:sz w:val="20"/>
                <w:szCs w:val="20"/>
                <w:u w:val="single"/>
              </w:rPr>
              <w:t>po spełnieniu przez takiego odbiorcę warunków dotyczących planowanego zużycia energii i profilu jego zużycia określonych w umowie</w:t>
            </w:r>
            <w:r w:rsidRPr="0038322F">
              <w:rPr>
                <w:rFonts w:eastAsia="Lato" w:cstheme="minorHAnsi"/>
                <w:sz w:val="20"/>
                <w:szCs w:val="20"/>
              </w:rPr>
              <w:t xml:space="preserve">. </w:t>
            </w:r>
          </w:p>
          <w:p w14:paraId="0C8046EF" w14:textId="77777777" w:rsidR="00D1147A" w:rsidRPr="0038322F" w:rsidRDefault="00D1147A" w:rsidP="00D1147A">
            <w:pPr>
              <w:ind w:left="141" w:right="141"/>
              <w:jc w:val="both"/>
              <w:rPr>
                <w:rFonts w:cstheme="minorHAnsi"/>
                <w:sz w:val="20"/>
                <w:szCs w:val="20"/>
              </w:rPr>
            </w:pPr>
            <w:r w:rsidRPr="0038322F">
              <w:rPr>
                <w:rFonts w:eastAsia="Lato" w:cstheme="minorHAnsi"/>
                <w:sz w:val="20"/>
                <w:szCs w:val="20"/>
              </w:rPr>
              <w:t>4hb’. Sprzedawca energii elektrycznej nie może wypowiedzieć o</w:t>
            </w:r>
            <w:r w:rsidRPr="0038322F">
              <w:rPr>
                <w:rFonts w:eastAsia="Lato" w:cstheme="minorHAnsi"/>
                <w:sz w:val="20"/>
                <w:szCs w:val="20"/>
                <w:u w:val="single"/>
              </w:rPr>
              <w:t>dbiorcy energii elektrycznej w gospodarstwie domowym</w:t>
            </w:r>
            <w:r w:rsidRPr="0038322F">
              <w:rPr>
                <w:rFonts w:eastAsia="Lato" w:cstheme="minorHAnsi"/>
                <w:sz w:val="20"/>
                <w:szCs w:val="20"/>
              </w:rPr>
              <w:t xml:space="preserve"> umowy na czas oznaczony z gwarancją stałej ceny przed upływem okresu na jaki została zawarta.</w:t>
            </w:r>
          </w:p>
          <w:p w14:paraId="2F40D32C" w14:textId="77777777" w:rsidR="00D1147A" w:rsidRPr="0038322F" w:rsidRDefault="00D1147A" w:rsidP="00D1147A">
            <w:pPr>
              <w:jc w:val="both"/>
              <w:rPr>
                <w:rFonts w:cstheme="minorHAnsi"/>
                <w:spacing w:val="-1"/>
                <w:sz w:val="20"/>
                <w:szCs w:val="20"/>
              </w:rPr>
            </w:pPr>
          </w:p>
        </w:tc>
        <w:tc>
          <w:tcPr>
            <w:tcW w:w="1286" w:type="dxa"/>
          </w:tcPr>
          <w:p w14:paraId="64F21CA5" w14:textId="77777777" w:rsidR="00D1147A" w:rsidRPr="0038322F" w:rsidRDefault="00D1147A" w:rsidP="00D1147A">
            <w:pPr>
              <w:jc w:val="both"/>
              <w:rPr>
                <w:rFonts w:cstheme="minorHAnsi"/>
                <w:sz w:val="20"/>
                <w:szCs w:val="20"/>
              </w:rPr>
            </w:pPr>
          </w:p>
        </w:tc>
      </w:tr>
      <w:tr w:rsidR="00742405" w:rsidRPr="0038322F" w14:paraId="300184F9" w14:textId="77777777" w:rsidTr="00862BFF">
        <w:tc>
          <w:tcPr>
            <w:tcW w:w="846" w:type="dxa"/>
          </w:tcPr>
          <w:p w14:paraId="53A0ED74" w14:textId="77777777" w:rsidR="00742405" w:rsidRPr="0038322F" w:rsidRDefault="00742405" w:rsidP="00742405">
            <w:pPr>
              <w:pStyle w:val="Akapitzlist"/>
              <w:numPr>
                <w:ilvl w:val="0"/>
                <w:numId w:val="15"/>
              </w:numPr>
              <w:ind w:left="313"/>
              <w:jc w:val="center"/>
              <w:rPr>
                <w:rFonts w:cstheme="minorHAnsi"/>
                <w:sz w:val="20"/>
                <w:szCs w:val="20"/>
              </w:rPr>
            </w:pPr>
          </w:p>
        </w:tc>
        <w:tc>
          <w:tcPr>
            <w:tcW w:w="1843" w:type="dxa"/>
          </w:tcPr>
          <w:p w14:paraId="195E0C1A" w14:textId="77777777" w:rsidR="00742405" w:rsidRPr="0038322F" w:rsidRDefault="00742405" w:rsidP="00742405">
            <w:pPr>
              <w:ind w:left="174" w:right="121"/>
              <w:jc w:val="center"/>
              <w:rPr>
                <w:rFonts w:cstheme="minorHAnsi"/>
                <w:sz w:val="20"/>
                <w:szCs w:val="20"/>
                <w:lang w:val="en-GB"/>
              </w:rPr>
            </w:pPr>
            <w:r w:rsidRPr="0038322F">
              <w:rPr>
                <w:rFonts w:eastAsia="Lato" w:cstheme="minorHAnsi"/>
                <w:sz w:val="20"/>
                <w:szCs w:val="20"/>
                <w:lang w:val="en-US"/>
              </w:rPr>
              <w:t>Art. 1 pkt 3 lit. e</w:t>
            </w:r>
          </w:p>
          <w:p w14:paraId="480302EF" w14:textId="77777777" w:rsidR="00742405" w:rsidRPr="0038322F" w:rsidRDefault="00742405" w:rsidP="00742405">
            <w:pPr>
              <w:ind w:left="174" w:right="121"/>
              <w:jc w:val="center"/>
              <w:rPr>
                <w:rFonts w:cstheme="minorHAnsi"/>
                <w:sz w:val="20"/>
                <w:szCs w:val="20"/>
                <w:lang w:val="en-GB"/>
              </w:rPr>
            </w:pPr>
          </w:p>
          <w:p w14:paraId="5FC267EF" w14:textId="36945B39" w:rsidR="00742405" w:rsidRPr="0038322F" w:rsidRDefault="00742405" w:rsidP="00742405">
            <w:pPr>
              <w:ind w:left="174" w:right="121"/>
              <w:jc w:val="center"/>
              <w:rPr>
                <w:rFonts w:eastAsia="Lato" w:cstheme="minorHAnsi"/>
                <w:sz w:val="20"/>
                <w:szCs w:val="20"/>
                <w:lang w:val="en-US"/>
              </w:rPr>
            </w:pPr>
            <w:r w:rsidRPr="0038322F">
              <w:rPr>
                <w:rFonts w:eastAsia="Lato" w:cstheme="minorHAnsi"/>
                <w:sz w:val="20"/>
                <w:szCs w:val="20"/>
                <w:lang w:val="en-US"/>
              </w:rPr>
              <w:t>(</w:t>
            </w:r>
            <w:proofErr w:type="spellStart"/>
            <w:r w:rsidRPr="0038322F">
              <w:rPr>
                <w:rFonts w:eastAsia="Lato" w:cstheme="minorHAnsi"/>
                <w:sz w:val="20"/>
                <w:szCs w:val="20"/>
                <w:lang w:val="en-US"/>
              </w:rPr>
              <w:t>uPE</w:t>
            </w:r>
            <w:proofErr w:type="spellEnd"/>
            <w:r w:rsidRPr="0038322F">
              <w:rPr>
                <w:rFonts w:eastAsia="Lato" w:cstheme="minorHAnsi"/>
                <w:sz w:val="20"/>
                <w:szCs w:val="20"/>
                <w:lang w:val="en-US"/>
              </w:rPr>
              <w:t xml:space="preserve"> Art. 5 </w:t>
            </w:r>
            <w:proofErr w:type="spellStart"/>
            <w:r w:rsidRPr="0038322F">
              <w:rPr>
                <w:rFonts w:eastAsia="Lato" w:cstheme="minorHAnsi"/>
                <w:sz w:val="20"/>
                <w:szCs w:val="20"/>
                <w:lang w:val="en-US"/>
              </w:rPr>
              <w:t>ust</w:t>
            </w:r>
            <w:proofErr w:type="spellEnd"/>
            <w:r w:rsidRPr="0038322F">
              <w:rPr>
                <w:rFonts w:eastAsia="Lato" w:cstheme="minorHAnsi"/>
                <w:sz w:val="20"/>
                <w:szCs w:val="20"/>
                <w:lang w:val="en-US"/>
              </w:rPr>
              <w:t>. 6da</w:t>
            </w:r>
          </w:p>
        </w:tc>
        <w:tc>
          <w:tcPr>
            <w:tcW w:w="5670" w:type="dxa"/>
          </w:tcPr>
          <w:p w14:paraId="747C6FB9" w14:textId="77777777" w:rsidR="00742405" w:rsidRPr="0038322F" w:rsidRDefault="00742405" w:rsidP="00742405">
            <w:pPr>
              <w:ind w:left="162" w:right="142"/>
              <w:jc w:val="both"/>
              <w:rPr>
                <w:rFonts w:cstheme="minorHAnsi"/>
                <w:sz w:val="20"/>
                <w:szCs w:val="20"/>
              </w:rPr>
            </w:pPr>
            <w:r w:rsidRPr="0038322F">
              <w:rPr>
                <w:rFonts w:eastAsia="Lato" w:cstheme="minorHAnsi"/>
                <w:sz w:val="20"/>
                <w:szCs w:val="20"/>
              </w:rPr>
              <w:t>Proponujemy rozważenie ograniczenia informowania odbiorców jedynie do gospodarstw domowych. Nie widzimy uzasadnienia dla konieczności informowania wszystkich odbiorców, w tym tych będących profesjonalnymi podmiotami o kosztach, korzyściach i ryzykach związanych z danym rodzajem umowy. To są dodatkowe obciążenia nakładane na sprzedawców energii, które naszym zdaniem powodują niepotrzebne koszty po stronie tych podmiotów oraz utrudniają im działalność. Ostatnie działania KE idą raczej w kierunku deregulacji, a proponowany zapis stoi w sprzeczności z tym działaniem i celem.</w:t>
            </w:r>
          </w:p>
          <w:p w14:paraId="64D6FA20" w14:textId="77777777" w:rsidR="00742405" w:rsidRPr="0038322F" w:rsidRDefault="00742405" w:rsidP="00742405">
            <w:pPr>
              <w:ind w:left="162" w:right="142"/>
              <w:jc w:val="both"/>
              <w:rPr>
                <w:rFonts w:cstheme="minorHAnsi"/>
                <w:sz w:val="20"/>
                <w:szCs w:val="20"/>
              </w:rPr>
            </w:pPr>
            <w:r w:rsidRPr="0038322F">
              <w:rPr>
                <w:rFonts w:eastAsia="Lato" w:cstheme="minorHAnsi"/>
                <w:sz w:val="20"/>
                <w:szCs w:val="20"/>
              </w:rPr>
              <w:t xml:space="preserve">Dyrektywa nr 2019/944 w art. 11 ust. 2 wskazuje, że obowiązek informowania o kosztach, korzyściach oraz ryzykach dotyczy wyłącznie odbiorców, którzy zawarli umowę z ceną dynamiczną lub umowę z gwarancją stałej ceny. </w:t>
            </w:r>
          </w:p>
          <w:p w14:paraId="26468973" w14:textId="77777777" w:rsidR="00742405" w:rsidRPr="0038322F" w:rsidRDefault="00742405" w:rsidP="00742405">
            <w:pPr>
              <w:ind w:left="162" w:right="142"/>
              <w:jc w:val="both"/>
              <w:rPr>
                <w:rFonts w:cstheme="minorHAnsi"/>
                <w:sz w:val="20"/>
                <w:szCs w:val="20"/>
              </w:rPr>
            </w:pPr>
            <w:r w:rsidRPr="0038322F">
              <w:rPr>
                <w:rFonts w:eastAsia="Lato" w:cstheme="minorHAnsi"/>
                <w:sz w:val="20"/>
                <w:szCs w:val="20"/>
              </w:rPr>
              <w:t>Projektowany zapis zbyt szeroko odnosi się do każdego rodzaju umów.</w:t>
            </w:r>
          </w:p>
          <w:p w14:paraId="7B13C2DC" w14:textId="77777777" w:rsidR="00742405" w:rsidRPr="0038322F" w:rsidRDefault="00742405" w:rsidP="00742405">
            <w:pPr>
              <w:ind w:left="162" w:right="142"/>
              <w:jc w:val="both"/>
              <w:rPr>
                <w:rFonts w:cstheme="minorHAnsi"/>
                <w:sz w:val="20"/>
                <w:szCs w:val="20"/>
              </w:rPr>
            </w:pPr>
            <w:r w:rsidRPr="0038322F">
              <w:rPr>
                <w:rFonts w:eastAsia="Lato" w:cstheme="minorHAnsi"/>
                <w:sz w:val="20"/>
                <w:szCs w:val="20"/>
              </w:rPr>
              <w:t xml:space="preserve"> </w:t>
            </w:r>
          </w:p>
          <w:p w14:paraId="401A3223" w14:textId="40277A11" w:rsidR="00742405" w:rsidRPr="0038322F" w:rsidRDefault="00742405" w:rsidP="00742405">
            <w:pPr>
              <w:ind w:left="29" w:right="142"/>
              <w:jc w:val="both"/>
              <w:rPr>
                <w:rFonts w:eastAsia="Lato" w:cstheme="minorHAnsi"/>
                <w:sz w:val="20"/>
                <w:szCs w:val="20"/>
              </w:rPr>
            </w:pPr>
            <w:r w:rsidRPr="0038322F">
              <w:rPr>
                <w:rFonts w:eastAsia="Lato" w:cstheme="minorHAnsi"/>
                <w:sz w:val="20"/>
                <w:szCs w:val="20"/>
              </w:rPr>
              <w:t xml:space="preserve">Jednocześnie proponujemy aby koszty tych działań sprzedawców były traktowane jako koszty uzasadnione. </w:t>
            </w:r>
          </w:p>
        </w:tc>
        <w:tc>
          <w:tcPr>
            <w:tcW w:w="4394" w:type="dxa"/>
          </w:tcPr>
          <w:p w14:paraId="4582B9AA" w14:textId="77777777" w:rsidR="00742405" w:rsidRPr="0038322F" w:rsidRDefault="00742405" w:rsidP="00742405">
            <w:pPr>
              <w:ind w:left="141" w:right="141"/>
              <w:jc w:val="both"/>
              <w:rPr>
                <w:rFonts w:cstheme="minorHAnsi"/>
                <w:sz w:val="20"/>
                <w:szCs w:val="20"/>
              </w:rPr>
            </w:pPr>
            <w:r w:rsidRPr="0038322F">
              <w:rPr>
                <w:rFonts w:eastAsia="Lato" w:cstheme="minorHAnsi"/>
                <w:sz w:val="20"/>
                <w:szCs w:val="20"/>
              </w:rPr>
              <w:t xml:space="preserve">„6da. </w:t>
            </w:r>
            <w:r w:rsidRPr="0038322F">
              <w:rPr>
                <w:rFonts w:eastAsia="Lato" w:cstheme="minorHAnsi"/>
                <w:sz w:val="20"/>
                <w:szCs w:val="20"/>
                <w:u w:val="single"/>
              </w:rPr>
              <w:t>1.</w:t>
            </w:r>
            <w:r w:rsidRPr="0038322F">
              <w:rPr>
                <w:rFonts w:eastAsia="Lato" w:cstheme="minorHAnsi"/>
                <w:sz w:val="20"/>
                <w:szCs w:val="20"/>
              </w:rPr>
              <w:t xml:space="preserve"> Sprzedawca energii elektrycznej, najpóźniej w dniu zawarcia umowy sprzedaży energii elektrycznej, w sposób przejrzysty i zrozumiały, informuje </w:t>
            </w:r>
            <w:r w:rsidRPr="0038322F">
              <w:rPr>
                <w:rFonts w:eastAsia="Lato" w:cstheme="minorHAnsi"/>
                <w:sz w:val="20"/>
                <w:szCs w:val="20"/>
                <w:u w:val="single"/>
              </w:rPr>
              <w:t>odbiorcę energii elektrycznej</w:t>
            </w:r>
            <w:r w:rsidRPr="0038322F">
              <w:rPr>
                <w:rFonts w:eastAsia="Lato" w:cstheme="minorHAnsi"/>
                <w:sz w:val="20"/>
                <w:szCs w:val="20"/>
              </w:rPr>
              <w:t xml:space="preserve"> </w:t>
            </w:r>
            <w:r w:rsidRPr="0038322F">
              <w:rPr>
                <w:rFonts w:eastAsia="Lato" w:cstheme="minorHAnsi"/>
                <w:sz w:val="20"/>
                <w:szCs w:val="20"/>
                <w:u w:val="single"/>
              </w:rPr>
              <w:t>w gospodarstwie domowym</w:t>
            </w:r>
            <w:r w:rsidRPr="0038322F">
              <w:rPr>
                <w:rFonts w:eastAsia="Lato" w:cstheme="minorHAnsi"/>
                <w:sz w:val="20"/>
                <w:szCs w:val="20"/>
              </w:rPr>
              <w:t xml:space="preserve"> o kosztach, korzyściach i ryzykach związanych z danym rodzajem umowy sprzedaży energii elektrycznej, w szczególności w przypadku umowy z ceną dynamiczną energii elektrycznej, umowy na czas określony z gwarancją stałej ceny, lub umowy kompleksowej oraz o:…</w:t>
            </w:r>
          </w:p>
          <w:p w14:paraId="43198048" w14:textId="77777777" w:rsidR="00742405" w:rsidRPr="0038322F" w:rsidRDefault="00742405" w:rsidP="00742405">
            <w:pPr>
              <w:ind w:left="141" w:right="141"/>
              <w:jc w:val="both"/>
              <w:rPr>
                <w:rFonts w:cstheme="minorHAnsi"/>
                <w:sz w:val="20"/>
                <w:szCs w:val="20"/>
              </w:rPr>
            </w:pPr>
            <w:r w:rsidRPr="0038322F">
              <w:rPr>
                <w:rFonts w:eastAsia="Lato" w:cstheme="minorHAnsi"/>
                <w:sz w:val="20"/>
                <w:szCs w:val="20"/>
              </w:rPr>
              <w:t xml:space="preserve"> </w:t>
            </w:r>
          </w:p>
          <w:p w14:paraId="48023B49" w14:textId="445B159C" w:rsidR="00742405" w:rsidRPr="0038322F" w:rsidRDefault="00742405" w:rsidP="00742405">
            <w:pPr>
              <w:ind w:left="141" w:right="141"/>
              <w:jc w:val="both"/>
              <w:rPr>
                <w:rFonts w:eastAsia="Lato" w:cstheme="minorHAnsi"/>
                <w:sz w:val="20"/>
                <w:szCs w:val="20"/>
              </w:rPr>
            </w:pPr>
            <w:r w:rsidRPr="0038322F">
              <w:rPr>
                <w:rFonts w:eastAsia="Lato" w:cstheme="minorHAnsi"/>
                <w:sz w:val="20"/>
                <w:szCs w:val="20"/>
                <w:u w:val="single"/>
              </w:rPr>
              <w:t>2. Koszty przekazywania przez sprzedawców energii elektrycznej informacji, o których mowa w ust. 1 stanowią koszty uzasadnione, o których mowa w art. 45 ust. 1 pkt. 2.</w:t>
            </w:r>
          </w:p>
        </w:tc>
        <w:tc>
          <w:tcPr>
            <w:tcW w:w="1286" w:type="dxa"/>
          </w:tcPr>
          <w:p w14:paraId="18A93FCE" w14:textId="77777777" w:rsidR="00742405" w:rsidRPr="0038322F" w:rsidRDefault="00742405" w:rsidP="00742405">
            <w:pPr>
              <w:jc w:val="both"/>
              <w:rPr>
                <w:rFonts w:cstheme="minorHAnsi"/>
                <w:sz w:val="20"/>
                <w:szCs w:val="20"/>
              </w:rPr>
            </w:pPr>
          </w:p>
        </w:tc>
      </w:tr>
      <w:tr w:rsidR="00DE70F1" w:rsidRPr="0038322F" w14:paraId="51A4AA71" w14:textId="77777777" w:rsidTr="00862BFF">
        <w:tc>
          <w:tcPr>
            <w:tcW w:w="846" w:type="dxa"/>
          </w:tcPr>
          <w:p w14:paraId="0B4313D9" w14:textId="77777777" w:rsidR="00DE70F1" w:rsidRPr="0038322F" w:rsidRDefault="00DE70F1" w:rsidP="00DE70F1">
            <w:pPr>
              <w:pStyle w:val="Akapitzlist"/>
              <w:numPr>
                <w:ilvl w:val="0"/>
                <w:numId w:val="15"/>
              </w:numPr>
              <w:ind w:left="313"/>
              <w:jc w:val="center"/>
              <w:rPr>
                <w:rFonts w:cstheme="minorHAnsi"/>
                <w:sz w:val="20"/>
                <w:szCs w:val="20"/>
              </w:rPr>
            </w:pPr>
          </w:p>
        </w:tc>
        <w:tc>
          <w:tcPr>
            <w:tcW w:w="1843" w:type="dxa"/>
          </w:tcPr>
          <w:p w14:paraId="59902CB5" w14:textId="77777777" w:rsidR="00DE70F1" w:rsidRPr="0038322F" w:rsidRDefault="00DE70F1" w:rsidP="00DE70F1">
            <w:pPr>
              <w:ind w:left="174" w:right="121"/>
              <w:jc w:val="center"/>
              <w:rPr>
                <w:rFonts w:cstheme="minorHAnsi"/>
                <w:sz w:val="20"/>
                <w:szCs w:val="20"/>
                <w:lang w:val="en-GB"/>
              </w:rPr>
            </w:pPr>
            <w:r w:rsidRPr="0038322F">
              <w:rPr>
                <w:rFonts w:eastAsia="Lato" w:cstheme="minorHAnsi"/>
                <w:sz w:val="20"/>
                <w:szCs w:val="20"/>
                <w:lang w:val="en-US"/>
              </w:rPr>
              <w:t>Art. 1 pkt 7</w:t>
            </w:r>
          </w:p>
          <w:p w14:paraId="0B100136" w14:textId="77777777" w:rsidR="00DE70F1" w:rsidRPr="0038322F" w:rsidRDefault="00DE70F1" w:rsidP="00DE70F1">
            <w:pPr>
              <w:ind w:left="174" w:right="121"/>
              <w:jc w:val="center"/>
              <w:rPr>
                <w:rFonts w:cstheme="minorHAnsi"/>
                <w:sz w:val="20"/>
                <w:szCs w:val="20"/>
                <w:lang w:val="en-GB"/>
              </w:rPr>
            </w:pPr>
          </w:p>
          <w:p w14:paraId="275D0FB9" w14:textId="000B25D9" w:rsidR="00DE70F1" w:rsidRPr="0038322F" w:rsidRDefault="00DE70F1" w:rsidP="00DE70F1">
            <w:pPr>
              <w:ind w:left="174" w:right="121"/>
              <w:jc w:val="center"/>
              <w:rPr>
                <w:rFonts w:eastAsia="Lato" w:cstheme="minorHAnsi"/>
                <w:sz w:val="20"/>
                <w:szCs w:val="20"/>
                <w:lang w:val="en-US"/>
              </w:rPr>
            </w:pPr>
            <w:proofErr w:type="spellStart"/>
            <w:r w:rsidRPr="0038322F">
              <w:rPr>
                <w:rFonts w:eastAsia="Lato" w:cstheme="minorHAnsi"/>
                <w:sz w:val="20"/>
                <w:szCs w:val="20"/>
                <w:lang w:val="en-US"/>
              </w:rPr>
              <w:t>uPE</w:t>
            </w:r>
            <w:proofErr w:type="spellEnd"/>
            <w:r w:rsidRPr="0038322F">
              <w:rPr>
                <w:rFonts w:eastAsia="Lato" w:cstheme="minorHAnsi"/>
                <w:sz w:val="20"/>
                <w:szCs w:val="20"/>
                <w:lang w:val="en-US"/>
              </w:rPr>
              <w:t xml:space="preserve"> Art. 6h</w:t>
            </w:r>
          </w:p>
        </w:tc>
        <w:tc>
          <w:tcPr>
            <w:tcW w:w="5670" w:type="dxa"/>
          </w:tcPr>
          <w:p w14:paraId="46B7B645" w14:textId="77777777" w:rsidR="00DE70F1" w:rsidRPr="0038322F" w:rsidRDefault="00DE70F1" w:rsidP="00DE70F1">
            <w:pPr>
              <w:ind w:left="162" w:right="142"/>
              <w:jc w:val="both"/>
              <w:rPr>
                <w:rFonts w:cstheme="minorHAnsi"/>
                <w:sz w:val="20"/>
                <w:szCs w:val="20"/>
              </w:rPr>
            </w:pPr>
            <w:r w:rsidRPr="0038322F">
              <w:rPr>
                <w:rFonts w:eastAsia="Lato" w:cstheme="minorHAnsi"/>
                <w:sz w:val="20"/>
                <w:szCs w:val="20"/>
                <w:lang w:val="en-US"/>
              </w:rPr>
              <w:t xml:space="preserve"> </w:t>
            </w:r>
            <w:r w:rsidRPr="0038322F">
              <w:rPr>
                <w:rFonts w:eastAsia="Lato" w:cstheme="minorHAnsi"/>
                <w:sz w:val="20"/>
                <w:szCs w:val="20"/>
              </w:rPr>
              <w:t>Proponujemy doprecyzowanie zapisu, że chodzi o odbiorcę końcowego, który ma zawartą umowę z danym przedsiębiorstwem. Inaczej można czytać ten zapis, że w stosunku do odbiorcy z umową kompleksową obowiązek informacyjny ma zarówno sprzedawca jak i OSD, co oznacza niepotrzebne dublowanie kosztów.</w:t>
            </w:r>
          </w:p>
          <w:p w14:paraId="10D85701" w14:textId="168E840C" w:rsidR="00DE70F1" w:rsidRPr="0038322F" w:rsidRDefault="00DE70F1" w:rsidP="00DE70F1">
            <w:pPr>
              <w:ind w:left="162" w:right="142"/>
              <w:jc w:val="both"/>
              <w:rPr>
                <w:rFonts w:cstheme="minorHAnsi"/>
                <w:sz w:val="20"/>
                <w:szCs w:val="20"/>
              </w:rPr>
            </w:pPr>
            <w:r w:rsidRPr="0038322F">
              <w:rPr>
                <w:rFonts w:eastAsia="Lato" w:cstheme="minorHAnsi"/>
                <w:sz w:val="20"/>
                <w:szCs w:val="20"/>
              </w:rPr>
              <w:t xml:space="preserve">Dodatkowo proponujemy wykreślenie </w:t>
            </w:r>
            <w:r w:rsidR="00AB67FB">
              <w:rPr>
                <w:rFonts w:eastAsia="Lato" w:cstheme="minorHAnsi"/>
                <w:sz w:val="20"/>
                <w:szCs w:val="20"/>
              </w:rPr>
              <w:t>pkt 2</w:t>
            </w:r>
            <w:r w:rsidRPr="0038322F">
              <w:rPr>
                <w:rFonts w:eastAsia="Lato" w:cstheme="minorHAnsi"/>
                <w:sz w:val="20"/>
                <w:szCs w:val="20"/>
              </w:rPr>
              <w:t>. Nie znajduje uzasadnienia oczekiwanie od sprzedawcy lub OSD, że będzie śledził zużycia każdego odbiorcy (w szczególności gospodarstw domowych i MŚP) i je analizował pod tym kątem. To pociągnie za sobą niczym nieuzasadnione koszty po stronie przedsiębiorstw energetycznych.</w:t>
            </w:r>
          </w:p>
          <w:p w14:paraId="38310646" w14:textId="746C6DEA" w:rsidR="00DE70F1" w:rsidRPr="0038322F" w:rsidRDefault="00DE70F1" w:rsidP="00DE70F1">
            <w:pPr>
              <w:ind w:left="162" w:right="142"/>
              <w:jc w:val="both"/>
              <w:rPr>
                <w:rFonts w:eastAsia="Lato" w:cstheme="minorHAnsi"/>
                <w:sz w:val="20"/>
                <w:szCs w:val="20"/>
              </w:rPr>
            </w:pPr>
            <w:r w:rsidRPr="0038322F">
              <w:rPr>
                <w:rFonts w:eastAsia="Lato" w:cstheme="minorHAnsi"/>
                <w:sz w:val="20"/>
                <w:szCs w:val="20"/>
              </w:rPr>
              <w:t>Proponujemy również</w:t>
            </w:r>
            <w:r w:rsidR="00AB67FB">
              <w:rPr>
                <w:rFonts w:eastAsia="Lato" w:cstheme="minorHAnsi"/>
                <w:sz w:val="20"/>
                <w:szCs w:val="20"/>
              </w:rPr>
              <w:t>,</w:t>
            </w:r>
            <w:r w:rsidRPr="0038322F">
              <w:rPr>
                <w:rFonts w:eastAsia="Lato" w:cstheme="minorHAnsi"/>
                <w:sz w:val="20"/>
                <w:szCs w:val="20"/>
              </w:rPr>
              <w:t xml:space="preserve"> aby koszty tych działań były traktowane jako koszty uzasadnione poprzez dodanie ust. 3.</w:t>
            </w:r>
          </w:p>
        </w:tc>
        <w:tc>
          <w:tcPr>
            <w:tcW w:w="4394" w:type="dxa"/>
          </w:tcPr>
          <w:p w14:paraId="30C39DB0" w14:textId="77777777" w:rsidR="00DE70F1" w:rsidRPr="0038322F" w:rsidRDefault="00DE70F1" w:rsidP="00DE70F1">
            <w:pPr>
              <w:ind w:left="141" w:right="141"/>
              <w:jc w:val="both"/>
              <w:rPr>
                <w:rFonts w:cstheme="minorHAnsi"/>
                <w:sz w:val="20"/>
                <w:szCs w:val="20"/>
              </w:rPr>
            </w:pPr>
            <w:r w:rsidRPr="0038322F">
              <w:rPr>
                <w:rFonts w:eastAsia="Lato" w:cstheme="minorHAnsi"/>
                <w:sz w:val="20"/>
                <w:szCs w:val="20"/>
              </w:rPr>
              <w:t xml:space="preserve"> Art. 6h. 1. Sprzedawca energii elektrycznej oraz przedsiębiorstwo energetyczne zajmujące się przesyłaniem lub dystrybucją energii elektrycznej promuje zachowania mające na celu racjonalne i oszczędne zużycie energii elektrycznej przez odbiorcę końcowego</w:t>
            </w:r>
            <w:r w:rsidRPr="0038322F">
              <w:rPr>
                <w:rFonts w:eastAsia="Lato" w:cstheme="minorHAnsi"/>
                <w:sz w:val="20"/>
                <w:szCs w:val="20"/>
                <w:u w:val="single"/>
              </w:rPr>
              <w:t>, z którym ma on zawartą umowę,</w:t>
            </w:r>
            <w:r w:rsidRPr="0038322F">
              <w:rPr>
                <w:rFonts w:eastAsia="Lato" w:cstheme="minorHAnsi"/>
                <w:sz w:val="20"/>
                <w:szCs w:val="20"/>
              </w:rPr>
              <w:t xml:space="preserve"> w szczególności informuje odbiorcę końcowego o:</w:t>
            </w:r>
          </w:p>
          <w:p w14:paraId="5B852421" w14:textId="77777777" w:rsidR="00DE70F1" w:rsidRPr="0038322F" w:rsidRDefault="00DE70F1" w:rsidP="00DE70F1">
            <w:pPr>
              <w:ind w:left="141" w:right="141"/>
              <w:jc w:val="both"/>
              <w:rPr>
                <w:rFonts w:cstheme="minorHAnsi"/>
                <w:sz w:val="20"/>
                <w:szCs w:val="20"/>
              </w:rPr>
            </w:pPr>
            <w:r w:rsidRPr="0038322F">
              <w:rPr>
                <w:rFonts w:eastAsia="Lato" w:cstheme="minorHAnsi"/>
                <w:sz w:val="20"/>
                <w:szCs w:val="20"/>
              </w:rPr>
              <w:t>1)</w:t>
            </w:r>
            <w:proofErr w:type="spellStart"/>
            <w:r w:rsidRPr="0038322F">
              <w:rPr>
                <w:rFonts w:eastAsia="Lato" w:cstheme="minorHAnsi"/>
                <w:sz w:val="20"/>
                <w:szCs w:val="20"/>
              </w:rPr>
              <w:t>zachowaniach</w:t>
            </w:r>
            <w:proofErr w:type="spellEnd"/>
            <w:r w:rsidRPr="0038322F">
              <w:rPr>
                <w:rFonts w:eastAsia="Lato" w:cstheme="minorHAnsi"/>
                <w:sz w:val="20"/>
                <w:szCs w:val="20"/>
              </w:rPr>
              <w:t>, usługach i środkach technicznych prowadzących do zmniejszenia zużycia energii elektrycznej;</w:t>
            </w:r>
          </w:p>
          <w:p w14:paraId="1DC7F2DD" w14:textId="77777777" w:rsidR="00DE70F1" w:rsidRPr="0038322F" w:rsidRDefault="00DE70F1" w:rsidP="00DE70F1">
            <w:pPr>
              <w:ind w:left="141" w:right="141"/>
              <w:jc w:val="both"/>
              <w:rPr>
                <w:rFonts w:cstheme="minorHAnsi"/>
                <w:sz w:val="20"/>
                <w:szCs w:val="20"/>
              </w:rPr>
            </w:pPr>
            <w:r w:rsidRPr="0038322F">
              <w:rPr>
                <w:rFonts w:eastAsia="Lato" w:cstheme="minorHAnsi"/>
                <w:strike/>
                <w:sz w:val="20"/>
                <w:szCs w:val="20"/>
              </w:rPr>
              <w:t>2)nietypowo wysokim zużyciu energii elektrycznej przez tego odbiorcę;</w:t>
            </w:r>
          </w:p>
          <w:p w14:paraId="1ABCB8D7" w14:textId="77777777" w:rsidR="00DE70F1" w:rsidRPr="0038322F" w:rsidRDefault="00DE70F1" w:rsidP="00DE70F1">
            <w:pPr>
              <w:ind w:left="141" w:right="141"/>
              <w:jc w:val="both"/>
              <w:rPr>
                <w:rFonts w:cstheme="minorHAnsi"/>
                <w:sz w:val="20"/>
                <w:szCs w:val="20"/>
              </w:rPr>
            </w:pPr>
            <w:r w:rsidRPr="0038322F">
              <w:rPr>
                <w:rFonts w:eastAsia="Lato" w:cstheme="minorHAnsi"/>
                <w:sz w:val="20"/>
                <w:szCs w:val="20"/>
              </w:rPr>
              <w:t xml:space="preserve">3)możliwości samodzielnego odczytu układu pomiarowo-rozliczeniowego, w przypadku odbiorcy końcowego, u którego nie zainstalowano licznika zdalnego odczytu, zapewnia środki techniczne i zachęca do przekazywania tego odczytu sprzedawcy energii elektrycznej lub przedsiębiorstwu energetycznemu zajmującemu się przesyłaniem lub dystrybucją energii elektrycznej co najmniej raz na trzy miesiące. </w:t>
            </w:r>
          </w:p>
          <w:p w14:paraId="550BDE8E" w14:textId="77777777" w:rsidR="00DE70F1" w:rsidRPr="0038322F" w:rsidRDefault="00DE70F1" w:rsidP="00DE70F1">
            <w:pPr>
              <w:ind w:left="141" w:right="141"/>
              <w:jc w:val="both"/>
              <w:rPr>
                <w:rFonts w:cstheme="minorHAnsi"/>
                <w:sz w:val="20"/>
                <w:szCs w:val="20"/>
              </w:rPr>
            </w:pPr>
            <w:r w:rsidRPr="0038322F">
              <w:rPr>
                <w:rFonts w:eastAsia="Lato" w:cstheme="minorHAnsi"/>
                <w:sz w:val="20"/>
                <w:szCs w:val="20"/>
              </w:rPr>
              <w:t>2. W celu realizacji zadań, o których mowa w ust. 1, sprzedawca energii elektrycznej oraz przedsiębiorstwo energetyczne zajmujące się przesyłaniem lub dystrybucją energii elektrycznej może opracować i opublikować na swojej stronie internetowej kodeks dobrych praktyk oraz zamieścić informację o jego opublikowaniu na fakturze za energię elektryczną.</w:t>
            </w:r>
          </w:p>
          <w:p w14:paraId="4BCA6BA5" w14:textId="4365CE3E" w:rsidR="00DE70F1" w:rsidRPr="0038322F" w:rsidRDefault="00DE70F1" w:rsidP="00DE70F1">
            <w:pPr>
              <w:ind w:left="141" w:right="141"/>
              <w:jc w:val="both"/>
              <w:rPr>
                <w:rFonts w:eastAsia="Lato" w:cstheme="minorHAnsi"/>
                <w:sz w:val="20"/>
                <w:szCs w:val="20"/>
              </w:rPr>
            </w:pPr>
            <w:r w:rsidRPr="0038322F">
              <w:rPr>
                <w:rFonts w:eastAsia="Lato" w:cstheme="minorHAnsi"/>
                <w:sz w:val="20"/>
                <w:szCs w:val="20"/>
                <w:u w:val="single"/>
              </w:rPr>
              <w:t>3. Koszty realizacji zadań, o których mowa w ust. 1 i 2 stanowią koszty uzasadnione, o których mowa w art. 45 ust. 1 pkt. 2.</w:t>
            </w:r>
          </w:p>
        </w:tc>
        <w:tc>
          <w:tcPr>
            <w:tcW w:w="1286" w:type="dxa"/>
          </w:tcPr>
          <w:p w14:paraId="2F9065F8" w14:textId="77777777" w:rsidR="00DE70F1" w:rsidRPr="0038322F" w:rsidRDefault="00DE70F1" w:rsidP="00DE70F1">
            <w:pPr>
              <w:jc w:val="both"/>
              <w:rPr>
                <w:rFonts w:cstheme="minorHAnsi"/>
                <w:sz w:val="20"/>
                <w:szCs w:val="20"/>
              </w:rPr>
            </w:pPr>
          </w:p>
        </w:tc>
      </w:tr>
      <w:tr w:rsidR="007650F4" w:rsidRPr="0038322F" w14:paraId="33156CB7" w14:textId="77777777" w:rsidTr="00862BFF">
        <w:tc>
          <w:tcPr>
            <w:tcW w:w="846" w:type="dxa"/>
          </w:tcPr>
          <w:p w14:paraId="02EB8C8D" w14:textId="77777777" w:rsidR="007650F4" w:rsidRPr="0038322F" w:rsidRDefault="007650F4" w:rsidP="00B74CC0">
            <w:pPr>
              <w:pStyle w:val="Akapitzlist"/>
              <w:numPr>
                <w:ilvl w:val="0"/>
                <w:numId w:val="15"/>
              </w:numPr>
              <w:ind w:left="313"/>
              <w:jc w:val="center"/>
              <w:rPr>
                <w:rFonts w:cstheme="minorHAnsi"/>
                <w:sz w:val="20"/>
                <w:szCs w:val="20"/>
              </w:rPr>
            </w:pPr>
          </w:p>
        </w:tc>
        <w:tc>
          <w:tcPr>
            <w:tcW w:w="1843" w:type="dxa"/>
          </w:tcPr>
          <w:p w14:paraId="217B9C78" w14:textId="0C97A31E" w:rsidR="007650F4" w:rsidRPr="0038322F" w:rsidRDefault="007650F4" w:rsidP="007650F4">
            <w:pPr>
              <w:jc w:val="center"/>
              <w:rPr>
                <w:rFonts w:eastAsia="Calibri" w:cstheme="minorHAnsi"/>
                <w:sz w:val="20"/>
                <w:szCs w:val="20"/>
                <w:lang w:val="en-GB"/>
              </w:rPr>
            </w:pPr>
            <w:r w:rsidRPr="0038322F">
              <w:rPr>
                <w:rFonts w:eastAsia="Calibri" w:cstheme="minorHAnsi"/>
                <w:sz w:val="20"/>
                <w:szCs w:val="20"/>
                <w:lang w:val="en-US"/>
              </w:rPr>
              <w:t xml:space="preserve">Art. 1 pkt 8 lit. a (dot. </w:t>
            </w:r>
            <w:proofErr w:type="spellStart"/>
            <w:r w:rsidRPr="0038322F">
              <w:rPr>
                <w:rFonts w:eastAsia="Calibri" w:cstheme="minorHAnsi"/>
                <w:sz w:val="20"/>
                <w:szCs w:val="20"/>
                <w:lang w:val="en-US"/>
              </w:rPr>
              <w:t>uPE</w:t>
            </w:r>
            <w:proofErr w:type="spellEnd"/>
            <w:r w:rsidRPr="0038322F">
              <w:rPr>
                <w:rFonts w:eastAsia="Calibri" w:cstheme="minorHAnsi"/>
                <w:sz w:val="20"/>
                <w:szCs w:val="20"/>
                <w:lang w:val="en-US"/>
              </w:rPr>
              <w:t xml:space="preserve"> Art. 7 </w:t>
            </w:r>
            <w:proofErr w:type="spellStart"/>
            <w:r w:rsidRPr="0038322F">
              <w:rPr>
                <w:rFonts w:eastAsia="Calibri" w:cstheme="minorHAnsi"/>
                <w:sz w:val="20"/>
                <w:szCs w:val="20"/>
                <w:lang w:val="en-US"/>
              </w:rPr>
              <w:t>ust</w:t>
            </w:r>
            <w:proofErr w:type="spellEnd"/>
            <w:r w:rsidRPr="0038322F">
              <w:rPr>
                <w:rFonts w:eastAsia="Calibri" w:cstheme="minorHAnsi"/>
                <w:sz w:val="20"/>
                <w:szCs w:val="20"/>
                <w:lang w:val="en-US"/>
              </w:rPr>
              <w:t>. 1f)</w:t>
            </w:r>
          </w:p>
        </w:tc>
        <w:tc>
          <w:tcPr>
            <w:tcW w:w="5670" w:type="dxa"/>
          </w:tcPr>
          <w:p w14:paraId="5EA523EB" w14:textId="0EEECE37" w:rsidR="003362D8" w:rsidRPr="003362D8" w:rsidRDefault="003362D8" w:rsidP="003362D8">
            <w:pPr>
              <w:jc w:val="both"/>
              <w:rPr>
                <w:rFonts w:eastAsia="Calibri" w:cstheme="minorHAnsi"/>
                <w:sz w:val="20"/>
                <w:szCs w:val="20"/>
              </w:rPr>
            </w:pPr>
            <w:r w:rsidRPr="003362D8">
              <w:rPr>
                <w:rFonts w:eastAsia="Calibri" w:cstheme="minorHAnsi"/>
                <w:sz w:val="20"/>
                <w:szCs w:val="20"/>
              </w:rPr>
              <w:t xml:space="preserve">Popieramy propozycje przepisów zmierzających do rozszerzenia formuły przyłączenia w ramach tzw. </w:t>
            </w:r>
            <w:proofErr w:type="spellStart"/>
            <w:r w:rsidRPr="003362D8">
              <w:rPr>
                <w:rFonts w:eastAsia="Calibri" w:cstheme="minorHAnsi"/>
                <w:sz w:val="20"/>
                <w:szCs w:val="20"/>
              </w:rPr>
              <w:t>cable</w:t>
            </w:r>
            <w:proofErr w:type="spellEnd"/>
            <w:r w:rsidRPr="003362D8">
              <w:rPr>
                <w:rFonts w:eastAsia="Calibri" w:cstheme="minorHAnsi"/>
                <w:sz w:val="20"/>
                <w:szCs w:val="20"/>
              </w:rPr>
              <w:t xml:space="preserve"> </w:t>
            </w:r>
            <w:proofErr w:type="spellStart"/>
            <w:r w:rsidRPr="003362D8">
              <w:rPr>
                <w:rFonts w:eastAsia="Calibri" w:cstheme="minorHAnsi"/>
                <w:sz w:val="20"/>
                <w:szCs w:val="20"/>
              </w:rPr>
              <w:t>pooling</w:t>
            </w:r>
            <w:r w:rsidR="00F36A73" w:rsidRPr="0038322F">
              <w:rPr>
                <w:rFonts w:eastAsia="Calibri" w:cstheme="minorHAnsi"/>
                <w:sz w:val="20"/>
                <w:szCs w:val="20"/>
              </w:rPr>
              <w:t>u</w:t>
            </w:r>
            <w:proofErr w:type="spellEnd"/>
            <w:r w:rsidRPr="003362D8">
              <w:rPr>
                <w:rFonts w:eastAsia="Calibri" w:cstheme="minorHAnsi"/>
                <w:sz w:val="20"/>
                <w:szCs w:val="20"/>
              </w:rPr>
              <w:t xml:space="preserve"> (CP) o inne instalacje, szczególnie instalacje magazynowe. Uważamy, że takie rozszerzenie może przyczynić się do bardziej efektywnego wykorzystania dostępnej mocy przyłączeniowej oraz infrastruktury sieciowej.</w:t>
            </w:r>
          </w:p>
          <w:p w14:paraId="005FD1CE" w14:textId="77777777" w:rsidR="003362D8" w:rsidRPr="003362D8" w:rsidRDefault="003362D8" w:rsidP="003362D8">
            <w:pPr>
              <w:jc w:val="both"/>
              <w:rPr>
                <w:rFonts w:eastAsia="Calibri" w:cstheme="minorHAnsi"/>
                <w:sz w:val="20"/>
                <w:szCs w:val="20"/>
              </w:rPr>
            </w:pPr>
            <w:r w:rsidRPr="003362D8">
              <w:rPr>
                <w:rFonts w:eastAsia="Calibri" w:cstheme="minorHAnsi"/>
                <w:sz w:val="20"/>
                <w:szCs w:val="20"/>
              </w:rPr>
              <w:t>Jednocześnie proponujemy ponowną analizę użycia terminów „instalacja, urządzenie lub sieć” w całej proponowanej regulacji, aby zapewnić ich spójność z obowiązującymi definicjami oraz celami CP.</w:t>
            </w:r>
          </w:p>
          <w:p w14:paraId="770080BB" w14:textId="6DE69D1F" w:rsidR="003362D8" w:rsidRPr="003362D8" w:rsidRDefault="003362D8" w:rsidP="003362D8">
            <w:pPr>
              <w:jc w:val="both"/>
              <w:rPr>
                <w:rFonts w:eastAsia="Calibri" w:cstheme="minorHAnsi"/>
                <w:sz w:val="20"/>
                <w:szCs w:val="20"/>
              </w:rPr>
            </w:pPr>
            <w:r w:rsidRPr="003362D8">
              <w:rPr>
                <w:rFonts w:eastAsia="Calibri" w:cstheme="minorHAnsi"/>
                <w:sz w:val="20"/>
                <w:szCs w:val="20"/>
              </w:rPr>
              <w:t>Zgodnie z definicją zawartą w ustawie Prawo energetyczne, instalacja obejmuje urządzenia wraz z układami połączeń między nimi, co oznacza, że przyłączenie urządzeń w ramach CP jest już możliwe i logicznie ujęte w obecnym stanie prawnym.</w:t>
            </w:r>
          </w:p>
          <w:p w14:paraId="69578F47" w14:textId="77777777" w:rsidR="003362D8" w:rsidRPr="003362D8" w:rsidRDefault="003362D8" w:rsidP="003362D8">
            <w:pPr>
              <w:jc w:val="both"/>
              <w:rPr>
                <w:rFonts w:eastAsia="Calibri" w:cstheme="minorHAnsi"/>
                <w:sz w:val="20"/>
                <w:szCs w:val="20"/>
              </w:rPr>
            </w:pPr>
            <w:r w:rsidRPr="003362D8">
              <w:rPr>
                <w:rFonts w:eastAsia="Calibri" w:cstheme="minorHAnsi"/>
                <w:sz w:val="20"/>
                <w:szCs w:val="20"/>
              </w:rPr>
              <w:t>Rozszerzenie formuły CP na sieci (w szczególności sieci OSDn) wymaga jednak szczególnej uwagi i ostrożności, z uwagi na:</w:t>
            </w:r>
          </w:p>
          <w:p w14:paraId="5F207D12" w14:textId="60C8F21C" w:rsidR="003362D8" w:rsidRPr="003362D8" w:rsidRDefault="003362D8" w:rsidP="003362D8">
            <w:pPr>
              <w:numPr>
                <w:ilvl w:val="0"/>
                <w:numId w:val="11"/>
              </w:numPr>
              <w:jc w:val="both"/>
              <w:rPr>
                <w:rFonts w:eastAsia="Calibri" w:cstheme="minorHAnsi"/>
                <w:sz w:val="20"/>
                <w:szCs w:val="20"/>
              </w:rPr>
            </w:pPr>
            <w:r w:rsidRPr="003362D8">
              <w:rPr>
                <w:rFonts w:eastAsia="Calibri" w:cstheme="minorHAnsi"/>
                <w:b/>
                <w:bCs/>
                <w:sz w:val="20"/>
                <w:szCs w:val="20"/>
              </w:rPr>
              <w:t>Cel CP</w:t>
            </w:r>
            <w:r w:rsidRPr="003362D8">
              <w:rPr>
                <w:rFonts w:eastAsia="Calibri" w:cstheme="minorHAnsi"/>
                <w:sz w:val="20"/>
                <w:szCs w:val="20"/>
              </w:rPr>
              <w:t xml:space="preserve">, jakim jest optymalizacja wykorzystania mocy przyłączeniowej dla konkretnych obiektów końcowych o zdefiniowanej charakterystyce oddziaływania na sieć. </w:t>
            </w:r>
            <w:r w:rsidR="005F17C0" w:rsidRPr="0038322F">
              <w:rPr>
                <w:rFonts w:eastAsia="Calibri" w:cstheme="minorHAnsi"/>
                <w:sz w:val="20"/>
                <w:szCs w:val="20"/>
              </w:rPr>
              <w:br/>
            </w:r>
            <w:r w:rsidR="00232B67" w:rsidRPr="0038322F">
              <w:rPr>
                <w:rFonts w:eastAsia="Calibri" w:cstheme="minorHAnsi"/>
                <w:sz w:val="20"/>
                <w:szCs w:val="20"/>
              </w:rPr>
              <w:t xml:space="preserve">W przypadku sieci trudno mówić o takiej charakterystyce, </w:t>
            </w:r>
            <w:r w:rsidR="000B6A47" w:rsidRPr="0038322F">
              <w:rPr>
                <w:rFonts w:eastAsia="Calibri" w:cstheme="minorHAnsi"/>
                <w:sz w:val="20"/>
                <w:szCs w:val="20"/>
              </w:rPr>
              <w:t>do</w:t>
            </w:r>
            <w:r w:rsidRPr="003362D8">
              <w:rPr>
                <w:rFonts w:eastAsia="Calibri" w:cstheme="minorHAnsi"/>
                <w:sz w:val="20"/>
                <w:szCs w:val="20"/>
              </w:rPr>
              <w:t>póki nie zostaną określone konkretne obiekty do niej przyłączone.</w:t>
            </w:r>
          </w:p>
          <w:p w14:paraId="7C6AF30D" w14:textId="77777777" w:rsidR="003362D8" w:rsidRPr="003362D8" w:rsidRDefault="003362D8" w:rsidP="003362D8">
            <w:pPr>
              <w:numPr>
                <w:ilvl w:val="0"/>
                <w:numId w:val="11"/>
              </w:numPr>
              <w:jc w:val="both"/>
              <w:rPr>
                <w:rFonts w:eastAsia="Calibri" w:cstheme="minorHAnsi"/>
                <w:sz w:val="20"/>
                <w:szCs w:val="20"/>
              </w:rPr>
            </w:pPr>
            <w:r w:rsidRPr="003362D8">
              <w:rPr>
                <w:rFonts w:eastAsia="Calibri" w:cstheme="minorHAnsi"/>
                <w:b/>
                <w:bCs/>
                <w:sz w:val="20"/>
                <w:szCs w:val="20"/>
              </w:rPr>
              <w:t>Definicję sieci</w:t>
            </w:r>
            <w:r w:rsidRPr="003362D8">
              <w:rPr>
                <w:rFonts w:eastAsia="Calibri" w:cstheme="minorHAnsi"/>
                <w:sz w:val="20"/>
                <w:szCs w:val="20"/>
              </w:rPr>
              <w:t xml:space="preserve"> w </w:t>
            </w:r>
            <w:proofErr w:type="spellStart"/>
            <w:r w:rsidRPr="003362D8">
              <w:rPr>
                <w:rFonts w:eastAsia="Calibri" w:cstheme="minorHAnsi"/>
                <w:sz w:val="20"/>
                <w:szCs w:val="20"/>
              </w:rPr>
              <w:t>uPE</w:t>
            </w:r>
            <w:proofErr w:type="spellEnd"/>
            <w:r w:rsidRPr="003362D8">
              <w:rPr>
                <w:rFonts w:eastAsia="Calibri" w:cstheme="minorHAnsi"/>
                <w:sz w:val="20"/>
                <w:szCs w:val="20"/>
              </w:rPr>
              <w:t xml:space="preserve"> jako instalacji służącej do przesyłania lub dystrybucji energii, należącej do przedsiębiorstwa energetycznego. Włączenie sieci do CP bez dodatkowych warunków może prowadzić do niezamierzonego wykorzystania tej formuły w sposób odbiegający od jej pierwotnego celu.</w:t>
            </w:r>
          </w:p>
          <w:p w14:paraId="2DFB3FEC" w14:textId="77777777" w:rsidR="003362D8" w:rsidRPr="003362D8" w:rsidRDefault="003362D8" w:rsidP="003362D8">
            <w:pPr>
              <w:numPr>
                <w:ilvl w:val="0"/>
                <w:numId w:val="11"/>
              </w:numPr>
              <w:jc w:val="both"/>
              <w:rPr>
                <w:rFonts w:eastAsia="Calibri" w:cstheme="minorHAnsi"/>
                <w:sz w:val="20"/>
                <w:szCs w:val="20"/>
              </w:rPr>
            </w:pPr>
            <w:r w:rsidRPr="003362D8">
              <w:rPr>
                <w:rFonts w:eastAsia="Calibri" w:cstheme="minorHAnsi"/>
                <w:b/>
                <w:bCs/>
                <w:sz w:val="20"/>
                <w:szCs w:val="20"/>
              </w:rPr>
              <w:t>Potencjalne ryzyko nierównego traktowania</w:t>
            </w:r>
            <w:r w:rsidRPr="003362D8">
              <w:rPr>
                <w:rFonts w:eastAsia="Calibri" w:cstheme="minorHAnsi"/>
                <w:sz w:val="20"/>
                <w:szCs w:val="20"/>
              </w:rPr>
              <w:t xml:space="preserve"> wniosków o przyłączenie – w szczególności w kontekście obowiązków związanych z planowaniem przestrzennym, prawem do gruntu czy realizacją kamieni milowych, które są obecnie wymagane dla obiektów OZE przyłączanych bezpośrednio do sieci OSE.</w:t>
            </w:r>
          </w:p>
          <w:p w14:paraId="1AD00080" w14:textId="623BFC23" w:rsidR="003362D8" w:rsidRPr="003362D8" w:rsidRDefault="003362D8" w:rsidP="003362D8">
            <w:pPr>
              <w:jc w:val="both"/>
              <w:rPr>
                <w:rFonts w:eastAsia="Calibri" w:cstheme="minorHAnsi"/>
                <w:sz w:val="20"/>
                <w:szCs w:val="20"/>
              </w:rPr>
            </w:pPr>
            <w:r w:rsidRPr="003362D8">
              <w:rPr>
                <w:rFonts w:eastAsia="Calibri" w:cstheme="minorHAnsi"/>
                <w:sz w:val="20"/>
                <w:szCs w:val="20"/>
              </w:rPr>
              <w:t xml:space="preserve">Dlatego proponujemy, aby ewentualne dopuszczenie sieci OSDn do formuły CP było możliwe </w:t>
            </w:r>
            <w:r w:rsidRPr="003362D8">
              <w:rPr>
                <w:rFonts w:eastAsia="Calibri" w:cstheme="minorHAnsi"/>
                <w:b/>
                <w:bCs/>
                <w:sz w:val="20"/>
                <w:szCs w:val="20"/>
              </w:rPr>
              <w:t>pod warunkiem pełnego zrównania obowiązków</w:t>
            </w:r>
            <w:r w:rsidRPr="003362D8">
              <w:rPr>
                <w:rFonts w:eastAsia="Calibri" w:cstheme="minorHAnsi"/>
                <w:sz w:val="20"/>
                <w:szCs w:val="20"/>
              </w:rPr>
              <w:t xml:space="preserve"> wynikających z procesu przyłączenia do sieci OSE – zarówno na etapie wnioskowania, jak i realizacji inwestycji. </w:t>
            </w:r>
            <w:r w:rsidR="003314CE" w:rsidRPr="0038322F">
              <w:rPr>
                <w:rFonts w:eastAsia="Calibri" w:cstheme="minorHAnsi"/>
                <w:sz w:val="20"/>
                <w:szCs w:val="20"/>
              </w:rPr>
              <w:br/>
            </w:r>
            <w:r w:rsidRPr="003362D8">
              <w:rPr>
                <w:rFonts w:eastAsia="Calibri" w:cstheme="minorHAnsi"/>
                <w:sz w:val="20"/>
                <w:szCs w:val="20"/>
              </w:rPr>
              <w:t>W szczególności:</w:t>
            </w:r>
          </w:p>
          <w:p w14:paraId="38AFF815" w14:textId="77777777" w:rsidR="003362D8" w:rsidRPr="003362D8" w:rsidRDefault="003362D8" w:rsidP="003362D8">
            <w:pPr>
              <w:numPr>
                <w:ilvl w:val="0"/>
                <w:numId w:val="12"/>
              </w:numPr>
              <w:jc w:val="both"/>
              <w:rPr>
                <w:rFonts w:eastAsia="Calibri" w:cstheme="minorHAnsi"/>
                <w:sz w:val="20"/>
                <w:szCs w:val="20"/>
              </w:rPr>
            </w:pPr>
            <w:r w:rsidRPr="003362D8">
              <w:rPr>
                <w:rFonts w:eastAsia="Calibri" w:cstheme="minorHAnsi"/>
                <w:sz w:val="20"/>
                <w:szCs w:val="20"/>
              </w:rPr>
              <w:t>Wnioski o przyłączenie, wydane warunki oraz zawarte umowy dotyczące sieci OSDn powinny zostać uzupełnione o informacje o planowanych do przyłączenia obiektach.</w:t>
            </w:r>
          </w:p>
          <w:p w14:paraId="51CCFF57" w14:textId="77777777" w:rsidR="003362D8" w:rsidRPr="003362D8" w:rsidRDefault="003362D8" w:rsidP="003362D8">
            <w:pPr>
              <w:numPr>
                <w:ilvl w:val="0"/>
                <w:numId w:val="12"/>
              </w:numPr>
              <w:jc w:val="both"/>
              <w:rPr>
                <w:rFonts w:eastAsia="Calibri" w:cstheme="minorHAnsi"/>
                <w:sz w:val="20"/>
                <w:szCs w:val="20"/>
              </w:rPr>
            </w:pPr>
            <w:r w:rsidRPr="003362D8">
              <w:rPr>
                <w:rFonts w:eastAsia="Calibri" w:cstheme="minorHAnsi"/>
                <w:sz w:val="20"/>
                <w:szCs w:val="20"/>
              </w:rPr>
              <w:t>Powinny one spełniać analogiczne wymagania jak wnioski dotyczące bezpośredniego przyłączenia obiektów do sieci OSE.</w:t>
            </w:r>
          </w:p>
          <w:p w14:paraId="406C91E9" w14:textId="77777777" w:rsidR="003362D8" w:rsidRPr="003362D8" w:rsidRDefault="003362D8" w:rsidP="003362D8">
            <w:pPr>
              <w:numPr>
                <w:ilvl w:val="0"/>
                <w:numId w:val="12"/>
              </w:numPr>
              <w:jc w:val="both"/>
              <w:rPr>
                <w:rFonts w:eastAsia="Calibri" w:cstheme="minorHAnsi"/>
                <w:sz w:val="20"/>
                <w:szCs w:val="20"/>
              </w:rPr>
            </w:pPr>
            <w:r w:rsidRPr="003362D8">
              <w:rPr>
                <w:rFonts w:eastAsia="Calibri" w:cstheme="minorHAnsi"/>
                <w:sz w:val="20"/>
                <w:szCs w:val="20"/>
              </w:rPr>
              <w:t>W przypadku niespełnienia tych wymagań, powinny zostać wprowadzone odpowiednie mechanizmy ograniczające lub sankcjonujące.</w:t>
            </w:r>
          </w:p>
          <w:p w14:paraId="1E2E779F" w14:textId="778E107A" w:rsidR="007650F4" w:rsidRPr="0038322F" w:rsidRDefault="003362D8" w:rsidP="007650F4">
            <w:pPr>
              <w:jc w:val="both"/>
              <w:rPr>
                <w:rFonts w:eastAsia="Calibri" w:cstheme="minorHAnsi"/>
                <w:sz w:val="20"/>
                <w:szCs w:val="20"/>
              </w:rPr>
            </w:pPr>
            <w:r w:rsidRPr="003362D8">
              <w:rPr>
                <w:rFonts w:eastAsia="Calibri" w:cstheme="minorHAnsi"/>
                <w:sz w:val="20"/>
                <w:szCs w:val="20"/>
              </w:rPr>
              <w:t>Naszym celem nie jest ograniczenie możliwości rozwoju OSDn, lecz zapewnienie równych warunków działania dla wszystkich uczestników rynku oraz utrzymanie przejrzystości i efektywności procesu przyłączeniowego.</w:t>
            </w:r>
          </w:p>
        </w:tc>
        <w:tc>
          <w:tcPr>
            <w:tcW w:w="4394" w:type="dxa"/>
          </w:tcPr>
          <w:p w14:paraId="4D651950" w14:textId="77777777" w:rsidR="007650F4" w:rsidRPr="0038322F" w:rsidRDefault="007650F4" w:rsidP="007650F4">
            <w:pPr>
              <w:jc w:val="both"/>
              <w:rPr>
                <w:rFonts w:cstheme="minorHAnsi"/>
                <w:sz w:val="20"/>
                <w:szCs w:val="20"/>
              </w:rPr>
            </w:pPr>
            <w:r w:rsidRPr="0038322F">
              <w:rPr>
                <w:rFonts w:eastAsia="Calibri" w:cstheme="minorHAnsi"/>
                <w:sz w:val="20"/>
                <w:szCs w:val="20"/>
              </w:rPr>
              <w:t>Ust. 1f otrzymuje brzmienie:</w:t>
            </w:r>
          </w:p>
          <w:p w14:paraId="77AFD8F0" w14:textId="0DA2E5A9" w:rsidR="00EF08E8" w:rsidRPr="0038322F" w:rsidRDefault="00D50025" w:rsidP="007650F4">
            <w:pPr>
              <w:jc w:val="both"/>
              <w:rPr>
                <w:rFonts w:cstheme="minorHAnsi"/>
                <w:spacing w:val="-1"/>
                <w:sz w:val="20"/>
                <w:szCs w:val="20"/>
              </w:rPr>
            </w:pPr>
            <w:r w:rsidRPr="0038322F">
              <w:rPr>
                <w:rFonts w:eastAsia="Calibri" w:cstheme="minorHAnsi"/>
                <w:i/>
                <w:iCs/>
                <w:sz w:val="20"/>
                <w:szCs w:val="20"/>
              </w:rPr>
              <w:t xml:space="preserve">1f. Do sieci elektroenergetycznej o napięciu znamionowym wyższym niż 1 </w:t>
            </w:r>
            <w:proofErr w:type="spellStart"/>
            <w:r w:rsidRPr="0038322F">
              <w:rPr>
                <w:rFonts w:eastAsia="Calibri" w:cstheme="minorHAnsi"/>
                <w:i/>
                <w:iCs/>
                <w:sz w:val="20"/>
                <w:szCs w:val="20"/>
              </w:rPr>
              <w:t>kV</w:t>
            </w:r>
            <w:proofErr w:type="spellEnd"/>
            <w:r w:rsidRPr="0038322F">
              <w:rPr>
                <w:rFonts w:eastAsia="Calibri" w:cstheme="minorHAnsi"/>
                <w:i/>
                <w:iCs/>
                <w:sz w:val="20"/>
                <w:szCs w:val="20"/>
              </w:rPr>
              <w:t xml:space="preserve"> w jednym miejscu przyłączenia można przyłączyć dwie lub większą liczbę instalacji </w:t>
            </w:r>
            <w:r w:rsidRPr="0038322F">
              <w:rPr>
                <w:rFonts w:eastAsia="Calibri" w:cstheme="minorHAnsi"/>
                <w:b/>
                <w:bCs/>
                <w:i/>
                <w:iCs/>
                <w:sz w:val="20"/>
                <w:szCs w:val="20"/>
              </w:rPr>
              <w:t xml:space="preserve">lub magazynów energii elektrycznej, </w:t>
            </w:r>
            <w:r w:rsidRPr="0038322F">
              <w:rPr>
                <w:rFonts w:eastAsia="Calibri" w:cstheme="minorHAnsi"/>
                <w:b/>
                <w:bCs/>
                <w:i/>
                <w:iCs/>
                <w:strike/>
                <w:sz w:val="20"/>
                <w:szCs w:val="20"/>
              </w:rPr>
              <w:t>urządzeń lub sieci</w:t>
            </w:r>
            <w:r w:rsidRPr="0038322F">
              <w:rPr>
                <w:rFonts w:eastAsia="Calibri" w:cstheme="minorHAnsi"/>
                <w:b/>
                <w:bCs/>
                <w:i/>
                <w:iCs/>
                <w:sz w:val="20"/>
                <w:szCs w:val="20"/>
              </w:rPr>
              <w:t> </w:t>
            </w:r>
            <w:r w:rsidRPr="0038322F">
              <w:rPr>
                <w:rFonts w:eastAsia="Calibri" w:cstheme="minorHAnsi"/>
                <w:i/>
                <w:iCs/>
                <w:sz w:val="20"/>
                <w:szCs w:val="20"/>
              </w:rPr>
              <w:t xml:space="preserve">należących do jednego lub większej liczby podmiotów. </w:t>
            </w:r>
            <w:r w:rsidR="006A5C1D" w:rsidRPr="0038322F">
              <w:rPr>
                <w:rFonts w:eastAsia="Calibri" w:cstheme="minorHAnsi"/>
                <w:i/>
                <w:iCs/>
                <w:sz w:val="20"/>
                <w:szCs w:val="20"/>
              </w:rPr>
              <w:t xml:space="preserve">Przepis nie ma zastosowania do instalacji </w:t>
            </w:r>
            <w:r w:rsidR="006A5C1D" w:rsidRPr="0038322F">
              <w:rPr>
                <w:rFonts w:eastAsia="Calibri" w:cstheme="minorHAnsi"/>
                <w:b/>
                <w:bCs/>
                <w:i/>
                <w:iCs/>
                <w:sz w:val="20"/>
                <w:szCs w:val="20"/>
              </w:rPr>
              <w:t xml:space="preserve">lub magazynów energii elektrycznej, </w:t>
            </w:r>
            <w:r w:rsidR="006A5C1D" w:rsidRPr="0038322F">
              <w:rPr>
                <w:rFonts w:eastAsia="Calibri" w:cstheme="minorHAnsi"/>
                <w:b/>
                <w:bCs/>
                <w:i/>
                <w:iCs/>
                <w:strike/>
                <w:sz w:val="20"/>
                <w:szCs w:val="20"/>
              </w:rPr>
              <w:t>urządzeń lub sieci</w:t>
            </w:r>
            <w:r w:rsidR="006A5C1D" w:rsidRPr="0038322F">
              <w:rPr>
                <w:rFonts w:eastAsia="Calibri" w:cstheme="minorHAnsi"/>
                <w:b/>
                <w:bCs/>
                <w:i/>
                <w:iCs/>
                <w:sz w:val="20"/>
                <w:szCs w:val="20"/>
              </w:rPr>
              <w:t> </w:t>
            </w:r>
            <w:r w:rsidR="006A5C1D" w:rsidRPr="0038322F">
              <w:rPr>
                <w:rFonts w:eastAsia="Calibri" w:cstheme="minorHAnsi"/>
                <w:i/>
                <w:iCs/>
                <w:sz w:val="20"/>
                <w:szCs w:val="20"/>
              </w:rPr>
              <w:t>dla których miejscem przyłączenia do sieci jest instalacja odbiorcy końcowego.</w:t>
            </w:r>
          </w:p>
        </w:tc>
        <w:tc>
          <w:tcPr>
            <w:tcW w:w="1286" w:type="dxa"/>
          </w:tcPr>
          <w:p w14:paraId="32BA83FC" w14:textId="77777777" w:rsidR="007650F4" w:rsidRPr="0038322F" w:rsidRDefault="007650F4" w:rsidP="007650F4">
            <w:pPr>
              <w:jc w:val="both"/>
              <w:rPr>
                <w:rFonts w:cstheme="minorHAnsi"/>
                <w:sz w:val="20"/>
                <w:szCs w:val="20"/>
              </w:rPr>
            </w:pPr>
            <w:r w:rsidRPr="0038322F">
              <w:rPr>
                <w:rFonts w:eastAsia="Calibri" w:cstheme="minorHAnsi"/>
                <w:sz w:val="20"/>
                <w:szCs w:val="20"/>
              </w:rPr>
              <w:t xml:space="preserve"> </w:t>
            </w:r>
          </w:p>
          <w:p w14:paraId="302268A6" w14:textId="77777777" w:rsidR="007650F4" w:rsidRPr="0038322F" w:rsidRDefault="007650F4" w:rsidP="007650F4">
            <w:pPr>
              <w:jc w:val="both"/>
              <w:rPr>
                <w:rFonts w:cstheme="minorHAnsi"/>
                <w:sz w:val="20"/>
                <w:szCs w:val="20"/>
              </w:rPr>
            </w:pPr>
          </w:p>
        </w:tc>
      </w:tr>
      <w:tr w:rsidR="00481470" w:rsidRPr="0038322F" w14:paraId="03296D36" w14:textId="77777777" w:rsidTr="00862BFF">
        <w:tc>
          <w:tcPr>
            <w:tcW w:w="846" w:type="dxa"/>
          </w:tcPr>
          <w:p w14:paraId="171CF70E" w14:textId="77777777" w:rsidR="00481470" w:rsidRPr="0038322F" w:rsidRDefault="00481470" w:rsidP="00481470">
            <w:pPr>
              <w:pStyle w:val="Akapitzlist"/>
              <w:numPr>
                <w:ilvl w:val="0"/>
                <w:numId w:val="15"/>
              </w:numPr>
              <w:ind w:left="313"/>
              <w:jc w:val="center"/>
              <w:rPr>
                <w:rFonts w:cstheme="minorHAnsi"/>
                <w:sz w:val="20"/>
                <w:szCs w:val="20"/>
              </w:rPr>
            </w:pPr>
          </w:p>
        </w:tc>
        <w:tc>
          <w:tcPr>
            <w:tcW w:w="1843" w:type="dxa"/>
          </w:tcPr>
          <w:p w14:paraId="2DDABF0D" w14:textId="77777777" w:rsidR="00481470" w:rsidRPr="0038322F" w:rsidRDefault="00481470" w:rsidP="00481470">
            <w:pPr>
              <w:jc w:val="center"/>
              <w:rPr>
                <w:rFonts w:cstheme="minorHAnsi"/>
                <w:sz w:val="20"/>
                <w:szCs w:val="20"/>
              </w:rPr>
            </w:pPr>
            <w:r w:rsidRPr="0038322F">
              <w:rPr>
                <w:rFonts w:cstheme="minorHAnsi"/>
                <w:sz w:val="20"/>
                <w:szCs w:val="20"/>
              </w:rPr>
              <w:t>Art. 1 pkt 8 lit. b</w:t>
            </w:r>
            <w:r w:rsidR="0074527C" w:rsidRPr="0038322F">
              <w:rPr>
                <w:rFonts w:cstheme="minorHAnsi"/>
                <w:sz w:val="20"/>
                <w:szCs w:val="20"/>
              </w:rPr>
              <w:t xml:space="preserve"> w zakresie </w:t>
            </w:r>
            <w:r w:rsidR="00C25FA8" w:rsidRPr="0038322F">
              <w:rPr>
                <w:rFonts w:cstheme="minorHAnsi"/>
                <w:sz w:val="20"/>
                <w:szCs w:val="20"/>
              </w:rPr>
              <w:t>dodawanego art. 7 ust. 1h</w:t>
            </w:r>
          </w:p>
          <w:p w14:paraId="2145C7BB" w14:textId="77777777" w:rsidR="009E4CB2" w:rsidRPr="0038322F" w:rsidRDefault="009E4CB2" w:rsidP="00481470">
            <w:pPr>
              <w:jc w:val="center"/>
              <w:rPr>
                <w:rFonts w:cstheme="minorHAnsi"/>
                <w:sz w:val="20"/>
                <w:szCs w:val="20"/>
              </w:rPr>
            </w:pPr>
          </w:p>
          <w:p w14:paraId="4D3E847D" w14:textId="3A0346FD" w:rsidR="009E4CB2" w:rsidRPr="0038322F" w:rsidRDefault="009E4CB2" w:rsidP="00481470">
            <w:pPr>
              <w:jc w:val="center"/>
              <w:rPr>
                <w:rFonts w:eastAsia="Calibri" w:cstheme="minorHAnsi"/>
                <w:sz w:val="20"/>
                <w:szCs w:val="20"/>
              </w:rPr>
            </w:pPr>
          </w:p>
        </w:tc>
        <w:tc>
          <w:tcPr>
            <w:tcW w:w="5670" w:type="dxa"/>
          </w:tcPr>
          <w:p w14:paraId="726D9649" w14:textId="2DEF902C" w:rsidR="00481470" w:rsidRPr="0038322F" w:rsidRDefault="00481470" w:rsidP="00481470">
            <w:pPr>
              <w:jc w:val="both"/>
              <w:rPr>
                <w:rFonts w:eastAsiaTheme="minorEastAsia" w:cstheme="minorHAnsi"/>
                <w:sz w:val="20"/>
                <w:szCs w:val="20"/>
                <w:lang w:val="pl"/>
              </w:rPr>
            </w:pPr>
            <w:r w:rsidRPr="0038322F">
              <w:rPr>
                <w:rFonts w:cstheme="minorHAnsi"/>
                <w:sz w:val="20"/>
                <w:szCs w:val="20"/>
              </w:rPr>
              <w:t>Celem proponowanej zmiany jest doprecyzowanie sytuacji, w której podmiot ubiegający się o przyłączenie magazynu energii elektrycznej nie wnosi zaliczki, o której mowa w ust. 8a. Dodanie zapisu dotyczącego zwiększenia wyłącznie mocy przyłączeniowej w kierunku poboru – w zakresie wartości mocy przyłączeniowej w kierunku wprowadzania – ma na celu uwzględnienie specyfiki magazynów energii, które mogą operować w obu kierunkach przepływu energii. Poprawka zapewnia spójność z przepisem ust. 1f oraz eliminuje wątpliwości interpretacyjne w przypadku instalacji już przyłączonych lub objętych umową o przyłączenie. Ułatwia to rozwój infrastruktury magazynowania energii, wspiera stabilność systemu elektroenergetycznego oraz ogranicza zbędne koszty proceduralne dla inwestorów.</w:t>
            </w:r>
          </w:p>
        </w:tc>
        <w:tc>
          <w:tcPr>
            <w:tcW w:w="4394" w:type="dxa"/>
          </w:tcPr>
          <w:p w14:paraId="5A7ABDDA" w14:textId="77777777" w:rsidR="00481470" w:rsidRPr="0038322F" w:rsidRDefault="00481470" w:rsidP="00481470">
            <w:pPr>
              <w:jc w:val="both"/>
              <w:rPr>
                <w:rFonts w:cstheme="minorHAnsi"/>
                <w:sz w:val="20"/>
                <w:szCs w:val="20"/>
              </w:rPr>
            </w:pPr>
            <w:r w:rsidRPr="0038322F">
              <w:rPr>
                <w:rFonts w:cstheme="minorHAnsi"/>
                <w:sz w:val="20"/>
                <w:szCs w:val="20"/>
              </w:rPr>
              <w:t>„1h. W przypadku:</w:t>
            </w:r>
          </w:p>
          <w:p w14:paraId="68289656" w14:textId="52BA9EED" w:rsidR="0074527C" w:rsidRPr="0038322F" w:rsidRDefault="00481470" w:rsidP="0074527C">
            <w:pPr>
              <w:jc w:val="both"/>
              <w:rPr>
                <w:rFonts w:cstheme="minorHAnsi"/>
                <w:sz w:val="20"/>
                <w:szCs w:val="20"/>
              </w:rPr>
            </w:pPr>
            <w:r w:rsidRPr="0038322F">
              <w:rPr>
                <w:rFonts w:cstheme="minorHAnsi"/>
                <w:sz w:val="20"/>
                <w:szCs w:val="20"/>
              </w:rPr>
              <w:t xml:space="preserve">1) składania wniosku o określenie warunków przyłączenia kolejnej instalacji bez zwiększenia mocy przyłączeniowej </w:t>
            </w:r>
            <w:r w:rsidRPr="0038322F">
              <w:rPr>
                <w:rFonts w:cstheme="minorHAnsi"/>
                <w:b/>
                <w:bCs/>
                <w:i/>
                <w:iCs/>
                <w:sz w:val="20"/>
                <w:szCs w:val="20"/>
              </w:rPr>
              <w:t>albo zwiększając wyłącznie moc przyłączeniową w kierunku poboru w zakresie wartości mocy przyłączeniowej w kierunku wprowadzania do sieci energii elektrycznej</w:t>
            </w:r>
            <w:r w:rsidRPr="0038322F">
              <w:rPr>
                <w:rFonts w:cstheme="minorHAnsi"/>
                <w:sz w:val="20"/>
                <w:szCs w:val="20"/>
              </w:rPr>
              <w:t>, zgodnie z ust. 1f, do instalacji, dla której określono już warunki przyłączenia, zawarto umowę o przyłączenie lub dokonano przyłączenia,</w:t>
            </w:r>
          </w:p>
          <w:p w14:paraId="712B576B" w14:textId="22138F1F" w:rsidR="00481470" w:rsidRPr="0038322F" w:rsidRDefault="00481470" w:rsidP="00481470">
            <w:pPr>
              <w:jc w:val="both"/>
              <w:rPr>
                <w:rFonts w:eastAsia="Calibri" w:cstheme="minorHAnsi"/>
                <w:sz w:val="20"/>
                <w:szCs w:val="20"/>
                <w:lang w:val="pl"/>
              </w:rPr>
            </w:pPr>
          </w:p>
        </w:tc>
        <w:tc>
          <w:tcPr>
            <w:tcW w:w="1286" w:type="dxa"/>
          </w:tcPr>
          <w:p w14:paraId="26C5891A" w14:textId="77777777" w:rsidR="00481470" w:rsidRPr="0038322F" w:rsidRDefault="00481470" w:rsidP="00481470">
            <w:pPr>
              <w:jc w:val="both"/>
              <w:rPr>
                <w:rFonts w:eastAsia="Calibri" w:cstheme="minorHAnsi"/>
                <w:sz w:val="20"/>
                <w:szCs w:val="20"/>
              </w:rPr>
            </w:pPr>
          </w:p>
        </w:tc>
      </w:tr>
      <w:tr w:rsidR="00053ABD" w:rsidRPr="0038322F" w14:paraId="1DA0D436" w14:textId="77777777" w:rsidTr="00862BFF">
        <w:tc>
          <w:tcPr>
            <w:tcW w:w="846" w:type="dxa"/>
          </w:tcPr>
          <w:p w14:paraId="08430074" w14:textId="77777777" w:rsidR="00053ABD" w:rsidRPr="0038322F" w:rsidRDefault="00053ABD" w:rsidP="00053ABD">
            <w:pPr>
              <w:pStyle w:val="Akapitzlist"/>
              <w:numPr>
                <w:ilvl w:val="0"/>
                <w:numId w:val="15"/>
              </w:numPr>
              <w:ind w:left="313"/>
              <w:jc w:val="center"/>
              <w:rPr>
                <w:rFonts w:cstheme="minorHAnsi"/>
                <w:sz w:val="20"/>
                <w:szCs w:val="20"/>
              </w:rPr>
            </w:pPr>
          </w:p>
        </w:tc>
        <w:tc>
          <w:tcPr>
            <w:tcW w:w="1843" w:type="dxa"/>
          </w:tcPr>
          <w:p w14:paraId="0D751B9D" w14:textId="414AC794" w:rsidR="00053ABD" w:rsidRPr="0038322F" w:rsidRDefault="00053ABD" w:rsidP="00053ABD">
            <w:pPr>
              <w:jc w:val="center"/>
              <w:rPr>
                <w:rFonts w:eastAsia="Calibri" w:cstheme="minorHAnsi"/>
                <w:sz w:val="20"/>
                <w:szCs w:val="20"/>
              </w:rPr>
            </w:pPr>
            <w:r w:rsidRPr="0038322F">
              <w:rPr>
                <w:rFonts w:eastAsia="Calibri" w:cstheme="minorHAnsi"/>
                <w:sz w:val="20"/>
                <w:szCs w:val="20"/>
              </w:rPr>
              <w:t>Art. 1 pkt 8 lit. b projektu - zmieniający art. 7 poprzez dodanie art. 7 ust. 1i</w:t>
            </w:r>
          </w:p>
        </w:tc>
        <w:tc>
          <w:tcPr>
            <w:tcW w:w="5670" w:type="dxa"/>
          </w:tcPr>
          <w:p w14:paraId="6CD75932" w14:textId="77777777" w:rsidR="00053ABD" w:rsidRPr="0038322F" w:rsidRDefault="00053ABD" w:rsidP="00053ABD">
            <w:pPr>
              <w:spacing w:after="160"/>
              <w:jc w:val="both"/>
              <w:rPr>
                <w:rFonts w:eastAsia="Calibri" w:cstheme="minorHAnsi"/>
                <w:sz w:val="20"/>
                <w:szCs w:val="20"/>
                <w:lang w:val="pl"/>
              </w:rPr>
            </w:pPr>
            <w:r w:rsidRPr="0038322F">
              <w:rPr>
                <w:rFonts w:eastAsiaTheme="minorEastAsia" w:cstheme="minorHAnsi"/>
                <w:sz w:val="20"/>
                <w:szCs w:val="20"/>
                <w:lang w:val="pl"/>
              </w:rPr>
              <w:t>W przypadku wniosku o przyłączenie kolejnej instalacji lub o zmianę parametrów technicznych instalacji, dla której określono już warunki przyłączenia, zawarto umowę o przyłączenie lub dokonano przyłączenia, o ile zmianie nie</w:t>
            </w:r>
            <w:r w:rsidRPr="0038322F">
              <w:rPr>
                <w:rFonts w:eastAsia="Calibri" w:cstheme="minorHAnsi"/>
                <w:sz w:val="20"/>
                <w:szCs w:val="20"/>
                <w:lang w:val="pl"/>
              </w:rPr>
              <w:t xml:space="preserve"> ulega moc przyłączeniowa w zakresie poboru i oddawania energii elektrycznej, ekspertyza,</w:t>
            </w:r>
            <w:r w:rsidRPr="0038322F">
              <w:rPr>
                <w:rFonts w:eastAsiaTheme="minorEastAsia" w:cstheme="minorHAnsi"/>
                <w:sz w:val="20"/>
                <w:szCs w:val="20"/>
                <w:lang w:val="pl"/>
              </w:rPr>
              <w:t xml:space="preserve"> nie obejmuje analizy rozpływów mocy w sieci i dotyczy wyłącznie możliwości utrzymania odpowiednich parametrów pracy tej sieci.</w:t>
            </w:r>
          </w:p>
          <w:p w14:paraId="1C85CA9A" w14:textId="77777777" w:rsidR="00053ABD" w:rsidRPr="0038322F" w:rsidRDefault="00053ABD" w:rsidP="00053ABD">
            <w:pPr>
              <w:jc w:val="both"/>
              <w:rPr>
                <w:rFonts w:eastAsia="Calibri" w:cstheme="minorHAnsi"/>
                <w:sz w:val="20"/>
                <w:szCs w:val="20"/>
              </w:rPr>
            </w:pPr>
          </w:p>
          <w:p w14:paraId="60B115B9" w14:textId="53BA3E1A" w:rsidR="00053ABD" w:rsidRPr="0038322F" w:rsidRDefault="00053ABD" w:rsidP="00053ABD">
            <w:pPr>
              <w:jc w:val="both"/>
              <w:rPr>
                <w:rFonts w:eastAsia="Calibri" w:cstheme="minorHAnsi"/>
                <w:sz w:val="20"/>
                <w:szCs w:val="20"/>
              </w:rPr>
            </w:pPr>
            <w:r w:rsidRPr="0038322F">
              <w:rPr>
                <w:rFonts w:eastAsiaTheme="minorEastAsia" w:cstheme="minorHAnsi"/>
                <w:sz w:val="20"/>
                <w:szCs w:val="20"/>
                <w:lang w:val="pl"/>
              </w:rPr>
              <w:t>Przepis ten powinien uwzględniać również sytuację zmiany działki pod obiekt (źródło, magazyn energii) bez koniczności wykonania ekspertyza  analizy rozpływów mocy w sieci.</w:t>
            </w:r>
          </w:p>
        </w:tc>
        <w:tc>
          <w:tcPr>
            <w:tcW w:w="4394" w:type="dxa"/>
          </w:tcPr>
          <w:p w14:paraId="2AED4237" w14:textId="77777777" w:rsidR="00053ABD" w:rsidRPr="0038322F" w:rsidRDefault="00053ABD" w:rsidP="00053ABD">
            <w:pPr>
              <w:spacing w:after="160"/>
              <w:jc w:val="both"/>
              <w:rPr>
                <w:rFonts w:eastAsia="Calibri" w:cstheme="minorHAnsi"/>
                <w:sz w:val="20"/>
                <w:szCs w:val="20"/>
                <w:lang w:val="pl"/>
              </w:rPr>
            </w:pPr>
            <w:r w:rsidRPr="0038322F">
              <w:rPr>
                <w:rFonts w:eastAsia="Calibri" w:cstheme="minorHAnsi"/>
                <w:sz w:val="20"/>
                <w:szCs w:val="20"/>
                <w:lang w:val="pl"/>
              </w:rPr>
              <w:t>Proponowane brzmienie:</w:t>
            </w:r>
          </w:p>
          <w:p w14:paraId="049B432F" w14:textId="6B11F87E" w:rsidR="00053ABD" w:rsidRPr="0038322F" w:rsidRDefault="00053ABD" w:rsidP="00053ABD">
            <w:pPr>
              <w:jc w:val="both"/>
              <w:rPr>
                <w:rFonts w:eastAsia="Calibri" w:cstheme="minorHAnsi"/>
                <w:sz w:val="20"/>
                <w:szCs w:val="20"/>
              </w:rPr>
            </w:pPr>
            <w:r w:rsidRPr="0038322F">
              <w:rPr>
                <w:rFonts w:eastAsia="Calibri" w:cstheme="minorHAnsi"/>
                <w:sz w:val="20"/>
                <w:szCs w:val="20"/>
                <w:lang w:val="pl"/>
              </w:rPr>
              <w:t xml:space="preserve">W przypadku wniosku o przyłączenie kolejnej instalacji lub o zmianę parametrów technicznych instalacji, dla której określono już warunki przyłączenia, zawarto umowę o przyłączenie lub dokonano przyłączenia, o ile zmianie nie ulega moc przyłączeniowa w zakresie poboru i oddawania energii elektrycznej, ekspertyza, nie obejmuje analizy rozpływów mocy w sieci i dotyczy wyłącznie możliwości utrzymania odpowiednich parametrów pracy tej sieci. </w:t>
            </w:r>
            <w:r w:rsidRPr="0038322F">
              <w:rPr>
                <w:rFonts w:eastAsia="Calibri" w:cstheme="minorHAnsi"/>
                <w:b/>
                <w:bCs/>
                <w:sz w:val="20"/>
                <w:szCs w:val="20"/>
                <w:lang w:val="pl"/>
              </w:rPr>
              <w:t>Przepis art. 7 ust. 8i</w:t>
            </w:r>
            <w:r w:rsidRPr="0038322F">
              <w:rPr>
                <w:rFonts w:eastAsia="Calibri" w:cstheme="minorHAnsi"/>
                <w:b/>
                <w:bCs/>
                <w:sz w:val="20"/>
                <w:szCs w:val="20"/>
                <w:vertAlign w:val="superscript"/>
                <w:lang w:val="pl"/>
              </w:rPr>
              <w:t>2</w:t>
            </w:r>
            <w:r w:rsidRPr="0038322F">
              <w:rPr>
                <w:rFonts w:eastAsia="Calibri" w:cstheme="minorHAnsi"/>
                <w:b/>
                <w:bCs/>
                <w:sz w:val="20"/>
                <w:szCs w:val="20"/>
                <w:lang w:val="pl"/>
              </w:rPr>
              <w:t xml:space="preserve"> stosuje się odpowiednio.</w:t>
            </w:r>
          </w:p>
        </w:tc>
        <w:tc>
          <w:tcPr>
            <w:tcW w:w="1286" w:type="dxa"/>
          </w:tcPr>
          <w:p w14:paraId="536D27E8" w14:textId="77777777" w:rsidR="00053ABD" w:rsidRPr="0038322F" w:rsidRDefault="00053ABD" w:rsidP="00053ABD">
            <w:pPr>
              <w:jc w:val="both"/>
              <w:rPr>
                <w:rFonts w:eastAsia="Calibri" w:cstheme="minorHAnsi"/>
                <w:sz w:val="20"/>
                <w:szCs w:val="20"/>
              </w:rPr>
            </w:pPr>
          </w:p>
        </w:tc>
      </w:tr>
      <w:tr w:rsidR="00B76C86" w:rsidRPr="0038322F" w14:paraId="7ED6EDCE" w14:textId="77777777" w:rsidTr="009E54BB">
        <w:tc>
          <w:tcPr>
            <w:tcW w:w="846" w:type="dxa"/>
            <w:shd w:val="clear" w:color="auto" w:fill="E2EFD9" w:themeFill="accent6" w:themeFillTint="33"/>
          </w:tcPr>
          <w:p w14:paraId="4BE8DF57" w14:textId="77777777" w:rsidR="00B76C86" w:rsidRPr="0038322F" w:rsidRDefault="00B76C86" w:rsidP="00B74CC0">
            <w:pPr>
              <w:pStyle w:val="Akapitzlist"/>
              <w:numPr>
                <w:ilvl w:val="0"/>
                <w:numId w:val="15"/>
              </w:numPr>
              <w:ind w:left="313"/>
              <w:jc w:val="center"/>
              <w:rPr>
                <w:rFonts w:cstheme="minorHAnsi"/>
                <w:sz w:val="20"/>
                <w:szCs w:val="20"/>
              </w:rPr>
            </w:pPr>
          </w:p>
        </w:tc>
        <w:tc>
          <w:tcPr>
            <w:tcW w:w="1843" w:type="dxa"/>
            <w:shd w:val="clear" w:color="auto" w:fill="E2EFD9" w:themeFill="accent6" w:themeFillTint="33"/>
          </w:tcPr>
          <w:p w14:paraId="57A90F6B" w14:textId="77777777" w:rsidR="00B76C86" w:rsidRPr="0038322F" w:rsidRDefault="00B76C86" w:rsidP="00B76C86">
            <w:pPr>
              <w:jc w:val="center"/>
              <w:rPr>
                <w:rFonts w:cstheme="minorHAnsi"/>
                <w:sz w:val="20"/>
                <w:szCs w:val="20"/>
              </w:rPr>
            </w:pPr>
            <w:r w:rsidRPr="0038322F">
              <w:rPr>
                <w:rFonts w:cstheme="minorHAnsi"/>
                <w:sz w:val="20"/>
                <w:szCs w:val="20"/>
              </w:rPr>
              <w:t>Art. 1 pkt 8 lit. c</w:t>
            </w:r>
          </w:p>
          <w:p w14:paraId="3FCCDE21" w14:textId="77777777" w:rsidR="00B76C86" w:rsidRPr="0038322F" w:rsidRDefault="00B76C86" w:rsidP="00B76C86">
            <w:pPr>
              <w:jc w:val="center"/>
              <w:rPr>
                <w:rFonts w:eastAsia="Calibri" w:cstheme="minorHAnsi"/>
                <w:sz w:val="20"/>
                <w:szCs w:val="20"/>
              </w:rPr>
            </w:pPr>
          </w:p>
        </w:tc>
        <w:tc>
          <w:tcPr>
            <w:tcW w:w="5670" w:type="dxa"/>
            <w:shd w:val="clear" w:color="auto" w:fill="E2EFD9" w:themeFill="accent6" w:themeFillTint="33"/>
          </w:tcPr>
          <w:p w14:paraId="0BC16440" w14:textId="77777777" w:rsidR="00B76C86" w:rsidRPr="0038322F" w:rsidRDefault="00B76C86" w:rsidP="00B76C86">
            <w:pPr>
              <w:jc w:val="both"/>
              <w:rPr>
                <w:rFonts w:cstheme="minorHAnsi"/>
                <w:sz w:val="20"/>
                <w:szCs w:val="20"/>
              </w:rPr>
            </w:pPr>
            <w:r w:rsidRPr="0038322F">
              <w:rPr>
                <w:rFonts w:cstheme="minorHAnsi"/>
                <w:sz w:val="20"/>
                <w:szCs w:val="20"/>
              </w:rPr>
              <w:t>Celem poprawek jest dokonanie koniecznych zmian w zakresie tzw. “kamieni milowych” w umowach o przyłączenie do sieci. Proponuje się:</w:t>
            </w:r>
          </w:p>
          <w:p w14:paraId="152F9FB4" w14:textId="77777777" w:rsidR="00B76C86" w:rsidRPr="0038322F" w:rsidRDefault="00B76C86" w:rsidP="00B76C86">
            <w:pPr>
              <w:pStyle w:val="Akapitzlist"/>
              <w:numPr>
                <w:ilvl w:val="0"/>
                <w:numId w:val="2"/>
              </w:numPr>
              <w:jc w:val="both"/>
              <w:rPr>
                <w:rFonts w:cstheme="minorHAnsi"/>
                <w:sz w:val="20"/>
                <w:szCs w:val="20"/>
              </w:rPr>
            </w:pPr>
            <w:r w:rsidRPr="0038322F">
              <w:rPr>
                <w:rFonts w:cstheme="minorHAnsi"/>
                <w:sz w:val="20"/>
                <w:szCs w:val="20"/>
              </w:rPr>
              <w:t>Zmianę statusu pozwolenia na budowę z prawomocnego na ostateczne, ponieważ nie wymaga zakończenia ewentualnego postępowania sądowego, co może trwać miesiące lub lata;</w:t>
            </w:r>
          </w:p>
          <w:p w14:paraId="5F0E758F" w14:textId="77777777" w:rsidR="00B76C86" w:rsidRPr="0038322F" w:rsidRDefault="00B76C86" w:rsidP="00B76C86">
            <w:pPr>
              <w:pStyle w:val="Akapitzlist"/>
              <w:numPr>
                <w:ilvl w:val="0"/>
                <w:numId w:val="2"/>
              </w:numPr>
              <w:jc w:val="both"/>
              <w:rPr>
                <w:rFonts w:cstheme="minorHAnsi"/>
                <w:sz w:val="20"/>
                <w:szCs w:val="20"/>
              </w:rPr>
            </w:pPr>
            <w:r w:rsidRPr="0038322F">
              <w:rPr>
                <w:rFonts w:cstheme="minorHAnsi"/>
                <w:sz w:val="20"/>
                <w:szCs w:val="20"/>
              </w:rPr>
              <w:t>Doprecyzowanie, że wymogi w zakresie pozwolenia na budowę nie dotyczą tras kablowych oraz linii zasilających przyłączany obiekt;</w:t>
            </w:r>
          </w:p>
          <w:p w14:paraId="48C0DF7E" w14:textId="77777777" w:rsidR="00B76C86" w:rsidRPr="0038322F" w:rsidRDefault="00B76C86" w:rsidP="00B76C86">
            <w:pPr>
              <w:pStyle w:val="Akapitzlist"/>
              <w:numPr>
                <w:ilvl w:val="0"/>
                <w:numId w:val="2"/>
              </w:numPr>
              <w:jc w:val="both"/>
              <w:rPr>
                <w:rFonts w:cstheme="minorHAnsi"/>
                <w:sz w:val="20"/>
                <w:szCs w:val="20"/>
              </w:rPr>
            </w:pPr>
            <w:r w:rsidRPr="0038322F">
              <w:rPr>
                <w:rFonts w:cstheme="minorHAnsi"/>
                <w:sz w:val="20"/>
                <w:szCs w:val="20"/>
              </w:rPr>
              <w:t>Rezygnację z odrębnego kamienia milowego dla transformatorów i rozdzielni elektroenergetycznych, ze względu na fakt, iż jest mnóstwo innych kwestii technicznych, które wpływają na kształt pozwolenia na budowę w tym zakresie, a kluczowe są kamienie dla źródeł wytwórczych. Nie jest również precyzyjnie określone, których transformatorów miałby dotyczyć przedmiotowy punkt: czy dużych GPO 110 NN 110 SN, czy też wchodzących w skład na przykład instalacji fotowoltaicznej, których może być znacznie więcej;</w:t>
            </w:r>
          </w:p>
          <w:p w14:paraId="2A4AB7DF" w14:textId="77777777" w:rsidR="00B76C86" w:rsidRPr="0038322F" w:rsidRDefault="00B76C86" w:rsidP="00B76C86">
            <w:pPr>
              <w:pStyle w:val="Akapitzlist"/>
              <w:numPr>
                <w:ilvl w:val="0"/>
                <w:numId w:val="2"/>
              </w:numPr>
              <w:jc w:val="both"/>
              <w:rPr>
                <w:rFonts w:cstheme="minorHAnsi"/>
                <w:sz w:val="20"/>
                <w:szCs w:val="20"/>
              </w:rPr>
            </w:pPr>
            <w:r w:rsidRPr="0038322F">
              <w:rPr>
                <w:rFonts w:cstheme="minorHAnsi"/>
                <w:sz w:val="20"/>
                <w:szCs w:val="20"/>
              </w:rPr>
              <w:t>Doprecyzowanie definicji siły wyższej, rozumianej jako zdarzenie o charakterze zewnętrznym, nadzwyczajnym, nieprzewidywalnym i niemożliwym do uniknięcia, które obiektywnie uniemożliwia lub istotnie utrudnia wykonanie obowiązków wynikających z zawartej umowy;</w:t>
            </w:r>
          </w:p>
          <w:p w14:paraId="31726371" w14:textId="0F7CAA5A" w:rsidR="00B76C86" w:rsidRPr="0038322F" w:rsidRDefault="00B76C86" w:rsidP="00B76C86">
            <w:pPr>
              <w:jc w:val="both"/>
              <w:rPr>
                <w:rFonts w:eastAsia="Calibri" w:cstheme="minorHAnsi"/>
                <w:b/>
                <w:bCs/>
                <w:sz w:val="20"/>
                <w:szCs w:val="20"/>
              </w:rPr>
            </w:pPr>
            <w:r w:rsidRPr="0038322F">
              <w:rPr>
                <w:rFonts w:cstheme="minorHAnsi"/>
                <w:sz w:val="20"/>
                <w:szCs w:val="20"/>
              </w:rPr>
              <w:t>Wykreślenie obowiązku wniesienia dodatkowego zabezpieczenia w przypadku złożenia wniosku o wydłużenie terminu realizacji poszczególnych kamieni milowych - d</w:t>
            </w:r>
            <w:r w:rsidRPr="0038322F">
              <w:rPr>
                <w:rFonts w:eastAsia="Calibri" w:cstheme="minorHAnsi"/>
                <w:sz w:val="20"/>
                <w:szCs w:val="20"/>
              </w:rPr>
              <w:t>odatkowe zabezpieczenie finansowe w przypadku przedłużenia umowy przyłączeniowej nie tylko dubluje istniejące mechanizmy zabezpieczające operatorów, ale również może prowadzić do nieproporcjonalnego obciążenia inwestorów.</w:t>
            </w:r>
          </w:p>
        </w:tc>
        <w:tc>
          <w:tcPr>
            <w:tcW w:w="4394" w:type="dxa"/>
            <w:shd w:val="clear" w:color="auto" w:fill="E2EFD9" w:themeFill="accent6" w:themeFillTint="33"/>
          </w:tcPr>
          <w:p w14:paraId="5BEE5987" w14:textId="77777777" w:rsidR="00B76C86" w:rsidRPr="0038322F" w:rsidRDefault="00B76C86" w:rsidP="00B76C86">
            <w:pPr>
              <w:jc w:val="both"/>
              <w:rPr>
                <w:rFonts w:cstheme="minorHAnsi"/>
                <w:sz w:val="20"/>
                <w:szCs w:val="20"/>
              </w:rPr>
            </w:pPr>
            <w:r w:rsidRPr="0038322F">
              <w:rPr>
                <w:rFonts w:cstheme="minorHAnsi"/>
                <w:sz w:val="20"/>
                <w:szCs w:val="20"/>
              </w:rPr>
              <w:t>„2</w:t>
            </w:r>
            <w:r w:rsidRPr="0038322F">
              <w:rPr>
                <w:rFonts w:cstheme="minorHAnsi"/>
                <w:sz w:val="20"/>
                <w:szCs w:val="20"/>
                <w:vertAlign w:val="superscript"/>
              </w:rPr>
              <w:t>1a</w:t>
            </w:r>
            <w:r w:rsidRPr="0038322F">
              <w:rPr>
                <w:rFonts w:cstheme="minorHAnsi"/>
                <w:sz w:val="20"/>
                <w:szCs w:val="20"/>
              </w:rPr>
              <w:t>.   Umowa o przyłączenie, elastyczna umowa o przyłączenie do sieci, albo konfigurowalna umowa o przyłączenie do sieci, dotyczące instalacji przyłączanej do sieci o napięciu powyżej 1kV, wygasa z mocy prawa w przypadku gdy podmiot przyłączany na podstawie tej umowy nie zawiadomi operatora, do którego sieci jest przyłączany, w terminie: :</w:t>
            </w:r>
          </w:p>
          <w:p w14:paraId="61ED781E" w14:textId="77777777" w:rsidR="00B76C86" w:rsidRPr="0038322F" w:rsidRDefault="00B76C86" w:rsidP="00B76C86">
            <w:pPr>
              <w:jc w:val="both"/>
              <w:rPr>
                <w:rFonts w:cstheme="minorHAnsi"/>
                <w:sz w:val="20"/>
                <w:szCs w:val="20"/>
              </w:rPr>
            </w:pPr>
            <w:r w:rsidRPr="0038322F">
              <w:rPr>
                <w:rFonts w:cstheme="minorHAnsi"/>
                <w:sz w:val="20"/>
                <w:szCs w:val="20"/>
              </w:rPr>
              <w:t xml:space="preserve">1) 24 miesięcy od daty zawarcia umowy, o uzyskaniu </w:t>
            </w:r>
            <w:r w:rsidRPr="0038322F">
              <w:rPr>
                <w:rFonts w:cstheme="minorHAnsi"/>
                <w:b/>
                <w:bCs/>
                <w:i/>
                <w:iCs/>
                <w:sz w:val="20"/>
                <w:szCs w:val="20"/>
              </w:rPr>
              <w:t xml:space="preserve">ostatecznej </w:t>
            </w:r>
            <w:r w:rsidRPr="0038322F">
              <w:rPr>
                <w:rFonts w:cstheme="minorHAnsi"/>
                <w:b/>
                <w:bCs/>
                <w:i/>
                <w:iCs/>
                <w:strike/>
                <w:sz w:val="20"/>
                <w:szCs w:val="20"/>
              </w:rPr>
              <w:t>prawomocnej</w:t>
            </w:r>
            <w:r w:rsidRPr="0038322F">
              <w:rPr>
                <w:rFonts w:cstheme="minorHAnsi"/>
                <w:strike/>
                <w:sz w:val="20"/>
                <w:szCs w:val="20"/>
              </w:rPr>
              <w:t xml:space="preserve">  </w:t>
            </w:r>
            <w:r w:rsidRPr="0038322F">
              <w:rPr>
                <w:rFonts w:cstheme="minorHAnsi"/>
                <w:sz w:val="20"/>
                <w:szCs w:val="20"/>
              </w:rPr>
              <w:t>decyzji o pozwoleniu na budowę:</w:t>
            </w:r>
          </w:p>
          <w:p w14:paraId="6E25FC33" w14:textId="77777777" w:rsidR="00B76C86" w:rsidRPr="0038322F" w:rsidRDefault="00B76C86" w:rsidP="00B76C86">
            <w:pPr>
              <w:jc w:val="both"/>
              <w:rPr>
                <w:rFonts w:cstheme="minorHAnsi"/>
                <w:sz w:val="20"/>
                <w:szCs w:val="20"/>
              </w:rPr>
            </w:pPr>
            <w:r w:rsidRPr="0038322F">
              <w:rPr>
                <w:rFonts w:cstheme="minorHAnsi"/>
                <w:sz w:val="20"/>
                <w:szCs w:val="20"/>
              </w:rPr>
              <w:t>a) dla instalacji objętej tą umową, przy czym, w przypadku gdy instalacja ta zawiera:</w:t>
            </w:r>
          </w:p>
          <w:p w14:paraId="4249208C" w14:textId="77777777" w:rsidR="00B76C86" w:rsidRPr="0038322F" w:rsidRDefault="00B76C86" w:rsidP="00B76C86">
            <w:pPr>
              <w:jc w:val="both"/>
              <w:rPr>
                <w:rFonts w:cstheme="minorHAnsi"/>
                <w:sz w:val="20"/>
                <w:szCs w:val="20"/>
              </w:rPr>
            </w:pPr>
            <w:r w:rsidRPr="0038322F">
              <w:rPr>
                <w:rFonts w:cstheme="minorHAnsi"/>
                <w:sz w:val="20"/>
                <w:szCs w:val="20"/>
              </w:rPr>
              <w:t xml:space="preserve">– moduł fotowoltaiczny i przekształtniki – o uzyskaniu </w:t>
            </w:r>
            <w:r w:rsidRPr="0038322F">
              <w:rPr>
                <w:rFonts w:cstheme="minorHAnsi"/>
                <w:b/>
                <w:bCs/>
                <w:i/>
                <w:iCs/>
                <w:sz w:val="20"/>
                <w:szCs w:val="20"/>
              </w:rPr>
              <w:t xml:space="preserve"> ostatecznej </w:t>
            </w:r>
            <w:r w:rsidRPr="0038322F">
              <w:rPr>
                <w:rFonts w:cstheme="minorHAnsi"/>
                <w:b/>
                <w:bCs/>
                <w:i/>
                <w:iCs/>
                <w:strike/>
                <w:sz w:val="20"/>
                <w:szCs w:val="20"/>
              </w:rPr>
              <w:t>prawomocnej</w:t>
            </w:r>
            <w:r w:rsidRPr="0038322F">
              <w:rPr>
                <w:rFonts w:cstheme="minorHAnsi"/>
                <w:strike/>
                <w:sz w:val="20"/>
                <w:szCs w:val="20"/>
              </w:rPr>
              <w:t xml:space="preserve">  </w:t>
            </w:r>
            <w:r w:rsidRPr="0038322F">
              <w:rPr>
                <w:rFonts w:cstheme="minorHAnsi"/>
                <w:sz w:val="20"/>
                <w:szCs w:val="20"/>
              </w:rPr>
              <w:t xml:space="preserve">decyzji o pozwoleniu na budowę dotyczącej tych elementów w zakresie niezbędnym do budowy instalacji o mocy co najmniej 80 % mocy </w:t>
            </w:r>
            <w:r w:rsidRPr="0038322F">
              <w:rPr>
                <w:rFonts w:cstheme="minorHAnsi"/>
                <w:b/>
                <w:bCs/>
                <w:i/>
                <w:iCs/>
                <w:sz w:val="20"/>
                <w:szCs w:val="20"/>
              </w:rPr>
              <w:t xml:space="preserve">przyłączeniowej </w:t>
            </w:r>
            <w:r w:rsidRPr="0038322F">
              <w:rPr>
                <w:rFonts w:cstheme="minorHAnsi"/>
                <w:b/>
                <w:bCs/>
                <w:i/>
                <w:iCs/>
                <w:strike/>
                <w:sz w:val="20"/>
                <w:szCs w:val="20"/>
              </w:rPr>
              <w:t xml:space="preserve">zainstalowanej </w:t>
            </w:r>
            <w:r w:rsidRPr="0038322F">
              <w:rPr>
                <w:rFonts w:cstheme="minorHAnsi"/>
                <w:b/>
                <w:bCs/>
                <w:strike/>
                <w:sz w:val="20"/>
                <w:szCs w:val="20"/>
              </w:rPr>
              <w:t>elektrycznej</w:t>
            </w:r>
            <w:r w:rsidRPr="0038322F">
              <w:rPr>
                <w:rFonts w:cstheme="minorHAnsi"/>
                <w:sz w:val="20"/>
                <w:szCs w:val="20"/>
              </w:rPr>
              <w:t xml:space="preserve"> objętej umową,</w:t>
            </w:r>
          </w:p>
          <w:p w14:paraId="0A72639E" w14:textId="77777777" w:rsidR="00B76C86" w:rsidRPr="0038322F" w:rsidRDefault="00B76C86" w:rsidP="00B76C86">
            <w:pPr>
              <w:jc w:val="both"/>
              <w:rPr>
                <w:rFonts w:cstheme="minorHAnsi"/>
                <w:sz w:val="20"/>
                <w:szCs w:val="20"/>
              </w:rPr>
            </w:pPr>
            <w:r w:rsidRPr="0038322F">
              <w:rPr>
                <w:rFonts w:cstheme="minorHAnsi"/>
                <w:sz w:val="20"/>
                <w:szCs w:val="20"/>
              </w:rPr>
              <w:t xml:space="preserve">–  magazyn energii wykorzystujący bateryjne zasobniki energii oraz współpracujące z tymi magazynami przekształtniki – o uzyskaniu </w:t>
            </w:r>
            <w:r w:rsidRPr="0038322F">
              <w:rPr>
                <w:rFonts w:cstheme="minorHAnsi"/>
                <w:b/>
                <w:bCs/>
                <w:i/>
                <w:iCs/>
                <w:sz w:val="20"/>
                <w:szCs w:val="20"/>
              </w:rPr>
              <w:t xml:space="preserve"> ostatecznej </w:t>
            </w:r>
            <w:r w:rsidRPr="0038322F">
              <w:rPr>
                <w:rFonts w:cstheme="minorHAnsi"/>
                <w:b/>
                <w:bCs/>
                <w:i/>
                <w:iCs/>
                <w:strike/>
                <w:sz w:val="20"/>
                <w:szCs w:val="20"/>
              </w:rPr>
              <w:t>prawomocnej</w:t>
            </w:r>
            <w:r w:rsidRPr="0038322F">
              <w:rPr>
                <w:rFonts w:cstheme="minorHAnsi"/>
                <w:strike/>
                <w:sz w:val="20"/>
                <w:szCs w:val="20"/>
              </w:rPr>
              <w:t xml:space="preserve">  </w:t>
            </w:r>
            <w:r w:rsidRPr="0038322F">
              <w:rPr>
                <w:rFonts w:cstheme="minorHAnsi"/>
                <w:sz w:val="20"/>
                <w:szCs w:val="20"/>
              </w:rPr>
              <w:t xml:space="preserve"> decyzji o pozwoleniu na budowę dotyczącej tych elementów w zakresie niezbędnym do budowy instalacji o mocy co najmniej 80 % mocy </w:t>
            </w:r>
            <w:r w:rsidRPr="0038322F">
              <w:rPr>
                <w:rFonts w:cstheme="minorHAnsi"/>
                <w:b/>
                <w:bCs/>
                <w:i/>
                <w:iCs/>
                <w:sz w:val="20"/>
                <w:szCs w:val="20"/>
              </w:rPr>
              <w:t xml:space="preserve"> przyłączeniowej </w:t>
            </w:r>
            <w:r w:rsidRPr="0038322F">
              <w:rPr>
                <w:rFonts w:cstheme="minorHAnsi"/>
                <w:b/>
                <w:bCs/>
                <w:i/>
                <w:iCs/>
                <w:strike/>
                <w:sz w:val="20"/>
                <w:szCs w:val="20"/>
              </w:rPr>
              <w:t xml:space="preserve">zainstalowanej </w:t>
            </w:r>
            <w:r w:rsidRPr="0038322F">
              <w:rPr>
                <w:rFonts w:cstheme="minorHAnsi"/>
                <w:strike/>
                <w:sz w:val="20"/>
                <w:szCs w:val="20"/>
              </w:rPr>
              <w:t xml:space="preserve"> </w:t>
            </w:r>
            <w:r w:rsidRPr="0038322F">
              <w:rPr>
                <w:rFonts w:cstheme="minorHAnsi"/>
                <w:b/>
                <w:bCs/>
                <w:strike/>
                <w:sz w:val="20"/>
                <w:szCs w:val="20"/>
              </w:rPr>
              <w:t>elektrycznej</w:t>
            </w:r>
            <w:r w:rsidRPr="0038322F">
              <w:rPr>
                <w:rFonts w:cstheme="minorHAnsi"/>
                <w:sz w:val="20"/>
                <w:szCs w:val="20"/>
              </w:rPr>
              <w:t xml:space="preserve"> i 80 % pojemności instalacji objętej umową, </w:t>
            </w:r>
          </w:p>
          <w:p w14:paraId="63B10558" w14:textId="345BB6D4" w:rsidR="00B76C86" w:rsidRPr="0038322F" w:rsidRDefault="00FA25CC" w:rsidP="00B76C86">
            <w:pPr>
              <w:jc w:val="both"/>
              <w:rPr>
                <w:rFonts w:cstheme="minorHAnsi"/>
                <w:sz w:val="20"/>
                <w:szCs w:val="20"/>
              </w:rPr>
            </w:pPr>
            <w:r w:rsidRPr="0038322F">
              <w:rPr>
                <w:rFonts w:cstheme="minorHAnsi"/>
                <w:sz w:val="20"/>
                <w:szCs w:val="20"/>
              </w:rPr>
              <w:t>b</w:t>
            </w:r>
            <w:r w:rsidR="00B76C86" w:rsidRPr="0038322F">
              <w:rPr>
                <w:rFonts w:cstheme="minorHAnsi"/>
                <w:sz w:val="20"/>
                <w:szCs w:val="20"/>
              </w:rPr>
              <w:t xml:space="preserve">)  dla urządzeń odbiorczych, niezbędnej do realizacji co najmniej 50 % mocy </w:t>
            </w:r>
            <w:r w:rsidR="00B76C86" w:rsidRPr="0038322F">
              <w:rPr>
                <w:rFonts w:cstheme="minorHAnsi"/>
                <w:b/>
                <w:bCs/>
                <w:i/>
                <w:iCs/>
                <w:sz w:val="20"/>
                <w:szCs w:val="20"/>
              </w:rPr>
              <w:t xml:space="preserve"> przyłączeniowej </w:t>
            </w:r>
            <w:r w:rsidR="00B76C86" w:rsidRPr="0038322F">
              <w:rPr>
                <w:rFonts w:cstheme="minorHAnsi"/>
                <w:b/>
                <w:bCs/>
                <w:i/>
                <w:iCs/>
                <w:strike/>
                <w:sz w:val="20"/>
                <w:szCs w:val="20"/>
              </w:rPr>
              <w:t xml:space="preserve">zainstalowanej </w:t>
            </w:r>
            <w:r w:rsidR="00B76C86" w:rsidRPr="0038322F">
              <w:rPr>
                <w:rFonts w:cstheme="minorHAnsi"/>
                <w:sz w:val="20"/>
                <w:szCs w:val="20"/>
              </w:rPr>
              <w:t xml:space="preserve"> objętej umową, przy czym przypadku urządzeń odbiorczych instalowanych w budynku - o decyzji o pozwoleniu na budowę dotyczącym tego budynku, </w:t>
            </w:r>
          </w:p>
          <w:p w14:paraId="3D0D792B" w14:textId="33813BD0" w:rsidR="00C95E4E" w:rsidRPr="0038322F" w:rsidRDefault="00C95E4E" w:rsidP="00C95E4E">
            <w:pPr>
              <w:jc w:val="both"/>
              <w:rPr>
                <w:rFonts w:cstheme="minorHAnsi"/>
                <w:sz w:val="20"/>
                <w:szCs w:val="20"/>
              </w:rPr>
            </w:pPr>
            <w:r w:rsidRPr="0038322F">
              <w:rPr>
                <w:rFonts w:cstheme="minorHAnsi"/>
                <w:sz w:val="20"/>
                <w:szCs w:val="20"/>
              </w:rPr>
              <w:t>2)</w:t>
            </w:r>
            <w:r w:rsidRPr="0038322F">
              <w:rPr>
                <w:rFonts w:cstheme="minorHAnsi"/>
                <w:sz w:val="20"/>
                <w:szCs w:val="20"/>
              </w:rPr>
              <w:tab/>
              <w:t>36 miesięcy od daty zawarcia umowy, o pozyskaniu</w:t>
            </w:r>
            <w:r w:rsidR="004F0202" w:rsidRPr="0038322F">
              <w:rPr>
                <w:rFonts w:cstheme="minorHAnsi"/>
                <w:b/>
                <w:bCs/>
                <w:i/>
                <w:iCs/>
                <w:sz w:val="20"/>
                <w:szCs w:val="20"/>
              </w:rPr>
              <w:t xml:space="preserve"> </w:t>
            </w:r>
            <w:r w:rsidR="004F0202" w:rsidRPr="0038322F">
              <w:rPr>
                <w:rFonts w:cstheme="minorHAnsi"/>
                <w:b/>
                <w:bCs/>
                <w:i/>
                <w:iCs/>
                <w:sz w:val="20"/>
                <w:szCs w:val="20"/>
              </w:rPr>
              <w:t xml:space="preserve">ostatecznej </w:t>
            </w:r>
            <w:r w:rsidR="004F0202" w:rsidRPr="0038322F">
              <w:rPr>
                <w:rFonts w:cstheme="minorHAnsi"/>
                <w:b/>
                <w:bCs/>
                <w:i/>
                <w:iCs/>
                <w:strike/>
                <w:sz w:val="20"/>
                <w:szCs w:val="20"/>
              </w:rPr>
              <w:t>prawomocnej</w:t>
            </w:r>
            <w:r w:rsidR="004F0202" w:rsidRPr="0038322F">
              <w:rPr>
                <w:rFonts w:cstheme="minorHAnsi"/>
                <w:strike/>
                <w:sz w:val="20"/>
                <w:szCs w:val="20"/>
              </w:rPr>
              <w:t xml:space="preserve">  </w:t>
            </w:r>
            <w:r w:rsidRPr="0038322F">
              <w:rPr>
                <w:rFonts w:cstheme="minorHAnsi"/>
                <w:sz w:val="20"/>
                <w:szCs w:val="20"/>
              </w:rPr>
              <w:t>decyzji o pozwoleniu na budowę:</w:t>
            </w:r>
          </w:p>
          <w:p w14:paraId="48EE3F43" w14:textId="262B6BA6" w:rsidR="00C95E4E" w:rsidRPr="0038322F" w:rsidRDefault="00C95E4E" w:rsidP="00C95E4E">
            <w:pPr>
              <w:jc w:val="both"/>
              <w:rPr>
                <w:rFonts w:cstheme="minorHAnsi"/>
                <w:sz w:val="20"/>
                <w:szCs w:val="20"/>
              </w:rPr>
            </w:pPr>
            <w:r w:rsidRPr="0038322F">
              <w:rPr>
                <w:rFonts w:cstheme="minorHAnsi"/>
                <w:sz w:val="20"/>
                <w:szCs w:val="20"/>
              </w:rPr>
              <w:t>a)</w:t>
            </w:r>
            <w:r w:rsidRPr="0038322F">
              <w:rPr>
                <w:rFonts w:cstheme="minorHAnsi"/>
                <w:sz w:val="20"/>
                <w:szCs w:val="20"/>
              </w:rPr>
              <w:tab/>
              <w:t xml:space="preserve">dla turbiny wiatrowej niezbędnej dla realizacji co najmniej 80 % mocy </w:t>
            </w:r>
            <w:r w:rsidR="004F0202" w:rsidRPr="0038322F">
              <w:rPr>
                <w:rFonts w:cstheme="minorHAnsi"/>
                <w:b/>
                <w:bCs/>
                <w:i/>
                <w:iCs/>
                <w:sz w:val="20"/>
                <w:szCs w:val="20"/>
              </w:rPr>
              <w:t xml:space="preserve"> </w:t>
            </w:r>
            <w:r w:rsidR="004F0202" w:rsidRPr="0038322F">
              <w:rPr>
                <w:rFonts w:cstheme="minorHAnsi"/>
                <w:b/>
                <w:bCs/>
                <w:i/>
                <w:iCs/>
                <w:sz w:val="20"/>
                <w:szCs w:val="20"/>
              </w:rPr>
              <w:t xml:space="preserve">przyłączeniowej </w:t>
            </w:r>
            <w:r w:rsidR="004F0202" w:rsidRPr="0038322F">
              <w:rPr>
                <w:rFonts w:cstheme="minorHAnsi"/>
                <w:b/>
                <w:bCs/>
                <w:i/>
                <w:iCs/>
                <w:strike/>
                <w:sz w:val="20"/>
                <w:szCs w:val="20"/>
              </w:rPr>
              <w:t xml:space="preserve">zainstalowanej </w:t>
            </w:r>
            <w:r w:rsidR="004F0202" w:rsidRPr="0038322F">
              <w:rPr>
                <w:rFonts w:cstheme="minorHAnsi"/>
                <w:strike/>
                <w:sz w:val="20"/>
                <w:szCs w:val="20"/>
              </w:rPr>
              <w:t xml:space="preserve"> </w:t>
            </w:r>
            <w:r w:rsidRPr="0038322F">
              <w:rPr>
                <w:rFonts w:cstheme="minorHAnsi"/>
                <w:b/>
                <w:bCs/>
                <w:strike/>
                <w:sz w:val="20"/>
                <w:szCs w:val="20"/>
              </w:rPr>
              <w:t>elektrycznej</w:t>
            </w:r>
            <w:r w:rsidRPr="0038322F">
              <w:rPr>
                <w:rFonts w:cstheme="minorHAnsi"/>
                <w:sz w:val="20"/>
                <w:szCs w:val="20"/>
              </w:rPr>
              <w:t xml:space="preserve"> instalacji objętej umową,</w:t>
            </w:r>
          </w:p>
          <w:p w14:paraId="76FDC29B" w14:textId="475460FC" w:rsidR="00C95E4E" w:rsidRPr="0038322F" w:rsidRDefault="00C95E4E" w:rsidP="00C95E4E">
            <w:pPr>
              <w:jc w:val="both"/>
              <w:rPr>
                <w:rFonts w:cstheme="minorHAnsi"/>
                <w:sz w:val="20"/>
                <w:szCs w:val="20"/>
              </w:rPr>
            </w:pPr>
            <w:r w:rsidRPr="0038322F">
              <w:rPr>
                <w:rFonts w:cstheme="minorHAnsi"/>
                <w:sz w:val="20"/>
                <w:szCs w:val="20"/>
              </w:rPr>
              <w:t>b)</w:t>
            </w:r>
            <w:r w:rsidRPr="0038322F">
              <w:rPr>
                <w:rFonts w:cstheme="minorHAnsi"/>
                <w:sz w:val="20"/>
                <w:szCs w:val="20"/>
              </w:rPr>
              <w:tab/>
              <w:t xml:space="preserve">dla instalacji odnawialnego źródła energii służącej wytwarzaniu energii elektrycznej z biogazu w rozumieniu art. 2 pkt 1 ustawy z dnia 20 lutego 2015 r. o odnawialnych źródłach energii, energii elektrycznej z biogazu rolniczego w rozumieniu art. 2 pkt 2 ustawy z dnia 20 lutego 2015 r. o odnawialnych źródłach energii, niezbędnej dla realizacji co najmniej 80 % mocy </w:t>
            </w:r>
            <w:r w:rsidR="003C7B87" w:rsidRPr="0038322F">
              <w:rPr>
                <w:rFonts w:cstheme="minorHAnsi"/>
                <w:b/>
                <w:bCs/>
                <w:i/>
                <w:iCs/>
                <w:sz w:val="20"/>
                <w:szCs w:val="20"/>
              </w:rPr>
              <w:t xml:space="preserve">przyłączeniowej </w:t>
            </w:r>
            <w:r w:rsidR="003C7B87" w:rsidRPr="0038322F">
              <w:rPr>
                <w:rFonts w:cstheme="minorHAnsi"/>
                <w:b/>
                <w:bCs/>
                <w:i/>
                <w:iCs/>
                <w:strike/>
                <w:sz w:val="20"/>
                <w:szCs w:val="20"/>
              </w:rPr>
              <w:t xml:space="preserve">zainstalowanej </w:t>
            </w:r>
            <w:r w:rsidR="003C7B87" w:rsidRPr="0038322F">
              <w:rPr>
                <w:rFonts w:cstheme="minorHAnsi"/>
                <w:strike/>
                <w:sz w:val="20"/>
                <w:szCs w:val="20"/>
              </w:rPr>
              <w:t xml:space="preserve"> </w:t>
            </w:r>
            <w:r w:rsidR="003C7B87" w:rsidRPr="0038322F">
              <w:rPr>
                <w:rFonts w:cstheme="minorHAnsi"/>
                <w:b/>
                <w:bCs/>
                <w:strike/>
                <w:sz w:val="20"/>
                <w:szCs w:val="20"/>
              </w:rPr>
              <w:t>elektryczne</w:t>
            </w:r>
            <w:r w:rsidRPr="0038322F">
              <w:rPr>
                <w:rFonts w:cstheme="minorHAnsi"/>
                <w:sz w:val="20"/>
                <w:szCs w:val="20"/>
              </w:rPr>
              <w:t xml:space="preserve"> instalacji objętej umową,</w:t>
            </w:r>
          </w:p>
          <w:p w14:paraId="001FA947" w14:textId="77777777" w:rsidR="00C95E4E" w:rsidRPr="0038322F" w:rsidRDefault="00C95E4E" w:rsidP="00C95E4E">
            <w:pPr>
              <w:jc w:val="both"/>
              <w:rPr>
                <w:rFonts w:cstheme="minorHAnsi"/>
                <w:b/>
                <w:bCs/>
                <w:strike/>
                <w:sz w:val="20"/>
                <w:szCs w:val="20"/>
              </w:rPr>
            </w:pPr>
            <w:r w:rsidRPr="0038322F">
              <w:rPr>
                <w:rFonts w:cstheme="minorHAnsi"/>
                <w:b/>
                <w:bCs/>
                <w:strike/>
                <w:sz w:val="20"/>
                <w:szCs w:val="20"/>
              </w:rPr>
              <w:t xml:space="preserve">c)  </w:t>
            </w:r>
            <w:r w:rsidRPr="0038322F">
              <w:rPr>
                <w:rFonts w:cstheme="minorHAnsi"/>
                <w:b/>
                <w:bCs/>
                <w:strike/>
                <w:sz w:val="20"/>
                <w:szCs w:val="20"/>
              </w:rPr>
              <w:tab/>
              <w:t>niezbędnej dla realizacji instalacji objętej umową w zakresie w jakim dotyczy posadowienia transformatorów i rozdzielni elektroenergetycznych</w:t>
            </w:r>
          </w:p>
          <w:p w14:paraId="2D90AA71" w14:textId="3089625A" w:rsidR="003915B3" w:rsidRPr="0038322F" w:rsidRDefault="00C95E4E" w:rsidP="00C95E4E">
            <w:pPr>
              <w:jc w:val="both"/>
              <w:rPr>
                <w:rFonts w:cstheme="minorHAnsi"/>
                <w:sz w:val="20"/>
                <w:szCs w:val="20"/>
              </w:rPr>
            </w:pPr>
            <w:r w:rsidRPr="0038322F">
              <w:rPr>
                <w:rFonts w:cstheme="minorHAnsi"/>
                <w:sz w:val="20"/>
                <w:szCs w:val="20"/>
              </w:rPr>
              <w:t>–</w:t>
            </w:r>
            <w:r w:rsidRPr="0038322F">
              <w:rPr>
                <w:rFonts w:cstheme="minorHAnsi"/>
                <w:sz w:val="20"/>
                <w:szCs w:val="20"/>
              </w:rPr>
              <w:tab/>
              <w:t>jeżeli jest to wymagane na podstawie przepisów prawa budowlanego.”</w:t>
            </w:r>
          </w:p>
          <w:p w14:paraId="31E0FAA0" w14:textId="77777777" w:rsidR="00B76C86" w:rsidRPr="0038322F" w:rsidRDefault="00B76C86" w:rsidP="00B76C86">
            <w:pPr>
              <w:jc w:val="both"/>
              <w:rPr>
                <w:rFonts w:eastAsia="Calibri" w:cstheme="minorHAnsi"/>
                <w:b/>
                <w:bCs/>
                <w:i/>
                <w:iCs/>
                <w:sz w:val="20"/>
                <w:szCs w:val="20"/>
              </w:rPr>
            </w:pPr>
            <w:r w:rsidRPr="0038322F">
              <w:rPr>
                <w:rFonts w:cstheme="minorHAnsi"/>
                <w:sz w:val="20"/>
                <w:szCs w:val="20"/>
              </w:rPr>
              <w:t>2</w:t>
            </w:r>
            <w:r w:rsidRPr="0038322F">
              <w:rPr>
                <w:rFonts w:cstheme="minorHAnsi"/>
                <w:sz w:val="20"/>
                <w:szCs w:val="20"/>
                <w:vertAlign w:val="superscript"/>
              </w:rPr>
              <w:t>1b</w:t>
            </w:r>
            <w:r w:rsidRPr="0038322F">
              <w:rPr>
                <w:rFonts w:cstheme="minorHAnsi"/>
                <w:sz w:val="20"/>
                <w:szCs w:val="20"/>
              </w:rPr>
              <w:t>. Umowa, o której mowa w ust. 2</w:t>
            </w:r>
            <w:r w:rsidRPr="0038322F">
              <w:rPr>
                <w:rFonts w:cstheme="minorHAnsi"/>
                <w:sz w:val="20"/>
                <w:szCs w:val="20"/>
                <w:vertAlign w:val="superscript"/>
              </w:rPr>
              <w:t>1a</w:t>
            </w:r>
            <w:r w:rsidRPr="0038322F">
              <w:rPr>
                <w:rFonts w:cstheme="minorHAnsi"/>
                <w:sz w:val="20"/>
                <w:szCs w:val="20"/>
              </w:rPr>
              <w:t>, nie wygasa z mocy prawa w przypadku, gdy podmiot przyłączany nie zrealizował instalacji w zakresie określonym w ust. 2</w:t>
            </w:r>
            <w:r w:rsidRPr="0038322F">
              <w:rPr>
                <w:rFonts w:cstheme="minorHAnsi"/>
                <w:sz w:val="20"/>
                <w:szCs w:val="20"/>
                <w:vertAlign w:val="superscript"/>
              </w:rPr>
              <w:t>1a</w:t>
            </w:r>
            <w:r w:rsidRPr="0038322F">
              <w:rPr>
                <w:rFonts w:cstheme="minorHAnsi"/>
                <w:sz w:val="20"/>
                <w:szCs w:val="20"/>
              </w:rPr>
              <w:t>, z powodu wystąpienia działania siły wyższej</w:t>
            </w:r>
            <w:r w:rsidRPr="0038322F">
              <w:rPr>
                <w:rFonts w:cstheme="minorHAnsi"/>
                <w:b/>
                <w:bCs/>
                <w:i/>
                <w:iCs/>
                <w:sz w:val="20"/>
                <w:szCs w:val="20"/>
              </w:rPr>
              <w:t xml:space="preserve">, rozumianej jako </w:t>
            </w:r>
            <w:r w:rsidRPr="0038322F">
              <w:rPr>
                <w:rFonts w:eastAsia="Calibri" w:cstheme="minorHAnsi"/>
                <w:b/>
                <w:bCs/>
                <w:i/>
                <w:iCs/>
                <w:sz w:val="20"/>
                <w:szCs w:val="20"/>
              </w:rPr>
              <w:t>zdarzenie o charakterze zewnętrznym, nadzwyczajnym, nieprzewidywalnym i niemożliwym do uniknięcia, w szczególności:</w:t>
            </w:r>
          </w:p>
          <w:p w14:paraId="1EFB8719" w14:textId="77777777" w:rsidR="00B76C86" w:rsidRPr="0038322F" w:rsidRDefault="00B76C86" w:rsidP="00B76C86">
            <w:pPr>
              <w:pStyle w:val="Akapitzlist"/>
              <w:numPr>
                <w:ilvl w:val="0"/>
                <w:numId w:val="3"/>
              </w:numPr>
              <w:jc w:val="both"/>
              <w:rPr>
                <w:rFonts w:eastAsia="Calibri" w:cstheme="minorHAnsi"/>
                <w:b/>
                <w:bCs/>
                <w:i/>
                <w:iCs/>
                <w:sz w:val="20"/>
                <w:szCs w:val="20"/>
              </w:rPr>
            </w:pPr>
            <w:r w:rsidRPr="0038322F">
              <w:rPr>
                <w:rFonts w:eastAsia="Calibri" w:cstheme="minorHAnsi"/>
                <w:b/>
                <w:bCs/>
                <w:i/>
                <w:iCs/>
                <w:sz w:val="20"/>
                <w:szCs w:val="20"/>
              </w:rPr>
              <w:t>klęski żywiołowe, w tym powodzie, pożary, trzęsienia ziemi, huragany, ekstremalne warunki atmosferyczne;</w:t>
            </w:r>
          </w:p>
          <w:p w14:paraId="327A7BB0" w14:textId="77777777" w:rsidR="00B76C86" w:rsidRPr="0038322F" w:rsidRDefault="00B76C86" w:rsidP="00B76C86">
            <w:pPr>
              <w:pStyle w:val="Akapitzlist"/>
              <w:numPr>
                <w:ilvl w:val="0"/>
                <w:numId w:val="3"/>
              </w:numPr>
              <w:jc w:val="both"/>
              <w:rPr>
                <w:rFonts w:eastAsia="Calibri" w:cstheme="minorHAnsi"/>
                <w:b/>
                <w:bCs/>
                <w:i/>
                <w:iCs/>
                <w:sz w:val="20"/>
                <w:szCs w:val="20"/>
              </w:rPr>
            </w:pPr>
            <w:r w:rsidRPr="0038322F">
              <w:rPr>
                <w:rFonts w:eastAsia="Calibri" w:cstheme="minorHAnsi"/>
                <w:b/>
                <w:bCs/>
                <w:i/>
                <w:iCs/>
                <w:sz w:val="20"/>
                <w:szCs w:val="20"/>
              </w:rPr>
              <w:t>działania wojenne, akty terrorystyczne, zamieszki społeczne lub inne zdarzenia o charakterze politycznym lub społecznym, które zakłócają funkcjonowanie infrastruktury energetycznej lub organów administracji publicznej;</w:t>
            </w:r>
          </w:p>
          <w:p w14:paraId="1FE7CBDB" w14:textId="77777777" w:rsidR="00B76C86" w:rsidRPr="0038322F" w:rsidRDefault="00B76C86" w:rsidP="00B76C86">
            <w:pPr>
              <w:pStyle w:val="Akapitzlist"/>
              <w:numPr>
                <w:ilvl w:val="0"/>
                <w:numId w:val="3"/>
              </w:numPr>
              <w:jc w:val="both"/>
              <w:rPr>
                <w:rFonts w:eastAsia="Calibri" w:cstheme="minorHAnsi"/>
                <w:b/>
                <w:bCs/>
                <w:i/>
                <w:iCs/>
                <w:sz w:val="20"/>
                <w:szCs w:val="20"/>
              </w:rPr>
            </w:pPr>
            <w:r w:rsidRPr="0038322F">
              <w:rPr>
                <w:rFonts w:eastAsia="Calibri" w:cstheme="minorHAnsi"/>
                <w:b/>
                <w:bCs/>
                <w:i/>
                <w:iCs/>
                <w:sz w:val="20"/>
                <w:szCs w:val="20"/>
              </w:rPr>
              <w:t>akty władzy publicznej, w tym wprowadzenie stanu wyjątkowego, stanu klęski żywiołowej, ograniczeń eksportowych lub importowych, embarg, zmian legislacyjnych mających bezpośredni wpływ na realizację inwestycji;</w:t>
            </w:r>
          </w:p>
          <w:p w14:paraId="1A845DE3" w14:textId="77777777" w:rsidR="00B76C86" w:rsidRPr="0038322F" w:rsidRDefault="00B76C86" w:rsidP="00B76C86">
            <w:pPr>
              <w:pStyle w:val="Akapitzlist"/>
              <w:numPr>
                <w:ilvl w:val="0"/>
                <w:numId w:val="3"/>
              </w:numPr>
              <w:jc w:val="both"/>
              <w:rPr>
                <w:rFonts w:eastAsia="Calibri" w:cstheme="minorHAnsi"/>
                <w:b/>
                <w:bCs/>
                <w:i/>
                <w:iCs/>
                <w:sz w:val="20"/>
                <w:szCs w:val="20"/>
              </w:rPr>
            </w:pPr>
            <w:r w:rsidRPr="0038322F">
              <w:rPr>
                <w:rFonts w:eastAsia="Calibri" w:cstheme="minorHAnsi"/>
                <w:b/>
                <w:bCs/>
                <w:i/>
                <w:iCs/>
                <w:sz w:val="20"/>
                <w:szCs w:val="20"/>
              </w:rPr>
              <w:t>zakłócenia w globalnych lub lokalnych łańcuchach dostaw komponentów i technologii niezbędnych do realizacji inwestycji, które nie wynikają z winy podmiotu przyłączanego;</w:t>
            </w:r>
          </w:p>
          <w:p w14:paraId="63129252" w14:textId="77777777" w:rsidR="00B76C86" w:rsidRPr="0038322F" w:rsidRDefault="00B76C86" w:rsidP="00B76C86">
            <w:pPr>
              <w:pStyle w:val="Akapitzlist"/>
              <w:numPr>
                <w:ilvl w:val="0"/>
                <w:numId w:val="3"/>
              </w:numPr>
              <w:jc w:val="both"/>
              <w:rPr>
                <w:rFonts w:eastAsia="Calibri" w:cstheme="minorHAnsi"/>
                <w:b/>
                <w:bCs/>
                <w:i/>
                <w:iCs/>
                <w:sz w:val="20"/>
                <w:szCs w:val="20"/>
              </w:rPr>
            </w:pPr>
            <w:r w:rsidRPr="0038322F">
              <w:rPr>
                <w:rFonts w:eastAsia="Calibri" w:cstheme="minorHAnsi"/>
                <w:b/>
                <w:bCs/>
                <w:i/>
                <w:iCs/>
                <w:sz w:val="20"/>
                <w:szCs w:val="20"/>
              </w:rPr>
              <w:t>przewlekłość postępowań administracyjnych, w tym opóźnienia w wydawaniu decyzji, pozwoleń, uzgodnień lub opinii przez organy administracji publicznej, jeżeli podmiot przyłączany dochował należytej staranności w zakresie terminowego składania wniosków i uzupełnień.</w:t>
            </w:r>
          </w:p>
          <w:p w14:paraId="5A845138" w14:textId="77777777" w:rsidR="00B76C86" w:rsidRPr="0038322F" w:rsidRDefault="00B76C86" w:rsidP="00B76C86">
            <w:pPr>
              <w:jc w:val="both"/>
              <w:rPr>
                <w:rFonts w:cstheme="minorHAnsi"/>
                <w:sz w:val="20"/>
                <w:szCs w:val="20"/>
              </w:rPr>
            </w:pPr>
          </w:p>
          <w:p w14:paraId="212CADBC" w14:textId="77777777" w:rsidR="00B76C86" w:rsidRPr="0038322F" w:rsidRDefault="00B76C86" w:rsidP="00B76C86">
            <w:pPr>
              <w:jc w:val="both"/>
              <w:rPr>
                <w:rFonts w:cstheme="minorHAnsi"/>
                <w:sz w:val="20"/>
                <w:szCs w:val="20"/>
              </w:rPr>
            </w:pPr>
            <w:r w:rsidRPr="0038322F">
              <w:rPr>
                <w:rFonts w:cstheme="minorHAnsi"/>
                <w:sz w:val="20"/>
                <w:szCs w:val="20"/>
              </w:rPr>
              <w:t>[…]</w:t>
            </w:r>
          </w:p>
          <w:p w14:paraId="4A11B759" w14:textId="77777777" w:rsidR="00B76C86" w:rsidRPr="0038322F" w:rsidRDefault="00B76C86" w:rsidP="00B76C86">
            <w:pPr>
              <w:jc w:val="both"/>
              <w:rPr>
                <w:rFonts w:cstheme="minorHAnsi"/>
                <w:sz w:val="20"/>
                <w:szCs w:val="20"/>
              </w:rPr>
            </w:pPr>
          </w:p>
          <w:p w14:paraId="24B3B810" w14:textId="77777777" w:rsidR="00B76C86" w:rsidRPr="0038322F" w:rsidRDefault="00B76C86" w:rsidP="00B76C86">
            <w:pPr>
              <w:jc w:val="both"/>
              <w:rPr>
                <w:rFonts w:cstheme="minorHAnsi"/>
                <w:sz w:val="20"/>
                <w:szCs w:val="20"/>
              </w:rPr>
            </w:pPr>
            <w:r w:rsidRPr="0038322F">
              <w:rPr>
                <w:rFonts w:cstheme="minorHAnsi"/>
                <w:sz w:val="20"/>
                <w:szCs w:val="20"/>
              </w:rPr>
              <w:t>2</w:t>
            </w:r>
            <w:r w:rsidRPr="0038322F">
              <w:rPr>
                <w:rFonts w:cstheme="minorHAnsi"/>
                <w:sz w:val="20"/>
                <w:szCs w:val="20"/>
                <w:vertAlign w:val="superscript"/>
              </w:rPr>
              <w:t>1h</w:t>
            </w:r>
            <w:r w:rsidRPr="0038322F">
              <w:rPr>
                <w:rFonts w:cstheme="minorHAnsi"/>
                <w:sz w:val="20"/>
                <w:szCs w:val="20"/>
              </w:rPr>
              <w:t>. Podmiot przyłączany do sieci przed upływem terminów określonych w ust 2</w:t>
            </w:r>
            <w:r w:rsidRPr="0038322F">
              <w:rPr>
                <w:rFonts w:cstheme="minorHAnsi"/>
                <w:sz w:val="20"/>
                <w:szCs w:val="20"/>
                <w:vertAlign w:val="superscript"/>
              </w:rPr>
              <w:t>1a</w:t>
            </w:r>
            <w:r w:rsidRPr="0038322F">
              <w:rPr>
                <w:rFonts w:cstheme="minorHAnsi"/>
                <w:sz w:val="20"/>
                <w:szCs w:val="20"/>
              </w:rPr>
              <w:t xml:space="preserve"> może jednokrotnie wystąpić do przedsiębiorstwa energetycznego, z którym zawarł umowę, o której mowa w ust. 2</w:t>
            </w:r>
            <w:r w:rsidRPr="0038322F">
              <w:rPr>
                <w:rFonts w:cstheme="minorHAnsi"/>
                <w:sz w:val="20"/>
                <w:szCs w:val="20"/>
                <w:vertAlign w:val="superscript"/>
              </w:rPr>
              <w:t>1a</w:t>
            </w:r>
            <w:r w:rsidRPr="0038322F">
              <w:rPr>
                <w:rFonts w:cstheme="minorHAnsi"/>
                <w:sz w:val="20"/>
                <w:szCs w:val="20"/>
              </w:rPr>
              <w:t>, z wnioskiem o wydłużenie terminu, o którym mowa w ust 2</w:t>
            </w:r>
            <w:r w:rsidRPr="0038322F">
              <w:rPr>
                <w:rFonts w:cstheme="minorHAnsi"/>
                <w:sz w:val="20"/>
                <w:szCs w:val="20"/>
                <w:vertAlign w:val="superscript"/>
              </w:rPr>
              <w:t>1a</w:t>
            </w:r>
            <w:r w:rsidRPr="0038322F">
              <w:rPr>
                <w:rFonts w:cstheme="minorHAnsi"/>
                <w:sz w:val="20"/>
                <w:szCs w:val="20"/>
              </w:rPr>
              <w:t>, o nie więcej niż 24 miesiące. Wniosek zawiera:</w:t>
            </w:r>
          </w:p>
          <w:p w14:paraId="0875997B" w14:textId="19A8DA36" w:rsidR="00AF45AD" w:rsidRPr="0038322F" w:rsidRDefault="00B76C86" w:rsidP="00B76C86">
            <w:pPr>
              <w:jc w:val="both"/>
              <w:rPr>
                <w:rFonts w:cstheme="minorHAnsi"/>
                <w:sz w:val="20"/>
                <w:szCs w:val="20"/>
              </w:rPr>
            </w:pPr>
            <w:r w:rsidRPr="0038322F">
              <w:rPr>
                <w:rFonts w:cstheme="minorHAnsi"/>
                <w:sz w:val="20"/>
                <w:szCs w:val="20"/>
              </w:rPr>
              <w:t xml:space="preserve">1) </w:t>
            </w:r>
            <w:r w:rsidR="00AF45AD" w:rsidRPr="0038322F">
              <w:rPr>
                <w:rFonts w:cstheme="minorHAnsi"/>
                <w:sz w:val="20"/>
                <w:szCs w:val="20"/>
              </w:rPr>
              <w:t>określenie okresu, o jaki wydłuża się termin, o którym mowa w ust.</w:t>
            </w:r>
            <w:r w:rsidR="00AF45AD" w:rsidRPr="0038322F">
              <w:rPr>
                <w:rFonts w:cstheme="minorHAnsi"/>
                <w:sz w:val="20"/>
                <w:szCs w:val="20"/>
              </w:rPr>
              <w:t xml:space="preserve"> </w:t>
            </w:r>
            <w:r w:rsidR="00AF45AD" w:rsidRPr="0038322F">
              <w:rPr>
                <w:rFonts w:cstheme="minorHAnsi"/>
                <w:sz w:val="20"/>
                <w:szCs w:val="20"/>
              </w:rPr>
              <w:t>2</w:t>
            </w:r>
            <w:r w:rsidR="00AF45AD" w:rsidRPr="0038322F">
              <w:rPr>
                <w:rFonts w:cstheme="minorHAnsi"/>
                <w:sz w:val="20"/>
                <w:szCs w:val="20"/>
                <w:vertAlign w:val="superscript"/>
              </w:rPr>
              <w:t>1a</w:t>
            </w:r>
            <w:r w:rsidR="00AF45AD" w:rsidRPr="0038322F">
              <w:rPr>
                <w:rFonts w:cstheme="minorHAnsi"/>
                <w:sz w:val="20"/>
                <w:szCs w:val="20"/>
              </w:rPr>
              <w:t>;</w:t>
            </w:r>
          </w:p>
          <w:p w14:paraId="1DA8F26A" w14:textId="4CC3A875" w:rsidR="00B76C86" w:rsidRPr="0038322F" w:rsidRDefault="00AF45AD" w:rsidP="00B76C86">
            <w:pPr>
              <w:jc w:val="both"/>
              <w:rPr>
                <w:rFonts w:cstheme="minorHAnsi"/>
                <w:sz w:val="20"/>
                <w:szCs w:val="20"/>
              </w:rPr>
            </w:pPr>
            <w:r w:rsidRPr="0038322F">
              <w:rPr>
                <w:rFonts w:cstheme="minorHAnsi"/>
                <w:sz w:val="20"/>
                <w:szCs w:val="20"/>
              </w:rPr>
              <w:t xml:space="preserve">2) </w:t>
            </w:r>
            <w:r w:rsidR="00B76C86" w:rsidRPr="0038322F">
              <w:rPr>
                <w:rFonts w:cstheme="minorHAnsi"/>
                <w:sz w:val="20"/>
                <w:szCs w:val="20"/>
              </w:rPr>
              <w:t>uzasadnienie potrzeby wydłużenia terminu,</w:t>
            </w:r>
          </w:p>
          <w:p w14:paraId="7568939D" w14:textId="5FAFCD54" w:rsidR="00B76C86" w:rsidRPr="0038322F" w:rsidRDefault="00AF45AD" w:rsidP="00B76C86">
            <w:pPr>
              <w:jc w:val="both"/>
              <w:rPr>
                <w:rFonts w:cstheme="minorHAnsi"/>
                <w:sz w:val="20"/>
                <w:szCs w:val="20"/>
              </w:rPr>
            </w:pPr>
            <w:r w:rsidRPr="0038322F">
              <w:rPr>
                <w:rFonts w:cstheme="minorHAnsi"/>
                <w:sz w:val="20"/>
                <w:szCs w:val="20"/>
              </w:rPr>
              <w:t>3</w:t>
            </w:r>
            <w:r w:rsidR="00B76C86" w:rsidRPr="0038322F">
              <w:rPr>
                <w:rFonts w:cstheme="minorHAnsi"/>
                <w:sz w:val="20"/>
                <w:szCs w:val="20"/>
              </w:rPr>
              <w:t>) dokumentację potwierdzającą zaawansowanie realizacji inwestycji,</w:t>
            </w:r>
          </w:p>
          <w:p w14:paraId="0C5DBC86" w14:textId="3BA4201B" w:rsidR="00B76C86" w:rsidRPr="0038322F" w:rsidRDefault="00AF45AD" w:rsidP="00B76C86">
            <w:pPr>
              <w:jc w:val="both"/>
              <w:rPr>
                <w:rFonts w:cstheme="minorHAnsi"/>
                <w:sz w:val="20"/>
                <w:szCs w:val="20"/>
              </w:rPr>
            </w:pPr>
            <w:r w:rsidRPr="0038322F">
              <w:rPr>
                <w:rFonts w:cstheme="minorHAnsi"/>
                <w:b/>
                <w:bCs/>
                <w:i/>
                <w:iCs/>
                <w:strike/>
                <w:sz w:val="20"/>
                <w:szCs w:val="20"/>
              </w:rPr>
              <w:t>4</w:t>
            </w:r>
            <w:r w:rsidR="00B76C86" w:rsidRPr="0038322F">
              <w:rPr>
                <w:rFonts w:cstheme="minorHAnsi"/>
                <w:b/>
                <w:bCs/>
                <w:i/>
                <w:iCs/>
                <w:strike/>
                <w:sz w:val="20"/>
                <w:szCs w:val="20"/>
              </w:rPr>
              <w:t>) potwierdzenie złożenia dodatkowego zabezpieczenia wykonania zobowiązań wynikających z warunków przyłączenia do sieci, o którym mowa w ust. 8c</w:t>
            </w:r>
            <w:r w:rsidR="00B76C86" w:rsidRPr="0038322F">
              <w:rPr>
                <w:rFonts w:cstheme="minorHAnsi"/>
                <w:b/>
                <w:bCs/>
                <w:i/>
                <w:iCs/>
                <w:strike/>
                <w:sz w:val="20"/>
                <w:szCs w:val="20"/>
                <w:vertAlign w:val="superscript"/>
              </w:rPr>
              <w:t>1</w:t>
            </w:r>
            <w:r w:rsidR="00B76C86" w:rsidRPr="0038322F">
              <w:rPr>
                <w:rFonts w:cstheme="minorHAnsi"/>
                <w:b/>
                <w:bCs/>
                <w:i/>
                <w:iCs/>
                <w:strike/>
                <w:sz w:val="20"/>
                <w:szCs w:val="20"/>
              </w:rPr>
              <w:t>–8c</w:t>
            </w:r>
            <w:r w:rsidR="00B76C86" w:rsidRPr="0038322F">
              <w:rPr>
                <w:rFonts w:cstheme="minorHAnsi"/>
                <w:b/>
                <w:bCs/>
                <w:i/>
                <w:iCs/>
                <w:strike/>
                <w:sz w:val="20"/>
                <w:szCs w:val="20"/>
                <w:vertAlign w:val="superscript"/>
              </w:rPr>
              <w:t>9</w:t>
            </w:r>
            <w:r w:rsidR="00B76C86" w:rsidRPr="0038322F">
              <w:rPr>
                <w:rFonts w:cstheme="minorHAnsi"/>
                <w:b/>
                <w:bCs/>
                <w:i/>
                <w:iCs/>
                <w:strike/>
                <w:sz w:val="20"/>
                <w:szCs w:val="20"/>
              </w:rPr>
              <w:t>, w wysokości 60 zł za każdy kilowat mocy przyłączeniowej określonej we wniosku o określenie warunków przyłączenia, jednak nie więcej niż 12 000 000 zł</w:t>
            </w:r>
            <w:r w:rsidR="00B76C86" w:rsidRPr="0038322F">
              <w:rPr>
                <w:rFonts w:cstheme="minorHAnsi"/>
                <w:sz w:val="20"/>
                <w:szCs w:val="20"/>
              </w:rPr>
              <w:t>.</w:t>
            </w:r>
          </w:p>
        </w:tc>
        <w:tc>
          <w:tcPr>
            <w:tcW w:w="1286" w:type="dxa"/>
            <w:shd w:val="clear" w:color="auto" w:fill="E2EFD9" w:themeFill="accent6" w:themeFillTint="33"/>
          </w:tcPr>
          <w:p w14:paraId="0536A594" w14:textId="77777777" w:rsidR="00B76C86" w:rsidRPr="0038322F" w:rsidRDefault="00B76C86" w:rsidP="00B76C86">
            <w:pPr>
              <w:jc w:val="both"/>
              <w:rPr>
                <w:rFonts w:cstheme="minorHAnsi"/>
                <w:sz w:val="20"/>
                <w:szCs w:val="20"/>
              </w:rPr>
            </w:pPr>
          </w:p>
          <w:p w14:paraId="03160553" w14:textId="1C7AC74E" w:rsidR="00B76C86" w:rsidRPr="0038322F" w:rsidRDefault="00B76C86" w:rsidP="00B76C86">
            <w:pPr>
              <w:jc w:val="both"/>
              <w:rPr>
                <w:rFonts w:eastAsia="Calibri" w:cstheme="minorHAnsi"/>
                <w:sz w:val="20"/>
                <w:szCs w:val="20"/>
              </w:rPr>
            </w:pPr>
            <w:r w:rsidRPr="0038322F">
              <w:rPr>
                <w:rFonts w:cstheme="minorHAnsi"/>
                <w:sz w:val="20"/>
                <w:szCs w:val="20"/>
              </w:rPr>
              <w:t> </w:t>
            </w:r>
          </w:p>
        </w:tc>
      </w:tr>
      <w:tr w:rsidR="00FE25C2" w:rsidRPr="0038322F" w14:paraId="33C7064D" w14:textId="77777777" w:rsidTr="00862BFF">
        <w:tc>
          <w:tcPr>
            <w:tcW w:w="846" w:type="dxa"/>
            <w:shd w:val="clear" w:color="auto" w:fill="FFFFFF" w:themeFill="background1"/>
          </w:tcPr>
          <w:p w14:paraId="445B9F67" w14:textId="77777777" w:rsidR="00FE25C2" w:rsidRPr="0038322F" w:rsidRDefault="00FE25C2" w:rsidP="00FE25C2">
            <w:pPr>
              <w:pStyle w:val="Akapitzlist"/>
              <w:numPr>
                <w:ilvl w:val="0"/>
                <w:numId w:val="15"/>
              </w:numPr>
              <w:ind w:left="313"/>
              <w:jc w:val="center"/>
              <w:rPr>
                <w:rFonts w:cstheme="minorHAnsi"/>
                <w:sz w:val="20"/>
                <w:szCs w:val="20"/>
              </w:rPr>
            </w:pPr>
          </w:p>
        </w:tc>
        <w:tc>
          <w:tcPr>
            <w:tcW w:w="1843" w:type="dxa"/>
            <w:shd w:val="clear" w:color="auto" w:fill="FFFFFF" w:themeFill="background1"/>
          </w:tcPr>
          <w:p w14:paraId="09FEF94E" w14:textId="5D917971" w:rsidR="00FE25C2" w:rsidRPr="00FE25C2" w:rsidRDefault="00FE25C2" w:rsidP="00FE25C2">
            <w:pPr>
              <w:ind w:left="174" w:right="121"/>
              <w:jc w:val="center"/>
              <w:rPr>
                <w:rFonts w:eastAsia="Lato" w:cstheme="minorHAnsi"/>
                <w:sz w:val="20"/>
                <w:szCs w:val="20"/>
              </w:rPr>
            </w:pPr>
            <w:r w:rsidRPr="0038322F">
              <w:rPr>
                <w:rFonts w:eastAsia="Lato" w:cstheme="minorHAnsi"/>
                <w:sz w:val="20"/>
                <w:szCs w:val="20"/>
              </w:rPr>
              <w:t xml:space="preserve">Art. 1 pkt 8 lit. </w:t>
            </w:r>
            <w:r>
              <w:rPr>
                <w:rFonts w:eastAsia="Lato" w:cstheme="minorHAnsi"/>
                <w:sz w:val="20"/>
                <w:szCs w:val="20"/>
              </w:rPr>
              <w:t>e</w:t>
            </w:r>
            <w:r w:rsidRPr="0038322F">
              <w:rPr>
                <w:rFonts w:eastAsia="Lato" w:cstheme="minorHAnsi"/>
                <w:sz w:val="20"/>
                <w:szCs w:val="20"/>
              </w:rPr>
              <w:t xml:space="preserve"> </w:t>
            </w:r>
          </w:p>
        </w:tc>
        <w:tc>
          <w:tcPr>
            <w:tcW w:w="5670" w:type="dxa"/>
            <w:shd w:val="clear" w:color="auto" w:fill="FFFFFF" w:themeFill="background1"/>
          </w:tcPr>
          <w:p w14:paraId="15AED25F" w14:textId="32F83A17" w:rsidR="00FE25C2" w:rsidRPr="0038322F" w:rsidRDefault="00FE25C2" w:rsidP="00FE25C2">
            <w:pPr>
              <w:jc w:val="both"/>
              <w:rPr>
                <w:rFonts w:eastAsia="Lato" w:cstheme="minorHAnsi"/>
                <w:sz w:val="20"/>
                <w:szCs w:val="20"/>
              </w:rPr>
            </w:pPr>
            <w:r w:rsidRPr="0038322F">
              <w:rPr>
                <w:rFonts w:eastAsia="Aptos" w:cstheme="minorHAnsi"/>
                <w:sz w:val="20"/>
                <w:szCs w:val="20"/>
                <w:lang w:val="pl"/>
              </w:rPr>
              <w:t>Biorąc pod uwagę brzmienie nowego art. 7 ust. 2</w:t>
            </w:r>
            <w:r w:rsidRPr="00FE37CC">
              <w:rPr>
                <w:rFonts w:eastAsia="Aptos" w:cstheme="minorHAnsi"/>
                <w:sz w:val="20"/>
                <w:szCs w:val="20"/>
                <w:vertAlign w:val="superscript"/>
                <w:lang w:val="pl"/>
              </w:rPr>
              <w:t>4</w:t>
            </w:r>
            <w:r w:rsidRPr="0038322F">
              <w:rPr>
                <w:rFonts w:eastAsia="Aptos" w:cstheme="minorHAnsi"/>
                <w:sz w:val="20"/>
                <w:szCs w:val="20"/>
                <w:lang w:val="pl"/>
              </w:rPr>
              <w:t xml:space="preserve"> </w:t>
            </w:r>
            <w:proofErr w:type="spellStart"/>
            <w:r w:rsidRPr="0038322F">
              <w:rPr>
                <w:rFonts w:eastAsia="Aptos" w:cstheme="minorHAnsi"/>
                <w:sz w:val="20"/>
                <w:szCs w:val="20"/>
                <w:lang w:val="pl"/>
              </w:rPr>
              <w:t>uPE</w:t>
            </w:r>
            <w:proofErr w:type="spellEnd"/>
            <w:r w:rsidRPr="0038322F">
              <w:rPr>
                <w:rFonts w:eastAsia="Aptos" w:cstheme="minorHAnsi"/>
                <w:sz w:val="20"/>
                <w:szCs w:val="20"/>
                <w:lang w:val="pl"/>
              </w:rPr>
              <w:t xml:space="preserve"> proponujemy dodać kolejny punkt do tego ust</w:t>
            </w:r>
            <w:r w:rsidR="00FE37CC">
              <w:rPr>
                <w:rFonts w:eastAsia="Aptos" w:cstheme="minorHAnsi"/>
                <w:sz w:val="20"/>
                <w:szCs w:val="20"/>
                <w:lang w:val="pl"/>
              </w:rPr>
              <w:t>ę</w:t>
            </w:r>
            <w:r w:rsidRPr="0038322F">
              <w:rPr>
                <w:rFonts w:eastAsia="Aptos" w:cstheme="minorHAnsi"/>
                <w:sz w:val="20"/>
                <w:szCs w:val="20"/>
                <w:lang w:val="pl"/>
              </w:rPr>
              <w:t xml:space="preserve">pu mówiący o tym, że należy stosować tzw. metodę proporcjonalną do rozliczania salda ujemnego z zarządcą rozliczeń w przypadku współdzielenia przyłącza (Cable </w:t>
            </w:r>
            <w:proofErr w:type="spellStart"/>
            <w:r w:rsidRPr="0038322F">
              <w:rPr>
                <w:rFonts w:eastAsia="Aptos" w:cstheme="minorHAnsi"/>
                <w:sz w:val="20"/>
                <w:szCs w:val="20"/>
                <w:lang w:val="pl"/>
              </w:rPr>
              <w:t>Pooling</w:t>
            </w:r>
            <w:proofErr w:type="spellEnd"/>
            <w:r w:rsidRPr="0038322F">
              <w:rPr>
                <w:rFonts w:eastAsia="Aptos" w:cstheme="minorHAnsi"/>
                <w:sz w:val="20"/>
                <w:szCs w:val="20"/>
                <w:lang w:val="pl"/>
              </w:rPr>
              <w:t xml:space="preserve">), gdy jedna z instalacji korzysta z systemu wsparcia, np. aukcja OZE a inna lub inne przyłączone wspólnie instalacje z takiego wsparcia nie korzystają. </w:t>
            </w:r>
          </w:p>
        </w:tc>
        <w:tc>
          <w:tcPr>
            <w:tcW w:w="4394" w:type="dxa"/>
            <w:shd w:val="clear" w:color="auto" w:fill="FFFFFF" w:themeFill="background1"/>
          </w:tcPr>
          <w:p w14:paraId="6EC9405B" w14:textId="77777777" w:rsidR="00FE25C2" w:rsidRPr="0038322F" w:rsidRDefault="00FE25C2" w:rsidP="00FE25C2">
            <w:pPr>
              <w:ind w:left="40"/>
              <w:jc w:val="both"/>
              <w:rPr>
                <w:rFonts w:eastAsia="Lato" w:cstheme="minorHAnsi"/>
                <w:sz w:val="20"/>
                <w:szCs w:val="20"/>
              </w:rPr>
            </w:pPr>
          </w:p>
        </w:tc>
        <w:tc>
          <w:tcPr>
            <w:tcW w:w="1286" w:type="dxa"/>
            <w:shd w:val="clear" w:color="auto" w:fill="FFFFFF" w:themeFill="background1"/>
          </w:tcPr>
          <w:p w14:paraId="39B6C597" w14:textId="77777777" w:rsidR="00FE25C2" w:rsidRPr="0038322F" w:rsidRDefault="00FE25C2" w:rsidP="00FE25C2">
            <w:pPr>
              <w:jc w:val="both"/>
              <w:rPr>
                <w:rFonts w:cstheme="minorHAnsi"/>
                <w:sz w:val="20"/>
                <w:szCs w:val="20"/>
              </w:rPr>
            </w:pPr>
          </w:p>
        </w:tc>
      </w:tr>
      <w:tr w:rsidR="000C139A" w:rsidRPr="0038322F" w14:paraId="5B3CE59B" w14:textId="77777777" w:rsidTr="00862BFF">
        <w:tc>
          <w:tcPr>
            <w:tcW w:w="846" w:type="dxa"/>
            <w:shd w:val="clear" w:color="auto" w:fill="FFFFFF" w:themeFill="background1"/>
          </w:tcPr>
          <w:p w14:paraId="2F28B451" w14:textId="77777777" w:rsidR="000C139A" w:rsidRPr="0038322F" w:rsidRDefault="000C139A" w:rsidP="000C139A">
            <w:pPr>
              <w:pStyle w:val="Akapitzlist"/>
              <w:numPr>
                <w:ilvl w:val="0"/>
                <w:numId w:val="15"/>
              </w:numPr>
              <w:ind w:left="313"/>
              <w:jc w:val="center"/>
              <w:rPr>
                <w:rFonts w:cstheme="minorHAnsi"/>
                <w:sz w:val="20"/>
                <w:szCs w:val="20"/>
              </w:rPr>
            </w:pPr>
          </w:p>
        </w:tc>
        <w:tc>
          <w:tcPr>
            <w:tcW w:w="1843" w:type="dxa"/>
            <w:shd w:val="clear" w:color="auto" w:fill="FFFFFF" w:themeFill="background1"/>
          </w:tcPr>
          <w:p w14:paraId="698A470B" w14:textId="77777777" w:rsidR="000C139A" w:rsidRPr="0038322F" w:rsidRDefault="000C139A" w:rsidP="000C139A">
            <w:pPr>
              <w:ind w:left="174" w:right="121"/>
              <w:jc w:val="center"/>
              <w:rPr>
                <w:rFonts w:cstheme="minorHAnsi"/>
                <w:sz w:val="20"/>
                <w:szCs w:val="20"/>
                <w:lang w:val="en-GB"/>
              </w:rPr>
            </w:pPr>
            <w:r w:rsidRPr="0038322F">
              <w:rPr>
                <w:rFonts w:eastAsia="Lato" w:cstheme="minorHAnsi"/>
                <w:sz w:val="20"/>
                <w:szCs w:val="20"/>
                <w:lang w:val="en-US"/>
              </w:rPr>
              <w:t>Art. 1 pkt 8 lit. h</w:t>
            </w:r>
          </w:p>
          <w:p w14:paraId="78D46296" w14:textId="77777777" w:rsidR="000C139A" w:rsidRPr="0038322F" w:rsidRDefault="000C139A" w:rsidP="000C139A">
            <w:pPr>
              <w:ind w:left="174" w:right="121"/>
              <w:jc w:val="center"/>
              <w:rPr>
                <w:rFonts w:cstheme="minorHAnsi"/>
                <w:sz w:val="20"/>
                <w:szCs w:val="20"/>
                <w:lang w:val="en-GB"/>
              </w:rPr>
            </w:pPr>
          </w:p>
          <w:p w14:paraId="479A4FE2" w14:textId="06D6FC6C" w:rsidR="000C139A" w:rsidRPr="000C139A" w:rsidRDefault="000C139A" w:rsidP="000C139A">
            <w:pPr>
              <w:jc w:val="center"/>
              <w:rPr>
                <w:rFonts w:eastAsia="Aptos" w:cstheme="minorHAnsi"/>
                <w:sz w:val="20"/>
                <w:szCs w:val="20"/>
                <w:lang w:val="en-GB"/>
              </w:rPr>
            </w:pPr>
            <w:proofErr w:type="spellStart"/>
            <w:r w:rsidRPr="0038322F">
              <w:rPr>
                <w:rFonts w:eastAsia="Lato" w:cstheme="minorHAnsi"/>
                <w:sz w:val="20"/>
                <w:szCs w:val="20"/>
                <w:lang w:val="en-US"/>
              </w:rPr>
              <w:t>uPE</w:t>
            </w:r>
            <w:proofErr w:type="spellEnd"/>
            <w:r w:rsidRPr="0038322F">
              <w:rPr>
                <w:rFonts w:eastAsia="Lato" w:cstheme="minorHAnsi"/>
                <w:sz w:val="20"/>
                <w:szCs w:val="20"/>
                <w:lang w:val="en-US"/>
              </w:rPr>
              <w:t xml:space="preserve"> Art. 7 </w:t>
            </w:r>
            <w:proofErr w:type="spellStart"/>
            <w:r w:rsidRPr="0038322F">
              <w:rPr>
                <w:rFonts w:eastAsia="Lato" w:cstheme="minorHAnsi"/>
                <w:sz w:val="20"/>
                <w:szCs w:val="20"/>
                <w:lang w:val="en-US"/>
              </w:rPr>
              <w:t>ust</w:t>
            </w:r>
            <w:proofErr w:type="spellEnd"/>
            <w:r w:rsidRPr="0038322F">
              <w:rPr>
                <w:rFonts w:eastAsia="Lato" w:cstheme="minorHAnsi"/>
                <w:sz w:val="20"/>
                <w:szCs w:val="20"/>
                <w:lang w:val="en-US"/>
              </w:rPr>
              <w:t xml:space="preserve"> 3ba</w:t>
            </w:r>
          </w:p>
        </w:tc>
        <w:tc>
          <w:tcPr>
            <w:tcW w:w="5670" w:type="dxa"/>
            <w:shd w:val="clear" w:color="auto" w:fill="FFFFFF" w:themeFill="background1"/>
          </w:tcPr>
          <w:p w14:paraId="05F75D62" w14:textId="009E6C51" w:rsidR="000C139A" w:rsidRPr="0038322F" w:rsidRDefault="000C139A" w:rsidP="000C139A">
            <w:pPr>
              <w:jc w:val="both"/>
              <w:rPr>
                <w:rFonts w:eastAsia="Aptos" w:cstheme="minorHAnsi"/>
                <w:sz w:val="20"/>
                <w:szCs w:val="20"/>
              </w:rPr>
            </w:pPr>
            <w:r w:rsidRPr="0038322F">
              <w:rPr>
                <w:rFonts w:eastAsia="Lato" w:cstheme="minorHAnsi"/>
                <w:sz w:val="20"/>
                <w:szCs w:val="20"/>
              </w:rPr>
              <w:t>Zgłaszamy wątpliwość czy ograniczanie pracy biogazowni do godzin przypadających na okres szczytowego wytwarzania energii przez instalacje PV świadczy o neutralności technologicznej wytwarzania energii przez źródła OZE.</w:t>
            </w:r>
          </w:p>
        </w:tc>
        <w:tc>
          <w:tcPr>
            <w:tcW w:w="4394" w:type="dxa"/>
            <w:shd w:val="clear" w:color="auto" w:fill="FFFFFF" w:themeFill="background1"/>
          </w:tcPr>
          <w:p w14:paraId="7DC628A1" w14:textId="58AE11ED" w:rsidR="000C139A" w:rsidRPr="0038322F" w:rsidRDefault="000C139A" w:rsidP="000C139A">
            <w:pPr>
              <w:ind w:left="40"/>
              <w:jc w:val="both"/>
              <w:rPr>
                <w:rFonts w:eastAsia="Aptos" w:cstheme="minorHAnsi"/>
                <w:sz w:val="20"/>
                <w:szCs w:val="20"/>
              </w:rPr>
            </w:pPr>
            <w:r w:rsidRPr="0038322F">
              <w:rPr>
                <w:rFonts w:eastAsia="Lato" w:cstheme="minorHAnsi"/>
                <w:sz w:val="20"/>
                <w:szCs w:val="20"/>
              </w:rPr>
              <w:t xml:space="preserve"> </w:t>
            </w:r>
          </w:p>
        </w:tc>
        <w:tc>
          <w:tcPr>
            <w:tcW w:w="1286" w:type="dxa"/>
            <w:shd w:val="clear" w:color="auto" w:fill="FFFFFF" w:themeFill="background1"/>
          </w:tcPr>
          <w:p w14:paraId="361192E3" w14:textId="77777777" w:rsidR="000C139A" w:rsidRPr="0038322F" w:rsidRDefault="000C139A" w:rsidP="000C139A">
            <w:pPr>
              <w:jc w:val="both"/>
              <w:rPr>
                <w:rFonts w:cstheme="minorHAnsi"/>
                <w:sz w:val="20"/>
                <w:szCs w:val="20"/>
              </w:rPr>
            </w:pPr>
          </w:p>
        </w:tc>
      </w:tr>
      <w:tr w:rsidR="000C139A" w:rsidRPr="0038322F" w14:paraId="1BACA5DB" w14:textId="77777777" w:rsidTr="00862BFF">
        <w:tc>
          <w:tcPr>
            <w:tcW w:w="846" w:type="dxa"/>
            <w:shd w:val="clear" w:color="auto" w:fill="FFFFFF" w:themeFill="background1"/>
          </w:tcPr>
          <w:p w14:paraId="61BF271F" w14:textId="77777777" w:rsidR="000C139A" w:rsidRPr="0038322F" w:rsidRDefault="000C139A" w:rsidP="000C139A">
            <w:pPr>
              <w:pStyle w:val="Akapitzlist"/>
              <w:numPr>
                <w:ilvl w:val="0"/>
                <w:numId w:val="15"/>
              </w:numPr>
              <w:ind w:left="313"/>
              <w:jc w:val="center"/>
              <w:rPr>
                <w:rFonts w:cstheme="minorHAnsi"/>
                <w:sz w:val="20"/>
                <w:szCs w:val="20"/>
              </w:rPr>
            </w:pPr>
          </w:p>
        </w:tc>
        <w:tc>
          <w:tcPr>
            <w:tcW w:w="1843" w:type="dxa"/>
            <w:shd w:val="clear" w:color="auto" w:fill="FFFFFF" w:themeFill="background1"/>
          </w:tcPr>
          <w:p w14:paraId="7D4CCA64" w14:textId="7C0C7004" w:rsidR="000C139A" w:rsidRPr="000C139A" w:rsidRDefault="000C139A" w:rsidP="000C139A">
            <w:pPr>
              <w:ind w:left="174" w:right="121"/>
              <w:jc w:val="center"/>
              <w:rPr>
                <w:rFonts w:eastAsia="Lato" w:cstheme="minorHAnsi"/>
                <w:sz w:val="20"/>
                <w:szCs w:val="20"/>
              </w:rPr>
            </w:pPr>
            <w:r w:rsidRPr="001576F7">
              <w:rPr>
                <w:rFonts w:eastAsia="Aptos" w:cstheme="minorHAnsi"/>
                <w:sz w:val="20"/>
                <w:szCs w:val="20"/>
              </w:rPr>
              <w:t xml:space="preserve">Art. 1 pkt 8 lit. i </w:t>
            </w:r>
            <w:r>
              <w:rPr>
                <w:rFonts w:eastAsia="Aptos" w:cstheme="minorHAnsi"/>
                <w:sz w:val="20"/>
                <w:szCs w:val="20"/>
              </w:rPr>
              <w:br/>
            </w:r>
            <w:r w:rsidRPr="001576F7">
              <w:rPr>
                <w:rFonts w:eastAsia="Aptos" w:cstheme="minorHAnsi"/>
                <w:sz w:val="20"/>
                <w:szCs w:val="20"/>
              </w:rPr>
              <w:t>w zakresie art. 7 ust. 3a</w:t>
            </w:r>
            <w:r w:rsidRPr="001576F7">
              <w:rPr>
                <w:rFonts w:eastAsia="Aptos" w:cstheme="minorHAnsi"/>
                <w:sz w:val="20"/>
                <w:szCs w:val="20"/>
                <w:vertAlign w:val="superscript"/>
              </w:rPr>
              <w:t>2</w:t>
            </w:r>
          </w:p>
        </w:tc>
        <w:tc>
          <w:tcPr>
            <w:tcW w:w="5670" w:type="dxa"/>
            <w:shd w:val="clear" w:color="auto" w:fill="FFFFFF" w:themeFill="background1"/>
          </w:tcPr>
          <w:p w14:paraId="05FD6162" w14:textId="04324BAF" w:rsidR="000C139A" w:rsidRPr="0038322F" w:rsidRDefault="000C139A" w:rsidP="000C139A">
            <w:pPr>
              <w:jc w:val="both"/>
              <w:rPr>
                <w:rFonts w:eastAsia="Lato" w:cstheme="minorHAnsi"/>
                <w:sz w:val="20"/>
                <w:szCs w:val="20"/>
              </w:rPr>
            </w:pPr>
            <w:r w:rsidRPr="0038322F">
              <w:rPr>
                <w:rFonts w:eastAsia="Aptos" w:cstheme="minorHAnsi"/>
                <w:sz w:val="20"/>
                <w:szCs w:val="20"/>
              </w:rPr>
              <w:t>Brakuje wymogu udostępniania przez operatorów interfejsu API i struktury danych dla statusów wniosków, co ogranicza możliwość automatyzacji i transparentność przyłączeń, mimo deklaracji OSR/UZAS o zwiększeniu przejrzystości.</w:t>
            </w:r>
            <w:r w:rsidRPr="0038322F">
              <w:rPr>
                <w:rFonts w:cstheme="minorHAnsi"/>
                <w:sz w:val="20"/>
                <w:szCs w:val="20"/>
              </w:rPr>
              <w:br/>
            </w:r>
            <w:r w:rsidRPr="0038322F">
              <w:rPr>
                <w:rFonts w:eastAsia="Aptos" w:cstheme="minorHAnsi"/>
                <w:sz w:val="20"/>
                <w:szCs w:val="20"/>
              </w:rPr>
              <w:t xml:space="preserve"> </w:t>
            </w:r>
            <w:r w:rsidRPr="0038322F">
              <w:rPr>
                <w:rFonts w:cstheme="minorHAnsi"/>
                <w:sz w:val="20"/>
                <w:szCs w:val="20"/>
              </w:rPr>
              <w:br/>
            </w:r>
          </w:p>
        </w:tc>
        <w:tc>
          <w:tcPr>
            <w:tcW w:w="4394" w:type="dxa"/>
            <w:shd w:val="clear" w:color="auto" w:fill="FFFFFF" w:themeFill="background1"/>
          </w:tcPr>
          <w:p w14:paraId="648D943D" w14:textId="188E205D" w:rsidR="000C139A" w:rsidRPr="0038322F" w:rsidRDefault="000C139A" w:rsidP="000C139A">
            <w:pPr>
              <w:ind w:left="40"/>
              <w:jc w:val="both"/>
              <w:rPr>
                <w:rFonts w:eastAsia="Lato" w:cstheme="minorHAnsi"/>
                <w:sz w:val="20"/>
                <w:szCs w:val="20"/>
              </w:rPr>
            </w:pPr>
            <w:r w:rsidRPr="0038322F">
              <w:rPr>
                <w:rFonts w:eastAsia="Aptos" w:cstheme="minorHAnsi"/>
                <w:sz w:val="20"/>
                <w:szCs w:val="20"/>
              </w:rPr>
              <w:t>W art. 7 ust. 3a2 pkt 2–3 otrzymują brzmienie:</w:t>
            </w:r>
            <w:r w:rsidRPr="0038322F">
              <w:rPr>
                <w:rFonts w:cstheme="minorHAnsi"/>
                <w:sz w:val="20"/>
                <w:szCs w:val="20"/>
              </w:rPr>
              <w:br/>
            </w:r>
            <w:r w:rsidRPr="0038322F">
              <w:rPr>
                <w:rFonts w:eastAsia="Aptos" w:cstheme="minorHAnsi"/>
                <w:sz w:val="20"/>
                <w:szCs w:val="20"/>
              </w:rPr>
              <w:t xml:space="preserve"> 2) bieżącą informację o statusie rozpatrywania wniosku o określenie warunków przyłączenia oraz interfejs API umożliwiający pobieranie tych danych;</w:t>
            </w:r>
            <w:r w:rsidRPr="0038322F">
              <w:rPr>
                <w:rFonts w:cstheme="minorHAnsi"/>
                <w:sz w:val="20"/>
                <w:szCs w:val="20"/>
              </w:rPr>
              <w:br/>
            </w:r>
            <w:r w:rsidRPr="0038322F">
              <w:rPr>
                <w:rFonts w:eastAsia="Aptos" w:cstheme="minorHAnsi"/>
                <w:sz w:val="20"/>
                <w:szCs w:val="20"/>
              </w:rPr>
              <w:t xml:space="preserve"> 3) publikację i udostępnianie poprzez API: a) informacji, o których mowa w ust. 8l, b) jednolitego zbioru zasad, o których mowa w ust. 8o.</w:t>
            </w:r>
            <w:r w:rsidRPr="0038322F">
              <w:rPr>
                <w:rFonts w:cstheme="minorHAnsi"/>
                <w:sz w:val="20"/>
                <w:szCs w:val="20"/>
              </w:rPr>
              <w:br/>
            </w:r>
            <w:r w:rsidRPr="0038322F">
              <w:rPr>
                <w:rFonts w:eastAsia="Aptos" w:cstheme="minorHAnsi"/>
                <w:sz w:val="20"/>
                <w:szCs w:val="20"/>
              </w:rPr>
              <w:t xml:space="preserve"> W ust. 3a3 po wyrazach “przekazuje” dodaje się “oraz udostępnia poprzez API”</w:t>
            </w:r>
          </w:p>
        </w:tc>
        <w:tc>
          <w:tcPr>
            <w:tcW w:w="1286" w:type="dxa"/>
            <w:shd w:val="clear" w:color="auto" w:fill="FFFFFF" w:themeFill="background1"/>
          </w:tcPr>
          <w:p w14:paraId="267CC55F" w14:textId="77777777" w:rsidR="000C139A" w:rsidRPr="0038322F" w:rsidRDefault="000C139A" w:rsidP="000C139A">
            <w:pPr>
              <w:jc w:val="both"/>
              <w:rPr>
                <w:rFonts w:cstheme="minorHAnsi"/>
                <w:sz w:val="20"/>
                <w:szCs w:val="20"/>
              </w:rPr>
            </w:pPr>
          </w:p>
        </w:tc>
      </w:tr>
      <w:tr w:rsidR="000C139A" w:rsidRPr="0038322F" w14:paraId="711AA104" w14:textId="77777777" w:rsidTr="00862BFF">
        <w:tc>
          <w:tcPr>
            <w:tcW w:w="846" w:type="dxa"/>
            <w:shd w:val="clear" w:color="auto" w:fill="FFFFFF" w:themeFill="background1"/>
          </w:tcPr>
          <w:p w14:paraId="1B20124E" w14:textId="77777777" w:rsidR="000C139A" w:rsidRPr="0038322F" w:rsidRDefault="000C139A" w:rsidP="000C139A">
            <w:pPr>
              <w:pStyle w:val="Akapitzlist"/>
              <w:numPr>
                <w:ilvl w:val="0"/>
                <w:numId w:val="15"/>
              </w:numPr>
              <w:ind w:left="313"/>
              <w:jc w:val="center"/>
              <w:rPr>
                <w:rFonts w:cstheme="minorHAnsi"/>
                <w:sz w:val="20"/>
                <w:szCs w:val="20"/>
              </w:rPr>
            </w:pPr>
          </w:p>
        </w:tc>
        <w:tc>
          <w:tcPr>
            <w:tcW w:w="1843" w:type="dxa"/>
            <w:shd w:val="clear" w:color="auto" w:fill="FFFFFF" w:themeFill="background1"/>
          </w:tcPr>
          <w:p w14:paraId="28F29B46" w14:textId="77777777" w:rsidR="000C139A" w:rsidRPr="0038322F" w:rsidRDefault="000C139A" w:rsidP="000C139A">
            <w:pPr>
              <w:ind w:left="174" w:right="121"/>
              <w:jc w:val="center"/>
              <w:rPr>
                <w:rFonts w:cstheme="minorHAnsi"/>
                <w:sz w:val="20"/>
                <w:szCs w:val="20"/>
                <w:lang w:val="en-GB"/>
              </w:rPr>
            </w:pPr>
            <w:r w:rsidRPr="0038322F">
              <w:rPr>
                <w:rFonts w:eastAsia="Lato" w:cstheme="minorHAnsi"/>
                <w:sz w:val="20"/>
                <w:szCs w:val="20"/>
                <w:lang w:val="en-US"/>
              </w:rPr>
              <w:t>Art. 1 pkt 8 lit. k</w:t>
            </w:r>
          </w:p>
          <w:p w14:paraId="7E3B9A20" w14:textId="77777777" w:rsidR="000C139A" w:rsidRPr="0038322F" w:rsidRDefault="000C139A" w:rsidP="000C139A">
            <w:pPr>
              <w:ind w:left="174" w:right="121"/>
              <w:jc w:val="center"/>
              <w:rPr>
                <w:rFonts w:cstheme="minorHAnsi"/>
                <w:sz w:val="20"/>
                <w:szCs w:val="20"/>
                <w:lang w:val="en-GB"/>
              </w:rPr>
            </w:pPr>
          </w:p>
          <w:p w14:paraId="386AFC93" w14:textId="4F94CBB0" w:rsidR="000C139A" w:rsidRPr="000C139A" w:rsidRDefault="000C139A" w:rsidP="000C139A">
            <w:pPr>
              <w:jc w:val="center"/>
              <w:rPr>
                <w:rFonts w:eastAsia="Aptos" w:cstheme="minorHAnsi"/>
                <w:sz w:val="20"/>
                <w:szCs w:val="20"/>
                <w:lang w:val="en-GB"/>
              </w:rPr>
            </w:pPr>
            <w:proofErr w:type="spellStart"/>
            <w:r w:rsidRPr="0038322F">
              <w:rPr>
                <w:rFonts w:eastAsia="Lato" w:cstheme="minorHAnsi"/>
                <w:sz w:val="20"/>
                <w:szCs w:val="20"/>
                <w:lang w:val="en-US"/>
              </w:rPr>
              <w:t>uPE</w:t>
            </w:r>
            <w:proofErr w:type="spellEnd"/>
            <w:r w:rsidRPr="0038322F">
              <w:rPr>
                <w:rFonts w:eastAsia="Lato" w:cstheme="minorHAnsi"/>
                <w:sz w:val="20"/>
                <w:szCs w:val="20"/>
                <w:lang w:val="en-US"/>
              </w:rPr>
              <w:t xml:space="preserve"> Art. 7 </w:t>
            </w:r>
            <w:proofErr w:type="spellStart"/>
            <w:r w:rsidRPr="0038322F">
              <w:rPr>
                <w:rFonts w:eastAsia="Lato" w:cstheme="minorHAnsi"/>
                <w:sz w:val="20"/>
                <w:szCs w:val="20"/>
                <w:lang w:val="en-US"/>
              </w:rPr>
              <w:t>ust</w:t>
            </w:r>
            <w:proofErr w:type="spellEnd"/>
            <w:r w:rsidRPr="0038322F">
              <w:rPr>
                <w:rFonts w:eastAsia="Lato" w:cstheme="minorHAnsi"/>
                <w:sz w:val="20"/>
                <w:szCs w:val="20"/>
                <w:lang w:val="en-US"/>
              </w:rPr>
              <w:t xml:space="preserve"> 3df</w:t>
            </w:r>
          </w:p>
        </w:tc>
        <w:tc>
          <w:tcPr>
            <w:tcW w:w="5670" w:type="dxa"/>
            <w:shd w:val="clear" w:color="auto" w:fill="FFFFFF" w:themeFill="background1"/>
          </w:tcPr>
          <w:p w14:paraId="7B685CC1" w14:textId="1A5707C4" w:rsidR="000C139A" w:rsidRPr="0038322F" w:rsidRDefault="000C139A" w:rsidP="000C139A">
            <w:pPr>
              <w:jc w:val="both"/>
              <w:rPr>
                <w:rFonts w:eastAsia="Aptos" w:cstheme="minorHAnsi"/>
                <w:sz w:val="20"/>
                <w:szCs w:val="20"/>
              </w:rPr>
            </w:pPr>
            <w:r w:rsidRPr="0038322F">
              <w:rPr>
                <w:rFonts w:eastAsia="Lato" w:cstheme="minorHAnsi"/>
                <w:sz w:val="20"/>
                <w:szCs w:val="20"/>
              </w:rPr>
              <w:t xml:space="preserve">Proponujemy pozostawienie zapisu Art. 7 ust 3df w obecnej formie wynikającego z ustawy Prawo Energetyczne.  Jest to konsekwencja wcześniejszych uwag dotyczących ograniczenia zasad </w:t>
            </w:r>
            <w:proofErr w:type="spellStart"/>
            <w:r w:rsidRPr="0038322F">
              <w:rPr>
                <w:rFonts w:eastAsia="Lato" w:cstheme="minorHAnsi"/>
                <w:sz w:val="20"/>
                <w:szCs w:val="20"/>
              </w:rPr>
              <w:t>cable</w:t>
            </w:r>
            <w:proofErr w:type="spellEnd"/>
            <w:r w:rsidRPr="0038322F">
              <w:rPr>
                <w:rFonts w:eastAsia="Lato" w:cstheme="minorHAnsi"/>
                <w:sz w:val="20"/>
                <w:szCs w:val="20"/>
              </w:rPr>
              <w:t xml:space="preserve"> </w:t>
            </w:r>
            <w:proofErr w:type="spellStart"/>
            <w:r w:rsidRPr="0038322F">
              <w:rPr>
                <w:rFonts w:eastAsia="Lato" w:cstheme="minorHAnsi"/>
                <w:sz w:val="20"/>
                <w:szCs w:val="20"/>
              </w:rPr>
              <w:t>poolingu</w:t>
            </w:r>
            <w:proofErr w:type="spellEnd"/>
            <w:r w:rsidRPr="0038322F">
              <w:rPr>
                <w:rFonts w:eastAsia="Lato" w:cstheme="minorHAnsi"/>
                <w:sz w:val="20"/>
                <w:szCs w:val="20"/>
              </w:rPr>
              <w:t xml:space="preserve"> jedynie do jednostek wytwórczych i magazynów energii z wyłączeniem instalacji odbiorczych i sieci. </w:t>
            </w:r>
          </w:p>
        </w:tc>
        <w:tc>
          <w:tcPr>
            <w:tcW w:w="4394" w:type="dxa"/>
            <w:shd w:val="clear" w:color="auto" w:fill="FFFFFF" w:themeFill="background1"/>
          </w:tcPr>
          <w:p w14:paraId="6DBB51A5" w14:textId="17D1A21A" w:rsidR="000C139A" w:rsidRPr="0038322F" w:rsidRDefault="000C139A" w:rsidP="000C139A">
            <w:pPr>
              <w:ind w:left="40"/>
              <w:jc w:val="both"/>
              <w:rPr>
                <w:rFonts w:eastAsia="Aptos" w:cstheme="minorHAnsi"/>
                <w:sz w:val="20"/>
                <w:szCs w:val="20"/>
              </w:rPr>
            </w:pPr>
            <w:r w:rsidRPr="0038322F">
              <w:rPr>
                <w:rFonts w:eastAsia="Lato" w:cstheme="minorHAnsi"/>
                <w:sz w:val="20"/>
                <w:szCs w:val="20"/>
              </w:rPr>
              <w:t xml:space="preserve">3df. </w:t>
            </w:r>
            <w:r w:rsidRPr="0038322F">
              <w:rPr>
                <w:rFonts w:eastAsia="Lato" w:cstheme="minorHAnsi"/>
                <w:sz w:val="20"/>
                <w:szCs w:val="20"/>
                <w:u w:val="single"/>
              </w:rPr>
              <w:t xml:space="preserve">W przypadku gdy w miejscu przyłączenia do sieci, w którym przyłączona jest instalacja odnawialnego źródła energii, o której mowa w </w:t>
            </w:r>
            <w:hyperlink r:id="rId8" w:anchor="/document/68635347?unitId=art(4)ust(2)">
              <w:r w:rsidRPr="0038322F">
                <w:rPr>
                  <w:rStyle w:val="Hipercze"/>
                  <w:rFonts w:eastAsia="Lato" w:cstheme="minorHAnsi"/>
                  <w:sz w:val="20"/>
                  <w:szCs w:val="20"/>
                </w:rPr>
                <w:t>art. 4 ust. 2</w:t>
              </w:r>
            </w:hyperlink>
            <w:r w:rsidRPr="0038322F">
              <w:rPr>
                <w:rFonts w:eastAsia="Lato" w:cstheme="minorHAnsi"/>
                <w:sz w:val="20"/>
                <w:szCs w:val="20"/>
                <w:u w:val="single"/>
              </w:rPr>
              <w:t xml:space="preserve"> rozporządzenia Komisji 2016/631 z dnia 14 kwietnia 2016 r. ustanawiającego kodeks sieci dotyczący wymogów w zakresie przyłączenia jednostek wytwórczych do sieci (Dz. Urz. UE L 112 z 27.04.2016, str. 1 oraz Dz. Urz. UE L 118 z 06.05.2019, str. 10), przyłącza się kolejną instalację odnawialnego źródła energii, wymogi określone w tym rozporządzeniu mają zastosowanie wyłącznie do instalacji przyłączanej, chyba że instalacja przyłączona podlegała modernizacji, o której mowa w tym rozporządzeniu.</w:t>
            </w:r>
          </w:p>
        </w:tc>
        <w:tc>
          <w:tcPr>
            <w:tcW w:w="1286" w:type="dxa"/>
            <w:shd w:val="clear" w:color="auto" w:fill="FFFFFF" w:themeFill="background1"/>
          </w:tcPr>
          <w:p w14:paraId="463818C2" w14:textId="77777777" w:rsidR="000C139A" w:rsidRPr="0038322F" w:rsidRDefault="000C139A" w:rsidP="000C139A">
            <w:pPr>
              <w:jc w:val="both"/>
              <w:rPr>
                <w:rFonts w:cstheme="minorHAnsi"/>
                <w:sz w:val="20"/>
                <w:szCs w:val="20"/>
              </w:rPr>
            </w:pPr>
          </w:p>
        </w:tc>
      </w:tr>
      <w:tr w:rsidR="007C5FB6" w:rsidRPr="0038322F" w14:paraId="65014728" w14:textId="77777777" w:rsidTr="00862BFF">
        <w:tc>
          <w:tcPr>
            <w:tcW w:w="846" w:type="dxa"/>
            <w:shd w:val="clear" w:color="auto" w:fill="FFFFFF" w:themeFill="background1"/>
          </w:tcPr>
          <w:p w14:paraId="0B4A292C" w14:textId="77777777" w:rsidR="007C5FB6" w:rsidRPr="0038322F" w:rsidRDefault="007C5FB6" w:rsidP="00B74CC0">
            <w:pPr>
              <w:pStyle w:val="Akapitzlist"/>
              <w:numPr>
                <w:ilvl w:val="0"/>
                <w:numId w:val="15"/>
              </w:numPr>
              <w:ind w:left="313"/>
              <w:jc w:val="center"/>
              <w:rPr>
                <w:rFonts w:cstheme="minorHAnsi"/>
                <w:sz w:val="20"/>
                <w:szCs w:val="20"/>
              </w:rPr>
            </w:pPr>
          </w:p>
        </w:tc>
        <w:tc>
          <w:tcPr>
            <w:tcW w:w="1843" w:type="dxa"/>
            <w:shd w:val="clear" w:color="auto" w:fill="FFFFFF" w:themeFill="background1"/>
          </w:tcPr>
          <w:p w14:paraId="371A2BD1" w14:textId="0268C2B0" w:rsidR="007C5FB6" w:rsidRPr="0038322F" w:rsidRDefault="007C5FB6" w:rsidP="007C5FB6">
            <w:pPr>
              <w:jc w:val="center"/>
              <w:rPr>
                <w:rFonts w:cstheme="minorHAnsi"/>
                <w:sz w:val="20"/>
                <w:szCs w:val="20"/>
              </w:rPr>
            </w:pPr>
            <w:r w:rsidRPr="0038322F">
              <w:rPr>
                <w:rFonts w:eastAsia="Calibri" w:cstheme="minorHAnsi"/>
                <w:sz w:val="20"/>
                <w:szCs w:val="20"/>
                <w:lang w:val="en-US"/>
              </w:rPr>
              <w:t xml:space="preserve">Art. 1 pkt. 8 lit. o (dot. </w:t>
            </w:r>
            <w:proofErr w:type="spellStart"/>
            <w:r w:rsidRPr="0038322F">
              <w:rPr>
                <w:rFonts w:eastAsia="Calibri" w:cstheme="minorHAnsi"/>
                <w:sz w:val="20"/>
                <w:szCs w:val="20"/>
                <w:lang w:val="en-US"/>
              </w:rPr>
              <w:t>uPE</w:t>
            </w:r>
            <w:proofErr w:type="spellEnd"/>
            <w:r w:rsidRPr="0038322F">
              <w:rPr>
                <w:rFonts w:eastAsia="Calibri" w:cstheme="minorHAnsi"/>
                <w:sz w:val="20"/>
                <w:szCs w:val="20"/>
                <w:lang w:val="en-US"/>
              </w:rPr>
              <w:t xml:space="preserve"> Art.7 </w:t>
            </w:r>
            <w:proofErr w:type="spellStart"/>
            <w:r w:rsidRPr="0038322F">
              <w:rPr>
                <w:rFonts w:eastAsia="Calibri" w:cstheme="minorHAnsi"/>
                <w:sz w:val="20"/>
                <w:szCs w:val="20"/>
                <w:lang w:val="en-US"/>
              </w:rPr>
              <w:t>ust</w:t>
            </w:r>
            <w:proofErr w:type="spellEnd"/>
            <w:r w:rsidRPr="0038322F">
              <w:rPr>
                <w:rFonts w:eastAsia="Calibri" w:cstheme="minorHAnsi"/>
                <w:sz w:val="20"/>
                <w:szCs w:val="20"/>
                <w:lang w:val="en-US"/>
              </w:rPr>
              <w:t xml:space="preserve"> 3dk pkt 2)</w:t>
            </w:r>
          </w:p>
        </w:tc>
        <w:tc>
          <w:tcPr>
            <w:tcW w:w="5670" w:type="dxa"/>
            <w:shd w:val="clear" w:color="auto" w:fill="FFFFFF" w:themeFill="background1"/>
          </w:tcPr>
          <w:p w14:paraId="020FB890" w14:textId="636FD09C" w:rsidR="007C5FB6" w:rsidRPr="0038322F" w:rsidRDefault="007A060F" w:rsidP="007C5FB6">
            <w:pPr>
              <w:jc w:val="both"/>
              <w:rPr>
                <w:rFonts w:cstheme="minorHAnsi"/>
                <w:sz w:val="20"/>
                <w:szCs w:val="20"/>
              </w:rPr>
            </w:pPr>
            <w:r w:rsidRPr="0038322F">
              <w:rPr>
                <w:rFonts w:eastAsia="Calibri" w:cstheme="minorHAnsi"/>
                <w:sz w:val="20"/>
                <w:szCs w:val="20"/>
              </w:rPr>
              <w:t xml:space="preserve">Uzasadnienie analogiczne jak dla uwagi nr </w:t>
            </w:r>
            <w:r w:rsidR="00AB67FB">
              <w:rPr>
                <w:rFonts w:eastAsia="Calibri" w:cstheme="minorHAnsi"/>
                <w:sz w:val="20"/>
                <w:szCs w:val="20"/>
              </w:rPr>
              <w:t>9</w:t>
            </w:r>
            <w:r w:rsidRPr="0038322F">
              <w:rPr>
                <w:rFonts w:eastAsia="Calibri" w:cstheme="minorHAnsi"/>
                <w:sz w:val="20"/>
                <w:szCs w:val="20"/>
              </w:rPr>
              <w:t>.</w:t>
            </w:r>
          </w:p>
        </w:tc>
        <w:tc>
          <w:tcPr>
            <w:tcW w:w="4394" w:type="dxa"/>
            <w:shd w:val="clear" w:color="auto" w:fill="FFFFFF" w:themeFill="background1"/>
          </w:tcPr>
          <w:p w14:paraId="36D21366" w14:textId="77777777" w:rsidR="007C5FB6" w:rsidRPr="0038322F" w:rsidRDefault="007C5FB6" w:rsidP="007C5FB6">
            <w:pPr>
              <w:ind w:left="40"/>
              <w:jc w:val="both"/>
              <w:rPr>
                <w:rFonts w:cstheme="minorHAnsi"/>
                <w:sz w:val="20"/>
                <w:szCs w:val="20"/>
              </w:rPr>
            </w:pPr>
            <w:r w:rsidRPr="0038322F">
              <w:rPr>
                <w:rFonts w:eastAsia="Calibri" w:cstheme="minorHAnsi"/>
                <w:sz w:val="20"/>
                <w:szCs w:val="20"/>
              </w:rPr>
              <w:t>Ust. 3dk pkt 2 otrzymuje brzmienie:</w:t>
            </w:r>
          </w:p>
          <w:p w14:paraId="3028124D" w14:textId="343F0061" w:rsidR="007C5FB6" w:rsidRPr="0038322F" w:rsidRDefault="007C5FB6" w:rsidP="007C5FB6">
            <w:pPr>
              <w:jc w:val="both"/>
              <w:rPr>
                <w:rFonts w:cstheme="minorHAnsi"/>
                <w:sz w:val="20"/>
                <w:szCs w:val="20"/>
              </w:rPr>
            </w:pPr>
            <w:r w:rsidRPr="0038322F">
              <w:rPr>
                <w:rFonts w:eastAsia="Calibri" w:cstheme="minorHAnsi"/>
                <w:sz w:val="20"/>
                <w:szCs w:val="20"/>
              </w:rPr>
              <w:t xml:space="preserve">„zmiany parametrów technicznych instalacji, </w:t>
            </w:r>
            <w:r w:rsidRPr="0038322F">
              <w:rPr>
                <w:rFonts w:eastAsia="Calibri" w:cstheme="minorHAnsi"/>
                <w:strike/>
                <w:sz w:val="20"/>
                <w:szCs w:val="20"/>
              </w:rPr>
              <w:t>urządzeń lub sieci,</w:t>
            </w:r>
            <w:r w:rsidRPr="0038322F">
              <w:rPr>
                <w:rFonts w:eastAsia="Calibri" w:cstheme="minorHAnsi"/>
                <w:sz w:val="20"/>
                <w:szCs w:val="20"/>
              </w:rPr>
              <w:t xml:space="preserve">  o  których mowa w ust. 1f, w tym zwiększenia mocy zainstalowanej elektrycznej.”,</w:t>
            </w:r>
          </w:p>
        </w:tc>
        <w:tc>
          <w:tcPr>
            <w:tcW w:w="1286" w:type="dxa"/>
            <w:shd w:val="clear" w:color="auto" w:fill="FFFFFF" w:themeFill="background1"/>
          </w:tcPr>
          <w:p w14:paraId="0C52F157" w14:textId="77777777" w:rsidR="007C5FB6" w:rsidRPr="0038322F" w:rsidRDefault="007C5FB6" w:rsidP="007C5FB6">
            <w:pPr>
              <w:jc w:val="both"/>
              <w:rPr>
                <w:rFonts w:cstheme="minorHAnsi"/>
                <w:sz w:val="20"/>
                <w:szCs w:val="20"/>
              </w:rPr>
            </w:pPr>
          </w:p>
        </w:tc>
      </w:tr>
      <w:tr w:rsidR="007C5FB6" w:rsidRPr="0038322F" w14:paraId="119C18F8" w14:textId="77777777" w:rsidTr="00862BFF">
        <w:tc>
          <w:tcPr>
            <w:tcW w:w="846" w:type="dxa"/>
            <w:shd w:val="clear" w:color="auto" w:fill="FFFFFF" w:themeFill="background1"/>
          </w:tcPr>
          <w:p w14:paraId="02C31893" w14:textId="77777777" w:rsidR="007C5FB6" w:rsidRPr="0038322F" w:rsidRDefault="007C5FB6" w:rsidP="00B74CC0">
            <w:pPr>
              <w:pStyle w:val="Akapitzlist"/>
              <w:numPr>
                <w:ilvl w:val="0"/>
                <w:numId w:val="15"/>
              </w:numPr>
              <w:ind w:left="313"/>
              <w:jc w:val="center"/>
              <w:rPr>
                <w:rFonts w:cstheme="minorHAnsi"/>
                <w:sz w:val="20"/>
                <w:szCs w:val="20"/>
              </w:rPr>
            </w:pPr>
          </w:p>
        </w:tc>
        <w:tc>
          <w:tcPr>
            <w:tcW w:w="1843" w:type="dxa"/>
            <w:shd w:val="clear" w:color="auto" w:fill="FFFFFF" w:themeFill="background1"/>
          </w:tcPr>
          <w:p w14:paraId="11926312" w14:textId="6FFE5849" w:rsidR="007C5FB6" w:rsidRPr="0038322F" w:rsidRDefault="007C5FB6" w:rsidP="007C5FB6">
            <w:pPr>
              <w:jc w:val="center"/>
              <w:rPr>
                <w:rFonts w:cstheme="minorHAnsi"/>
                <w:sz w:val="20"/>
                <w:szCs w:val="20"/>
                <w:lang w:val="en-GB"/>
              </w:rPr>
            </w:pPr>
            <w:r w:rsidRPr="0038322F">
              <w:rPr>
                <w:rFonts w:eastAsia="Calibri" w:cstheme="minorHAnsi"/>
                <w:sz w:val="20"/>
                <w:szCs w:val="20"/>
                <w:lang w:val="en-US"/>
              </w:rPr>
              <w:t xml:space="preserve">Art. 1 pkt. 8 lit. s (dot. </w:t>
            </w:r>
            <w:proofErr w:type="spellStart"/>
            <w:r w:rsidRPr="0038322F">
              <w:rPr>
                <w:rFonts w:eastAsia="Calibri" w:cstheme="minorHAnsi"/>
                <w:sz w:val="20"/>
                <w:szCs w:val="20"/>
                <w:lang w:val="en-US"/>
              </w:rPr>
              <w:t>uPE</w:t>
            </w:r>
            <w:proofErr w:type="spellEnd"/>
            <w:r w:rsidRPr="0038322F">
              <w:rPr>
                <w:rFonts w:eastAsia="Calibri" w:cstheme="minorHAnsi"/>
                <w:sz w:val="20"/>
                <w:szCs w:val="20"/>
                <w:lang w:val="en-US"/>
              </w:rPr>
              <w:t xml:space="preserve"> Art.7 </w:t>
            </w:r>
            <w:proofErr w:type="spellStart"/>
            <w:r w:rsidRPr="0038322F">
              <w:rPr>
                <w:rFonts w:eastAsia="Calibri" w:cstheme="minorHAnsi"/>
                <w:sz w:val="20"/>
                <w:szCs w:val="20"/>
                <w:lang w:val="en-US"/>
              </w:rPr>
              <w:t>ust</w:t>
            </w:r>
            <w:proofErr w:type="spellEnd"/>
            <w:r w:rsidRPr="0038322F">
              <w:rPr>
                <w:rFonts w:eastAsia="Calibri" w:cstheme="minorHAnsi"/>
                <w:sz w:val="20"/>
                <w:szCs w:val="20"/>
                <w:lang w:val="en-US"/>
              </w:rPr>
              <w:t>. 8a)</w:t>
            </w:r>
          </w:p>
        </w:tc>
        <w:tc>
          <w:tcPr>
            <w:tcW w:w="5670" w:type="dxa"/>
            <w:shd w:val="clear" w:color="auto" w:fill="FFFFFF" w:themeFill="background1"/>
          </w:tcPr>
          <w:p w14:paraId="5C068B78" w14:textId="01E39A17" w:rsidR="007C5FB6" w:rsidRPr="0038322F" w:rsidRDefault="007A060F" w:rsidP="007C5FB6">
            <w:pPr>
              <w:jc w:val="both"/>
              <w:rPr>
                <w:rFonts w:cstheme="minorHAnsi"/>
                <w:sz w:val="20"/>
                <w:szCs w:val="20"/>
              </w:rPr>
            </w:pPr>
            <w:r w:rsidRPr="0038322F">
              <w:rPr>
                <w:rFonts w:eastAsia="Calibri" w:cstheme="minorHAnsi"/>
                <w:sz w:val="20"/>
                <w:szCs w:val="20"/>
              </w:rPr>
              <w:t>Re</w:t>
            </w:r>
            <w:r w:rsidR="007C5FB6" w:rsidRPr="0038322F">
              <w:rPr>
                <w:rFonts w:eastAsia="Calibri" w:cstheme="minorHAnsi"/>
                <w:sz w:val="20"/>
                <w:szCs w:val="20"/>
              </w:rPr>
              <w:t>strykcje w postaci zaliczki, opłaty</w:t>
            </w:r>
            <w:r w:rsidRPr="0038322F">
              <w:rPr>
                <w:rFonts w:eastAsia="Calibri" w:cstheme="minorHAnsi"/>
                <w:sz w:val="20"/>
                <w:szCs w:val="20"/>
              </w:rPr>
              <w:t xml:space="preserve"> za wniosek</w:t>
            </w:r>
            <w:r w:rsidR="007C5FB6" w:rsidRPr="0038322F">
              <w:rPr>
                <w:rFonts w:eastAsia="Calibri" w:cstheme="minorHAnsi"/>
                <w:sz w:val="20"/>
                <w:szCs w:val="20"/>
              </w:rPr>
              <w:t xml:space="preserve"> oraz zabezpieczenia powinny dotyczyć wszystkich podmiotów wnioskujących o przyłączenie do sieci pow. 1 </w:t>
            </w:r>
            <w:proofErr w:type="spellStart"/>
            <w:r w:rsidR="007C5FB6" w:rsidRPr="0038322F">
              <w:rPr>
                <w:rFonts w:eastAsia="Calibri" w:cstheme="minorHAnsi"/>
                <w:sz w:val="20"/>
                <w:szCs w:val="20"/>
              </w:rPr>
              <w:t>kV</w:t>
            </w:r>
            <w:proofErr w:type="spellEnd"/>
            <w:r w:rsidR="007C5FB6" w:rsidRPr="0038322F">
              <w:rPr>
                <w:rFonts w:eastAsia="Calibri" w:cstheme="minorHAnsi"/>
                <w:sz w:val="20"/>
                <w:szCs w:val="20"/>
              </w:rPr>
              <w:t>.</w:t>
            </w:r>
          </w:p>
          <w:p w14:paraId="73EC168D" w14:textId="27E0CE05" w:rsidR="00B62718" w:rsidRPr="0038322F" w:rsidRDefault="00B62718" w:rsidP="007C5FB6">
            <w:pPr>
              <w:jc w:val="both"/>
              <w:rPr>
                <w:rFonts w:eastAsia="Calibri" w:cstheme="minorHAnsi"/>
                <w:sz w:val="20"/>
                <w:szCs w:val="20"/>
              </w:rPr>
            </w:pPr>
            <w:r w:rsidRPr="0038322F">
              <w:rPr>
                <w:rFonts w:eastAsia="Calibri" w:cstheme="minorHAnsi"/>
                <w:sz w:val="20"/>
                <w:szCs w:val="20"/>
              </w:rPr>
              <w:t xml:space="preserve">Uzasadnienie analogiczne jak dla uwagi nr </w:t>
            </w:r>
            <w:r w:rsidR="00AB67FB">
              <w:rPr>
                <w:rFonts w:eastAsia="Calibri" w:cstheme="minorHAnsi"/>
                <w:sz w:val="20"/>
                <w:szCs w:val="20"/>
              </w:rPr>
              <w:t>9</w:t>
            </w:r>
            <w:r w:rsidRPr="0038322F">
              <w:rPr>
                <w:rFonts w:eastAsia="Calibri" w:cstheme="minorHAnsi"/>
                <w:sz w:val="20"/>
                <w:szCs w:val="20"/>
              </w:rPr>
              <w:t>.</w:t>
            </w:r>
          </w:p>
          <w:p w14:paraId="37EF6EB3" w14:textId="05C57877" w:rsidR="007C5FB6" w:rsidRPr="0038322F" w:rsidRDefault="007C5FB6" w:rsidP="007C5FB6">
            <w:pPr>
              <w:jc w:val="both"/>
              <w:rPr>
                <w:rFonts w:cstheme="minorHAnsi"/>
                <w:sz w:val="20"/>
                <w:szCs w:val="20"/>
              </w:rPr>
            </w:pPr>
            <w:r w:rsidRPr="0038322F">
              <w:rPr>
                <w:rFonts w:eastAsia="Calibri" w:cstheme="minorHAnsi"/>
                <w:sz w:val="20"/>
                <w:szCs w:val="20"/>
              </w:rPr>
              <w:t>Dodatkowo wskazujemy, że wymaga wyjaśnienia, dlaczego dla zaliczek zdefiniowano obiekty przyłączane „…instalacji, urządzeń lub sieci…” a nie zrobiono tego (naszym zdaniem słusznie) dla opłaty oraz zabezpieczenia.</w:t>
            </w:r>
          </w:p>
        </w:tc>
        <w:tc>
          <w:tcPr>
            <w:tcW w:w="4394" w:type="dxa"/>
            <w:shd w:val="clear" w:color="auto" w:fill="FFFFFF" w:themeFill="background1"/>
          </w:tcPr>
          <w:p w14:paraId="0724A4B4" w14:textId="77777777" w:rsidR="007C5FB6" w:rsidRPr="0038322F" w:rsidRDefault="007C5FB6" w:rsidP="007C5FB6">
            <w:pPr>
              <w:jc w:val="both"/>
              <w:rPr>
                <w:rFonts w:eastAsia="Calibri" w:cstheme="minorHAnsi"/>
                <w:sz w:val="20"/>
                <w:szCs w:val="20"/>
              </w:rPr>
            </w:pPr>
            <w:r w:rsidRPr="0038322F">
              <w:rPr>
                <w:rFonts w:eastAsia="Calibri" w:cstheme="minorHAnsi"/>
                <w:sz w:val="20"/>
                <w:szCs w:val="20"/>
              </w:rPr>
              <w:t>Ust. 8a otrzymuje brzmienie:</w:t>
            </w:r>
          </w:p>
          <w:p w14:paraId="7776AC9B" w14:textId="4D1F6E53" w:rsidR="007C5FB6" w:rsidRPr="0038322F" w:rsidRDefault="007C5FB6" w:rsidP="007C5FB6">
            <w:pPr>
              <w:jc w:val="both"/>
              <w:rPr>
                <w:rFonts w:cstheme="minorHAnsi"/>
                <w:sz w:val="20"/>
                <w:szCs w:val="20"/>
              </w:rPr>
            </w:pPr>
            <w:r w:rsidRPr="0038322F">
              <w:rPr>
                <w:rFonts w:eastAsia="Calibri" w:cstheme="minorHAnsi"/>
                <w:i/>
                <w:iCs/>
                <w:sz w:val="20"/>
                <w:szCs w:val="20"/>
              </w:rPr>
              <w:t xml:space="preserve">„Podmiot ubiegający się o przyłączenie </w:t>
            </w:r>
            <w:r w:rsidRPr="0038322F">
              <w:rPr>
                <w:rFonts w:eastAsia="Calibri" w:cstheme="minorHAnsi"/>
                <w:i/>
                <w:iCs/>
                <w:strike/>
                <w:sz w:val="20"/>
                <w:szCs w:val="20"/>
              </w:rPr>
              <w:t xml:space="preserve">instalacji, urządzeń lub sieci  </w:t>
            </w:r>
            <w:r w:rsidRPr="0038322F">
              <w:rPr>
                <w:rFonts w:eastAsia="Calibri" w:cstheme="minorHAnsi"/>
                <w:i/>
                <w:iCs/>
                <w:sz w:val="20"/>
                <w:szCs w:val="20"/>
              </w:rPr>
              <w:t xml:space="preserve">do sieci elektroenergetycznej o napięciu znamionowym wyższym niż 1 </w:t>
            </w:r>
            <w:proofErr w:type="spellStart"/>
            <w:r w:rsidRPr="0038322F">
              <w:rPr>
                <w:rFonts w:eastAsia="Calibri" w:cstheme="minorHAnsi"/>
                <w:i/>
                <w:iCs/>
                <w:sz w:val="20"/>
                <w:szCs w:val="20"/>
              </w:rPr>
              <w:t>kV</w:t>
            </w:r>
            <w:proofErr w:type="spellEnd"/>
            <w:r w:rsidRPr="0038322F">
              <w:rPr>
                <w:rFonts w:eastAsia="Calibri" w:cstheme="minorHAnsi"/>
                <w:i/>
                <w:iCs/>
                <w:sz w:val="20"/>
                <w:szCs w:val="20"/>
              </w:rPr>
              <w:t xml:space="preserve"> wnosi zaliczkę na poczet opłaty za przyłączenie do sieci, zwaną dalej „zaliczką”</w:t>
            </w:r>
          </w:p>
        </w:tc>
        <w:tc>
          <w:tcPr>
            <w:tcW w:w="1286" w:type="dxa"/>
            <w:shd w:val="clear" w:color="auto" w:fill="FFFFFF" w:themeFill="background1"/>
          </w:tcPr>
          <w:p w14:paraId="1EC89F83" w14:textId="77777777" w:rsidR="007C5FB6" w:rsidRPr="0038322F" w:rsidRDefault="007C5FB6" w:rsidP="007C5FB6">
            <w:pPr>
              <w:jc w:val="both"/>
              <w:rPr>
                <w:rFonts w:cstheme="minorHAnsi"/>
                <w:sz w:val="20"/>
                <w:szCs w:val="20"/>
              </w:rPr>
            </w:pPr>
          </w:p>
        </w:tc>
      </w:tr>
      <w:tr w:rsidR="00DC1066" w:rsidRPr="0038322F" w14:paraId="70C2836F" w14:textId="77777777" w:rsidTr="00862BFF">
        <w:tc>
          <w:tcPr>
            <w:tcW w:w="846" w:type="dxa"/>
            <w:shd w:val="clear" w:color="auto" w:fill="FFFFFF" w:themeFill="background1"/>
          </w:tcPr>
          <w:p w14:paraId="707407BE" w14:textId="77777777" w:rsidR="00DC1066" w:rsidRPr="0038322F" w:rsidRDefault="00DC1066" w:rsidP="00DC1066">
            <w:pPr>
              <w:pStyle w:val="Akapitzlist"/>
              <w:numPr>
                <w:ilvl w:val="0"/>
                <w:numId w:val="15"/>
              </w:numPr>
              <w:ind w:left="313"/>
              <w:jc w:val="center"/>
              <w:rPr>
                <w:rFonts w:cstheme="minorHAnsi"/>
                <w:sz w:val="20"/>
                <w:szCs w:val="20"/>
              </w:rPr>
            </w:pPr>
          </w:p>
        </w:tc>
        <w:tc>
          <w:tcPr>
            <w:tcW w:w="1843" w:type="dxa"/>
            <w:shd w:val="clear" w:color="auto" w:fill="FFFFFF" w:themeFill="background1"/>
          </w:tcPr>
          <w:p w14:paraId="2E59EC1A" w14:textId="5992837F" w:rsidR="00DC1066" w:rsidRPr="0038322F" w:rsidRDefault="00DC1066" w:rsidP="00DC1066">
            <w:pPr>
              <w:jc w:val="center"/>
              <w:rPr>
                <w:rFonts w:eastAsia="Calibri" w:cstheme="minorHAnsi"/>
                <w:sz w:val="20"/>
                <w:szCs w:val="20"/>
                <w:lang w:val="en-US"/>
              </w:rPr>
            </w:pPr>
            <w:r w:rsidRPr="0038322F">
              <w:rPr>
                <w:rFonts w:eastAsia="Calibri" w:cstheme="minorHAnsi"/>
                <w:sz w:val="20"/>
                <w:szCs w:val="20"/>
                <w:lang w:val="pl"/>
              </w:rPr>
              <w:t>Art. 1 pkt 8 lit. u</w:t>
            </w:r>
          </w:p>
        </w:tc>
        <w:tc>
          <w:tcPr>
            <w:tcW w:w="5670" w:type="dxa"/>
            <w:shd w:val="clear" w:color="auto" w:fill="FFFFFF" w:themeFill="background1"/>
          </w:tcPr>
          <w:p w14:paraId="64CB73CE" w14:textId="77777777" w:rsidR="00DC1066" w:rsidRPr="0038322F" w:rsidRDefault="00DC1066" w:rsidP="00DC1066">
            <w:pPr>
              <w:jc w:val="both"/>
              <w:rPr>
                <w:rFonts w:eastAsia="Lato" w:cstheme="minorHAnsi"/>
                <w:sz w:val="20"/>
                <w:szCs w:val="20"/>
              </w:rPr>
            </w:pPr>
            <w:r w:rsidRPr="0038322F">
              <w:rPr>
                <w:rFonts w:eastAsia="Lato" w:cstheme="minorHAnsi"/>
                <w:sz w:val="20"/>
                <w:szCs w:val="20"/>
              </w:rPr>
              <w:t>Przychylamy się do propozycji wprowadzenia opłaty za wniosek dostrzegając potencjalny wpływ tego rozwiązania</w:t>
            </w:r>
            <w:r w:rsidRPr="0038322F">
              <w:rPr>
                <w:rFonts w:cstheme="minorHAnsi"/>
                <w:sz w:val="20"/>
                <w:szCs w:val="20"/>
              </w:rPr>
              <w:t xml:space="preserve"> </w:t>
            </w:r>
            <w:r w:rsidRPr="0038322F">
              <w:rPr>
                <w:rFonts w:eastAsia="Lato" w:cstheme="minorHAnsi"/>
                <w:sz w:val="20"/>
                <w:szCs w:val="20"/>
              </w:rPr>
              <w:t>na poprawę sprawności rozpatrywania wniosków, niemniej jednak wprowadzenie tego mechanizmu powinno nastąpić w następstwie   zagwarantowania zwiększenia transparentności w obszarze przyłączeń do sieci oraz przestrzegania wskazanych przez obowiązujące przepisy terminów skierowanych do OSE w ramach procesu przyłączeniowego.</w:t>
            </w:r>
          </w:p>
          <w:p w14:paraId="6C26896A" w14:textId="77777777" w:rsidR="00DC1066" w:rsidRPr="0038322F" w:rsidRDefault="00DC1066" w:rsidP="00DC1066">
            <w:pPr>
              <w:jc w:val="both"/>
              <w:rPr>
                <w:rFonts w:eastAsia="Lato" w:cstheme="minorHAnsi"/>
                <w:sz w:val="20"/>
                <w:szCs w:val="20"/>
              </w:rPr>
            </w:pPr>
          </w:p>
          <w:p w14:paraId="1D7290B6" w14:textId="77777777" w:rsidR="00DC1066" w:rsidRPr="0038322F" w:rsidRDefault="00DC1066" w:rsidP="00DC1066">
            <w:pPr>
              <w:jc w:val="both"/>
              <w:rPr>
                <w:rFonts w:eastAsia="Lato" w:cstheme="minorHAnsi"/>
                <w:sz w:val="20"/>
                <w:szCs w:val="20"/>
              </w:rPr>
            </w:pPr>
            <w:r w:rsidRPr="0038322F">
              <w:rPr>
                <w:rFonts w:eastAsia="Lato" w:cstheme="minorHAnsi"/>
                <w:sz w:val="20"/>
                <w:szCs w:val="20"/>
              </w:rPr>
              <w:t xml:space="preserve">W kontekście proponowanego wprowadzenia bezzwrotnej opłaty za rozpatrzenie wniosku o wydanie warunków przyłączenia konieczna jest logiczna sekwencja zdarzeń warunkująca zasadność dodatkowego obciążenia uczestników rynku. Najpierw powinna wzrosnąć transparentność i jakość procesu rozpatrywania wniosków i alokacji mocy przyłączeniowych, co w świetle proponowanych zmian nie jest zapewnione, a planowane udostępnienie systemów informatycznych ma trwać 24 miesiące. </w:t>
            </w:r>
          </w:p>
          <w:p w14:paraId="4F264A7E" w14:textId="77777777" w:rsidR="00DC1066" w:rsidRPr="0038322F" w:rsidRDefault="00DC1066" w:rsidP="00DC1066">
            <w:pPr>
              <w:jc w:val="both"/>
              <w:rPr>
                <w:rFonts w:eastAsia="Lato" w:cstheme="minorHAnsi"/>
                <w:sz w:val="20"/>
                <w:szCs w:val="20"/>
              </w:rPr>
            </w:pPr>
          </w:p>
          <w:p w14:paraId="0B049C58" w14:textId="77777777" w:rsidR="00DC1066" w:rsidRPr="0038322F" w:rsidRDefault="00DC1066" w:rsidP="00DC1066">
            <w:pPr>
              <w:jc w:val="both"/>
              <w:rPr>
                <w:rFonts w:eastAsia="Lato" w:cstheme="minorHAnsi"/>
                <w:sz w:val="20"/>
                <w:szCs w:val="20"/>
              </w:rPr>
            </w:pPr>
            <w:r w:rsidRPr="0038322F">
              <w:rPr>
                <w:rFonts w:eastAsia="Lato" w:cstheme="minorHAnsi"/>
                <w:sz w:val="20"/>
                <w:szCs w:val="20"/>
              </w:rPr>
              <w:t>W związku z powyższym postulujemy wprowadzenia wydłużonego terminu wejścia w życie przedmiotowej regulacji, aby w pierwszej kolejności zapewnić uczestnikom rynku większą przejrzystość w dostępie do sieci.</w:t>
            </w:r>
          </w:p>
          <w:p w14:paraId="4AEE83E8" w14:textId="77777777" w:rsidR="00DC1066" w:rsidRPr="0038322F" w:rsidRDefault="00DC1066" w:rsidP="00DC1066">
            <w:pPr>
              <w:jc w:val="both"/>
              <w:rPr>
                <w:rFonts w:eastAsia="Lato" w:cstheme="minorHAnsi"/>
                <w:sz w:val="20"/>
                <w:szCs w:val="20"/>
              </w:rPr>
            </w:pPr>
          </w:p>
          <w:p w14:paraId="3B472E01" w14:textId="77777777" w:rsidR="00DC1066" w:rsidRPr="0038322F" w:rsidRDefault="00DC1066" w:rsidP="00DC1066">
            <w:pPr>
              <w:jc w:val="both"/>
              <w:rPr>
                <w:rFonts w:eastAsia="Lato" w:cstheme="minorHAnsi"/>
                <w:sz w:val="20"/>
                <w:szCs w:val="20"/>
              </w:rPr>
            </w:pPr>
            <w:r w:rsidRPr="0038322F">
              <w:rPr>
                <w:rFonts w:eastAsia="Lato" w:cstheme="minorHAnsi"/>
                <w:sz w:val="20"/>
                <w:szCs w:val="20"/>
              </w:rPr>
              <w:t xml:space="preserve">Ponadto, pobieranie opłaty powinno być wprowadzone pod warunkiem wyegzekwowania od OSE terminowości rozpatrywania wniosków oraz z zastrzeżeniem, że podlega ona zwrotowi w przypadku, gdy termin rozpatrzenia wniosku nie będzie dotrzymany. </w:t>
            </w:r>
          </w:p>
          <w:p w14:paraId="34BCA438" w14:textId="77777777" w:rsidR="00DC1066" w:rsidRPr="0038322F" w:rsidRDefault="00DC1066" w:rsidP="00DC1066">
            <w:pPr>
              <w:jc w:val="both"/>
              <w:rPr>
                <w:rFonts w:cstheme="minorHAnsi"/>
                <w:sz w:val="20"/>
                <w:szCs w:val="20"/>
              </w:rPr>
            </w:pPr>
          </w:p>
          <w:p w14:paraId="43F4D99A" w14:textId="77777777" w:rsidR="00DC1066" w:rsidRPr="0038322F" w:rsidRDefault="00DC1066" w:rsidP="00DC1066">
            <w:pPr>
              <w:jc w:val="both"/>
              <w:rPr>
                <w:rFonts w:eastAsia="Calibri" w:cstheme="minorHAnsi"/>
                <w:sz w:val="20"/>
                <w:szCs w:val="20"/>
                <w:lang w:val="pl"/>
              </w:rPr>
            </w:pPr>
            <w:r w:rsidRPr="0038322F">
              <w:rPr>
                <w:rFonts w:eastAsia="Lato" w:cstheme="minorHAnsi"/>
                <w:sz w:val="20"/>
                <w:szCs w:val="20"/>
              </w:rPr>
              <w:t xml:space="preserve">Opłata powinna dotyczyć jedynie przypadków, w których zachodzi konieczność wykonania ekspertyzy, co powinno zostać wyraźnie wskazane w projektowanym przepisie. Wysokość opłaty powinna być na poziomie adekwatnym do poniesionych kosztów wykonania ekspertyzy. </w:t>
            </w:r>
          </w:p>
          <w:p w14:paraId="234CB9F2" w14:textId="77777777" w:rsidR="00DC1066" w:rsidRPr="0038322F" w:rsidRDefault="00DC1066" w:rsidP="00DC1066">
            <w:pPr>
              <w:jc w:val="both"/>
              <w:rPr>
                <w:rFonts w:eastAsia="Calibri" w:cstheme="minorHAnsi"/>
                <w:sz w:val="20"/>
                <w:szCs w:val="20"/>
                <w:lang w:val="pl"/>
              </w:rPr>
            </w:pPr>
          </w:p>
          <w:p w14:paraId="4AC36076" w14:textId="42BAE66D" w:rsidR="00DC1066" w:rsidRPr="0038322F" w:rsidRDefault="00DC1066" w:rsidP="00DC1066">
            <w:pPr>
              <w:jc w:val="both"/>
              <w:rPr>
                <w:rFonts w:cstheme="minorHAnsi"/>
                <w:sz w:val="20"/>
                <w:szCs w:val="20"/>
              </w:rPr>
            </w:pPr>
            <w:r w:rsidRPr="0038322F">
              <w:rPr>
                <w:rFonts w:eastAsia="Calibri" w:cstheme="minorHAnsi"/>
                <w:sz w:val="20"/>
                <w:szCs w:val="20"/>
                <w:lang w:val="pl"/>
              </w:rPr>
              <w:t>Proponujemy więc rozwiązanie, które jest adekwatne i odzwierciedla rzeczywiste nakłady po stronie operatora.</w:t>
            </w:r>
          </w:p>
        </w:tc>
        <w:tc>
          <w:tcPr>
            <w:tcW w:w="4394" w:type="dxa"/>
            <w:shd w:val="clear" w:color="auto" w:fill="FFFFFF" w:themeFill="background1"/>
          </w:tcPr>
          <w:p w14:paraId="71581999" w14:textId="77777777" w:rsidR="00DC1066" w:rsidRPr="0038322F" w:rsidRDefault="00DC1066" w:rsidP="00DC1066">
            <w:pPr>
              <w:jc w:val="both"/>
              <w:rPr>
                <w:rFonts w:cstheme="minorHAnsi"/>
                <w:b/>
                <w:bCs/>
                <w:sz w:val="20"/>
                <w:szCs w:val="20"/>
              </w:rPr>
            </w:pPr>
            <w:r w:rsidRPr="0038322F">
              <w:rPr>
                <w:rFonts w:eastAsia="Calibri" w:cstheme="minorHAnsi"/>
                <w:sz w:val="20"/>
                <w:szCs w:val="20"/>
                <w:lang w:val="pl"/>
              </w:rPr>
              <w:t>„8b</w:t>
            </w:r>
            <w:r w:rsidRPr="0038322F">
              <w:rPr>
                <w:rFonts w:eastAsia="Calibri" w:cstheme="minorHAnsi"/>
                <w:sz w:val="20"/>
                <w:szCs w:val="20"/>
                <w:vertAlign w:val="superscript"/>
                <w:lang w:val="pl"/>
              </w:rPr>
              <w:t>1</w:t>
            </w:r>
            <w:r w:rsidRPr="0038322F">
              <w:rPr>
                <w:rFonts w:eastAsia="Calibri" w:cstheme="minorHAnsi"/>
                <w:sz w:val="20"/>
                <w:szCs w:val="20"/>
                <w:lang w:val="pl"/>
              </w:rPr>
              <w:t xml:space="preserve">. Podmiot ubiegający  się o przyłączenie do sieci elektroenergetycznej o napięciu znamionowym wyższym niż 1 </w:t>
            </w:r>
            <w:proofErr w:type="spellStart"/>
            <w:r w:rsidRPr="0038322F">
              <w:rPr>
                <w:rFonts w:eastAsia="Calibri" w:cstheme="minorHAnsi"/>
                <w:sz w:val="20"/>
                <w:szCs w:val="20"/>
                <w:lang w:val="pl"/>
              </w:rPr>
              <w:t>kV</w:t>
            </w:r>
            <w:proofErr w:type="spellEnd"/>
            <w:r w:rsidRPr="0038322F">
              <w:rPr>
                <w:rFonts w:eastAsia="Calibri" w:cstheme="minorHAnsi"/>
                <w:sz w:val="20"/>
                <w:szCs w:val="20"/>
                <w:lang w:val="pl"/>
              </w:rPr>
              <w:t xml:space="preserve">, wnosi opłatę za złożenie wniosku o określenie warunków przyłączenia, zwaną dalej „opłatą za wniosek”, </w:t>
            </w:r>
            <w:r w:rsidRPr="0038322F">
              <w:rPr>
                <w:rFonts w:eastAsia="Calibri" w:cstheme="minorHAnsi"/>
                <w:b/>
                <w:bCs/>
                <w:sz w:val="20"/>
                <w:szCs w:val="20"/>
                <w:lang w:val="pl"/>
              </w:rPr>
              <w:t>składa się z dwóch części:</w:t>
            </w:r>
          </w:p>
          <w:p w14:paraId="5BDAEE41" w14:textId="77777777" w:rsidR="00DC1066" w:rsidRPr="0038322F" w:rsidRDefault="00DC1066" w:rsidP="00DC1066">
            <w:pPr>
              <w:jc w:val="both"/>
              <w:rPr>
                <w:rFonts w:cstheme="minorHAnsi"/>
                <w:b/>
                <w:bCs/>
                <w:sz w:val="20"/>
                <w:szCs w:val="20"/>
              </w:rPr>
            </w:pPr>
            <w:r w:rsidRPr="0038322F">
              <w:rPr>
                <w:rFonts w:eastAsia="Calibri" w:cstheme="minorHAnsi"/>
                <w:b/>
                <w:bCs/>
                <w:sz w:val="20"/>
                <w:szCs w:val="20"/>
                <w:lang w:val="pl"/>
              </w:rPr>
              <w:t>1) administracyjnej, wnoszonej na etapie składania wniosku, która wynosi:</w:t>
            </w:r>
          </w:p>
          <w:p w14:paraId="78F30E33" w14:textId="77777777" w:rsidR="00DC1066" w:rsidRPr="0038322F" w:rsidRDefault="00DC1066" w:rsidP="00DC1066">
            <w:pPr>
              <w:jc w:val="both"/>
              <w:rPr>
                <w:rFonts w:cstheme="minorHAnsi"/>
                <w:b/>
                <w:bCs/>
                <w:sz w:val="20"/>
                <w:szCs w:val="20"/>
              </w:rPr>
            </w:pPr>
            <w:r w:rsidRPr="0038322F">
              <w:rPr>
                <w:rFonts w:eastAsia="Calibri" w:cstheme="minorHAnsi"/>
                <w:b/>
                <w:bCs/>
                <w:sz w:val="20"/>
                <w:szCs w:val="20"/>
                <w:lang w:val="pl"/>
              </w:rPr>
              <w:t>- 5 000 złotych – dla instalacji o mocy przyłączeniowej niższej niż 2MW,</w:t>
            </w:r>
          </w:p>
          <w:p w14:paraId="1F74AB86" w14:textId="77777777" w:rsidR="00DC1066" w:rsidRPr="0038322F" w:rsidRDefault="00DC1066" w:rsidP="00DC1066">
            <w:pPr>
              <w:jc w:val="both"/>
              <w:rPr>
                <w:rFonts w:cstheme="minorHAnsi"/>
                <w:b/>
                <w:bCs/>
                <w:sz w:val="20"/>
                <w:szCs w:val="20"/>
              </w:rPr>
            </w:pPr>
            <w:r w:rsidRPr="0038322F">
              <w:rPr>
                <w:rFonts w:eastAsia="Calibri" w:cstheme="minorHAnsi"/>
                <w:b/>
                <w:bCs/>
                <w:sz w:val="20"/>
                <w:szCs w:val="20"/>
                <w:lang w:val="pl"/>
              </w:rPr>
              <w:t>- 10 000 złotych  - dla instalacji o mocy przyłączeniowej od 2 do 10 MW,</w:t>
            </w:r>
          </w:p>
          <w:p w14:paraId="59E4E3DB" w14:textId="77777777" w:rsidR="00DC1066" w:rsidRPr="0038322F" w:rsidRDefault="00DC1066" w:rsidP="00DC1066">
            <w:pPr>
              <w:jc w:val="both"/>
              <w:rPr>
                <w:rFonts w:cstheme="minorHAnsi"/>
                <w:b/>
                <w:bCs/>
                <w:sz w:val="20"/>
                <w:szCs w:val="20"/>
              </w:rPr>
            </w:pPr>
            <w:r w:rsidRPr="0038322F">
              <w:rPr>
                <w:rFonts w:eastAsia="Calibri" w:cstheme="minorHAnsi"/>
                <w:b/>
                <w:bCs/>
                <w:sz w:val="20"/>
                <w:szCs w:val="20"/>
                <w:lang w:val="pl"/>
              </w:rPr>
              <w:t>- 20 000  złotych  - dla instalacji o mocy przyłączeniowej wyższej niż 10 MW i niższej niż 20 MW,</w:t>
            </w:r>
          </w:p>
          <w:p w14:paraId="3D0640E5" w14:textId="77777777" w:rsidR="00DC1066" w:rsidRPr="0038322F" w:rsidRDefault="00DC1066" w:rsidP="00DC1066">
            <w:pPr>
              <w:jc w:val="both"/>
              <w:rPr>
                <w:rFonts w:cstheme="minorHAnsi"/>
                <w:b/>
                <w:bCs/>
                <w:sz w:val="20"/>
                <w:szCs w:val="20"/>
              </w:rPr>
            </w:pPr>
            <w:r w:rsidRPr="0038322F">
              <w:rPr>
                <w:rFonts w:eastAsia="Calibri" w:cstheme="minorHAnsi"/>
                <w:b/>
                <w:bCs/>
                <w:sz w:val="20"/>
                <w:szCs w:val="20"/>
                <w:lang w:val="pl"/>
              </w:rPr>
              <w:t>- 35 000  złotych  – dla instalacji o mocy przyłączeniowej równej i wyższej niż 20 MW;</w:t>
            </w:r>
          </w:p>
          <w:p w14:paraId="33F46018" w14:textId="77777777" w:rsidR="00DC1066" w:rsidRPr="0038322F" w:rsidRDefault="00DC1066" w:rsidP="00DC1066">
            <w:pPr>
              <w:jc w:val="both"/>
              <w:rPr>
                <w:rFonts w:eastAsia="Calibri" w:cstheme="minorHAnsi"/>
                <w:color w:val="4472C4" w:themeColor="accent1"/>
                <w:sz w:val="20"/>
                <w:szCs w:val="20"/>
                <w:lang w:val="pl"/>
              </w:rPr>
            </w:pPr>
            <w:r w:rsidRPr="0038322F">
              <w:rPr>
                <w:rFonts w:eastAsia="Calibri" w:cstheme="minorHAnsi"/>
                <w:b/>
                <w:bCs/>
                <w:sz w:val="20"/>
                <w:szCs w:val="20"/>
                <w:lang w:val="pl"/>
              </w:rPr>
              <w:t xml:space="preserve">2) ilościowej, wnoszonej w terminie 14 dni od dnia wydania warunków przyłączenia wyłącznie w przypadku instalacji,  której mowa w pkt 1 </w:t>
            </w:r>
            <w:proofErr w:type="spellStart"/>
            <w:r w:rsidRPr="0038322F">
              <w:rPr>
                <w:rFonts w:eastAsia="Calibri" w:cstheme="minorHAnsi"/>
                <w:b/>
                <w:bCs/>
                <w:sz w:val="20"/>
                <w:szCs w:val="20"/>
                <w:lang w:val="pl"/>
              </w:rPr>
              <w:t>tiret</w:t>
            </w:r>
            <w:proofErr w:type="spellEnd"/>
            <w:r w:rsidRPr="0038322F">
              <w:rPr>
                <w:rFonts w:eastAsia="Calibri" w:cstheme="minorHAnsi"/>
                <w:b/>
                <w:bCs/>
                <w:sz w:val="20"/>
                <w:szCs w:val="20"/>
                <w:lang w:val="pl"/>
              </w:rPr>
              <w:t xml:space="preserve"> czwarte, w wysokości</w:t>
            </w:r>
            <w:r w:rsidRPr="0038322F">
              <w:rPr>
                <w:rFonts w:eastAsia="Calibri" w:cstheme="minorHAnsi"/>
                <w:sz w:val="20"/>
                <w:szCs w:val="20"/>
                <w:lang w:val="pl"/>
              </w:rPr>
              <w:t xml:space="preserve"> 1 zł za każdy kilowat mocy przyłączeniowej przyznanej w warunkach przyłączenia, </w:t>
            </w:r>
            <w:r w:rsidRPr="0038322F">
              <w:rPr>
                <w:rFonts w:eastAsia="Calibri" w:cstheme="minorHAnsi"/>
                <w:b/>
                <w:bCs/>
                <w:sz w:val="20"/>
                <w:szCs w:val="20"/>
                <w:lang w:val="pl"/>
              </w:rPr>
              <w:t>jednak nie więcej niż 65 000</w:t>
            </w:r>
            <w:r w:rsidRPr="0038322F">
              <w:rPr>
                <w:rFonts w:eastAsia="Calibri" w:cstheme="minorHAnsi"/>
                <w:sz w:val="20"/>
                <w:szCs w:val="20"/>
                <w:lang w:val="pl"/>
              </w:rPr>
              <w:t xml:space="preserve"> </w:t>
            </w:r>
            <w:r w:rsidRPr="0038322F">
              <w:rPr>
                <w:rFonts w:eastAsia="Calibri" w:cstheme="minorHAnsi"/>
                <w:color w:val="4472C4" w:themeColor="accent1"/>
                <w:sz w:val="20"/>
                <w:szCs w:val="20"/>
                <w:lang w:val="pl"/>
              </w:rPr>
              <w:t xml:space="preserve"> </w:t>
            </w:r>
            <w:r w:rsidRPr="0038322F">
              <w:rPr>
                <w:rFonts w:eastAsia="Calibri" w:cstheme="minorHAnsi"/>
                <w:b/>
                <w:bCs/>
                <w:sz w:val="20"/>
                <w:szCs w:val="20"/>
                <w:lang w:val="pl"/>
              </w:rPr>
              <w:t>złotych</w:t>
            </w:r>
            <w:r w:rsidRPr="0038322F">
              <w:rPr>
                <w:rFonts w:eastAsia="Calibri" w:cstheme="minorHAnsi"/>
                <w:sz w:val="20"/>
                <w:szCs w:val="20"/>
                <w:lang w:val="pl"/>
              </w:rPr>
              <w:t>. Opłata ta nie stanowi części opłaty przyłączeniowej</w:t>
            </w:r>
          </w:p>
          <w:p w14:paraId="41173676" w14:textId="77777777" w:rsidR="00DC1066" w:rsidRPr="0038322F" w:rsidRDefault="00DC1066" w:rsidP="00DC1066">
            <w:pPr>
              <w:jc w:val="both"/>
              <w:rPr>
                <w:rFonts w:cstheme="minorHAnsi"/>
                <w:sz w:val="20"/>
                <w:szCs w:val="20"/>
              </w:rPr>
            </w:pPr>
            <w:r w:rsidRPr="0038322F">
              <w:rPr>
                <w:rFonts w:eastAsia="Calibri" w:cstheme="minorHAnsi"/>
                <w:sz w:val="20"/>
                <w:szCs w:val="20"/>
                <w:lang w:val="pl"/>
              </w:rPr>
              <w:t>8b</w:t>
            </w:r>
            <w:r w:rsidRPr="0038322F">
              <w:rPr>
                <w:rFonts w:eastAsia="Calibri" w:cstheme="minorHAnsi"/>
                <w:sz w:val="20"/>
                <w:szCs w:val="20"/>
                <w:vertAlign w:val="superscript"/>
                <w:lang w:val="pl"/>
              </w:rPr>
              <w:t>2</w:t>
            </w:r>
            <w:r w:rsidRPr="0038322F">
              <w:rPr>
                <w:rFonts w:eastAsia="Calibri" w:cstheme="minorHAnsi"/>
                <w:sz w:val="20"/>
                <w:szCs w:val="20"/>
                <w:lang w:val="pl"/>
              </w:rPr>
              <w:t>. W przypadku inwestycji realizowanych na podstawie ustawy z dnia 17 grudnia 2020 r. o promowaniu wytwarzania energii elektrycznej w morskich farmach wiatrowych podmiot ubiegający się o przyłączenie wnosi jednorazową opłatę za rozpatrzenie pierwszego wniosku o wydanie warunków przyłączenia, o których mowa w art. 49 ust. 1 ustawy z dnia 17 grudnia 2020 r. o promowaniu wytwarzania energii elektrycznej w morskich farmach wiatrowych.</w:t>
            </w:r>
          </w:p>
          <w:p w14:paraId="44585F7D" w14:textId="32911A1F" w:rsidR="00DC1066" w:rsidRPr="0038322F" w:rsidRDefault="00DC1066" w:rsidP="00DC1066">
            <w:pPr>
              <w:jc w:val="both"/>
              <w:rPr>
                <w:rFonts w:eastAsia="Calibri" w:cstheme="minorHAnsi"/>
                <w:sz w:val="20"/>
                <w:szCs w:val="20"/>
              </w:rPr>
            </w:pPr>
            <w:r w:rsidRPr="0038322F">
              <w:rPr>
                <w:rFonts w:eastAsia="Calibri" w:cstheme="minorHAnsi"/>
                <w:b/>
                <w:bCs/>
                <w:sz w:val="20"/>
                <w:szCs w:val="20"/>
                <w:lang w:val="pl"/>
              </w:rPr>
              <w:t>8b</w:t>
            </w:r>
            <w:r w:rsidRPr="0038322F">
              <w:rPr>
                <w:rFonts w:eastAsia="Calibri" w:cstheme="minorHAnsi"/>
                <w:b/>
                <w:bCs/>
                <w:sz w:val="20"/>
                <w:szCs w:val="20"/>
                <w:vertAlign w:val="superscript"/>
                <w:lang w:val="pl"/>
              </w:rPr>
              <w:t>3</w:t>
            </w:r>
            <w:r w:rsidRPr="0038322F">
              <w:rPr>
                <w:rFonts w:eastAsia="Calibri" w:cstheme="minorHAnsi"/>
                <w:b/>
                <w:bCs/>
                <w:sz w:val="20"/>
                <w:szCs w:val="20"/>
                <w:lang w:val="pl"/>
              </w:rPr>
              <w:t>.</w:t>
            </w:r>
            <w:r w:rsidRPr="0038322F">
              <w:rPr>
                <w:rFonts w:eastAsia="Calibri" w:cstheme="minorHAnsi"/>
                <w:sz w:val="20"/>
                <w:szCs w:val="20"/>
                <w:lang w:val="pl"/>
              </w:rPr>
              <w:t xml:space="preserve"> </w:t>
            </w:r>
            <w:r w:rsidRPr="0038322F">
              <w:rPr>
                <w:rFonts w:eastAsia="Calibri" w:cstheme="minorHAnsi"/>
                <w:b/>
                <w:bCs/>
                <w:sz w:val="20"/>
                <w:szCs w:val="20"/>
                <w:lang w:val="pl"/>
              </w:rPr>
              <w:t>W przypadku przekroczenia terminów, o których mowa w ust. 8g, operator jest zobowiązany do dokonania zwrotu części administracyjnej opłaty za wniosek w terminie 14 dni od dnia upływu terminu. Część ilościowa opłaty za wniosek  nie jest naliczana.</w:t>
            </w:r>
          </w:p>
        </w:tc>
        <w:tc>
          <w:tcPr>
            <w:tcW w:w="1286" w:type="dxa"/>
            <w:shd w:val="clear" w:color="auto" w:fill="FFFFFF" w:themeFill="background1"/>
          </w:tcPr>
          <w:p w14:paraId="0D542956" w14:textId="77777777" w:rsidR="00DC1066" w:rsidRPr="0038322F" w:rsidRDefault="00DC1066" w:rsidP="00DC1066">
            <w:pPr>
              <w:jc w:val="both"/>
              <w:rPr>
                <w:rFonts w:cstheme="minorHAnsi"/>
                <w:sz w:val="20"/>
                <w:szCs w:val="20"/>
              </w:rPr>
            </w:pPr>
          </w:p>
        </w:tc>
      </w:tr>
      <w:tr w:rsidR="00B76C86" w:rsidRPr="0038322F" w14:paraId="16242587" w14:textId="77777777" w:rsidTr="009E54BB">
        <w:tc>
          <w:tcPr>
            <w:tcW w:w="846" w:type="dxa"/>
            <w:shd w:val="clear" w:color="auto" w:fill="E2EFD9" w:themeFill="accent6" w:themeFillTint="33"/>
          </w:tcPr>
          <w:p w14:paraId="7FC56472" w14:textId="77777777" w:rsidR="00B76C86" w:rsidRPr="0038322F" w:rsidRDefault="00B76C86" w:rsidP="00B74CC0">
            <w:pPr>
              <w:pStyle w:val="Akapitzlist"/>
              <w:numPr>
                <w:ilvl w:val="0"/>
                <w:numId w:val="15"/>
              </w:numPr>
              <w:ind w:left="313"/>
              <w:jc w:val="center"/>
              <w:rPr>
                <w:rFonts w:cstheme="minorHAnsi"/>
                <w:sz w:val="20"/>
                <w:szCs w:val="20"/>
              </w:rPr>
            </w:pPr>
          </w:p>
        </w:tc>
        <w:tc>
          <w:tcPr>
            <w:tcW w:w="1843" w:type="dxa"/>
            <w:shd w:val="clear" w:color="auto" w:fill="E2EFD9" w:themeFill="accent6" w:themeFillTint="33"/>
          </w:tcPr>
          <w:p w14:paraId="1D06575C" w14:textId="336A15B4" w:rsidR="00B76C86" w:rsidRPr="0038322F" w:rsidRDefault="00B76C86" w:rsidP="00B76C86">
            <w:pPr>
              <w:jc w:val="center"/>
              <w:rPr>
                <w:rFonts w:eastAsia="Calibri" w:cstheme="minorHAnsi"/>
                <w:sz w:val="20"/>
                <w:szCs w:val="20"/>
              </w:rPr>
            </w:pPr>
            <w:r w:rsidRPr="0038322F">
              <w:rPr>
                <w:rFonts w:eastAsia="Calibri" w:cstheme="minorHAnsi"/>
                <w:sz w:val="20"/>
                <w:szCs w:val="20"/>
              </w:rPr>
              <w:t xml:space="preserve">Art. 1 pkt 8 lit. </w:t>
            </w:r>
            <w:r w:rsidR="009B0DB3" w:rsidRPr="0038322F">
              <w:rPr>
                <w:rFonts w:eastAsia="Calibri" w:cstheme="minorHAnsi"/>
                <w:sz w:val="20"/>
                <w:szCs w:val="20"/>
              </w:rPr>
              <w:t>w</w:t>
            </w:r>
          </w:p>
          <w:p w14:paraId="52AB7887" w14:textId="48187CEF" w:rsidR="00B76C86" w:rsidRPr="0038322F" w:rsidRDefault="00B76C86" w:rsidP="00B76C86">
            <w:pPr>
              <w:jc w:val="center"/>
              <w:rPr>
                <w:rFonts w:eastAsia="Lato" w:cstheme="minorHAnsi"/>
                <w:sz w:val="20"/>
                <w:szCs w:val="20"/>
              </w:rPr>
            </w:pPr>
            <w:r w:rsidRPr="0038322F">
              <w:rPr>
                <w:rFonts w:eastAsia="Lato" w:cstheme="minorHAnsi"/>
                <w:sz w:val="20"/>
                <w:szCs w:val="20"/>
              </w:rPr>
              <w:t>Uwaga redakcyjna</w:t>
            </w:r>
          </w:p>
        </w:tc>
        <w:tc>
          <w:tcPr>
            <w:tcW w:w="5670" w:type="dxa"/>
            <w:shd w:val="clear" w:color="auto" w:fill="E2EFD9" w:themeFill="accent6" w:themeFillTint="33"/>
          </w:tcPr>
          <w:p w14:paraId="173BAA7D" w14:textId="4214B7B7" w:rsidR="00B76C86" w:rsidRPr="0038322F" w:rsidRDefault="00B76C86" w:rsidP="00B76C86">
            <w:pPr>
              <w:jc w:val="both"/>
              <w:rPr>
                <w:rFonts w:cstheme="minorHAnsi"/>
                <w:sz w:val="20"/>
                <w:szCs w:val="20"/>
              </w:rPr>
            </w:pPr>
            <w:r w:rsidRPr="0038322F">
              <w:rPr>
                <w:rFonts w:eastAsia="Calibri" w:cstheme="minorHAnsi"/>
                <w:sz w:val="20"/>
                <w:szCs w:val="20"/>
                <w:lang w:val="pl"/>
              </w:rPr>
              <w:t>W zapisach dotyczących zabezpieczenia używa się  wielu pojęć co wprowadza w błąd; kaucja, zabezpieczenie, gwarancja – niezbędne ujednolicenie</w:t>
            </w:r>
          </w:p>
        </w:tc>
        <w:tc>
          <w:tcPr>
            <w:tcW w:w="4394" w:type="dxa"/>
            <w:shd w:val="clear" w:color="auto" w:fill="E2EFD9" w:themeFill="accent6" w:themeFillTint="33"/>
          </w:tcPr>
          <w:p w14:paraId="67082FE9" w14:textId="2FD8B063" w:rsidR="00B76C86" w:rsidRPr="0038322F" w:rsidRDefault="00B76C86" w:rsidP="00B76C86">
            <w:pPr>
              <w:jc w:val="both"/>
              <w:rPr>
                <w:rFonts w:cstheme="minorHAnsi"/>
                <w:sz w:val="20"/>
                <w:szCs w:val="20"/>
              </w:rPr>
            </w:pPr>
            <w:r w:rsidRPr="0038322F">
              <w:rPr>
                <w:rFonts w:eastAsia="Calibri" w:cstheme="minorHAnsi"/>
                <w:b/>
                <w:bCs/>
                <w:sz w:val="20"/>
                <w:szCs w:val="20"/>
                <w:lang w:val="pl"/>
              </w:rPr>
              <w:t xml:space="preserve"> </w:t>
            </w:r>
          </w:p>
        </w:tc>
        <w:tc>
          <w:tcPr>
            <w:tcW w:w="1286" w:type="dxa"/>
            <w:shd w:val="clear" w:color="auto" w:fill="E2EFD9" w:themeFill="accent6" w:themeFillTint="33"/>
          </w:tcPr>
          <w:p w14:paraId="4022E7D1" w14:textId="77777777" w:rsidR="00B76C86" w:rsidRPr="0038322F" w:rsidRDefault="00B76C86" w:rsidP="00B76C86">
            <w:pPr>
              <w:jc w:val="both"/>
              <w:rPr>
                <w:rFonts w:cstheme="minorHAnsi"/>
                <w:sz w:val="20"/>
                <w:szCs w:val="20"/>
              </w:rPr>
            </w:pPr>
          </w:p>
        </w:tc>
      </w:tr>
      <w:tr w:rsidR="00B76C86" w:rsidRPr="0038322F" w14:paraId="4A258016" w14:textId="77777777" w:rsidTr="009E54BB">
        <w:tc>
          <w:tcPr>
            <w:tcW w:w="846" w:type="dxa"/>
            <w:shd w:val="clear" w:color="auto" w:fill="E2EFD9" w:themeFill="accent6" w:themeFillTint="33"/>
          </w:tcPr>
          <w:p w14:paraId="62A45FE3" w14:textId="77777777" w:rsidR="00B76C86" w:rsidRPr="0038322F" w:rsidRDefault="00B76C86" w:rsidP="00B74CC0">
            <w:pPr>
              <w:pStyle w:val="Akapitzlist"/>
              <w:numPr>
                <w:ilvl w:val="0"/>
                <w:numId w:val="15"/>
              </w:numPr>
              <w:ind w:left="313"/>
              <w:jc w:val="center"/>
              <w:rPr>
                <w:rFonts w:cstheme="minorHAnsi"/>
                <w:sz w:val="20"/>
                <w:szCs w:val="20"/>
              </w:rPr>
            </w:pPr>
          </w:p>
        </w:tc>
        <w:tc>
          <w:tcPr>
            <w:tcW w:w="1843" w:type="dxa"/>
            <w:shd w:val="clear" w:color="auto" w:fill="E2EFD9" w:themeFill="accent6" w:themeFillTint="33"/>
          </w:tcPr>
          <w:p w14:paraId="473D94BE" w14:textId="189141AC" w:rsidR="00B76C86" w:rsidRPr="0038322F" w:rsidRDefault="00B76C86" w:rsidP="00B76C86">
            <w:pPr>
              <w:jc w:val="center"/>
              <w:rPr>
                <w:rFonts w:eastAsia="Calibri" w:cstheme="minorHAnsi"/>
                <w:sz w:val="20"/>
                <w:szCs w:val="20"/>
                <w:lang w:val="pl"/>
              </w:rPr>
            </w:pPr>
            <w:r w:rsidRPr="0038322F">
              <w:rPr>
                <w:rFonts w:eastAsia="Calibri" w:cstheme="minorHAnsi"/>
                <w:sz w:val="20"/>
                <w:szCs w:val="20"/>
                <w:lang w:val="pl"/>
              </w:rPr>
              <w:t xml:space="preserve">Art. 1. pkt 8 lit. </w:t>
            </w:r>
            <w:r w:rsidR="009B0DB3" w:rsidRPr="0038322F">
              <w:rPr>
                <w:rFonts w:eastAsia="Calibri" w:cstheme="minorHAnsi"/>
                <w:sz w:val="20"/>
                <w:szCs w:val="20"/>
                <w:lang w:val="pl"/>
              </w:rPr>
              <w:t>w</w:t>
            </w:r>
          </w:p>
          <w:p w14:paraId="6BDD5AC2" w14:textId="77777777" w:rsidR="00B76C86" w:rsidRPr="0038322F" w:rsidRDefault="00B76C86" w:rsidP="00B76C86">
            <w:pPr>
              <w:jc w:val="center"/>
              <w:rPr>
                <w:rFonts w:eastAsia="Calibri" w:cstheme="minorHAnsi"/>
                <w:sz w:val="20"/>
                <w:szCs w:val="20"/>
                <w:lang w:val="pl"/>
              </w:rPr>
            </w:pPr>
          </w:p>
          <w:p w14:paraId="56FF7934" w14:textId="6213BC11" w:rsidR="00B76C86" w:rsidRPr="0038322F" w:rsidRDefault="00B76C86" w:rsidP="00B76C86">
            <w:pPr>
              <w:jc w:val="center"/>
              <w:rPr>
                <w:rFonts w:eastAsia="Lato" w:cstheme="minorHAnsi"/>
                <w:b/>
                <w:bCs/>
                <w:sz w:val="20"/>
                <w:szCs w:val="20"/>
              </w:rPr>
            </w:pPr>
            <w:r w:rsidRPr="0038322F">
              <w:rPr>
                <w:rFonts w:eastAsia="Calibri" w:cstheme="minorHAnsi"/>
                <w:b/>
                <w:bCs/>
                <w:sz w:val="20"/>
                <w:szCs w:val="20"/>
                <w:lang w:val="pl"/>
              </w:rPr>
              <w:t>Zabezpieczenie</w:t>
            </w:r>
          </w:p>
        </w:tc>
        <w:tc>
          <w:tcPr>
            <w:tcW w:w="5670" w:type="dxa"/>
            <w:shd w:val="clear" w:color="auto" w:fill="E2EFD9" w:themeFill="accent6" w:themeFillTint="33"/>
          </w:tcPr>
          <w:p w14:paraId="69C264F7" w14:textId="77777777" w:rsidR="00B76C86" w:rsidRPr="0038322F" w:rsidRDefault="00B76C86" w:rsidP="00B76C86">
            <w:pPr>
              <w:jc w:val="both"/>
              <w:rPr>
                <w:rFonts w:eastAsia="Calibri" w:cstheme="minorHAnsi"/>
                <w:b/>
                <w:bCs/>
                <w:sz w:val="20"/>
                <w:szCs w:val="20"/>
                <w:lang w:val="pl"/>
              </w:rPr>
            </w:pPr>
            <w:r w:rsidRPr="0038322F">
              <w:rPr>
                <w:rFonts w:eastAsia="Calibri" w:cstheme="minorHAnsi"/>
                <w:b/>
                <w:bCs/>
                <w:sz w:val="20"/>
                <w:szCs w:val="20"/>
                <w:lang w:val="pl"/>
              </w:rPr>
              <w:t>Projektowane przepisy dotyczące zabezpieczenia, zwłaszcza w zestawieniu ze skróceniem ważności warunków przyłączenia do roku, są niezasadne i oceniane zdecydowanie negatywnie, przede wszystkim mając na uwadze skutki wprowadzenia tej regulacji.</w:t>
            </w:r>
          </w:p>
          <w:p w14:paraId="61A84460" w14:textId="77777777" w:rsidR="00B76C86" w:rsidRPr="0038322F" w:rsidRDefault="00B76C86" w:rsidP="00B76C86">
            <w:pPr>
              <w:jc w:val="both"/>
              <w:rPr>
                <w:rFonts w:eastAsia="Calibri" w:cstheme="minorHAnsi"/>
                <w:sz w:val="20"/>
                <w:szCs w:val="20"/>
                <w:lang w:val="pl"/>
              </w:rPr>
            </w:pPr>
            <w:r w:rsidRPr="0038322F">
              <w:rPr>
                <w:rFonts w:eastAsia="Calibri" w:cstheme="minorHAnsi"/>
                <w:sz w:val="20"/>
                <w:szCs w:val="20"/>
                <w:lang w:val="pl"/>
              </w:rPr>
              <w:t xml:space="preserve">Termin 30 dni na wpłatę zabezpieczenia de facto oznacza, że warunki przyłączenia są ważne 30 dni, ponieważ jest to czas, kiedy należy podjąć decyzję inwestycyjną obarczoną ryzykiem utraty znacznych środków finansowych. </w:t>
            </w:r>
          </w:p>
          <w:p w14:paraId="0F53FF41" w14:textId="77777777" w:rsidR="00B76C86" w:rsidRPr="0038322F" w:rsidRDefault="00B76C86" w:rsidP="00B76C86">
            <w:pPr>
              <w:jc w:val="both"/>
              <w:rPr>
                <w:rFonts w:eastAsia="Calibri" w:cstheme="minorHAnsi"/>
                <w:sz w:val="20"/>
                <w:szCs w:val="20"/>
                <w:lang w:val="pl"/>
              </w:rPr>
            </w:pPr>
          </w:p>
          <w:p w14:paraId="24741511" w14:textId="77777777" w:rsidR="00B76C86" w:rsidRPr="0038322F" w:rsidRDefault="00B76C86" w:rsidP="00B76C86">
            <w:pPr>
              <w:jc w:val="both"/>
              <w:rPr>
                <w:rFonts w:eastAsia="Lato" w:cstheme="minorHAnsi"/>
                <w:sz w:val="20"/>
                <w:szCs w:val="20"/>
              </w:rPr>
            </w:pPr>
            <w:r w:rsidRPr="0038322F">
              <w:rPr>
                <w:rFonts w:eastAsia="Lato" w:cstheme="minorHAnsi"/>
                <w:sz w:val="20"/>
                <w:szCs w:val="20"/>
              </w:rPr>
              <w:t xml:space="preserve">Decyzje o realizacji projektów o wielomilionowych nakładach wymagają wielokrotnie dłuższego czasu, w tym przeprowadzenia oceny </w:t>
            </w:r>
            <w:proofErr w:type="spellStart"/>
            <w:r w:rsidRPr="0038322F">
              <w:rPr>
                <w:rFonts w:eastAsia="Lato" w:cstheme="minorHAnsi"/>
                <w:sz w:val="20"/>
                <w:szCs w:val="20"/>
              </w:rPr>
              <w:t>ryzyk</w:t>
            </w:r>
            <w:proofErr w:type="spellEnd"/>
            <w:r w:rsidRPr="0038322F">
              <w:rPr>
                <w:rFonts w:eastAsia="Lato" w:cstheme="minorHAnsi"/>
                <w:sz w:val="20"/>
                <w:szCs w:val="20"/>
              </w:rPr>
              <w:t xml:space="preserve"> wynikających z zaproponowanych WP, pertraktacji treści umowy, ustaleń pomiędzy wszystkimi interesariuszami. Z tego też względu nieuzasadniony jest obowiązek wnoszenia tego zabezpieczenia na proponowanym etapie.</w:t>
            </w:r>
          </w:p>
          <w:p w14:paraId="1458E659" w14:textId="77777777" w:rsidR="00B76C86" w:rsidRPr="0038322F" w:rsidRDefault="00B76C86" w:rsidP="00B76C86">
            <w:pPr>
              <w:jc w:val="both"/>
              <w:rPr>
                <w:rFonts w:eastAsia="Lato" w:cstheme="minorHAnsi"/>
                <w:sz w:val="20"/>
                <w:szCs w:val="20"/>
              </w:rPr>
            </w:pPr>
          </w:p>
          <w:p w14:paraId="3189AE83" w14:textId="77777777" w:rsidR="00B76C86" w:rsidRPr="0038322F" w:rsidRDefault="00B76C86" w:rsidP="00B76C86">
            <w:pPr>
              <w:jc w:val="both"/>
              <w:rPr>
                <w:rFonts w:eastAsia="Lato" w:cstheme="minorHAnsi"/>
                <w:sz w:val="20"/>
                <w:szCs w:val="20"/>
              </w:rPr>
            </w:pPr>
            <w:r w:rsidRPr="0038322F">
              <w:rPr>
                <w:rFonts w:eastAsia="Lato" w:cstheme="minorHAnsi"/>
                <w:sz w:val="20"/>
                <w:szCs w:val="20"/>
              </w:rPr>
              <w:t xml:space="preserve">Ponadto, przepisy wprowadzają niczym nieuzasadnione dodatkowe ryzyka finansowe na podmioty przyłączane, przy tym generujące przychody OSE/państwu w przypadku niepowodzenia inwestycji, których powodzenie w bardzo dużej mierze zależy od stron trzecich, w tym szczególnie od administracji państwowej, właścicieli gruntów, zmieniających się zasad i przepisów. </w:t>
            </w:r>
          </w:p>
          <w:p w14:paraId="09F8AAB0" w14:textId="77777777" w:rsidR="00B76C86" w:rsidRPr="0038322F" w:rsidRDefault="00B76C86" w:rsidP="00B76C86">
            <w:pPr>
              <w:jc w:val="both"/>
              <w:rPr>
                <w:rFonts w:eastAsia="Calibri" w:cstheme="minorHAnsi"/>
                <w:b/>
                <w:bCs/>
                <w:sz w:val="20"/>
                <w:szCs w:val="20"/>
                <w:lang w:val="pl"/>
              </w:rPr>
            </w:pPr>
          </w:p>
          <w:p w14:paraId="23B8E646" w14:textId="77777777" w:rsidR="00B76C86" w:rsidRPr="0038322F" w:rsidRDefault="00B76C86" w:rsidP="00B76C86">
            <w:pPr>
              <w:jc w:val="both"/>
              <w:rPr>
                <w:rFonts w:eastAsia="Calibri" w:cstheme="minorHAnsi"/>
                <w:b/>
                <w:bCs/>
                <w:sz w:val="20"/>
                <w:szCs w:val="20"/>
                <w:lang w:val="pl"/>
              </w:rPr>
            </w:pPr>
            <w:r w:rsidRPr="0038322F">
              <w:rPr>
                <w:rFonts w:eastAsia="Lato" w:cstheme="minorHAnsi"/>
                <w:sz w:val="20"/>
                <w:szCs w:val="20"/>
              </w:rPr>
              <w:t xml:space="preserve">Wzrost zaliczek oraz restrykcje wynikające z braku realizacji kamieni milowych powinny stanowić wystarczającą barierę przed nieuczciwymi praktykami. </w:t>
            </w:r>
            <w:r w:rsidRPr="0038322F">
              <w:rPr>
                <w:rFonts w:cstheme="minorHAnsi"/>
                <w:sz w:val="20"/>
                <w:szCs w:val="20"/>
              </w:rPr>
              <w:t>Ryzyko finansowe dla podmiotów przyłączanych i bardzo radykalne warunki zwrotu zabezpieczenia powodują, że podmioty ubiegające się o przyłączenie mogą mieć trudności z uzyskaniem zwrotu zabezpieczenia, co może wpłynąć na ich płynność finansową. Dodatkowe obciążenia finansowe mogą prowadzić do zwiększenia ryzyka bankructwa dla niektórych podmiotów. Dodatkowe koszty mogą stanowić barierę dla inwestorów, szczególnie dla małych i średnich przedsiębiorstw, które często dysponują ograniczonymi zasobami finansowymi.</w:t>
            </w:r>
          </w:p>
          <w:p w14:paraId="0766D816" w14:textId="77777777" w:rsidR="00B76C86" w:rsidRPr="0038322F" w:rsidRDefault="00B76C86" w:rsidP="00B76C86">
            <w:pPr>
              <w:jc w:val="both"/>
              <w:rPr>
                <w:rFonts w:eastAsia="Calibri" w:cstheme="minorHAnsi"/>
                <w:b/>
                <w:bCs/>
                <w:sz w:val="20"/>
                <w:szCs w:val="20"/>
                <w:lang w:val="pl"/>
              </w:rPr>
            </w:pPr>
          </w:p>
          <w:p w14:paraId="0F7C7081" w14:textId="77777777" w:rsidR="00B76C86" w:rsidRPr="0038322F" w:rsidRDefault="00B76C86" w:rsidP="00B76C86">
            <w:pPr>
              <w:jc w:val="both"/>
              <w:rPr>
                <w:rFonts w:eastAsia="Calibri" w:cstheme="minorHAnsi"/>
                <w:b/>
                <w:bCs/>
                <w:sz w:val="20"/>
                <w:szCs w:val="20"/>
                <w:lang w:val="pl"/>
              </w:rPr>
            </w:pPr>
            <w:r w:rsidRPr="0038322F">
              <w:rPr>
                <w:rFonts w:eastAsia="Calibri" w:cstheme="minorHAnsi"/>
                <w:b/>
                <w:bCs/>
                <w:sz w:val="20"/>
                <w:szCs w:val="20"/>
                <w:lang w:val="pl"/>
              </w:rPr>
              <w:t xml:space="preserve">60 dni na podjęcie decyzji inwestycyjnej skutkującej wniesieniem zabezpieczenia nie jest możliwe. Co więcej, wniesienie zabezpieczenia przed podpisaniem umowy o przyłączenie stanowiłoby nieuzasadniony i nadmiarowy nakład po stronie inwestora w sytuacji, gdy operator sieci nadal może odmówić podpisania umowy o przyłączenie lub znacząco zmienić jej kształt.  Z tych względów postulujemy określenie obowiązku wniesienia zabezpieczenia w powiązaniu z podpisaniem umowy o przyłączenie. </w:t>
            </w:r>
          </w:p>
          <w:p w14:paraId="33F4B44B" w14:textId="77777777" w:rsidR="00B76C86" w:rsidRPr="0038322F" w:rsidRDefault="00B76C86" w:rsidP="00B76C86">
            <w:pPr>
              <w:jc w:val="both"/>
              <w:rPr>
                <w:rFonts w:eastAsia="Calibri" w:cstheme="minorHAnsi"/>
                <w:b/>
                <w:bCs/>
                <w:sz w:val="20"/>
                <w:szCs w:val="20"/>
                <w:lang w:val="pl"/>
              </w:rPr>
            </w:pPr>
          </w:p>
          <w:p w14:paraId="4DB57A43" w14:textId="77777777" w:rsidR="00B76C86" w:rsidRPr="0038322F" w:rsidRDefault="00B76C86" w:rsidP="00B76C86">
            <w:pPr>
              <w:jc w:val="both"/>
              <w:rPr>
                <w:rFonts w:eastAsia="Calibri" w:cstheme="minorHAnsi"/>
                <w:sz w:val="20"/>
                <w:szCs w:val="20"/>
                <w:lang w:val="pl"/>
              </w:rPr>
            </w:pPr>
            <w:r w:rsidRPr="0038322F">
              <w:rPr>
                <w:rFonts w:eastAsia="Calibri" w:cstheme="minorHAnsi"/>
                <w:sz w:val="20"/>
                <w:szCs w:val="20"/>
                <w:lang w:val="pl"/>
              </w:rPr>
              <w:t xml:space="preserve">Już obecnie inwestorów negatywnie dotyka praktyka operatorów w zakresie ponownej weryfikacji istnienia technicznych i ekonomicznych warunków przyłączenia, nawet w okresie ważności warunków przyłączenia, i odmowy podpisania umowy o przyłączenie. Inwestor jest w tej sytuacji pozbawiony możliwości skutecznej obrony przygotowanego do realizacji projektu, ponieważ rozstrzyganie sporów jest na tyle długotrwałe że utrzymywanie praw do terenu i dalsze rozwijanie projektu nie znajduje uzasadnienia biznesowego. </w:t>
            </w:r>
          </w:p>
          <w:p w14:paraId="46202E16" w14:textId="77777777" w:rsidR="00B76C86" w:rsidRPr="0038322F" w:rsidRDefault="00B76C86" w:rsidP="00B76C86">
            <w:pPr>
              <w:jc w:val="both"/>
              <w:rPr>
                <w:rFonts w:cstheme="minorHAnsi"/>
                <w:sz w:val="20"/>
                <w:szCs w:val="20"/>
              </w:rPr>
            </w:pPr>
          </w:p>
          <w:p w14:paraId="21D9B5C1" w14:textId="5B94E259" w:rsidR="00B76C86" w:rsidRPr="0038322F" w:rsidRDefault="00B76C86" w:rsidP="00B76C86">
            <w:pPr>
              <w:jc w:val="both"/>
              <w:rPr>
                <w:rFonts w:cstheme="minorHAnsi"/>
                <w:sz w:val="20"/>
                <w:szCs w:val="20"/>
              </w:rPr>
            </w:pPr>
            <w:r w:rsidRPr="0038322F">
              <w:rPr>
                <w:rFonts w:eastAsia="Calibri" w:cstheme="minorHAnsi"/>
                <w:sz w:val="20"/>
                <w:szCs w:val="20"/>
                <w:lang w:val="pl"/>
              </w:rPr>
              <w:t>Podjęcie decyzji o wniesieniu zabezpieczenia jest de facto decyzją inwestycyjną, i wymaga uprawdopodobnienia terminowej realizacji projektu, m.in. w perspektywie uzyskania decyzji środowiskowej. Obecnie projekty lądowej energetyki wiatrowej mierzą się z nowym oczekiwaniem organów ochrony środowiska co do przedstawienia planowanej lokalizacji infrastruktury przyłączeniowej już na etapie uzyskiwania decyzji o środowiskowych uwarunkowaniach, za czym idzie oczekiwanie przedstawienia praw do terenu oraz objęcia go monitoringiem pod kątem oceny oddziaływania na środowisko. Jest to praktyka nadmiarowa i przeciwstawna do postulowanego w projektowanej regulacji przyspieszenia procesów przygotowawczych i decyzyjnych. Lokalizacja infrastruktury towarzyszącej jest możliwa dopiero po zawarciu umowy o przyłączenie – co powoduje że uzyskanie decyzji środowiskowej i pozwolenia na budowę w terminie 36 miesięcy jest obarczone bardzo dużym ryzykiem. Sytuacja ta powoduje, że decyzje o wniesieniu zabezpieczenia na tak wczesnym etapie w przypadku projektów wiatrowych miałyby charakter spekulacyjny lub nie będą podejmowane.</w:t>
            </w:r>
          </w:p>
        </w:tc>
        <w:tc>
          <w:tcPr>
            <w:tcW w:w="4394" w:type="dxa"/>
            <w:shd w:val="clear" w:color="auto" w:fill="E2EFD9" w:themeFill="accent6" w:themeFillTint="33"/>
          </w:tcPr>
          <w:p w14:paraId="79BC60CC" w14:textId="77777777" w:rsidR="00B76C86" w:rsidRPr="0038322F" w:rsidRDefault="00B76C86" w:rsidP="00B76C86">
            <w:pPr>
              <w:jc w:val="both"/>
              <w:rPr>
                <w:rFonts w:eastAsia="Calibri" w:cstheme="minorHAnsi"/>
                <w:b/>
                <w:bCs/>
                <w:sz w:val="20"/>
                <w:szCs w:val="20"/>
                <w:lang w:val="pl"/>
              </w:rPr>
            </w:pPr>
            <w:r w:rsidRPr="0038322F">
              <w:rPr>
                <w:rFonts w:eastAsia="Calibri" w:cstheme="minorHAnsi"/>
                <w:b/>
                <w:bCs/>
                <w:sz w:val="20"/>
                <w:szCs w:val="20"/>
                <w:lang w:val="pl"/>
              </w:rPr>
              <w:t>Postulujemy określenie obowiązku wniesienia zabezpieczenia w powiązaniu z podpisaniem umowy o przyłączenie.</w:t>
            </w:r>
          </w:p>
          <w:p w14:paraId="4ADA6499" w14:textId="77777777" w:rsidR="00B76C86" w:rsidRPr="0038322F" w:rsidRDefault="00B76C86" w:rsidP="00B76C86">
            <w:pPr>
              <w:jc w:val="both"/>
              <w:rPr>
                <w:rFonts w:eastAsia="Calibri" w:cstheme="minorHAnsi"/>
                <w:b/>
                <w:bCs/>
                <w:sz w:val="20"/>
                <w:szCs w:val="20"/>
                <w:lang w:val="pl"/>
              </w:rPr>
            </w:pPr>
          </w:p>
          <w:p w14:paraId="37523067" w14:textId="77777777" w:rsidR="00B76C86" w:rsidRPr="0038322F" w:rsidRDefault="00B76C86" w:rsidP="00B76C86">
            <w:pPr>
              <w:jc w:val="both"/>
              <w:rPr>
                <w:rFonts w:cstheme="minorHAnsi"/>
                <w:sz w:val="20"/>
                <w:szCs w:val="20"/>
              </w:rPr>
            </w:pPr>
            <w:r w:rsidRPr="0038322F">
              <w:rPr>
                <w:rFonts w:cstheme="minorHAnsi"/>
                <w:sz w:val="20"/>
                <w:szCs w:val="20"/>
              </w:rPr>
              <w:t>8c</w:t>
            </w:r>
            <w:r w:rsidRPr="0038322F">
              <w:rPr>
                <w:rFonts w:cstheme="minorHAnsi"/>
                <w:sz w:val="20"/>
                <w:szCs w:val="20"/>
                <w:vertAlign w:val="superscript"/>
              </w:rPr>
              <w:t>9</w:t>
            </w:r>
            <w:r w:rsidRPr="0038322F">
              <w:rPr>
                <w:rFonts w:cstheme="minorHAnsi"/>
                <w:sz w:val="20"/>
                <w:szCs w:val="20"/>
              </w:rPr>
              <w:t xml:space="preserve">. Zabezpieczenie składa się w terminie 60 dni od dnia </w:t>
            </w:r>
            <w:r w:rsidRPr="0038322F">
              <w:rPr>
                <w:rFonts w:cstheme="minorHAnsi"/>
                <w:b/>
                <w:bCs/>
                <w:sz w:val="20"/>
                <w:szCs w:val="20"/>
              </w:rPr>
              <w:t>zawarcia umowy o przyłączenie do sieci, o której mowa w  art. 7 ust. 1g</w:t>
            </w:r>
            <w:r w:rsidRPr="0038322F">
              <w:rPr>
                <w:rFonts w:cstheme="minorHAnsi"/>
                <w:sz w:val="20"/>
                <w:szCs w:val="20"/>
              </w:rPr>
              <w:t>, pod rygorem utraty ważności warunków przyłączenia. W przypadku ubiegania się o przyłączenie do sieci inwestycji realizowanej na podstawie art. 49 ust. 1 ustawy z dnia 17 grudnia 2020 r. o promowaniu wytwarzania energii elektrycznej w morskich farmach wiatrowych zabezpieczenie składa się w terminie 60 dni od konwersji wstępnych warunków przyłączenia w warunki przyłączenia zgodnie z art. 51 ust. 1 tej ustawy.”,</w:t>
            </w:r>
          </w:p>
          <w:p w14:paraId="6717ABB1" w14:textId="77777777" w:rsidR="00B76C86" w:rsidRPr="0038322F" w:rsidRDefault="00B76C86" w:rsidP="00B76C86">
            <w:pPr>
              <w:jc w:val="both"/>
              <w:rPr>
                <w:rFonts w:cstheme="minorHAnsi"/>
                <w:sz w:val="20"/>
                <w:szCs w:val="20"/>
              </w:rPr>
            </w:pPr>
          </w:p>
          <w:p w14:paraId="1222A20F" w14:textId="5232DF81" w:rsidR="00B76C86" w:rsidRPr="0038322F" w:rsidRDefault="009F58DB" w:rsidP="00B76C86">
            <w:pPr>
              <w:jc w:val="both"/>
              <w:rPr>
                <w:rFonts w:cstheme="minorHAnsi"/>
                <w:b/>
                <w:bCs/>
                <w:sz w:val="20"/>
                <w:szCs w:val="20"/>
              </w:rPr>
            </w:pPr>
            <w:r w:rsidRPr="0038322F">
              <w:rPr>
                <w:rFonts w:cstheme="minorHAnsi"/>
                <w:b/>
                <w:bCs/>
                <w:sz w:val="20"/>
                <w:szCs w:val="20"/>
              </w:rPr>
              <w:t>Odpowiednio z</w:t>
            </w:r>
            <w:r w:rsidR="00B76C86" w:rsidRPr="0038322F">
              <w:rPr>
                <w:rFonts w:cstheme="minorHAnsi"/>
                <w:b/>
                <w:bCs/>
                <w:sz w:val="20"/>
                <w:szCs w:val="20"/>
              </w:rPr>
              <w:t>mi</w:t>
            </w:r>
            <w:r w:rsidRPr="0038322F">
              <w:rPr>
                <w:rFonts w:cstheme="minorHAnsi"/>
                <w:b/>
                <w:bCs/>
                <w:sz w:val="20"/>
                <w:szCs w:val="20"/>
              </w:rPr>
              <w:t>e</w:t>
            </w:r>
            <w:r w:rsidR="00B76C86" w:rsidRPr="0038322F">
              <w:rPr>
                <w:rFonts w:cstheme="minorHAnsi"/>
                <w:b/>
                <w:bCs/>
                <w:sz w:val="20"/>
                <w:szCs w:val="20"/>
              </w:rPr>
              <w:t>ni</w:t>
            </w:r>
            <w:r w:rsidR="00DD2BF7" w:rsidRPr="0038322F">
              <w:rPr>
                <w:rFonts w:cstheme="minorHAnsi"/>
                <w:b/>
                <w:bCs/>
                <w:sz w:val="20"/>
                <w:szCs w:val="20"/>
              </w:rPr>
              <w:t xml:space="preserve">ć należy </w:t>
            </w:r>
            <w:r w:rsidR="00B76C86" w:rsidRPr="0038322F">
              <w:rPr>
                <w:rFonts w:cstheme="minorHAnsi"/>
                <w:b/>
                <w:bCs/>
                <w:sz w:val="20"/>
                <w:szCs w:val="20"/>
              </w:rPr>
              <w:t xml:space="preserve">także inne powiązane przepisy. </w:t>
            </w:r>
          </w:p>
          <w:p w14:paraId="55AFDD7C" w14:textId="77777777" w:rsidR="00B76C86" w:rsidRPr="0038322F" w:rsidRDefault="00B76C86" w:rsidP="00B76C86">
            <w:pPr>
              <w:jc w:val="both"/>
              <w:rPr>
                <w:rFonts w:cstheme="minorHAnsi"/>
                <w:b/>
                <w:bCs/>
                <w:sz w:val="20"/>
                <w:szCs w:val="20"/>
              </w:rPr>
            </w:pPr>
          </w:p>
          <w:p w14:paraId="56D0B530" w14:textId="77777777" w:rsidR="00B76C86" w:rsidRPr="0038322F" w:rsidRDefault="00B76C86" w:rsidP="00B76C86">
            <w:pPr>
              <w:jc w:val="both"/>
              <w:rPr>
                <w:rFonts w:cstheme="minorHAnsi"/>
                <w:sz w:val="20"/>
                <w:szCs w:val="20"/>
              </w:rPr>
            </w:pPr>
            <w:r w:rsidRPr="0038322F">
              <w:rPr>
                <w:rFonts w:eastAsia="Calibri" w:cstheme="minorHAnsi"/>
                <w:sz w:val="20"/>
                <w:szCs w:val="20"/>
                <w:lang w:val="pl"/>
              </w:rPr>
              <w:t xml:space="preserve">Zwolnienie zabezpieczenia musi następować również w innych przypadkach niezawinionego przekroczenia terminów realizacji określonych kamieni milowych przez podmiot, w związku z czym proponuje się następujące brzmienie art. </w:t>
            </w:r>
            <w:r w:rsidRPr="0038322F">
              <w:rPr>
                <w:rFonts w:cstheme="minorHAnsi"/>
                <w:sz w:val="20"/>
                <w:szCs w:val="20"/>
              </w:rPr>
              <w:t>8c</w:t>
            </w:r>
            <w:r w:rsidRPr="0038322F">
              <w:rPr>
                <w:rFonts w:cstheme="minorHAnsi"/>
                <w:sz w:val="20"/>
                <w:szCs w:val="20"/>
                <w:vertAlign w:val="superscript"/>
              </w:rPr>
              <w:t>6</w:t>
            </w:r>
            <w:r w:rsidRPr="0038322F">
              <w:rPr>
                <w:rFonts w:cstheme="minorHAnsi"/>
                <w:sz w:val="20"/>
                <w:szCs w:val="20"/>
              </w:rPr>
              <w:t>. lit. c:</w:t>
            </w:r>
          </w:p>
          <w:p w14:paraId="1FC3D5CB" w14:textId="77777777" w:rsidR="00B76C86" w:rsidRPr="0038322F" w:rsidRDefault="00B76C86" w:rsidP="00B76C86">
            <w:pPr>
              <w:jc w:val="both"/>
              <w:rPr>
                <w:rFonts w:cstheme="minorHAnsi"/>
                <w:sz w:val="20"/>
                <w:szCs w:val="20"/>
              </w:rPr>
            </w:pPr>
          </w:p>
          <w:p w14:paraId="381E7C3D" w14:textId="36EDA10B" w:rsidR="00B76C86" w:rsidRPr="0038322F" w:rsidRDefault="00B76C86" w:rsidP="00B76C86">
            <w:pPr>
              <w:jc w:val="both"/>
              <w:rPr>
                <w:rFonts w:cstheme="minorHAnsi"/>
                <w:sz w:val="20"/>
                <w:szCs w:val="20"/>
              </w:rPr>
            </w:pPr>
            <w:r w:rsidRPr="0038322F">
              <w:rPr>
                <w:rFonts w:cstheme="minorHAnsi"/>
                <w:sz w:val="20"/>
                <w:szCs w:val="20"/>
              </w:rPr>
              <w:t>3)</w:t>
            </w:r>
            <w:r w:rsidRPr="0038322F">
              <w:rPr>
                <w:rFonts w:cstheme="minorHAnsi"/>
                <w:sz w:val="20"/>
                <w:szCs w:val="20"/>
              </w:rPr>
              <w:tab/>
              <w:t>rozwiązania albo odstąpienia od umowy o przyłączenie, w przypadku gdy do zrealizowania przez podmiot ubiegający się o przyłączenie wszystkich zobowiązań wynikających z umowy o przyłączenie nie doszło na skutek rozwiązania albo odstąpienia od umowy o przyłączenie z przyczyn zawinionych przez przedsiębiorstwo energetyczne zajmujące się przesyłaniem lub dystrybucją energii elektrycznej</w:t>
            </w:r>
            <w:r w:rsidRPr="0038322F">
              <w:rPr>
                <w:rFonts w:eastAsia="Calibri" w:cstheme="minorHAnsi"/>
                <w:sz w:val="20"/>
                <w:szCs w:val="20"/>
                <w:lang w:val="pl"/>
              </w:rPr>
              <w:t xml:space="preserve"> </w:t>
            </w:r>
            <w:r w:rsidRPr="0038322F">
              <w:rPr>
                <w:rFonts w:eastAsia="Calibri" w:cstheme="minorHAnsi"/>
                <w:b/>
                <w:bCs/>
                <w:sz w:val="20"/>
                <w:szCs w:val="20"/>
                <w:lang w:val="pl"/>
              </w:rPr>
              <w:t>lub będących następstwem siły wyższej lub toczących się postępowań administracyjnych lub sądowych</w:t>
            </w:r>
            <w:r w:rsidRPr="0038322F">
              <w:rPr>
                <w:rFonts w:cstheme="minorHAnsi"/>
                <w:sz w:val="20"/>
                <w:szCs w:val="20"/>
              </w:rPr>
              <w:t>;</w:t>
            </w:r>
          </w:p>
        </w:tc>
        <w:tc>
          <w:tcPr>
            <w:tcW w:w="1286" w:type="dxa"/>
            <w:shd w:val="clear" w:color="auto" w:fill="E2EFD9" w:themeFill="accent6" w:themeFillTint="33"/>
          </w:tcPr>
          <w:p w14:paraId="049102CF" w14:textId="77777777" w:rsidR="00B76C86" w:rsidRPr="0038322F" w:rsidRDefault="00B76C86" w:rsidP="00B76C86">
            <w:pPr>
              <w:jc w:val="both"/>
              <w:rPr>
                <w:rFonts w:cstheme="minorHAnsi"/>
                <w:sz w:val="20"/>
                <w:szCs w:val="20"/>
              </w:rPr>
            </w:pPr>
          </w:p>
        </w:tc>
      </w:tr>
      <w:tr w:rsidR="003A5BAE" w:rsidRPr="0038322F" w14:paraId="0227CE61" w14:textId="77777777" w:rsidTr="009E54BB">
        <w:tc>
          <w:tcPr>
            <w:tcW w:w="846" w:type="dxa"/>
            <w:shd w:val="clear" w:color="auto" w:fill="E2EFD9" w:themeFill="accent6" w:themeFillTint="33"/>
          </w:tcPr>
          <w:p w14:paraId="037E535B" w14:textId="77777777" w:rsidR="003A5BAE" w:rsidRPr="0038322F" w:rsidRDefault="003A5BAE" w:rsidP="003A5BAE">
            <w:pPr>
              <w:pStyle w:val="Akapitzlist"/>
              <w:numPr>
                <w:ilvl w:val="0"/>
                <w:numId w:val="15"/>
              </w:numPr>
              <w:ind w:left="313"/>
              <w:jc w:val="center"/>
              <w:rPr>
                <w:rFonts w:cstheme="minorHAnsi"/>
                <w:sz w:val="20"/>
                <w:szCs w:val="20"/>
              </w:rPr>
            </w:pPr>
          </w:p>
        </w:tc>
        <w:tc>
          <w:tcPr>
            <w:tcW w:w="1843" w:type="dxa"/>
            <w:shd w:val="clear" w:color="auto" w:fill="E2EFD9" w:themeFill="accent6" w:themeFillTint="33"/>
          </w:tcPr>
          <w:p w14:paraId="5D463AAF" w14:textId="0B95E7F4" w:rsidR="003A5BAE" w:rsidRPr="0038322F" w:rsidRDefault="003A5BAE" w:rsidP="003A5BAE">
            <w:pPr>
              <w:jc w:val="center"/>
              <w:rPr>
                <w:rFonts w:cstheme="minorHAnsi"/>
                <w:sz w:val="20"/>
                <w:szCs w:val="20"/>
              </w:rPr>
            </w:pPr>
            <w:r w:rsidRPr="0038322F">
              <w:rPr>
                <w:rFonts w:cstheme="minorHAnsi"/>
                <w:sz w:val="20"/>
                <w:szCs w:val="20"/>
              </w:rPr>
              <w:t xml:space="preserve">Art. 1 pkt 8 lit. </w:t>
            </w:r>
            <w:r w:rsidR="00B50A1C" w:rsidRPr="0038322F">
              <w:rPr>
                <w:rFonts w:cstheme="minorHAnsi"/>
                <w:sz w:val="20"/>
                <w:szCs w:val="20"/>
              </w:rPr>
              <w:t>w</w:t>
            </w:r>
          </w:p>
          <w:p w14:paraId="69916077" w14:textId="77777777" w:rsidR="00B50A1C" w:rsidRPr="0038322F" w:rsidRDefault="00B50A1C" w:rsidP="003A5BAE">
            <w:pPr>
              <w:jc w:val="center"/>
              <w:rPr>
                <w:rFonts w:cstheme="minorHAnsi"/>
                <w:sz w:val="20"/>
                <w:szCs w:val="20"/>
              </w:rPr>
            </w:pPr>
          </w:p>
          <w:p w14:paraId="205082C8" w14:textId="37785FDC" w:rsidR="003A5BAE" w:rsidRPr="0038322F" w:rsidRDefault="003A5BAE" w:rsidP="003A5BAE">
            <w:pPr>
              <w:jc w:val="center"/>
              <w:rPr>
                <w:rFonts w:eastAsia="Calibri" w:cstheme="minorHAnsi"/>
                <w:sz w:val="20"/>
                <w:szCs w:val="20"/>
                <w:lang w:val="pl"/>
              </w:rPr>
            </w:pPr>
            <w:r w:rsidRPr="0038322F">
              <w:rPr>
                <w:rFonts w:eastAsia="Calibri" w:cstheme="minorHAnsi"/>
                <w:b/>
                <w:bCs/>
                <w:sz w:val="20"/>
                <w:szCs w:val="20"/>
                <w:lang w:val="pl"/>
              </w:rPr>
              <w:t>Zabezpieczenie</w:t>
            </w:r>
          </w:p>
        </w:tc>
        <w:tc>
          <w:tcPr>
            <w:tcW w:w="5670" w:type="dxa"/>
            <w:shd w:val="clear" w:color="auto" w:fill="E2EFD9" w:themeFill="accent6" w:themeFillTint="33"/>
          </w:tcPr>
          <w:p w14:paraId="6A464568" w14:textId="77777777" w:rsidR="003A5BAE" w:rsidRPr="0038322F" w:rsidRDefault="003A5BAE" w:rsidP="003A5BAE">
            <w:pPr>
              <w:jc w:val="both"/>
              <w:rPr>
                <w:rFonts w:cstheme="minorHAnsi"/>
                <w:sz w:val="20"/>
                <w:szCs w:val="20"/>
              </w:rPr>
            </w:pPr>
            <w:r w:rsidRPr="0038322F">
              <w:rPr>
                <w:rFonts w:cstheme="minorHAnsi"/>
                <w:sz w:val="20"/>
                <w:szCs w:val="20"/>
              </w:rPr>
              <w:t>Celem poprawek jest wprowadzenie uelastycznień do nowego obowiązku wnoszenia zabezpieczenia finansowego. Proponuje się uwzględnienie możliwości wniesienia zabezpieczenia w formie poręczenia spółki z grupy kapitałowej. Spółka udzielająca poręczenia musiałaby spełniać określone warunki, takie jak bycie przedsiębiorcą dominującym w rozumieniu ustawy o ochronie konkurencji i konsumentów oraz posiadanie ratingu kredytowego na poziomie co najmniej BBB (Fitch), Baa2 (</w:t>
            </w:r>
            <w:proofErr w:type="spellStart"/>
            <w:r w:rsidRPr="0038322F">
              <w:rPr>
                <w:rFonts w:cstheme="minorHAnsi"/>
                <w:sz w:val="20"/>
                <w:szCs w:val="20"/>
              </w:rPr>
              <w:t>Moody's</w:t>
            </w:r>
            <w:proofErr w:type="spellEnd"/>
            <w:r w:rsidRPr="0038322F">
              <w:rPr>
                <w:rFonts w:cstheme="minorHAnsi"/>
                <w:sz w:val="20"/>
                <w:szCs w:val="20"/>
              </w:rPr>
              <w:t xml:space="preserve">) lub BBB (Standard &amp; </w:t>
            </w:r>
            <w:proofErr w:type="spellStart"/>
            <w:r w:rsidRPr="0038322F">
              <w:rPr>
                <w:rFonts w:cstheme="minorHAnsi"/>
                <w:sz w:val="20"/>
                <w:szCs w:val="20"/>
              </w:rPr>
              <w:t>Poor's</w:t>
            </w:r>
            <w:proofErr w:type="spellEnd"/>
            <w:r w:rsidRPr="0038322F">
              <w:rPr>
                <w:rFonts w:cstheme="minorHAnsi"/>
                <w:sz w:val="20"/>
                <w:szCs w:val="20"/>
              </w:rPr>
              <w:t>). Dodatkowo, spółka musi złożyć oświadczenie o poddaniu się egzekucji w formie aktu notarialnego. Poręczenie przez spółkę z grupy kapitałowej może zwiększyć wiarygodność finansową spółki ubiegającej się o przyłączenie, co może ułatwić uzyskanie finansowania zewnętrznego, a samo przedsiębiorstwo energetyczne zyskuje dodatkowe zabezpieczenie na wypadek niewywiązania się z zobowiązań przez spółkę ubiegającą się o przyłączenie. Ponadto, proponuje się wprowadzenie rozwiązania zwiększającego bezpieczeństwo finansowe, związane z ustanowieniem zabezpieczenia. Możliwość przedłużenia okresu obowiązywania zabezpieczenia finansowego poprzez ustanowienie nowego zabezpieczenia lub prolongowanie dotychczasowego zabezpieczenia, nie później niż w terminie 14 dni kalendarzowych przed dniem wygaśnięcia obowiązywania dotychczasowego zabezpieczenia, ma na celu zapewnienie ciągłości zabezpieczenia finansowego, a z drugiej strony obniżenie jego kosztów dla podmiotu przyłączanego. Konieczne jest również zmodyfikowanie warunków zwrotu zabezpieczenia przez przedsiębiorstwo energetyczne. Wprowadzenie poprawki dotyczącej wydłużenia z 30 do 150 dni czasu na rezygnację przez przyłączany podmiot z wydanych warunków przyłączenia, co umożliwi zwrot zabezpieczenia przez operatora systemu energetycznego, jest potrzebne, gdyż daje podmiotom przyłączanym większą elastyczność w podejmowaniu decyzji. Dłuższy okres pozwala na dokładniejszą analizę warunków przyłączenia oraz ocenę możliwości realizacji projektu. Wydane warunki przyłączenia wymagają szczegółowej analizy technicznej, finansowej oraz prawnej. Dłuższy czas na ich ocenę warunków jest niezbędny i pozwali podmiotom na dokładniejsze przeanalizowanie wszystkich aspektów projektu.</w:t>
            </w:r>
          </w:p>
          <w:p w14:paraId="4BB5F963" w14:textId="77777777" w:rsidR="003A5BAE" w:rsidRPr="0038322F" w:rsidRDefault="003A5BAE" w:rsidP="003A5BAE">
            <w:pPr>
              <w:jc w:val="both"/>
              <w:rPr>
                <w:rFonts w:eastAsia="Calibri" w:cstheme="minorHAnsi"/>
                <w:b/>
                <w:bCs/>
                <w:sz w:val="20"/>
                <w:szCs w:val="20"/>
                <w:lang w:val="pl"/>
              </w:rPr>
            </w:pPr>
          </w:p>
        </w:tc>
        <w:tc>
          <w:tcPr>
            <w:tcW w:w="4394" w:type="dxa"/>
            <w:shd w:val="clear" w:color="auto" w:fill="E2EFD9" w:themeFill="accent6" w:themeFillTint="33"/>
          </w:tcPr>
          <w:p w14:paraId="24E18DF6" w14:textId="77777777" w:rsidR="003A5BAE" w:rsidRPr="0038322F" w:rsidRDefault="003A5BAE" w:rsidP="003A5BAE">
            <w:pPr>
              <w:jc w:val="both"/>
              <w:rPr>
                <w:rFonts w:cstheme="minorHAnsi"/>
                <w:sz w:val="20"/>
                <w:szCs w:val="20"/>
              </w:rPr>
            </w:pPr>
            <w:r w:rsidRPr="0038322F">
              <w:rPr>
                <w:rFonts w:cstheme="minorHAnsi"/>
                <w:sz w:val="20"/>
                <w:szCs w:val="20"/>
              </w:rPr>
              <w:t>„8c</w:t>
            </w:r>
            <w:r w:rsidRPr="0038322F">
              <w:rPr>
                <w:rFonts w:cstheme="minorHAnsi"/>
                <w:sz w:val="20"/>
                <w:szCs w:val="20"/>
                <w:vertAlign w:val="superscript"/>
              </w:rPr>
              <w:t>1.</w:t>
            </w:r>
            <w:r w:rsidRPr="0038322F">
              <w:rPr>
                <w:rFonts w:cstheme="minorHAnsi"/>
                <w:sz w:val="20"/>
                <w:szCs w:val="20"/>
              </w:rPr>
              <w:t xml:space="preserve"> Podmiot ubiegający się o przyłączenie do sieci elektroenergetycznej o napięciu znamionowym wyższym niż 1 </w:t>
            </w:r>
            <w:proofErr w:type="spellStart"/>
            <w:r w:rsidRPr="0038322F">
              <w:rPr>
                <w:rFonts w:cstheme="minorHAnsi"/>
                <w:sz w:val="20"/>
                <w:szCs w:val="20"/>
              </w:rPr>
              <w:t>kV</w:t>
            </w:r>
            <w:proofErr w:type="spellEnd"/>
            <w:r w:rsidRPr="0038322F">
              <w:rPr>
                <w:rFonts w:cstheme="minorHAnsi"/>
                <w:sz w:val="20"/>
                <w:szCs w:val="20"/>
              </w:rPr>
              <w:t>, składa zabezpieczenie wykonania zobowiązań wynikających z warunków przyłączenia, zwane dalej „zabezpieczeniem”, w wysokości 30 zł za każdy kilowat mocy przyłączeniowej wskazanej we wniosku o określenie warunków przyłączenia, w zakresie wartości mocy nieprzekraczającej 100 MW, oraz w wysokości 60 zł za każdy kilowat mocy przyłączeniowej wskazanej we wniosku o określenie warunków przyłączenia, w zakresie wartości mocy przekraczającej 100 MW, jednak nie więcej niż 12 000 000 zł. Jeżeli podmiot ubiegający się o przyłączenie dysponuje mocą przyłączeniową, zabezpieczenie jest składane jedynie w odniesieniu do przyrostu mocy przyłączeniowej.</w:t>
            </w:r>
          </w:p>
          <w:p w14:paraId="7C0FCE69" w14:textId="77777777" w:rsidR="003A5BAE" w:rsidRPr="0038322F" w:rsidRDefault="003A5BAE" w:rsidP="003A5BAE">
            <w:pPr>
              <w:jc w:val="both"/>
              <w:rPr>
                <w:rFonts w:cstheme="minorHAnsi"/>
                <w:sz w:val="20"/>
                <w:szCs w:val="20"/>
              </w:rPr>
            </w:pPr>
            <w:r w:rsidRPr="0038322F">
              <w:rPr>
                <w:rFonts w:cstheme="minorHAnsi"/>
                <w:sz w:val="20"/>
                <w:szCs w:val="20"/>
              </w:rPr>
              <w:t>8c</w:t>
            </w:r>
            <w:r w:rsidRPr="0038322F">
              <w:rPr>
                <w:rFonts w:cstheme="minorHAnsi"/>
                <w:sz w:val="20"/>
                <w:szCs w:val="20"/>
                <w:vertAlign w:val="superscript"/>
              </w:rPr>
              <w:t>2</w:t>
            </w:r>
            <w:r w:rsidRPr="0038322F">
              <w:rPr>
                <w:rFonts w:cstheme="minorHAnsi"/>
                <w:sz w:val="20"/>
                <w:szCs w:val="20"/>
              </w:rPr>
              <w:t xml:space="preserve">. Zabezpieczenie może być złożone w formie: </w:t>
            </w:r>
          </w:p>
          <w:p w14:paraId="056E8D41" w14:textId="77777777" w:rsidR="003A5BAE" w:rsidRPr="0038322F" w:rsidRDefault="003A5BAE" w:rsidP="003A5BAE">
            <w:pPr>
              <w:jc w:val="both"/>
              <w:rPr>
                <w:rFonts w:cstheme="minorHAnsi"/>
                <w:sz w:val="20"/>
                <w:szCs w:val="20"/>
              </w:rPr>
            </w:pPr>
            <w:r w:rsidRPr="0038322F">
              <w:rPr>
                <w:rFonts w:cstheme="minorHAnsi"/>
                <w:b/>
                <w:bCs/>
                <w:i/>
                <w:iCs/>
                <w:sz w:val="20"/>
                <w:szCs w:val="20"/>
              </w:rPr>
              <w:t xml:space="preserve">1) </w:t>
            </w:r>
            <w:r w:rsidRPr="0038322F">
              <w:rPr>
                <w:rFonts w:cstheme="minorHAnsi"/>
                <w:sz w:val="20"/>
                <w:szCs w:val="20"/>
              </w:rPr>
              <w:t xml:space="preserve">kaucji, wniesionej na oprocentowany rachunek bankowy prowadzony dla przedsiębiorstwa energetycznego, do którego sieci dany podmiot ubiega się o przyłączenie, lub </w:t>
            </w:r>
          </w:p>
          <w:p w14:paraId="7D2DBADF" w14:textId="77777777" w:rsidR="003A5BAE" w:rsidRPr="0038322F" w:rsidRDefault="003A5BAE" w:rsidP="003A5BAE">
            <w:pPr>
              <w:jc w:val="both"/>
              <w:rPr>
                <w:rFonts w:cstheme="minorHAnsi"/>
                <w:sz w:val="20"/>
                <w:szCs w:val="20"/>
              </w:rPr>
            </w:pPr>
            <w:r w:rsidRPr="0038322F">
              <w:rPr>
                <w:rFonts w:cstheme="minorHAnsi"/>
                <w:b/>
                <w:bCs/>
                <w:i/>
                <w:iCs/>
                <w:sz w:val="20"/>
                <w:szCs w:val="20"/>
              </w:rPr>
              <w:t xml:space="preserve">2) </w:t>
            </w:r>
            <w:r w:rsidRPr="0038322F">
              <w:rPr>
                <w:rFonts w:cstheme="minorHAnsi"/>
                <w:sz w:val="20"/>
                <w:szCs w:val="20"/>
              </w:rPr>
              <w:t xml:space="preserve">gwarancji </w:t>
            </w:r>
            <w:bookmarkStart w:id="2" w:name="_Int_NFweER1b"/>
            <w:r w:rsidRPr="0038322F">
              <w:rPr>
                <w:rFonts w:cstheme="minorHAnsi"/>
                <w:sz w:val="20"/>
                <w:szCs w:val="20"/>
              </w:rPr>
              <w:t>ubezpieczeniowej,</w:t>
            </w:r>
            <w:bookmarkEnd w:id="2"/>
            <w:r w:rsidRPr="0038322F">
              <w:rPr>
                <w:rFonts w:cstheme="minorHAnsi"/>
                <w:sz w:val="20"/>
                <w:szCs w:val="20"/>
              </w:rPr>
              <w:t xml:space="preserve"> lub </w:t>
            </w:r>
          </w:p>
          <w:p w14:paraId="5E66E90F" w14:textId="77777777" w:rsidR="003A5BAE" w:rsidRPr="0038322F" w:rsidRDefault="003A5BAE" w:rsidP="003A5BAE">
            <w:pPr>
              <w:jc w:val="both"/>
              <w:rPr>
                <w:rFonts w:cstheme="minorHAnsi"/>
                <w:sz w:val="20"/>
                <w:szCs w:val="20"/>
              </w:rPr>
            </w:pPr>
            <w:r w:rsidRPr="0038322F">
              <w:rPr>
                <w:rFonts w:cstheme="minorHAnsi"/>
                <w:b/>
                <w:bCs/>
                <w:i/>
                <w:iCs/>
                <w:sz w:val="20"/>
                <w:szCs w:val="20"/>
              </w:rPr>
              <w:t xml:space="preserve">3) gwarancji </w:t>
            </w:r>
            <w:bookmarkStart w:id="3" w:name="_Int_CiDsz4mu"/>
            <w:r w:rsidRPr="0038322F">
              <w:rPr>
                <w:rFonts w:cstheme="minorHAnsi"/>
                <w:sz w:val="20"/>
                <w:szCs w:val="20"/>
              </w:rPr>
              <w:t>bankowej</w:t>
            </w:r>
            <w:r w:rsidRPr="0038322F">
              <w:rPr>
                <w:rFonts w:cstheme="minorHAnsi"/>
                <w:b/>
                <w:bCs/>
                <w:i/>
                <w:iCs/>
                <w:sz w:val="20"/>
                <w:szCs w:val="20"/>
              </w:rPr>
              <w:t>,</w:t>
            </w:r>
            <w:bookmarkEnd w:id="3"/>
            <w:r w:rsidRPr="0038322F">
              <w:rPr>
                <w:rFonts w:cstheme="minorHAnsi"/>
                <w:b/>
                <w:bCs/>
                <w:i/>
                <w:iCs/>
                <w:sz w:val="20"/>
                <w:szCs w:val="20"/>
              </w:rPr>
              <w:t xml:space="preserve"> lub</w:t>
            </w:r>
          </w:p>
          <w:p w14:paraId="2D07BB98" w14:textId="77777777" w:rsidR="003A5BAE" w:rsidRPr="0038322F" w:rsidRDefault="003A5BAE" w:rsidP="003A5BAE">
            <w:pPr>
              <w:jc w:val="both"/>
              <w:rPr>
                <w:rFonts w:cstheme="minorHAnsi"/>
                <w:b/>
                <w:bCs/>
                <w:i/>
                <w:iCs/>
                <w:sz w:val="20"/>
                <w:szCs w:val="20"/>
              </w:rPr>
            </w:pPr>
            <w:r w:rsidRPr="0038322F">
              <w:rPr>
                <w:rFonts w:cstheme="minorHAnsi"/>
                <w:b/>
                <w:bCs/>
                <w:i/>
                <w:iCs/>
                <w:sz w:val="20"/>
                <w:szCs w:val="20"/>
              </w:rPr>
              <w:t>4) poręczenia spółki:</w:t>
            </w:r>
          </w:p>
          <w:p w14:paraId="1CB47336" w14:textId="77777777" w:rsidR="003A5BAE" w:rsidRPr="0038322F" w:rsidRDefault="003A5BAE" w:rsidP="003A5BAE">
            <w:pPr>
              <w:jc w:val="both"/>
              <w:rPr>
                <w:rFonts w:cstheme="minorHAnsi"/>
                <w:b/>
                <w:bCs/>
                <w:i/>
                <w:iCs/>
                <w:sz w:val="20"/>
                <w:szCs w:val="20"/>
              </w:rPr>
            </w:pPr>
            <w:r w:rsidRPr="0038322F">
              <w:rPr>
                <w:rFonts w:cstheme="minorHAnsi"/>
                <w:b/>
                <w:bCs/>
                <w:i/>
                <w:iCs/>
                <w:sz w:val="20"/>
                <w:szCs w:val="20"/>
              </w:rPr>
              <w:t>a) z grupy kapitałowej będącej w stosunku do podmiotu, któremu udzielane jest takie poręczenie, przedsiębiorcą dominującym w rozumieniu art. 4 pkt 3 ustawy z dnia 16 lutego 2007 r. o ochronie konkurencji i konsumentów (Dz. U. z 2018 r. poz. 798, 650, 1637 i 1669), oraz</w:t>
            </w:r>
          </w:p>
          <w:p w14:paraId="51B4B2E9" w14:textId="77777777" w:rsidR="003A5BAE" w:rsidRPr="0038322F" w:rsidRDefault="003A5BAE" w:rsidP="003A5BAE">
            <w:pPr>
              <w:jc w:val="both"/>
              <w:rPr>
                <w:rFonts w:cstheme="minorHAnsi"/>
                <w:b/>
                <w:bCs/>
                <w:i/>
                <w:iCs/>
                <w:sz w:val="20"/>
                <w:szCs w:val="20"/>
              </w:rPr>
            </w:pPr>
            <w:r w:rsidRPr="0038322F">
              <w:rPr>
                <w:rFonts w:cstheme="minorHAnsi"/>
                <w:b/>
                <w:bCs/>
                <w:i/>
                <w:iCs/>
                <w:sz w:val="20"/>
                <w:szCs w:val="20"/>
              </w:rPr>
              <w:t>b)  posiadającej rating kredytowy w rozumieniu art. 3 pkt 1 lit. a rozporządzenia Parlamentu Europejskiego i Rady (WE) nr 1060/2009 z dnia 16 września 2009 r. w sprawie agencji ratingowych, co najmniej na poziomie kategorii ratingowej wskazanej w ust. 8c</w:t>
            </w:r>
            <w:r w:rsidRPr="0038322F">
              <w:rPr>
                <w:rFonts w:cstheme="minorHAnsi"/>
                <w:b/>
                <w:bCs/>
                <w:i/>
                <w:iCs/>
                <w:sz w:val="20"/>
                <w:szCs w:val="20"/>
                <w:vertAlign w:val="superscript"/>
              </w:rPr>
              <w:t>4</w:t>
            </w:r>
            <w:r w:rsidRPr="0038322F">
              <w:rPr>
                <w:rFonts w:cstheme="minorHAnsi"/>
                <w:b/>
                <w:bCs/>
                <w:i/>
                <w:iCs/>
                <w:sz w:val="20"/>
                <w:szCs w:val="20"/>
              </w:rPr>
              <w:t xml:space="preserve">, oraz lit. c, która do umowy poręczenia dołączyła oświadczenie, złożone w formie aktu notarialnego, o poddaniu się egzekucji w trybie z art. 777 § 1 pkt 5 ustawy z dnia 17 listopada 1964 r. – Kodeks postępowania cywilnego (Dz. U. z 2018 r. poz. 1360, z </w:t>
            </w:r>
            <w:proofErr w:type="spellStart"/>
            <w:r w:rsidRPr="0038322F">
              <w:rPr>
                <w:rFonts w:cstheme="minorHAnsi"/>
                <w:b/>
                <w:bCs/>
                <w:i/>
                <w:iCs/>
                <w:sz w:val="20"/>
                <w:szCs w:val="20"/>
              </w:rPr>
              <w:t>późn</w:t>
            </w:r>
            <w:proofErr w:type="spellEnd"/>
            <w:r w:rsidRPr="0038322F">
              <w:rPr>
                <w:rFonts w:cstheme="minorHAnsi"/>
                <w:b/>
                <w:bCs/>
                <w:i/>
                <w:iCs/>
                <w:sz w:val="20"/>
                <w:szCs w:val="20"/>
              </w:rPr>
              <w:t xml:space="preserve">. </w:t>
            </w:r>
            <w:proofErr w:type="spellStart"/>
            <w:r w:rsidRPr="0038322F">
              <w:rPr>
                <w:rFonts w:cstheme="minorHAnsi"/>
                <w:b/>
                <w:bCs/>
                <w:i/>
                <w:iCs/>
                <w:sz w:val="20"/>
                <w:szCs w:val="20"/>
              </w:rPr>
              <w:t>zm</w:t>
            </w:r>
            <w:proofErr w:type="spellEnd"/>
            <w:r w:rsidRPr="0038322F">
              <w:rPr>
                <w:rFonts w:cstheme="minorHAnsi"/>
                <w:b/>
                <w:bCs/>
                <w:i/>
                <w:iCs/>
                <w:sz w:val="20"/>
                <w:szCs w:val="20"/>
              </w:rPr>
              <w:t>).</w:t>
            </w:r>
          </w:p>
          <w:p w14:paraId="1C407BC0" w14:textId="77777777" w:rsidR="003A5BAE" w:rsidRPr="0038322F" w:rsidRDefault="003A5BAE" w:rsidP="003A5BAE">
            <w:pPr>
              <w:jc w:val="both"/>
              <w:rPr>
                <w:rFonts w:cstheme="minorHAnsi"/>
                <w:b/>
                <w:bCs/>
                <w:i/>
                <w:iCs/>
                <w:sz w:val="20"/>
                <w:szCs w:val="20"/>
              </w:rPr>
            </w:pPr>
            <w:r w:rsidRPr="0038322F">
              <w:rPr>
                <w:rFonts w:cstheme="minorHAnsi"/>
                <w:b/>
                <w:bCs/>
                <w:i/>
                <w:iCs/>
                <w:sz w:val="20"/>
                <w:szCs w:val="20"/>
              </w:rPr>
              <w:t>[…]</w:t>
            </w:r>
          </w:p>
          <w:p w14:paraId="70D825D3" w14:textId="77777777" w:rsidR="003A5BAE" w:rsidRPr="0038322F" w:rsidRDefault="003A5BAE" w:rsidP="003A5BAE">
            <w:pPr>
              <w:jc w:val="both"/>
              <w:rPr>
                <w:rFonts w:cstheme="minorHAnsi"/>
                <w:b/>
                <w:bCs/>
                <w:i/>
                <w:iCs/>
                <w:sz w:val="20"/>
                <w:szCs w:val="20"/>
              </w:rPr>
            </w:pPr>
            <w:r w:rsidRPr="0038322F">
              <w:rPr>
                <w:rFonts w:cstheme="minorHAnsi"/>
                <w:b/>
                <w:bCs/>
                <w:i/>
                <w:iCs/>
                <w:sz w:val="20"/>
                <w:szCs w:val="20"/>
              </w:rPr>
              <w:t>8c</w:t>
            </w:r>
            <w:r w:rsidRPr="0038322F">
              <w:rPr>
                <w:rFonts w:cstheme="minorHAnsi"/>
                <w:b/>
                <w:bCs/>
                <w:i/>
                <w:iCs/>
                <w:sz w:val="20"/>
                <w:szCs w:val="20"/>
                <w:vertAlign w:val="superscript"/>
              </w:rPr>
              <w:t>6</w:t>
            </w:r>
            <w:r w:rsidRPr="0038322F">
              <w:rPr>
                <w:rFonts w:cstheme="minorHAnsi"/>
                <w:b/>
                <w:bCs/>
                <w:i/>
                <w:iCs/>
                <w:sz w:val="20"/>
                <w:szCs w:val="20"/>
              </w:rPr>
              <w:t>.  Przedłużenie okresu obowiązywania zabezpieczenia finansowego może nastąpić poprzez ustanowienie nowego zabezpieczenia lub prolongowanie dotychczasowego zabezpieczenia, nie później niż w terminie 14 dni kalendarzowych przed dniem wygaśnięcia obowiązywania dotychczasowego zabezpieczenia.</w:t>
            </w:r>
          </w:p>
          <w:p w14:paraId="2F300EE2" w14:textId="77777777" w:rsidR="003A5BAE" w:rsidRPr="0038322F" w:rsidRDefault="003A5BAE" w:rsidP="003A5BAE">
            <w:pPr>
              <w:jc w:val="both"/>
              <w:rPr>
                <w:rFonts w:cstheme="minorHAnsi"/>
                <w:sz w:val="20"/>
                <w:szCs w:val="20"/>
              </w:rPr>
            </w:pPr>
            <w:r w:rsidRPr="0038322F">
              <w:rPr>
                <w:rFonts w:eastAsia="Lato" w:cstheme="minorHAnsi"/>
                <w:b/>
                <w:bCs/>
                <w:i/>
                <w:iCs/>
                <w:sz w:val="20"/>
                <w:szCs w:val="20"/>
                <w:lang w:val="pl"/>
              </w:rPr>
              <w:t>8c</w:t>
            </w:r>
            <w:r w:rsidRPr="0038322F">
              <w:rPr>
                <w:rFonts w:eastAsia="Lato" w:cstheme="minorHAnsi"/>
                <w:b/>
                <w:bCs/>
                <w:i/>
                <w:iCs/>
                <w:sz w:val="20"/>
                <w:szCs w:val="20"/>
                <w:vertAlign w:val="superscript"/>
                <w:lang w:val="pl"/>
              </w:rPr>
              <w:t>7</w:t>
            </w:r>
            <w:r w:rsidRPr="0038322F">
              <w:rPr>
                <w:rFonts w:cstheme="minorHAnsi"/>
                <w:sz w:val="20"/>
                <w:szCs w:val="20"/>
              </w:rPr>
              <w:t>. Zabezpieczenie podlega zwrotowi w terminie 30 dni od:</w:t>
            </w:r>
          </w:p>
          <w:p w14:paraId="61B7B80F" w14:textId="77777777" w:rsidR="003A5BAE" w:rsidRPr="0038322F" w:rsidRDefault="003A5BAE" w:rsidP="003A5BAE">
            <w:pPr>
              <w:jc w:val="both"/>
              <w:rPr>
                <w:rFonts w:cstheme="minorHAnsi"/>
                <w:sz w:val="20"/>
                <w:szCs w:val="20"/>
              </w:rPr>
            </w:pPr>
            <w:r w:rsidRPr="0038322F">
              <w:rPr>
                <w:rFonts w:cstheme="minorHAnsi"/>
                <w:sz w:val="20"/>
                <w:szCs w:val="20"/>
              </w:rPr>
              <w:t xml:space="preserve">1) pisemnego poinformowania przedsiębiorstwa energetycznego przez podmiot ubiegający się o przyłączenie o rezygnacji z wydanych warunków przyłączenia w terminie </w:t>
            </w:r>
            <w:r w:rsidRPr="0038322F">
              <w:rPr>
                <w:rFonts w:cstheme="minorHAnsi"/>
                <w:b/>
                <w:bCs/>
                <w:i/>
                <w:iCs/>
                <w:strike/>
                <w:sz w:val="20"/>
                <w:szCs w:val="20"/>
              </w:rPr>
              <w:t xml:space="preserve">30 </w:t>
            </w:r>
            <w:r w:rsidRPr="0038322F">
              <w:rPr>
                <w:rFonts w:cstheme="minorHAnsi"/>
                <w:b/>
                <w:bCs/>
                <w:i/>
                <w:iCs/>
                <w:sz w:val="20"/>
                <w:szCs w:val="20"/>
              </w:rPr>
              <w:t>150</w:t>
            </w:r>
            <w:r w:rsidRPr="0038322F">
              <w:rPr>
                <w:rFonts w:cstheme="minorHAnsi"/>
                <w:sz w:val="20"/>
                <w:szCs w:val="20"/>
              </w:rPr>
              <w:t xml:space="preserve"> dni od dnia ich doręczenia, przy czym rezygnacja skutkuje utratą ważności wydanych warunków przyłączenia;</w:t>
            </w:r>
          </w:p>
          <w:p w14:paraId="601D0DFC" w14:textId="77777777" w:rsidR="003A5BAE" w:rsidRPr="0038322F" w:rsidRDefault="003A5BAE" w:rsidP="003A5BAE">
            <w:pPr>
              <w:jc w:val="both"/>
              <w:rPr>
                <w:rFonts w:cstheme="minorHAnsi"/>
                <w:sz w:val="20"/>
                <w:szCs w:val="20"/>
              </w:rPr>
            </w:pPr>
            <w:r w:rsidRPr="0038322F">
              <w:rPr>
                <w:rFonts w:cstheme="minorHAnsi"/>
                <w:sz w:val="20"/>
                <w:szCs w:val="20"/>
              </w:rPr>
              <w:t>2) pisemnego poinformowania przedsiębiorstwa energetycznego przez podmiot ubiegający się o przyłączenie o zrealizowaniu wszystkich wynikających z umowy o przyłączenie zobowiązań w zakresie przyłączenia urządzeń lub instalacji lub sieci;</w:t>
            </w:r>
          </w:p>
          <w:p w14:paraId="55AE6406" w14:textId="77777777" w:rsidR="003A5BAE" w:rsidRPr="0038322F" w:rsidRDefault="003A5BAE" w:rsidP="003A5BAE">
            <w:pPr>
              <w:jc w:val="both"/>
              <w:rPr>
                <w:rFonts w:cstheme="minorHAnsi"/>
                <w:sz w:val="20"/>
                <w:szCs w:val="20"/>
              </w:rPr>
            </w:pPr>
            <w:r w:rsidRPr="0038322F">
              <w:rPr>
                <w:rFonts w:cstheme="minorHAnsi"/>
                <w:sz w:val="20"/>
                <w:szCs w:val="20"/>
              </w:rPr>
              <w:t>3) rozwiązania albo odstąpienia od umowy o przyłączenie, w przypadku, gdy do zrealizowania przez podmiot ubiegający się o przyłączenie wszystkich zobowiązań wynikających z umowy o przyłączenie nie doszło na skutek rozwiązania albo odstąpienia od umowy o przyłączenie z przyczyn zawinionych przez przedsiębiorstwo energetyczne zajmujące się przesyłaniem lub dystrybucją energii elektrycznej;</w:t>
            </w:r>
          </w:p>
          <w:p w14:paraId="1E400E1A" w14:textId="77777777" w:rsidR="003A5BAE" w:rsidRPr="0038322F" w:rsidRDefault="003A5BAE" w:rsidP="003A5BAE">
            <w:pPr>
              <w:jc w:val="both"/>
              <w:rPr>
                <w:rFonts w:cstheme="minorHAnsi"/>
                <w:sz w:val="20"/>
                <w:szCs w:val="20"/>
              </w:rPr>
            </w:pPr>
            <w:r w:rsidRPr="0038322F">
              <w:rPr>
                <w:rFonts w:cstheme="minorHAnsi"/>
                <w:sz w:val="20"/>
                <w:szCs w:val="20"/>
              </w:rPr>
              <w:t>4) odmowy wydania warunków przyłączenia lub zawarcia umowy o przyłączenie do sieci elektroenergetycznej z podmiotem ubiegającym się o przyłączenie z powodu braku technicznych lub ekonomicznych warunków przyłączenia.</w:t>
            </w:r>
          </w:p>
          <w:p w14:paraId="1A69BFB5" w14:textId="77777777" w:rsidR="003A5BAE" w:rsidRPr="0038322F" w:rsidRDefault="003A5BAE" w:rsidP="003A5BAE">
            <w:pPr>
              <w:jc w:val="both"/>
              <w:rPr>
                <w:rFonts w:cstheme="minorHAnsi"/>
                <w:sz w:val="20"/>
                <w:szCs w:val="20"/>
              </w:rPr>
            </w:pPr>
            <w:r w:rsidRPr="0038322F">
              <w:rPr>
                <w:rFonts w:eastAsia="Lato" w:cstheme="minorHAnsi"/>
                <w:b/>
                <w:bCs/>
                <w:i/>
                <w:iCs/>
                <w:strike/>
                <w:sz w:val="20"/>
                <w:szCs w:val="20"/>
                <w:lang w:val="pl"/>
              </w:rPr>
              <w:t>8c</w:t>
            </w:r>
            <w:r w:rsidRPr="0038322F">
              <w:rPr>
                <w:rFonts w:eastAsia="Lato" w:cstheme="minorHAnsi"/>
                <w:b/>
                <w:bCs/>
                <w:i/>
                <w:iCs/>
                <w:strike/>
                <w:sz w:val="20"/>
                <w:szCs w:val="20"/>
                <w:vertAlign w:val="superscript"/>
                <w:lang w:val="pl"/>
              </w:rPr>
              <w:t>7</w:t>
            </w:r>
            <w:r w:rsidRPr="0038322F">
              <w:rPr>
                <w:rFonts w:eastAsia="Lato" w:cstheme="minorHAnsi"/>
                <w:b/>
                <w:bCs/>
                <w:i/>
                <w:iCs/>
                <w:sz w:val="20"/>
                <w:szCs w:val="20"/>
                <w:lang w:val="pl"/>
              </w:rPr>
              <w:t>8c</w:t>
            </w:r>
            <w:r w:rsidRPr="0038322F">
              <w:rPr>
                <w:rFonts w:eastAsia="Lato" w:cstheme="minorHAnsi"/>
                <w:b/>
                <w:bCs/>
                <w:i/>
                <w:iCs/>
                <w:sz w:val="20"/>
                <w:szCs w:val="20"/>
                <w:vertAlign w:val="superscript"/>
                <w:lang w:val="pl"/>
              </w:rPr>
              <w:t>8</w:t>
            </w:r>
            <w:r w:rsidRPr="0038322F">
              <w:rPr>
                <w:rFonts w:cstheme="minorHAnsi"/>
                <w:sz w:val="20"/>
                <w:szCs w:val="20"/>
              </w:rPr>
              <w:t xml:space="preserve">. Wraz ze zwrotem zabezpieczenia, w przypadkach, o których mowa w ust. </w:t>
            </w:r>
            <w:r w:rsidRPr="0038322F">
              <w:rPr>
                <w:rFonts w:eastAsia="Lato" w:cstheme="minorHAnsi"/>
                <w:b/>
                <w:bCs/>
                <w:strike/>
                <w:sz w:val="20"/>
                <w:szCs w:val="20"/>
                <w:lang w:val="pl"/>
              </w:rPr>
              <w:t>8c</w:t>
            </w:r>
            <w:r w:rsidRPr="0038322F">
              <w:rPr>
                <w:rFonts w:eastAsia="Lato" w:cstheme="minorHAnsi"/>
                <w:b/>
                <w:bCs/>
                <w:strike/>
                <w:sz w:val="20"/>
                <w:szCs w:val="20"/>
                <w:vertAlign w:val="superscript"/>
                <w:lang w:val="pl"/>
              </w:rPr>
              <w:t>6</w:t>
            </w:r>
            <w:r w:rsidRPr="0038322F">
              <w:rPr>
                <w:rFonts w:eastAsia="Lato" w:cstheme="minorHAnsi"/>
                <w:b/>
                <w:bCs/>
                <w:strike/>
                <w:sz w:val="20"/>
                <w:szCs w:val="20"/>
                <w:lang w:val="pl"/>
              </w:rPr>
              <w:t xml:space="preserve"> </w:t>
            </w:r>
            <w:r w:rsidRPr="0038322F">
              <w:rPr>
                <w:rFonts w:eastAsia="Lato" w:cstheme="minorHAnsi"/>
                <w:b/>
                <w:bCs/>
                <w:i/>
                <w:iCs/>
                <w:sz w:val="20"/>
                <w:szCs w:val="20"/>
                <w:lang w:val="pl"/>
              </w:rPr>
              <w:t>8c</w:t>
            </w:r>
            <w:r w:rsidRPr="0038322F">
              <w:rPr>
                <w:rFonts w:eastAsia="Lato" w:cstheme="minorHAnsi"/>
                <w:b/>
                <w:bCs/>
                <w:i/>
                <w:iCs/>
                <w:sz w:val="20"/>
                <w:szCs w:val="20"/>
                <w:vertAlign w:val="superscript"/>
                <w:lang w:val="pl"/>
              </w:rPr>
              <w:t>7</w:t>
            </w:r>
            <w:r w:rsidRPr="0038322F">
              <w:rPr>
                <w:rFonts w:cstheme="minorHAnsi"/>
                <w:sz w:val="20"/>
                <w:szCs w:val="20"/>
              </w:rPr>
              <w:t>, wniesionego w formie kaucji, wypłaca się odsetki od kwoty wniesionego zabezpieczenia, w wysokości równej oprocentowaniu rachunku, na który dokonano wpłaty kaucji.</w:t>
            </w:r>
          </w:p>
          <w:p w14:paraId="65EC486F" w14:textId="77777777" w:rsidR="003A5BAE" w:rsidRPr="0038322F" w:rsidRDefault="003A5BAE" w:rsidP="003A5BAE">
            <w:pPr>
              <w:jc w:val="both"/>
              <w:rPr>
                <w:rFonts w:cstheme="minorHAnsi"/>
                <w:sz w:val="20"/>
                <w:szCs w:val="20"/>
              </w:rPr>
            </w:pPr>
            <w:r w:rsidRPr="0038322F">
              <w:rPr>
                <w:rFonts w:eastAsia="Lato" w:cstheme="minorHAnsi"/>
                <w:b/>
                <w:bCs/>
                <w:strike/>
                <w:sz w:val="20"/>
                <w:szCs w:val="20"/>
                <w:lang w:val="pl"/>
              </w:rPr>
              <w:t>8c</w:t>
            </w:r>
            <w:r w:rsidRPr="0038322F">
              <w:rPr>
                <w:rFonts w:eastAsia="Lato" w:cstheme="minorHAnsi"/>
                <w:b/>
                <w:bCs/>
                <w:strike/>
                <w:sz w:val="20"/>
                <w:szCs w:val="20"/>
                <w:vertAlign w:val="superscript"/>
                <w:lang w:val="pl"/>
              </w:rPr>
              <w:t>8</w:t>
            </w:r>
            <w:r w:rsidRPr="0038322F">
              <w:rPr>
                <w:rFonts w:eastAsia="Lato" w:cstheme="minorHAnsi"/>
                <w:b/>
                <w:bCs/>
                <w:i/>
                <w:iCs/>
                <w:sz w:val="20"/>
                <w:szCs w:val="20"/>
                <w:lang w:val="pl"/>
              </w:rPr>
              <w:t>8c</w:t>
            </w:r>
            <w:r w:rsidRPr="0038322F">
              <w:rPr>
                <w:rFonts w:eastAsia="Lato" w:cstheme="minorHAnsi"/>
                <w:b/>
                <w:bCs/>
                <w:i/>
                <w:iCs/>
                <w:sz w:val="20"/>
                <w:szCs w:val="20"/>
                <w:vertAlign w:val="superscript"/>
                <w:lang w:val="pl"/>
              </w:rPr>
              <w:t>9</w:t>
            </w:r>
            <w:r w:rsidRPr="0038322F">
              <w:rPr>
                <w:rFonts w:cstheme="minorHAnsi"/>
                <w:sz w:val="20"/>
                <w:szCs w:val="20"/>
              </w:rPr>
              <w:t>. Zabezpieczenie nie podlega zwrotowi w przypadku:</w:t>
            </w:r>
          </w:p>
          <w:p w14:paraId="34A3C7AE" w14:textId="77777777" w:rsidR="003A5BAE" w:rsidRPr="0038322F" w:rsidRDefault="003A5BAE" w:rsidP="003A5BAE">
            <w:pPr>
              <w:jc w:val="both"/>
              <w:rPr>
                <w:rFonts w:cstheme="minorHAnsi"/>
                <w:sz w:val="20"/>
                <w:szCs w:val="20"/>
              </w:rPr>
            </w:pPr>
            <w:r w:rsidRPr="0038322F">
              <w:rPr>
                <w:rFonts w:cstheme="minorHAnsi"/>
                <w:sz w:val="20"/>
                <w:szCs w:val="20"/>
              </w:rPr>
              <w:t xml:space="preserve">1) gdy podmiot ubiegający się o przyłączenie nie wystąpi o zawarcie umowy o przyłączenie albo odmówi zawarcia umowy o przyłączenie w okresie ważności warunków przyłączenia, z wyłączeniem ust. </w:t>
            </w:r>
            <w:r w:rsidRPr="0038322F">
              <w:rPr>
                <w:rFonts w:eastAsia="Lato" w:cstheme="minorHAnsi"/>
                <w:b/>
                <w:bCs/>
                <w:strike/>
                <w:sz w:val="20"/>
                <w:szCs w:val="20"/>
                <w:lang w:val="pl"/>
              </w:rPr>
              <w:t>8c</w:t>
            </w:r>
            <w:r w:rsidRPr="0038322F">
              <w:rPr>
                <w:rFonts w:eastAsia="Lato" w:cstheme="minorHAnsi"/>
                <w:b/>
                <w:bCs/>
                <w:strike/>
                <w:sz w:val="20"/>
                <w:szCs w:val="20"/>
                <w:vertAlign w:val="superscript"/>
                <w:lang w:val="pl"/>
              </w:rPr>
              <w:t>6</w:t>
            </w:r>
            <w:r w:rsidRPr="0038322F">
              <w:rPr>
                <w:rFonts w:eastAsia="Lato" w:cstheme="minorHAnsi"/>
                <w:b/>
                <w:bCs/>
                <w:strike/>
                <w:sz w:val="20"/>
                <w:szCs w:val="20"/>
                <w:lang w:val="pl"/>
              </w:rPr>
              <w:t xml:space="preserve"> </w:t>
            </w:r>
            <w:r w:rsidRPr="0038322F">
              <w:rPr>
                <w:rFonts w:eastAsia="Lato" w:cstheme="minorHAnsi"/>
                <w:b/>
                <w:bCs/>
                <w:i/>
                <w:iCs/>
                <w:sz w:val="20"/>
                <w:szCs w:val="20"/>
                <w:lang w:val="pl"/>
              </w:rPr>
              <w:t>8c</w:t>
            </w:r>
            <w:r w:rsidRPr="0038322F">
              <w:rPr>
                <w:rFonts w:eastAsia="Lato" w:cstheme="minorHAnsi"/>
                <w:b/>
                <w:bCs/>
                <w:i/>
                <w:iCs/>
                <w:sz w:val="20"/>
                <w:szCs w:val="20"/>
                <w:vertAlign w:val="superscript"/>
                <w:lang w:val="pl"/>
              </w:rPr>
              <w:t>7</w:t>
            </w:r>
            <w:r w:rsidRPr="0038322F">
              <w:rPr>
                <w:rFonts w:cstheme="minorHAnsi"/>
                <w:sz w:val="20"/>
                <w:szCs w:val="20"/>
              </w:rPr>
              <w:t xml:space="preserve"> pkt 1;</w:t>
            </w:r>
          </w:p>
          <w:p w14:paraId="0A3033A2" w14:textId="77777777" w:rsidR="003A5BAE" w:rsidRPr="0038322F" w:rsidRDefault="003A5BAE" w:rsidP="003A5BAE">
            <w:pPr>
              <w:jc w:val="both"/>
              <w:rPr>
                <w:rFonts w:cstheme="minorHAnsi"/>
                <w:sz w:val="20"/>
                <w:szCs w:val="20"/>
              </w:rPr>
            </w:pPr>
            <w:r w:rsidRPr="0038322F">
              <w:rPr>
                <w:rFonts w:cstheme="minorHAnsi"/>
                <w:sz w:val="20"/>
                <w:szCs w:val="20"/>
              </w:rPr>
              <w:t>2) rozwiązania albo odstąpienia od umowy o przyłączenie, z wyłączeniem ust. 8c</w:t>
            </w:r>
            <w:r w:rsidRPr="0038322F">
              <w:rPr>
                <w:rFonts w:cstheme="minorHAnsi"/>
                <w:sz w:val="20"/>
                <w:szCs w:val="20"/>
                <w:vertAlign w:val="superscript"/>
              </w:rPr>
              <w:t>6</w:t>
            </w:r>
            <w:r w:rsidRPr="0038322F">
              <w:rPr>
                <w:rFonts w:cstheme="minorHAnsi"/>
                <w:sz w:val="20"/>
                <w:szCs w:val="20"/>
              </w:rPr>
              <w:t xml:space="preserve"> pkt 3.</w:t>
            </w:r>
          </w:p>
          <w:p w14:paraId="1F2D36CA" w14:textId="76398406" w:rsidR="003A5BAE" w:rsidRPr="0038322F" w:rsidRDefault="003A5BAE" w:rsidP="003A5BAE">
            <w:pPr>
              <w:jc w:val="both"/>
              <w:rPr>
                <w:rFonts w:eastAsia="Calibri" w:cstheme="minorHAnsi"/>
                <w:b/>
                <w:bCs/>
                <w:sz w:val="20"/>
                <w:szCs w:val="20"/>
                <w:lang w:val="pl"/>
              </w:rPr>
            </w:pPr>
            <w:r w:rsidRPr="0038322F">
              <w:rPr>
                <w:rFonts w:eastAsia="Lato" w:cstheme="minorHAnsi"/>
                <w:b/>
                <w:bCs/>
                <w:strike/>
                <w:sz w:val="20"/>
                <w:szCs w:val="20"/>
                <w:lang w:val="pl"/>
              </w:rPr>
              <w:t>8c9</w:t>
            </w:r>
            <w:r w:rsidRPr="0038322F">
              <w:rPr>
                <w:rFonts w:eastAsia="Lato" w:cstheme="minorHAnsi"/>
                <w:b/>
                <w:bCs/>
                <w:i/>
                <w:iCs/>
                <w:sz w:val="20"/>
                <w:szCs w:val="20"/>
                <w:lang w:val="pl"/>
              </w:rPr>
              <w:t xml:space="preserve"> 8c</w:t>
            </w:r>
            <w:r w:rsidRPr="0038322F">
              <w:rPr>
                <w:rFonts w:eastAsia="Lato" w:cstheme="minorHAnsi"/>
                <w:b/>
                <w:bCs/>
                <w:i/>
                <w:iCs/>
                <w:sz w:val="20"/>
                <w:szCs w:val="20"/>
                <w:vertAlign w:val="superscript"/>
                <w:lang w:val="pl"/>
              </w:rPr>
              <w:t>10</w:t>
            </w:r>
            <w:r w:rsidRPr="0038322F">
              <w:rPr>
                <w:rFonts w:cstheme="minorHAnsi"/>
                <w:sz w:val="20"/>
                <w:szCs w:val="20"/>
                <w:vertAlign w:val="superscript"/>
              </w:rPr>
              <w:t>.</w:t>
            </w:r>
            <w:r w:rsidRPr="0038322F">
              <w:rPr>
                <w:rFonts w:cstheme="minorHAnsi"/>
                <w:sz w:val="20"/>
                <w:szCs w:val="20"/>
              </w:rPr>
              <w:t xml:space="preserve"> Zabezpieczenie składa się w terminie </w:t>
            </w:r>
            <w:r w:rsidRPr="0038322F">
              <w:rPr>
                <w:rFonts w:cstheme="minorHAnsi"/>
                <w:b/>
                <w:bCs/>
                <w:i/>
                <w:iCs/>
                <w:strike/>
                <w:sz w:val="20"/>
                <w:szCs w:val="20"/>
              </w:rPr>
              <w:t>60</w:t>
            </w:r>
            <w:r w:rsidRPr="0038322F">
              <w:rPr>
                <w:rFonts w:cstheme="minorHAnsi"/>
                <w:b/>
                <w:bCs/>
                <w:i/>
                <w:iCs/>
                <w:sz w:val="20"/>
                <w:szCs w:val="20"/>
              </w:rPr>
              <w:t xml:space="preserve"> 150</w:t>
            </w:r>
            <w:r w:rsidRPr="0038322F">
              <w:rPr>
                <w:rFonts w:cstheme="minorHAnsi"/>
                <w:sz w:val="20"/>
                <w:szCs w:val="20"/>
              </w:rPr>
              <w:t xml:space="preserve"> dni od dnia doręczenia warunków przyłączenia, pod rygorem utraty ważności warunków przyłączenia.”,</w:t>
            </w:r>
          </w:p>
        </w:tc>
        <w:tc>
          <w:tcPr>
            <w:tcW w:w="1286" w:type="dxa"/>
            <w:shd w:val="clear" w:color="auto" w:fill="E2EFD9" w:themeFill="accent6" w:themeFillTint="33"/>
          </w:tcPr>
          <w:p w14:paraId="249BA579" w14:textId="77777777" w:rsidR="003A5BAE" w:rsidRPr="0038322F" w:rsidRDefault="003A5BAE" w:rsidP="003A5BAE">
            <w:pPr>
              <w:jc w:val="both"/>
              <w:rPr>
                <w:rFonts w:cstheme="minorHAnsi"/>
                <w:sz w:val="20"/>
                <w:szCs w:val="20"/>
              </w:rPr>
            </w:pPr>
          </w:p>
        </w:tc>
      </w:tr>
      <w:tr w:rsidR="00B10323" w:rsidRPr="0038322F" w14:paraId="18F35EB0" w14:textId="77777777" w:rsidTr="00862BFF">
        <w:tc>
          <w:tcPr>
            <w:tcW w:w="846" w:type="dxa"/>
          </w:tcPr>
          <w:p w14:paraId="211F476B" w14:textId="77777777" w:rsidR="00B10323" w:rsidRPr="0038322F" w:rsidRDefault="00B10323" w:rsidP="00B10323">
            <w:pPr>
              <w:pStyle w:val="Akapitzlist"/>
              <w:numPr>
                <w:ilvl w:val="0"/>
                <w:numId w:val="15"/>
              </w:numPr>
              <w:ind w:left="313"/>
              <w:jc w:val="center"/>
              <w:rPr>
                <w:rFonts w:cstheme="minorHAnsi"/>
                <w:sz w:val="20"/>
                <w:szCs w:val="20"/>
              </w:rPr>
            </w:pPr>
          </w:p>
        </w:tc>
        <w:tc>
          <w:tcPr>
            <w:tcW w:w="1843" w:type="dxa"/>
          </w:tcPr>
          <w:p w14:paraId="48039A72" w14:textId="005FE44F" w:rsidR="00B10323" w:rsidRPr="0038322F" w:rsidRDefault="00B10323" w:rsidP="00B10323">
            <w:pPr>
              <w:jc w:val="center"/>
              <w:rPr>
                <w:rFonts w:eastAsia="Calibri" w:cstheme="minorHAnsi"/>
                <w:sz w:val="20"/>
                <w:szCs w:val="20"/>
                <w:lang w:val="en-US"/>
              </w:rPr>
            </w:pPr>
            <w:r w:rsidRPr="0038322F">
              <w:rPr>
                <w:rFonts w:eastAsia="Calibri" w:cstheme="minorHAnsi"/>
                <w:sz w:val="20"/>
                <w:szCs w:val="20"/>
                <w:lang w:val="en-GB"/>
              </w:rPr>
              <w:t xml:space="preserve">Art. 1 </w:t>
            </w:r>
            <w:proofErr w:type="spellStart"/>
            <w:r w:rsidRPr="0038322F">
              <w:rPr>
                <w:rFonts w:eastAsia="Calibri" w:cstheme="minorHAnsi"/>
                <w:sz w:val="20"/>
                <w:szCs w:val="20"/>
                <w:lang w:val="en-GB"/>
              </w:rPr>
              <w:t>pkt</w:t>
            </w:r>
            <w:proofErr w:type="spellEnd"/>
            <w:r w:rsidRPr="0038322F">
              <w:rPr>
                <w:rFonts w:eastAsia="Calibri" w:cstheme="minorHAnsi"/>
                <w:sz w:val="20"/>
                <w:szCs w:val="20"/>
                <w:lang w:val="en-GB"/>
              </w:rPr>
              <w:t xml:space="preserve"> 8 lit. </w:t>
            </w:r>
            <w:r w:rsidR="00284787" w:rsidRPr="0038322F">
              <w:rPr>
                <w:rFonts w:eastAsia="Calibri" w:cstheme="minorHAnsi"/>
                <w:sz w:val="20"/>
                <w:szCs w:val="20"/>
                <w:lang w:val="en-GB"/>
              </w:rPr>
              <w:t>x</w:t>
            </w:r>
            <w:r w:rsidRPr="0038322F">
              <w:rPr>
                <w:rFonts w:eastAsia="Calibri" w:cstheme="minorHAnsi"/>
                <w:sz w:val="20"/>
                <w:szCs w:val="20"/>
                <w:lang w:val="en-GB"/>
              </w:rPr>
              <w:t xml:space="preserve"> </w:t>
            </w:r>
            <w:proofErr w:type="spellStart"/>
            <w:r w:rsidRPr="0038322F">
              <w:rPr>
                <w:rFonts w:eastAsia="Calibri" w:cstheme="minorHAnsi"/>
                <w:sz w:val="20"/>
                <w:szCs w:val="20"/>
                <w:lang w:val="en-GB"/>
              </w:rPr>
              <w:t>tiret</w:t>
            </w:r>
            <w:proofErr w:type="spellEnd"/>
            <w:r w:rsidRPr="0038322F">
              <w:rPr>
                <w:rFonts w:eastAsia="Calibri" w:cstheme="minorHAnsi"/>
                <w:sz w:val="20"/>
                <w:szCs w:val="20"/>
                <w:lang w:val="en-GB"/>
              </w:rPr>
              <w:t xml:space="preserve"> </w:t>
            </w:r>
            <w:proofErr w:type="spellStart"/>
            <w:r w:rsidRPr="0038322F">
              <w:rPr>
                <w:rFonts w:eastAsia="Calibri" w:cstheme="minorHAnsi"/>
                <w:sz w:val="20"/>
                <w:szCs w:val="20"/>
                <w:lang w:val="en-GB"/>
              </w:rPr>
              <w:t>drugie</w:t>
            </w:r>
            <w:proofErr w:type="spellEnd"/>
          </w:p>
        </w:tc>
        <w:tc>
          <w:tcPr>
            <w:tcW w:w="5670" w:type="dxa"/>
          </w:tcPr>
          <w:p w14:paraId="4D48D60D" w14:textId="0AEC9F19" w:rsidR="00B10323" w:rsidRPr="0038322F" w:rsidRDefault="00B10323" w:rsidP="00B10323">
            <w:pPr>
              <w:jc w:val="both"/>
              <w:rPr>
                <w:rFonts w:eastAsia="Calibri" w:cstheme="minorHAnsi"/>
                <w:sz w:val="20"/>
                <w:szCs w:val="20"/>
              </w:rPr>
            </w:pPr>
            <w:r w:rsidRPr="0038322F">
              <w:rPr>
                <w:rFonts w:eastAsia="Calibri" w:cstheme="minorHAnsi"/>
                <w:sz w:val="20"/>
                <w:szCs w:val="20"/>
                <w:lang w:val="pl"/>
              </w:rPr>
              <w:t>Wzór oświadczenia winien być spójny, opracowany i opublikowany w formie rozporządzenia właściwego ministra</w:t>
            </w:r>
          </w:p>
        </w:tc>
        <w:tc>
          <w:tcPr>
            <w:tcW w:w="4394" w:type="dxa"/>
          </w:tcPr>
          <w:p w14:paraId="32A02B72" w14:textId="77777777" w:rsidR="00B10323" w:rsidRPr="0038322F" w:rsidRDefault="00B10323" w:rsidP="00B10323">
            <w:pPr>
              <w:ind w:left="510" w:hanging="510"/>
              <w:jc w:val="both"/>
              <w:rPr>
                <w:rFonts w:eastAsia="Calibri" w:cstheme="minorHAnsi"/>
                <w:sz w:val="20"/>
                <w:szCs w:val="20"/>
                <w:lang w:val="pl"/>
              </w:rPr>
            </w:pPr>
            <w:r w:rsidRPr="0038322F">
              <w:rPr>
                <w:rFonts w:eastAsia="Calibri" w:cstheme="minorHAnsi"/>
                <w:sz w:val="20"/>
                <w:szCs w:val="20"/>
                <w:lang w:val="pl"/>
              </w:rPr>
              <w:t>Po ust. 8d dodaje się ust. 8d</w:t>
            </w:r>
            <w:r w:rsidRPr="0038322F">
              <w:rPr>
                <w:rFonts w:eastAsia="Calibri" w:cstheme="minorHAnsi"/>
                <w:sz w:val="20"/>
                <w:szCs w:val="20"/>
                <w:vertAlign w:val="superscript"/>
                <w:lang w:val="pl"/>
              </w:rPr>
              <w:t>1</w:t>
            </w:r>
            <w:r w:rsidRPr="0038322F">
              <w:rPr>
                <w:rFonts w:eastAsia="Calibri" w:cstheme="minorHAnsi"/>
                <w:sz w:val="20"/>
                <w:szCs w:val="20"/>
                <w:lang w:val="pl"/>
              </w:rPr>
              <w:t xml:space="preserve"> w brzmieniu:</w:t>
            </w:r>
          </w:p>
          <w:p w14:paraId="7E488F94" w14:textId="4CE94EDD" w:rsidR="00B10323" w:rsidRPr="0038322F" w:rsidRDefault="00B10323" w:rsidP="00284787">
            <w:pPr>
              <w:ind w:left="455" w:hanging="510"/>
              <w:jc w:val="both"/>
              <w:rPr>
                <w:rFonts w:eastAsia="Calibri" w:cstheme="minorHAnsi"/>
                <w:sz w:val="20"/>
                <w:szCs w:val="20"/>
                <w:lang w:val="pl"/>
              </w:rPr>
            </w:pPr>
            <w:r w:rsidRPr="0038322F">
              <w:rPr>
                <w:rFonts w:eastAsia="Calibri" w:cstheme="minorHAnsi"/>
                <w:sz w:val="20"/>
                <w:szCs w:val="20"/>
              </w:rPr>
              <w:t>Minister właściwy do spraw energii określi, w drodze rozporządzenia, wzór oświadczenia, o którym mowa w ust. 8d pkt 1.</w:t>
            </w:r>
          </w:p>
        </w:tc>
        <w:tc>
          <w:tcPr>
            <w:tcW w:w="1286" w:type="dxa"/>
          </w:tcPr>
          <w:p w14:paraId="40B91F52" w14:textId="77777777" w:rsidR="00B10323" w:rsidRPr="0038322F" w:rsidRDefault="00B10323" w:rsidP="00B10323">
            <w:pPr>
              <w:jc w:val="both"/>
              <w:rPr>
                <w:rFonts w:cstheme="minorHAnsi"/>
                <w:sz w:val="20"/>
                <w:szCs w:val="20"/>
              </w:rPr>
            </w:pPr>
          </w:p>
        </w:tc>
      </w:tr>
      <w:tr w:rsidR="00A50B84" w:rsidRPr="0038322F" w14:paraId="00AE47EA" w14:textId="77777777" w:rsidTr="00862BFF">
        <w:tc>
          <w:tcPr>
            <w:tcW w:w="846" w:type="dxa"/>
          </w:tcPr>
          <w:p w14:paraId="407015BE" w14:textId="77777777" w:rsidR="00A50B84" w:rsidRPr="0038322F" w:rsidRDefault="00A50B84" w:rsidP="00B74CC0">
            <w:pPr>
              <w:pStyle w:val="Akapitzlist"/>
              <w:numPr>
                <w:ilvl w:val="0"/>
                <w:numId w:val="15"/>
              </w:numPr>
              <w:ind w:left="313"/>
              <w:jc w:val="center"/>
              <w:rPr>
                <w:rFonts w:cstheme="minorHAnsi"/>
                <w:sz w:val="20"/>
                <w:szCs w:val="20"/>
              </w:rPr>
            </w:pPr>
          </w:p>
        </w:tc>
        <w:tc>
          <w:tcPr>
            <w:tcW w:w="1843" w:type="dxa"/>
          </w:tcPr>
          <w:p w14:paraId="26FEDF1C" w14:textId="21C99DF2" w:rsidR="00A50B84" w:rsidRPr="0038322F" w:rsidRDefault="00A50B84" w:rsidP="00A50B84">
            <w:pPr>
              <w:jc w:val="center"/>
              <w:rPr>
                <w:rFonts w:eastAsia="Calibri" w:cstheme="minorHAnsi"/>
                <w:sz w:val="20"/>
                <w:szCs w:val="20"/>
                <w:lang w:val="en-GB"/>
              </w:rPr>
            </w:pPr>
            <w:r w:rsidRPr="0038322F">
              <w:rPr>
                <w:rFonts w:eastAsia="Calibri" w:cstheme="minorHAnsi"/>
                <w:sz w:val="20"/>
                <w:szCs w:val="20"/>
                <w:lang w:val="en-US"/>
              </w:rPr>
              <w:t xml:space="preserve">Art. 1 pkt. 8 lit. </w:t>
            </w:r>
            <w:r w:rsidR="0074047E" w:rsidRPr="0038322F">
              <w:rPr>
                <w:rFonts w:eastAsia="Calibri" w:cstheme="minorHAnsi"/>
                <w:sz w:val="20"/>
                <w:szCs w:val="20"/>
                <w:lang w:val="en-US"/>
              </w:rPr>
              <w:t>x</w:t>
            </w:r>
            <w:r w:rsidRPr="0038322F">
              <w:rPr>
                <w:rFonts w:eastAsia="Calibri" w:cstheme="minorHAnsi"/>
                <w:sz w:val="20"/>
                <w:szCs w:val="20"/>
                <w:lang w:val="en-US"/>
              </w:rPr>
              <w:t xml:space="preserve"> </w:t>
            </w:r>
            <w:proofErr w:type="spellStart"/>
            <w:r w:rsidR="004242AA" w:rsidRPr="0038322F">
              <w:rPr>
                <w:rFonts w:eastAsia="Calibri" w:cstheme="minorHAnsi"/>
                <w:sz w:val="20"/>
                <w:szCs w:val="20"/>
                <w:lang w:val="en-US"/>
              </w:rPr>
              <w:t>tiret</w:t>
            </w:r>
            <w:proofErr w:type="spellEnd"/>
            <w:r w:rsidR="004242AA" w:rsidRPr="0038322F">
              <w:rPr>
                <w:rFonts w:eastAsia="Calibri" w:cstheme="minorHAnsi"/>
                <w:sz w:val="20"/>
                <w:szCs w:val="20"/>
                <w:lang w:val="en-US"/>
              </w:rPr>
              <w:t xml:space="preserve"> </w:t>
            </w:r>
            <w:proofErr w:type="spellStart"/>
            <w:r w:rsidR="004242AA" w:rsidRPr="0038322F">
              <w:rPr>
                <w:rFonts w:eastAsia="Calibri" w:cstheme="minorHAnsi"/>
                <w:sz w:val="20"/>
                <w:szCs w:val="20"/>
                <w:lang w:val="en-US"/>
              </w:rPr>
              <w:t>trzecie</w:t>
            </w:r>
            <w:proofErr w:type="spellEnd"/>
            <w:r w:rsidR="004242AA" w:rsidRPr="0038322F">
              <w:rPr>
                <w:rFonts w:eastAsia="Calibri" w:cstheme="minorHAnsi"/>
                <w:sz w:val="20"/>
                <w:szCs w:val="20"/>
                <w:lang w:val="en-US"/>
              </w:rPr>
              <w:t xml:space="preserve"> </w:t>
            </w:r>
            <w:r w:rsidRPr="0038322F">
              <w:rPr>
                <w:rFonts w:eastAsia="Calibri" w:cstheme="minorHAnsi"/>
                <w:sz w:val="20"/>
                <w:szCs w:val="20"/>
                <w:lang w:val="en-US"/>
              </w:rPr>
              <w:t xml:space="preserve">(dot. </w:t>
            </w:r>
            <w:proofErr w:type="spellStart"/>
            <w:r w:rsidRPr="0038322F">
              <w:rPr>
                <w:rFonts w:eastAsia="Calibri" w:cstheme="minorHAnsi"/>
                <w:sz w:val="20"/>
                <w:szCs w:val="20"/>
                <w:lang w:val="en-US"/>
              </w:rPr>
              <w:t>uPE</w:t>
            </w:r>
            <w:proofErr w:type="spellEnd"/>
            <w:r w:rsidRPr="0038322F">
              <w:rPr>
                <w:rFonts w:eastAsia="Calibri" w:cstheme="minorHAnsi"/>
                <w:sz w:val="20"/>
                <w:szCs w:val="20"/>
                <w:lang w:val="en-US"/>
              </w:rPr>
              <w:t xml:space="preserve"> Art.7 </w:t>
            </w:r>
            <w:proofErr w:type="spellStart"/>
            <w:r w:rsidRPr="0038322F">
              <w:rPr>
                <w:rFonts w:eastAsia="Calibri" w:cstheme="minorHAnsi"/>
                <w:sz w:val="20"/>
                <w:szCs w:val="20"/>
                <w:lang w:val="en-US"/>
              </w:rPr>
              <w:t>ust</w:t>
            </w:r>
            <w:proofErr w:type="spellEnd"/>
            <w:r w:rsidRPr="0038322F">
              <w:rPr>
                <w:rFonts w:eastAsia="Calibri" w:cstheme="minorHAnsi"/>
                <w:sz w:val="20"/>
                <w:szCs w:val="20"/>
                <w:lang w:val="en-US"/>
              </w:rPr>
              <w:t xml:space="preserve"> 8d pkt 4)</w:t>
            </w:r>
          </w:p>
        </w:tc>
        <w:tc>
          <w:tcPr>
            <w:tcW w:w="5670" w:type="dxa"/>
          </w:tcPr>
          <w:p w14:paraId="74B97551" w14:textId="308CE160" w:rsidR="00A50B84" w:rsidRPr="0038322F" w:rsidRDefault="00A50B84" w:rsidP="00A50B84">
            <w:pPr>
              <w:jc w:val="both"/>
              <w:rPr>
                <w:rFonts w:cstheme="minorHAnsi"/>
                <w:sz w:val="20"/>
                <w:szCs w:val="20"/>
              </w:rPr>
            </w:pPr>
            <w:r w:rsidRPr="0038322F">
              <w:rPr>
                <w:rFonts w:eastAsia="Calibri" w:cstheme="minorHAnsi"/>
                <w:sz w:val="20"/>
                <w:szCs w:val="20"/>
              </w:rPr>
              <w:t>Proponujemy poprawić czytelność punktu, aby nie budził</w:t>
            </w:r>
            <w:r w:rsidR="00C9152B" w:rsidRPr="0038322F">
              <w:rPr>
                <w:rFonts w:eastAsia="Calibri" w:cstheme="minorHAnsi"/>
                <w:sz w:val="20"/>
                <w:szCs w:val="20"/>
              </w:rPr>
              <w:t xml:space="preserve"> on</w:t>
            </w:r>
            <w:r w:rsidRPr="0038322F">
              <w:rPr>
                <w:rFonts w:eastAsia="Calibri" w:cstheme="minorHAnsi"/>
                <w:sz w:val="20"/>
                <w:szCs w:val="20"/>
              </w:rPr>
              <w:t xml:space="preserve"> wątpliwości, że wyłączenie dotyczy</w:t>
            </w:r>
            <w:r w:rsidR="00075CCA" w:rsidRPr="0038322F">
              <w:rPr>
                <w:rFonts w:eastAsia="Calibri" w:cstheme="minorHAnsi"/>
                <w:sz w:val="20"/>
                <w:szCs w:val="20"/>
              </w:rPr>
              <w:t xml:space="preserve"> również</w:t>
            </w:r>
            <w:r w:rsidRPr="0038322F">
              <w:rPr>
                <w:rFonts w:eastAsia="Calibri" w:cstheme="minorHAnsi"/>
                <w:sz w:val="20"/>
                <w:szCs w:val="20"/>
              </w:rPr>
              <w:t xml:space="preserve"> linii wyprowadzających oraz zasilających.</w:t>
            </w:r>
          </w:p>
          <w:p w14:paraId="09D68889" w14:textId="17CC44AC" w:rsidR="00A50B84" w:rsidRPr="0038322F" w:rsidRDefault="00A50B84" w:rsidP="00A50B84">
            <w:pPr>
              <w:jc w:val="both"/>
              <w:rPr>
                <w:rFonts w:cstheme="minorHAnsi"/>
                <w:sz w:val="20"/>
                <w:szCs w:val="20"/>
              </w:rPr>
            </w:pPr>
            <w:r w:rsidRPr="0038322F">
              <w:rPr>
                <w:rFonts w:eastAsia="Calibri" w:cstheme="minorHAnsi"/>
                <w:sz w:val="20"/>
                <w:szCs w:val="20"/>
              </w:rPr>
              <w:t xml:space="preserve">Proponujemy </w:t>
            </w:r>
            <w:r w:rsidR="00075CCA" w:rsidRPr="0038322F">
              <w:rPr>
                <w:rFonts w:eastAsia="Calibri" w:cstheme="minorHAnsi"/>
                <w:sz w:val="20"/>
                <w:szCs w:val="20"/>
              </w:rPr>
              <w:t>wykreślenie</w:t>
            </w:r>
            <w:r w:rsidRPr="0038322F">
              <w:rPr>
                <w:rFonts w:eastAsia="Calibri" w:cstheme="minorHAnsi"/>
                <w:sz w:val="20"/>
                <w:szCs w:val="20"/>
              </w:rPr>
              <w:t xml:space="preserve"> słowa „sieci”.</w:t>
            </w:r>
          </w:p>
          <w:p w14:paraId="064096A9" w14:textId="77777777" w:rsidR="00A50B84" w:rsidRPr="0038322F" w:rsidRDefault="00A50B84" w:rsidP="00A50B84">
            <w:pPr>
              <w:jc w:val="both"/>
              <w:rPr>
                <w:rFonts w:cstheme="minorHAnsi"/>
                <w:sz w:val="20"/>
                <w:szCs w:val="20"/>
              </w:rPr>
            </w:pPr>
            <w:r w:rsidRPr="0038322F">
              <w:rPr>
                <w:rFonts w:eastAsia="Calibri" w:cstheme="minorHAnsi"/>
                <w:sz w:val="20"/>
                <w:szCs w:val="20"/>
              </w:rPr>
              <w:t xml:space="preserve"> </w:t>
            </w:r>
          </w:p>
          <w:p w14:paraId="76E08F48" w14:textId="77777777" w:rsidR="00A50B84" w:rsidRPr="0038322F" w:rsidRDefault="00A50B84" w:rsidP="00A50B84">
            <w:pPr>
              <w:jc w:val="both"/>
              <w:rPr>
                <w:rFonts w:cstheme="minorHAnsi"/>
                <w:sz w:val="20"/>
                <w:szCs w:val="20"/>
              </w:rPr>
            </w:pPr>
            <w:r w:rsidRPr="0038322F">
              <w:rPr>
                <w:rFonts w:eastAsia="Calibri" w:cstheme="minorHAnsi"/>
                <w:sz w:val="20"/>
                <w:szCs w:val="20"/>
                <w:u w:val="single"/>
              </w:rPr>
              <w:t>Uzasadnienie</w:t>
            </w:r>
          </w:p>
          <w:p w14:paraId="42EE2010" w14:textId="74F23F60" w:rsidR="00A50B84" w:rsidRPr="0038322F" w:rsidRDefault="00A50B84" w:rsidP="00A50B84">
            <w:pPr>
              <w:jc w:val="both"/>
              <w:rPr>
                <w:rFonts w:eastAsia="Calibri" w:cstheme="minorHAnsi"/>
                <w:sz w:val="20"/>
                <w:szCs w:val="20"/>
              </w:rPr>
            </w:pPr>
            <w:r w:rsidRPr="0038322F">
              <w:rPr>
                <w:rFonts w:eastAsia="Calibri" w:cstheme="minorHAnsi"/>
                <w:sz w:val="20"/>
                <w:szCs w:val="20"/>
              </w:rPr>
              <w:t>W odniesieniu do uwag zgłoszonych do punktów Art. 1 pkt 8 lit. a oraz lit. c, całkowite odstąpienie od wymagania „oświadczenia o posiadaniu tytułu prawnego podmiotu do korzystania z nieruchomości, na której jest planowana inwestycja”, jest zbyt daleko idące</w:t>
            </w:r>
            <w:r w:rsidR="00B83801" w:rsidRPr="0038322F">
              <w:rPr>
                <w:rFonts w:eastAsia="Calibri" w:cstheme="minorHAnsi"/>
                <w:sz w:val="20"/>
                <w:szCs w:val="20"/>
              </w:rPr>
              <w:t>.</w:t>
            </w:r>
          </w:p>
          <w:p w14:paraId="1AC1FAC8" w14:textId="1ADED792" w:rsidR="00094805" w:rsidRPr="0038322F" w:rsidRDefault="00094805" w:rsidP="00094805">
            <w:pPr>
              <w:jc w:val="both"/>
              <w:rPr>
                <w:rFonts w:eastAsia="Calibri" w:cstheme="minorHAnsi"/>
                <w:sz w:val="20"/>
                <w:szCs w:val="20"/>
              </w:rPr>
            </w:pPr>
            <w:r w:rsidRPr="00094805">
              <w:rPr>
                <w:rFonts w:eastAsia="Calibri" w:cstheme="minorHAnsi"/>
                <w:sz w:val="20"/>
                <w:szCs w:val="20"/>
              </w:rPr>
              <w:t>Warto mieć na uwadze, że całkowite zniesienie tego wymogu może utrudnić ocenę realności składanych wniosków. W praktyce może się zdarzyć, że część z nich dotyczy lokalizacji, które nie są jeszcze faktycznie dostępne dla inwestora. To z kolei może prowadzić do sytuacji, w których moce przyłączeniowe są rezerwowane „na zapas”, co utrudnia dostęp dla projektów gotowych do realizacji.</w:t>
            </w:r>
          </w:p>
        </w:tc>
        <w:tc>
          <w:tcPr>
            <w:tcW w:w="4394" w:type="dxa"/>
          </w:tcPr>
          <w:p w14:paraId="4BD201D7" w14:textId="77777777" w:rsidR="00A50B84" w:rsidRPr="0038322F" w:rsidRDefault="00A50B84" w:rsidP="00A50B84">
            <w:pPr>
              <w:ind w:left="40"/>
              <w:jc w:val="both"/>
              <w:rPr>
                <w:rFonts w:cstheme="minorHAnsi"/>
                <w:sz w:val="20"/>
                <w:szCs w:val="20"/>
              </w:rPr>
            </w:pPr>
            <w:r w:rsidRPr="0038322F">
              <w:rPr>
                <w:rFonts w:eastAsia="Calibri" w:cstheme="minorHAnsi"/>
                <w:sz w:val="20"/>
                <w:szCs w:val="20"/>
              </w:rPr>
              <w:t>Ust. 8d pkt 4  otrzymuje brzmienie:</w:t>
            </w:r>
          </w:p>
          <w:p w14:paraId="1EBE9AAF" w14:textId="529D7803" w:rsidR="00A50B84" w:rsidRPr="0038322F" w:rsidRDefault="00A50B84" w:rsidP="00A50B84">
            <w:pPr>
              <w:jc w:val="both"/>
              <w:rPr>
                <w:rFonts w:eastAsia="Calibri" w:cstheme="minorHAnsi"/>
                <w:strike/>
                <w:sz w:val="20"/>
                <w:szCs w:val="20"/>
                <w:lang w:val="pl"/>
              </w:rPr>
            </w:pPr>
            <w:r w:rsidRPr="0038322F">
              <w:rPr>
                <w:rFonts w:eastAsia="Calibri" w:cstheme="minorHAnsi"/>
                <w:sz w:val="20"/>
                <w:szCs w:val="20"/>
              </w:rPr>
              <w:t xml:space="preserve">„oświadczenie o posiadaniu tytułu prawnego podmiotu do korzystania z nieruchomości, na której jest planowana inwestycja określona we wniosku z wyłączeniem źródeł lokalizowanych w polskim obszarze morskim </w:t>
            </w:r>
            <w:r w:rsidRPr="0038322F">
              <w:rPr>
                <w:rFonts w:eastAsia="Calibri" w:cstheme="minorHAnsi"/>
                <w:b/>
                <w:bCs/>
                <w:color w:val="002060"/>
                <w:sz w:val="20"/>
                <w:szCs w:val="20"/>
              </w:rPr>
              <w:t>oraz z wyłączeniem</w:t>
            </w:r>
            <w:r w:rsidRPr="0038322F">
              <w:rPr>
                <w:rFonts w:eastAsia="Calibri" w:cstheme="minorHAnsi"/>
                <w:sz w:val="20"/>
                <w:szCs w:val="20"/>
              </w:rPr>
              <w:t xml:space="preserve"> </w:t>
            </w:r>
            <w:r w:rsidRPr="0038322F">
              <w:rPr>
                <w:rFonts w:eastAsia="Calibri" w:cstheme="minorHAnsi"/>
                <w:strike/>
                <w:sz w:val="20"/>
                <w:szCs w:val="20"/>
              </w:rPr>
              <w:t>sieci,</w:t>
            </w:r>
            <w:r w:rsidRPr="0038322F">
              <w:rPr>
                <w:rFonts w:eastAsia="Calibri" w:cstheme="minorHAnsi"/>
                <w:sz w:val="20"/>
                <w:szCs w:val="20"/>
              </w:rPr>
              <w:t xml:space="preserve"> linii wyprowadzających moc oraz linii zasilających przyłączany obiekt”</w:t>
            </w:r>
          </w:p>
        </w:tc>
        <w:tc>
          <w:tcPr>
            <w:tcW w:w="1286" w:type="dxa"/>
          </w:tcPr>
          <w:p w14:paraId="1140DEC1" w14:textId="77777777" w:rsidR="00A50B84" w:rsidRPr="0038322F" w:rsidRDefault="00A50B84" w:rsidP="00A50B84">
            <w:pPr>
              <w:jc w:val="both"/>
              <w:rPr>
                <w:rFonts w:cstheme="minorHAnsi"/>
                <w:sz w:val="20"/>
                <w:szCs w:val="20"/>
              </w:rPr>
            </w:pPr>
          </w:p>
        </w:tc>
      </w:tr>
      <w:tr w:rsidR="00A50B84" w:rsidRPr="0038322F" w14:paraId="3580D1EE" w14:textId="77777777" w:rsidTr="006A4319">
        <w:tc>
          <w:tcPr>
            <w:tcW w:w="846" w:type="dxa"/>
            <w:shd w:val="clear" w:color="auto" w:fill="FFFFFF" w:themeFill="background1"/>
          </w:tcPr>
          <w:p w14:paraId="167DCD7A" w14:textId="77777777" w:rsidR="00A50B84" w:rsidRPr="0038322F" w:rsidRDefault="00A50B84" w:rsidP="00B74CC0">
            <w:pPr>
              <w:pStyle w:val="Akapitzlist"/>
              <w:numPr>
                <w:ilvl w:val="0"/>
                <w:numId w:val="15"/>
              </w:numPr>
              <w:ind w:left="313"/>
              <w:jc w:val="center"/>
              <w:rPr>
                <w:rFonts w:cstheme="minorHAnsi"/>
                <w:sz w:val="20"/>
                <w:szCs w:val="20"/>
              </w:rPr>
            </w:pPr>
          </w:p>
        </w:tc>
        <w:tc>
          <w:tcPr>
            <w:tcW w:w="1843" w:type="dxa"/>
            <w:shd w:val="clear" w:color="auto" w:fill="FFFFFF" w:themeFill="background1"/>
          </w:tcPr>
          <w:p w14:paraId="73407BD6" w14:textId="5CF34D30" w:rsidR="00A50B84" w:rsidRPr="0038322F" w:rsidRDefault="00A50B84" w:rsidP="00A50B84">
            <w:pPr>
              <w:jc w:val="center"/>
              <w:rPr>
                <w:rFonts w:eastAsia="Calibri" w:cstheme="minorHAnsi"/>
                <w:sz w:val="20"/>
                <w:szCs w:val="20"/>
                <w:lang w:val="en-GB"/>
              </w:rPr>
            </w:pPr>
            <w:r w:rsidRPr="0038322F">
              <w:rPr>
                <w:rFonts w:eastAsia="Calibri" w:cstheme="minorHAnsi"/>
                <w:sz w:val="20"/>
                <w:szCs w:val="20"/>
                <w:lang w:val="en-US"/>
              </w:rPr>
              <w:t xml:space="preserve">Art. 1 pkt. 8 lit. </w:t>
            </w:r>
            <w:r w:rsidR="00A24C71" w:rsidRPr="0038322F">
              <w:rPr>
                <w:rFonts w:eastAsia="Calibri" w:cstheme="minorHAnsi"/>
                <w:sz w:val="20"/>
                <w:szCs w:val="20"/>
                <w:lang w:val="en-US"/>
              </w:rPr>
              <w:t>y</w:t>
            </w:r>
            <w:r w:rsidRPr="0038322F">
              <w:rPr>
                <w:rFonts w:eastAsia="Calibri" w:cstheme="minorHAnsi"/>
                <w:sz w:val="20"/>
                <w:szCs w:val="20"/>
                <w:lang w:val="en-US"/>
              </w:rPr>
              <w:t xml:space="preserve"> (dot. </w:t>
            </w:r>
            <w:proofErr w:type="spellStart"/>
            <w:r w:rsidRPr="0038322F">
              <w:rPr>
                <w:rFonts w:eastAsia="Calibri" w:cstheme="minorHAnsi"/>
                <w:sz w:val="20"/>
                <w:szCs w:val="20"/>
                <w:lang w:val="en-US"/>
              </w:rPr>
              <w:t>uPE</w:t>
            </w:r>
            <w:proofErr w:type="spellEnd"/>
            <w:r w:rsidRPr="0038322F">
              <w:rPr>
                <w:rFonts w:eastAsia="Calibri" w:cstheme="minorHAnsi"/>
                <w:sz w:val="20"/>
                <w:szCs w:val="20"/>
                <w:lang w:val="en-US"/>
              </w:rPr>
              <w:t xml:space="preserve"> Art.7 </w:t>
            </w:r>
            <w:proofErr w:type="spellStart"/>
            <w:r w:rsidRPr="0038322F">
              <w:rPr>
                <w:rFonts w:eastAsia="Calibri" w:cstheme="minorHAnsi"/>
                <w:sz w:val="20"/>
                <w:szCs w:val="20"/>
                <w:lang w:val="en-US"/>
              </w:rPr>
              <w:t>ust</w:t>
            </w:r>
            <w:proofErr w:type="spellEnd"/>
            <w:r w:rsidRPr="0038322F">
              <w:rPr>
                <w:rFonts w:eastAsia="Calibri" w:cstheme="minorHAnsi"/>
                <w:sz w:val="20"/>
                <w:szCs w:val="20"/>
                <w:lang w:val="en-US"/>
              </w:rPr>
              <w:t xml:space="preserve"> 8da pkt 2)</w:t>
            </w:r>
          </w:p>
        </w:tc>
        <w:tc>
          <w:tcPr>
            <w:tcW w:w="5670" w:type="dxa"/>
            <w:shd w:val="clear" w:color="auto" w:fill="FFFFFF" w:themeFill="background1"/>
          </w:tcPr>
          <w:p w14:paraId="0E2F5FA8" w14:textId="340E43ED" w:rsidR="00A50B84" w:rsidRPr="0038322F" w:rsidRDefault="00A50B84" w:rsidP="00A50B84">
            <w:pPr>
              <w:jc w:val="both"/>
              <w:rPr>
                <w:rFonts w:cstheme="minorHAnsi"/>
                <w:sz w:val="20"/>
                <w:szCs w:val="20"/>
              </w:rPr>
            </w:pPr>
            <w:r w:rsidRPr="0038322F">
              <w:rPr>
                <w:rFonts w:eastAsia="Calibri" w:cstheme="minorHAnsi"/>
                <w:sz w:val="20"/>
                <w:szCs w:val="20"/>
              </w:rPr>
              <w:t>Proponujemy poprawić czytelność punktu, aby nie budził</w:t>
            </w:r>
            <w:r w:rsidR="00C9152B" w:rsidRPr="0038322F">
              <w:rPr>
                <w:rFonts w:eastAsia="Calibri" w:cstheme="minorHAnsi"/>
                <w:sz w:val="20"/>
                <w:szCs w:val="20"/>
              </w:rPr>
              <w:t xml:space="preserve"> on</w:t>
            </w:r>
            <w:r w:rsidRPr="0038322F">
              <w:rPr>
                <w:rFonts w:eastAsia="Calibri" w:cstheme="minorHAnsi"/>
                <w:sz w:val="20"/>
                <w:szCs w:val="20"/>
              </w:rPr>
              <w:t xml:space="preserve"> wątpliwości, że wyłączenie również dotyczy linii wyprowadzających oraz zasilających.</w:t>
            </w:r>
          </w:p>
          <w:p w14:paraId="4A755F03" w14:textId="29B04C26" w:rsidR="00A50B84" w:rsidRPr="0038322F" w:rsidRDefault="00A50B84" w:rsidP="00A50B84">
            <w:pPr>
              <w:jc w:val="both"/>
              <w:rPr>
                <w:rFonts w:cstheme="minorHAnsi"/>
                <w:sz w:val="20"/>
                <w:szCs w:val="20"/>
              </w:rPr>
            </w:pPr>
            <w:r w:rsidRPr="0038322F">
              <w:rPr>
                <w:rFonts w:eastAsia="Calibri" w:cstheme="minorHAnsi"/>
                <w:sz w:val="20"/>
                <w:szCs w:val="20"/>
              </w:rPr>
              <w:t xml:space="preserve">Proponujemy </w:t>
            </w:r>
            <w:r w:rsidR="00C9152B" w:rsidRPr="0038322F">
              <w:rPr>
                <w:rFonts w:eastAsia="Calibri" w:cstheme="minorHAnsi"/>
                <w:sz w:val="20"/>
                <w:szCs w:val="20"/>
              </w:rPr>
              <w:t>wykreślenie</w:t>
            </w:r>
            <w:r w:rsidRPr="0038322F">
              <w:rPr>
                <w:rFonts w:eastAsia="Calibri" w:cstheme="minorHAnsi"/>
                <w:sz w:val="20"/>
                <w:szCs w:val="20"/>
              </w:rPr>
              <w:t xml:space="preserve"> słowa „sieci”.</w:t>
            </w:r>
          </w:p>
          <w:p w14:paraId="13CACBA9" w14:textId="77777777" w:rsidR="00A50B84" w:rsidRPr="0038322F" w:rsidRDefault="00A50B84" w:rsidP="00A50B84">
            <w:pPr>
              <w:jc w:val="both"/>
              <w:rPr>
                <w:rFonts w:cstheme="minorHAnsi"/>
                <w:sz w:val="20"/>
                <w:szCs w:val="20"/>
              </w:rPr>
            </w:pPr>
            <w:r w:rsidRPr="0038322F">
              <w:rPr>
                <w:rFonts w:eastAsia="Calibri" w:cstheme="minorHAnsi"/>
                <w:sz w:val="20"/>
                <w:szCs w:val="20"/>
              </w:rPr>
              <w:t xml:space="preserve"> </w:t>
            </w:r>
          </w:p>
          <w:p w14:paraId="65F3D681" w14:textId="77777777" w:rsidR="00A50B84" w:rsidRPr="0038322F" w:rsidRDefault="00A50B84" w:rsidP="00A50B84">
            <w:pPr>
              <w:jc w:val="both"/>
              <w:rPr>
                <w:rFonts w:cstheme="minorHAnsi"/>
                <w:sz w:val="20"/>
                <w:szCs w:val="20"/>
              </w:rPr>
            </w:pPr>
            <w:r w:rsidRPr="0038322F">
              <w:rPr>
                <w:rFonts w:eastAsia="Calibri" w:cstheme="minorHAnsi"/>
                <w:sz w:val="20"/>
                <w:szCs w:val="20"/>
                <w:u w:val="single"/>
              </w:rPr>
              <w:t>Uzasadnienie</w:t>
            </w:r>
          </w:p>
          <w:p w14:paraId="0BDBBBA1" w14:textId="5678F0F9" w:rsidR="00A50B84" w:rsidRPr="0038322F" w:rsidRDefault="00A50B84" w:rsidP="00A50B84">
            <w:pPr>
              <w:jc w:val="both"/>
              <w:rPr>
                <w:rFonts w:eastAsia="Calibri" w:cstheme="minorHAnsi"/>
                <w:sz w:val="20"/>
                <w:szCs w:val="20"/>
                <w:lang w:val="pl"/>
              </w:rPr>
            </w:pPr>
            <w:r w:rsidRPr="0038322F">
              <w:rPr>
                <w:rFonts w:eastAsia="Calibri" w:cstheme="minorHAnsi"/>
                <w:sz w:val="20"/>
                <w:szCs w:val="20"/>
              </w:rPr>
              <w:t>W odniesieniu do uwag zgłoszonych do punktów Art. 1 pkt 8 lit. a oraz lit. c, całkowite odstąpienie od wymagania „oświadczenia o posiadaniu tytułu prawnego podmiotu do korzystania z nieruchomości, na której jest planowana inwestycja”, jest zbyt daleko idące i jeszcze bardzie zachęca do blokowania mocy przyłączeniowych poprzez składanie wniosków o przyłączenie OSDn.</w:t>
            </w:r>
          </w:p>
        </w:tc>
        <w:tc>
          <w:tcPr>
            <w:tcW w:w="4394" w:type="dxa"/>
            <w:shd w:val="clear" w:color="auto" w:fill="FFFFFF" w:themeFill="background1"/>
          </w:tcPr>
          <w:p w14:paraId="78C15FB0" w14:textId="47F4B6D3" w:rsidR="00A50B84" w:rsidRPr="0038322F" w:rsidRDefault="00A50B84" w:rsidP="00A50B84">
            <w:pPr>
              <w:ind w:left="40"/>
              <w:jc w:val="both"/>
              <w:rPr>
                <w:rFonts w:cstheme="minorHAnsi"/>
                <w:sz w:val="20"/>
                <w:szCs w:val="20"/>
              </w:rPr>
            </w:pPr>
            <w:r w:rsidRPr="0038322F">
              <w:rPr>
                <w:rFonts w:eastAsia="Calibri" w:cstheme="minorHAnsi"/>
                <w:sz w:val="20"/>
                <w:szCs w:val="20"/>
              </w:rPr>
              <w:t xml:space="preserve">Zmiana ust 8da pkt </w:t>
            </w:r>
            <w:r w:rsidR="00BB7C08" w:rsidRPr="0038322F">
              <w:rPr>
                <w:rFonts w:eastAsia="Calibri" w:cstheme="minorHAnsi"/>
                <w:sz w:val="20"/>
                <w:szCs w:val="20"/>
              </w:rPr>
              <w:t>2</w:t>
            </w:r>
          </w:p>
          <w:p w14:paraId="07B9BEC6" w14:textId="2D80DDF9" w:rsidR="00A50B84" w:rsidRPr="0038322F" w:rsidRDefault="00A50B84" w:rsidP="00A50B84">
            <w:pPr>
              <w:jc w:val="both"/>
              <w:rPr>
                <w:rFonts w:eastAsia="Calibri" w:cstheme="minorHAnsi"/>
                <w:strike/>
                <w:sz w:val="20"/>
                <w:szCs w:val="20"/>
                <w:lang w:val="pl"/>
              </w:rPr>
            </w:pPr>
            <w:r w:rsidRPr="0038322F">
              <w:rPr>
                <w:rFonts w:eastAsia="Calibri" w:cstheme="minorHAnsi"/>
                <w:sz w:val="20"/>
                <w:szCs w:val="20"/>
              </w:rPr>
              <w:t>„o dokument potwierdzający tytuł prawny podmiotu do korzystania z nieruchomości, na której jest planowana inwestycja określona we wniosku, z wyłączeniem źródeł lokalizowanych w polskim obszarze morskim</w:t>
            </w:r>
            <w:r w:rsidRPr="0038322F">
              <w:rPr>
                <w:rFonts w:eastAsia="Calibri" w:cstheme="minorHAnsi"/>
                <w:b/>
                <w:bCs/>
                <w:sz w:val="20"/>
                <w:szCs w:val="20"/>
              </w:rPr>
              <w:t xml:space="preserve"> </w:t>
            </w:r>
            <w:r w:rsidRPr="0038322F">
              <w:rPr>
                <w:rFonts w:eastAsia="Calibri" w:cstheme="minorHAnsi"/>
                <w:b/>
                <w:bCs/>
                <w:color w:val="002060"/>
                <w:sz w:val="20"/>
                <w:szCs w:val="20"/>
              </w:rPr>
              <w:t>oraz z wyłączeniem</w:t>
            </w:r>
            <w:r w:rsidRPr="0038322F">
              <w:rPr>
                <w:rFonts w:eastAsia="Calibri" w:cstheme="minorHAnsi"/>
                <w:strike/>
                <w:sz w:val="20"/>
                <w:szCs w:val="20"/>
              </w:rPr>
              <w:t>, sieci,</w:t>
            </w:r>
            <w:r w:rsidRPr="0038322F">
              <w:rPr>
                <w:rFonts w:eastAsia="Calibri" w:cstheme="minorHAnsi"/>
                <w:sz w:val="20"/>
                <w:szCs w:val="20"/>
              </w:rPr>
              <w:t xml:space="preserve"> linii wyprowadzających moc oraz linii zasilających przyłączany obiekt” </w:t>
            </w:r>
          </w:p>
        </w:tc>
        <w:tc>
          <w:tcPr>
            <w:tcW w:w="1286" w:type="dxa"/>
            <w:shd w:val="clear" w:color="auto" w:fill="FFFFFF" w:themeFill="background1"/>
          </w:tcPr>
          <w:p w14:paraId="7BD856A4" w14:textId="77777777" w:rsidR="00A50B84" w:rsidRPr="0038322F" w:rsidRDefault="00A50B84" w:rsidP="00A50B84">
            <w:pPr>
              <w:jc w:val="both"/>
              <w:rPr>
                <w:rFonts w:cstheme="minorHAnsi"/>
                <w:sz w:val="20"/>
                <w:szCs w:val="20"/>
              </w:rPr>
            </w:pPr>
          </w:p>
        </w:tc>
      </w:tr>
      <w:tr w:rsidR="00D956A5" w:rsidRPr="0038322F" w14:paraId="1EE78C27" w14:textId="77777777" w:rsidTr="006A4319">
        <w:tc>
          <w:tcPr>
            <w:tcW w:w="846" w:type="dxa"/>
            <w:shd w:val="clear" w:color="auto" w:fill="FFFFFF" w:themeFill="background1"/>
          </w:tcPr>
          <w:p w14:paraId="053C96A4" w14:textId="77777777" w:rsidR="00D956A5" w:rsidRPr="0038322F" w:rsidRDefault="00D956A5" w:rsidP="00D956A5">
            <w:pPr>
              <w:pStyle w:val="Akapitzlist"/>
              <w:numPr>
                <w:ilvl w:val="0"/>
                <w:numId w:val="15"/>
              </w:numPr>
              <w:ind w:left="313"/>
              <w:jc w:val="center"/>
              <w:rPr>
                <w:rFonts w:cstheme="minorHAnsi"/>
                <w:sz w:val="20"/>
                <w:szCs w:val="20"/>
              </w:rPr>
            </w:pPr>
          </w:p>
        </w:tc>
        <w:tc>
          <w:tcPr>
            <w:tcW w:w="1843" w:type="dxa"/>
            <w:shd w:val="clear" w:color="auto" w:fill="FFFFFF" w:themeFill="background1"/>
          </w:tcPr>
          <w:p w14:paraId="1A672DF6" w14:textId="1E49BEBA" w:rsidR="00D956A5" w:rsidRPr="0038322F" w:rsidRDefault="00D956A5" w:rsidP="00D956A5">
            <w:pPr>
              <w:jc w:val="center"/>
              <w:rPr>
                <w:rFonts w:cstheme="minorHAnsi"/>
                <w:sz w:val="20"/>
                <w:szCs w:val="20"/>
              </w:rPr>
            </w:pPr>
            <w:r w:rsidRPr="0038322F">
              <w:rPr>
                <w:rFonts w:cstheme="minorHAnsi"/>
                <w:sz w:val="20"/>
                <w:szCs w:val="20"/>
              </w:rPr>
              <w:t xml:space="preserve">Art. 1 pkt 8 lit. </w:t>
            </w:r>
            <w:proofErr w:type="spellStart"/>
            <w:r w:rsidRPr="0038322F">
              <w:rPr>
                <w:rFonts w:cstheme="minorHAnsi"/>
                <w:sz w:val="20"/>
                <w:szCs w:val="20"/>
              </w:rPr>
              <w:t>zc</w:t>
            </w:r>
            <w:proofErr w:type="spellEnd"/>
          </w:p>
          <w:p w14:paraId="006BB326" w14:textId="77777777" w:rsidR="00D956A5" w:rsidRPr="0038322F" w:rsidRDefault="00D956A5" w:rsidP="00D956A5">
            <w:pPr>
              <w:jc w:val="center"/>
              <w:rPr>
                <w:rFonts w:eastAsia="Calibri" w:cstheme="minorHAnsi"/>
                <w:sz w:val="20"/>
                <w:szCs w:val="20"/>
                <w:lang w:val="en-US"/>
              </w:rPr>
            </w:pPr>
          </w:p>
        </w:tc>
        <w:tc>
          <w:tcPr>
            <w:tcW w:w="5670" w:type="dxa"/>
            <w:shd w:val="clear" w:color="auto" w:fill="FFFFFF" w:themeFill="background1"/>
          </w:tcPr>
          <w:p w14:paraId="035AEF8B" w14:textId="77777777" w:rsidR="00D956A5" w:rsidRPr="0038322F" w:rsidRDefault="00D956A5" w:rsidP="00D956A5">
            <w:pPr>
              <w:jc w:val="both"/>
              <w:rPr>
                <w:rFonts w:cstheme="minorHAnsi"/>
                <w:sz w:val="20"/>
                <w:szCs w:val="20"/>
              </w:rPr>
            </w:pPr>
            <w:r w:rsidRPr="0038322F">
              <w:rPr>
                <w:rFonts w:cstheme="minorHAnsi"/>
                <w:sz w:val="20"/>
                <w:szCs w:val="20"/>
              </w:rPr>
              <w:t>Proponuje się doprecyzowanie trybu uzupełnienia ewentualnych braków lub wad wniosku przez podmiot ubiegający się o przyłączenie, a także jednoznaczne wskazanie, że wprowadzanie nowych regulacji w zakresie kompletności wniosku nie może przedłużać terminów określonych w ust. 8g, tj. w ramach określonych w przedmiotowym ustępie terminów powinno następować również potwierdzenie kompletności wniosku.</w:t>
            </w:r>
          </w:p>
          <w:p w14:paraId="3EC47AAB" w14:textId="77777777" w:rsidR="00D956A5" w:rsidRPr="0038322F" w:rsidRDefault="00D956A5" w:rsidP="00D956A5">
            <w:pPr>
              <w:jc w:val="both"/>
              <w:rPr>
                <w:rFonts w:eastAsia="Calibri" w:cstheme="minorHAnsi"/>
                <w:sz w:val="20"/>
                <w:szCs w:val="20"/>
              </w:rPr>
            </w:pPr>
          </w:p>
        </w:tc>
        <w:tc>
          <w:tcPr>
            <w:tcW w:w="4394" w:type="dxa"/>
            <w:shd w:val="clear" w:color="auto" w:fill="FFFFFF" w:themeFill="background1"/>
          </w:tcPr>
          <w:p w14:paraId="52A44B50" w14:textId="77777777" w:rsidR="00D956A5" w:rsidRPr="0038322F" w:rsidRDefault="00D956A5" w:rsidP="00D956A5">
            <w:pPr>
              <w:jc w:val="both"/>
              <w:rPr>
                <w:rFonts w:cstheme="minorHAnsi"/>
                <w:b/>
                <w:bCs/>
                <w:i/>
                <w:iCs/>
                <w:sz w:val="20"/>
                <w:szCs w:val="20"/>
              </w:rPr>
            </w:pPr>
            <w:r w:rsidRPr="0038322F">
              <w:rPr>
                <w:rFonts w:cstheme="minorHAnsi"/>
                <w:sz w:val="20"/>
                <w:szCs w:val="20"/>
              </w:rPr>
              <w:t>8ga. W przypadku złożenia wniosku o wydanie warunków przyłączenia, o którym mowa w ust. 8g pkt 4–6, przedsiębiorstwo energetyczne zajmujące się przesyłaniem lub dystrybucją energii elektrycznej w terminie 60 dni od dnia otrzymania tego wniosku potwierdza jego kompletność lub przekazuje informację o zidentyfikowanych brakach lub wadach tego wniosku</w:t>
            </w:r>
            <w:r w:rsidRPr="0038322F">
              <w:rPr>
                <w:rFonts w:cstheme="minorHAnsi"/>
                <w:b/>
                <w:bCs/>
                <w:i/>
                <w:iCs/>
                <w:sz w:val="20"/>
                <w:szCs w:val="20"/>
              </w:rPr>
              <w:t>, z uwzględnieniem terminów, o których mowa w ust. 8g.</w:t>
            </w:r>
          </w:p>
          <w:p w14:paraId="03EA0F29" w14:textId="77777777" w:rsidR="00D956A5" w:rsidRPr="0038322F" w:rsidRDefault="00D956A5" w:rsidP="00D956A5">
            <w:pPr>
              <w:jc w:val="both"/>
              <w:rPr>
                <w:rFonts w:cstheme="minorHAnsi"/>
                <w:b/>
                <w:bCs/>
                <w:i/>
                <w:iCs/>
                <w:sz w:val="20"/>
                <w:szCs w:val="20"/>
              </w:rPr>
            </w:pPr>
            <w:r w:rsidRPr="0038322F">
              <w:rPr>
                <w:rFonts w:cstheme="minorHAnsi"/>
                <w:b/>
                <w:bCs/>
                <w:i/>
                <w:iCs/>
                <w:sz w:val="20"/>
                <w:szCs w:val="20"/>
              </w:rPr>
              <w:t>8gb. Przedsiębiorstwo energetyczne zajmujące się przesyłaniem lub dystrybucją energii elektrycznej zawiadamia podmiot ubiegający się o przyłączenie o zidentyfikowanych brakach lub wadach wniosku i wzywa do ich usunięcia w terminie 14 dni od dnia otrzymania wezwania.</w:t>
            </w:r>
          </w:p>
          <w:p w14:paraId="12A2BF00" w14:textId="45545C3B" w:rsidR="00D956A5" w:rsidRPr="0038322F" w:rsidRDefault="00D956A5" w:rsidP="00D956A5">
            <w:pPr>
              <w:ind w:left="40"/>
              <w:jc w:val="both"/>
              <w:rPr>
                <w:rFonts w:eastAsia="Calibri" w:cstheme="minorHAnsi"/>
                <w:sz w:val="20"/>
                <w:szCs w:val="20"/>
              </w:rPr>
            </w:pPr>
            <w:r w:rsidRPr="0038322F">
              <w:rPr>
                <w:rFonts w:cstheme="minorHAnsi"/>
                <w:b/>
                <w:bCs/>
                <w:i/>
                <w:iCs/>
                <w:sz w:val="20"/>
                <w:szCs w:val="20"/>
              </w:rPr>
              <w:t>8gc. W przypadku bezskutecznego upłynięcia terminu, o którym mowa w ust. 8gb wniosek o wydanie warunków przyłączenia pozostawia się bez rozpatrzenia.”,</w:t>
            </w:r>
          </w:p>
        </w:tc>
        <w:tc>
          <w:tcPr>
            <w:tcW w:w="1286" w:type="dxa"/>
            <w:shd w:val="clear" w:color="auto" w:fill="FFFFFF" w:themeFill="background1"/>
          </w:tcPr>
          <w:p w14:paraId="08862FE1" w14:textId="77777777" w:rsidR="00D956A5" w:rsidRPr="0038322F" w:rsidRDefault="00D956A5" w:rsidP="00D956A5">
            <w:pPr>
              <w:jc w:val="both"/>
              <w:rPr>
                <w:rFonts w:cstheme="minorHAnsi"/>
                <w:sz w:val="20"/>
                <w:szCs w:val="20"/>
              </w:rPr>
            </w:pPr>
          </w:p>
        </w:tc>
      </w:tr>
      <w:tr w:rsidR="003F52E4" w:rsidRPr="0038322F" w14:paraId="01ECEEFD" w14:textId="77777777" w:rsidTr="006A4319">
        <w:tc>
          <w:tcPr>
            <w:tcW w:w="846" w:type="dxa"/>
            <w:shd w:val="clear" w:color="auto" w:fill="FFFFFF" w:themeFill="background1"/>
          </w:tcPr>
          <w:p w14:paraId="60664794" w14:textId="77777777" w:rsidR="003F52E4" w:rsidRPr="0038322F" w:rsidRDefault="003F52E4" w:rsidP="003F52E4">
            <w:pPr>
              <w:pStyle w:val="Akapitzlist"/>
              <w:numPr>
                <w:ilvl w:val="0"/>
                <w:numId w:val="15"/>
              </w:numPr>
              <w:ind w:left="313"/>
              <w:jc w:val="center"/>
              <w:rPr>
                <w:rFonts w:cstheme="minorHAnsi"/>
                <w:sz w:val="20"/>
                <w:szCs w:val="20"/>
              </w:rPr>
            </w:pPr>
          </w:p>
        </w:tc>
        <w:tc>
          <w:tcPr>
            <w:tcW w:w="1843" w:type="dxa"/>
            <w:shd w:val="clear" w:color="auto" w:fill="FFFFFF" w:themeFill="background1"/>
          </w:tcPr>
          <w:p w14:paraId="4ED4EEC7" w14:textId="6A485A8D" w:rsidR="003F52E4" w:rsidRPr="0038322F" w:rsidRDefault="003F52E4" w:rsidP="003F52E4">
            <w:pPr>
              <w:jc w:val="center"/>
              <w:rPr>
                <w:rFonts w:eastAsia="Calibri" w:cstheme="minorHAnsi"/>
                <w:sz w:val="20"/>
                <w:szCs w:val="20"/>
              </w:rPr>
            </w:pPr>
            <w:r w:rsidRPr="0038322F">
              <w:rPr>
                <w:rFonts w:eastAsia="Calibri" w:cstheme="minorHAnsi"/>
                <w:sz w:val="20"/>
                <w:szCs w:val="20"/>
                <w:lang w:val="pl"/>
              </w:rPr>
              <w:t xml:space="preserve">Art. 1 pkt 8 </w:t>
            </w:r>
            <w:r w:rsidR="003178B5" w:rsidRPr="0038322F">
              <w:rPr>
                <w:rFonts w:eastAsia="Calibri" w:cstheme="minorHAnsi"/>
                <w:sz w:val="20"/>
                <w:szCs w:val="20"/>
                <w:lang w:val="pl"/>
              </w:rPr>
              <w:t xml:space="preserve">lit. </w:t>
            </w:r>
            <w:proofErr w:type="spellStart"/>
            <w:r w:rsidR="004149EE" w:rsidRPr="0038322F">
              <w:rPr>
                <w:rFonts w:eastAsia="Calibri" w:cstheme="minorHAnsi"/>
                <w:sz w:val="20"/>
                <w:szCs w:val="20"/>
                <w:lang w:val="pl"/>
              </w:rPr>
              <w:t>z</w:t>
            </w:r>
            <w:r w:rsidR="003178B5" w:rsidRPr="0038322F">
              <w:rPr>
                <w:rFonts w:eastAsia="Calibri" w:cstheme="minorHAnsi"/>
                <w:sz w:val="20"/>
                <w:szCs w:val="20"/>
                <w:lang w:val="pl"/>
              </w:rPr>
              <w:t>f</w:t>
            </w:r>
            <w:proofErr w:type="spellEnd"/>
            <w:r w:rsidR="003178B5" w:rsidRPr="0038322F">
              <w:rPr>
                <w:rFonts w:eastAsia="Calibri" w:cstheme="minorHAnsi"/>
                <w:sz w:val="20"/>
                <w:szCs w:val="20"/>
                <w:lang w:val="pl"/>
              </w:rPr>
              <w:t xml:space="preserve"> </w:t>
            </w:r>
            <w:r w:rsidRPr="0038322F">
              <w:rPr>
                <w:rFonts w:eastAsia="Calibri" w:cstheme="minorHAnsi"/>
                <w:sz w:val="20"/>
                <w:szCs w:val="20"/>
                <w:lang w:val="pl"/>
              </w:rPr>
              <w:t xml:space="preserve">projektu </w:t>
            </w:r>
            <w:r w:rsidR="003178B5" w:rsidRPr="0038322F">
              <w:rPr>
                <w:rFonts w:eastAsia="Calibri" w:cstheme="minorHAnsi"/>
                <w:sz w:val="20"/>
                <w:szCs w:val="20"/>
                <w:lang w:val="pl"/>
              </w:rPr>
              <w:t>w zakresie dodawanego</w:t>
            </w:r>
            <w:r w:rsidRPr="0038322F">
              <w:rPr>
                <w:rFonts w:eastAsia="Calibri" w:cstheme="minorHAnsi"/>
                <w:sz w:val="20"/>
                <w:szCs w:val="20"/>
                <w:lang w:val="pl"/>
              </w:rPr>
              <w:t xml:space="preserve"> art. 7 ust. 8i</w:t>
            </w:r>
            <w:r w:rsidRPr="0038322F">
              <w:rPr>
                <w:rFonts w:eastAsia="Calibri" w:cstheme="minorHAnsi"/>
                <w:sz w:val="20"/>
                <w:szCs w:val="20"/>
                <w:vertAlign w:val="superscript"/>
                <w:lang w:val="pl"/>
              </w:rPr>
              <w:t>2</w:t>
            </w:r>
          </w:p>
        </w:tc>
        <w:tc>
          <w:tcPr>
            <w:tcW w:w="5670" w:type="dxa"/>
            <w:shd w:val="clear" w:color="auto" w:fill="FFFFFF" w:themeFill="background1"/>
          </w:tcPr>
          <w:p w14:paraId="32EB7959" w14:textId="77777777" w:rsidR="003F52E4" w:rsidRPr="0038322F" w:rsidRDefault="003F52E4" w:rsidP="003F52E4">
            <w:pPr>
              <w:jc w:val="both"/>
              <w:rPr>
                <w:rFonts w:eastAsia="Calibri" w:cstheme="minorHAnsi"/>
                <w:sz w:val="20"/>
                <w:szCs w:val="20"/>
                <w:lang w:val="pl"/>
              </w:rPr>
            </w:pPr>
            <w:r w:rsidRPr="0038322F">
              <w:rPr>
                <w:rFonts w:eastAsia="Calibri" w:cstheme="minorHAnsi"/>
                <w:sz w:val="20"/>
                <w:szCs w:val="20"/>
                <w:lang w:val="pl"/>
              </w:rPr>
              <w:t>Zmiana powinna dotyczyć wyłącznie lokalizacji źródła wytwórczego lub mag</w:t>
            </w:r>
            <w:r w:rsidR="00E8105B" w:rsidRPr="0038322F">
              <w:rPr>
                <w:rFonts w:eastAsia="Calibri" w:cstheme="minorHAnsi"/>
                <w:sz w:val="20"/>
                <w:szCs w:val="20"/>
                <w:lang w:val="pl"/>
              </w:rPr>
              <w:t>a</w:t>
            </w:r>
            <w:r w:rsidRPr="0038322F">
              <w:rPr>
                <w:rFonts w:eastAsia="Calibri" w:cstheme="minorHAnsi"/>
                <w:sz w:val="20"/>
                <w:szCs w:val="20"/>
                <w:lang w:val="pl"/>
              </w:rPr>
              <w:t xml:space="preserve">zynu energii. Nie powinno to obejmować lokalizacji GPO. </w:t>
            </w:r>
          </w:p>
          <w:p w14:paraId="6CE8C8F4" w14:textId="77777777" w:rsidR="003369A3" w:rsidRPr="0038322F" w:rsidRDefault="003369A3" w:rsidP="003F52E4">
            <w:pPr>
              <w:jc w:val="both"/>
              <w:rPr>
                <w:rFonts w:eastAsia="Calibri" w:cstheme="minorHAnsi"/>
                <w:sz w:val="20"/>
                <w:szCs w:val="20"/>
                <w:lang w:val="pl"/>
              </w:rPr>
            </w:pPr>
          </w:p>
          <w:p w14:paraId="59D9255A" w14:textId="39722390" w:rsidR="003369A3" w:rsidRPr="0038322F" w:rsidRDefault="003369A3" w:rsidP="003F52E4">
            <w:pPr>
              <w:jc w:val="both"/>
              <w:rPr>
                <w:rFonts w:eastAsia="Calibri" w:cstheme="minorHAnsi"/>
                <w:sz w:val="20"/>
                <w:szCs w:val="20"/>
                <w:lang w:val="pl"/>
              </w:rPr>
            </w:pPr>
            <w:r w:rsidRPr="0038322F">
              <w:rPr>
                <w:rFonts w:cstheme="minorHAnsi"/>
                <w:sz w:val="20"/>
                <w:szCs w:val="20"/>
              </w:rPr>
              <w:t>Konieczne jest doprecyzowanie sytuacji tzw. OSDn, w których przypadku modyfikacja warunków przyłączenia może wykraczać poza obszar gminy lub gmin bezpośrednio sąsiadujących.</w:t>
            </w:r>
          </w:p>
        </w:tc>
        <w:tc>
          <w:tcPr>
            <w:tcW w:w="4394" w:type="dxa"/>
            <w:shd w:val="clear" w:color="auto" w:fill="FFFFFF" w:themeFill="background1"/>
          </w:tcPr>
          <w:p w14:paraId="0C940B57" w14:textId="77777777" w:rsidR="003F52E4" w:rsidRPr="0038322F" w:rsidRDefault="003F52E4" w:rsidP="003F52E4">
            <w:pPr>
              <w:spacing w:after="160"/>
              <w:jc w:val="both"/>
              <w:rPr>
                <w:rFonts w:eastAsia="Calibri" w:cstheme="minorHAnsi"/>
                <w:sz w:val="20"/>
                <w:szCs w:val="20"/>
                <w:lang w:val="pl"/>
              </w:rPr>
            </w:pPr>
            <w:r w:rsidRPr="0038322F">
              <w:rPr>
                <w:rFonts w:eastAsia="Calibri" w:cstheme="minorHAnsi"/>
                <w:sz w:val="20"/>
                <w:szCs w:val="20"/>
                <w:lang w:val="pl"/>
              </w:rPr>
              <w:t>Proponowana zmiana:</w:t>
            </w:r>
          </w:p>
          <w:p w14:paraId="7A7ADE76" w14:textId="1E248361" w:rsidR="003F52E4" w:rsidRPr="0038322F" w:rsidRDefault="00686EE6" w:rsidP="003F52E4">
            <w:pPr>
              <w:ind w:left="40"/>
              <w:jc w:val="both"/>
              <w:rPr>
                <w:rFonts w:eastAsia="Calibri" w:cstheme="minorHAnsi"/>
                <w:sz w:val="20"/>
                <w:szCs w:val="20"/>
              </w:rPr>
            </w:pPr>
            <w:r w:rsidRPr="0038322F">
              <w:rPr>
                <w:rFonts w:cstheme="minorHAnsi"/>
                <w:sz w:val="20"/>
                <w:szCs w:val="20"/>
              </w:rPr>
              <w:t xml:space="preserve">Dopuszcza się zmianę warunków przyłączenia na wniosek podmiotu ubiegającego się o przyłączenie w zakresie lokalizacji planowanej inwestycji, </w:t>
            </w:r>
            <w:r w:rsidR="003369A3" w:rsidRPr="0038322F">
              <w:rPr>
                <w:rFonts w:cstheme="minorHAnsi"/>
                <w:b/>
                <w:bCs/>
                <w:i/>
                <w:iCs/>
                <w:sz w:val="20"/>
                <w:szCs w:val="20"/>
              </w:rPr>
              <w:t xml:space="preserve"> </w:t>
            </w:r>
            <w:r w:rsidR="003369A3" w:rsidRPr="0038322F">
              <w:rPr>
                <w:rFonts w:cstheme="minorHAnsi"/>
                <w:b/>
                <w:bCs/>
                <w:i/>
                <w:iCs/>
                <w:sz w:val="20"/>
                <w:szCs w:val="20"/>
              </w:rPr>
              <w:t>z wyłączeniem sieci dystrybucyjnej elektroenergetycznej,</w:t>
            </w:r>
            <w:r w:rsidR="003369A3" w:rsidRPr="0038322F">
              <w:rPr>
                <w:rFonts w:cstheme="minorHAnsi"/>
                <w:sz w:val="20"/>
                <w:szCs w:val="20"/>
              </w:rPr>
              <w:t xml:space="preserve"> </w:t>
            </w:r>
            <w:r w:rsidRPr="0038322F">
              <w:rPr>
                <w:rFonts w:cstheme="minorHAnsi"/>
                <w:sz w:val="20"/>
                <w:szCs w:val="20"/>
              </w:rPr>
              <w:t>z zastrzeżeniem, że</w:t>
            </w:r>
            <w:r w:rsidR="003369A3" w:rsidRPr="0038322F">
              <w:rPr>
                <w:rFonts w:cstheme="minorHAnsi"/>
                <w:sz w:val="20"/>
                <w:szCs w:val="20"/>
              </w:rPr>
              <w:t xml:space="preserve"> </w:t>
            </w:r>
            <w:r w:rsidRPr="0038322F">
              <w:rPr>
                <w:rFonts w:cstheme="minorHAnsi"/>
                <w:sz w:val="20"/>
                <w:szCs w:val="20"/>
              </w:rPr>
              <w:t>ogranicza się ona wyłącznie do obszaru gminy lub gmin bezpośrednio sąsiadujących z terenem planowanej inwestycji.</w:t>
            </w:r>
            <w:r w:rsidR="003F52E4" w:rsidRPr="0038322F">
              <w:rPr>
                <w:rFonts w:eastAsia="Calibri" w:cstheme="minorHAnsi"/>
                <w:i/>
                <w:iCs/>
                <w:sz w:val="20"/>
                <w:szCs w:val="20"/>
                <w:lang w:val="pl"/>
              </w:rPr>
              <w:t xml:space="preserve"> </w:t>
            </w:r>
            <w:r w:rsidR="003F52E4" w:rsidRPr="0038322F">
              <w:rPr>
                <w:rFonts w:eastAsia="Calibri" w:cstheme="minorHAnsi"/>
                <w:b/>
                <w:bCs/>
                <w:i/>
                <w:iCs/>
                <w:sz w:val="20"/>
                <w:szCs w:val="20"/>
                <w:lang w:val="pl"/>
              </w:rPr>
              <w:t>Powyższe nie dotyczy lokalizacji stacji  elektroenergetycznej podmiotu przyłączanego</w:t>
            </w:r>
            <w:r w:rsidR="003F52E4" w:rsidRPr="0038322F">
              <w:rPr>
                <w:rFonts w:eastAsia="Calibri" w:cstheme="minorHAnsi"/>
                <w:i/>
                <w:iCs/>
                <w:sz w:val="20"/>
                <w:szCs w:val="20"/>
                <w:lang w:val="pl"/>
              </w:rPr>
              <w:t>.</w:t>
            </w:r>
          </w:p>
        </w:tc>
        <w:tc>
          <w:tcPr>
            <w:tcW w:w="1286" w:type="dxa"/>
            <w:shd w:val="clear" w:color="auto" w:fill="FFFFFF" w:themeFill="background1"/>
          </w:tcPr>
          <w:p w14:paraId="56B53CDE" w14:textId="77777777" w:rsidR="003F52E4" w:rsidRPr="0038322F" w:rsidRDefault="003F52E4" w:rsidP="003F52E4">
            <w:pPr>
              <w:jc w:val="both"/>
              <w:rPr>
                <w:rFonts w:cstheme="minorHAnsi"/>
                <w:sz w:val="20"/>
                <w:szCs w:val="20"/>
              </w:rPr>
            </w:pPr>
          </w:p>
        </w:tc>
      </w:tr>
      <w:tr w:rsidR="00321E82" w:rsidRPr="0038322F" w14:paraId="03799109" w14:textId="77777777" w:rsidTr="006A4319">
        <w:tc>
          <w:tcPr>
            <w:tcW w:w="846" w:type="dxa"/>
            <w:shd w:val="clear" w:color="auto" w:fill="FFFFFF" w:themeFill="background1"/>
          </w:tcPr>
          <w:p w14:paraId="2DE45CE0" w14:textId="77777777" w:rsidR="00321E82" w:rsidRPr="0038322F" w:rsidRDefault="00321E82" w:rsidP="00321E82">
            <w:pPr>
              <w:pStyle w:val="Akapitzlist"/>
              <w:numPr>
                <w:ilvl w:val="0"/>
                <w:numId w:val="15"/>
              </w:numPr>
              <w:ind w:left="313"/>
              <w:jc w:val="center"/>
              <w:rPr>
                <w:rFonts w:cstheme="minorHAnsi"/>
                <w:sz w:val="20"/>
                <w:szCs w:val="20"/>
              </w:rPr>
            </w:pPr>
          </w:p>
        </w:tc>
        <w:tc>
          <w:tcPr>
            <w:tcW w:w="1843" w:type="dxa"/>
            <w:shd w:val="clear" w:color="auto" w:fill="FFFFFF" w:themeFill="background1"/>
          </w:tcPr>
          <w:p w14:paraId="2CCBD1D2" w14:textId="60931985" w:rsidR="00321E82" w:rsidRPr="0038322F" w:rsidRDefault="00321E82" w:rsidP="00321E82">
            <w:pPr>
              <w:jc w:val="center"/>
              <w:rPr>
                <w:rFonts w:eastAsia="Calibri" w:cstheme="minorHAnsi"/>
                <w:sz w:val="20"/>
                <w:szCs w:val="20"/>
              </w:rPr>
            </w:pPr>
            <w:r w:rsidRPr="0038322F">
              <w:rPr>
                <w:rFonts w:eastAsia="Calibri" w:cstheme="minorHAnsi"/>
                <w:sz w:val="20"/>
                <w:szCs w:val="20"/>
              </w:rPr>
              <w:t xml:space="preserve">Art. 1 pkt 8 lit. </w:t>
            </w:r>
            <w:proofErr w:type="spellStart"/>
            <w:r w:rsidRPr="0038322F">
              <w:rPr>
                <w:rFonts w:eastAsia="Calibri" w:cstheme="minorHAnsi"/>
                <w:sz w:val="20"/>
                <w:szCs w:val="20"/>
              </w:rPr>
              <w:t>z</w:t>
            </w:r>
            <w:r w:rsidRPr="0038322F">
              <w:rPr>
                <w:rFonts w:eastAsia="Calibri" w:cstheme="minorHAnsi"/>
                <w:sz w:val="20"/>
                <w:szCs w:val="20"/>
              </w:rPr>
              <w:t>f</w:t>
            </w:r>
            <w:proofErr w:type="spellEnd"/>
            <w:r w:rsidRPr="0038322F">
              <w:rPr>
                <w:rFonts w:eastAsia="Calibri" w:cstheme="minorHAnsi"/>
                <w:sz w:val="20"/>
                <w:szCs w:val="20"/>
              </w:rPr>
              <w:t xml:space="preserve"> w zakresie dodawanego</w:t>
            </w:r>
            <w:r w:rsidRPr="0038322F">
              <w:rPr>
                <w:rFonts w:eastAsia="Calibri" w:cstheme="minorHAnsi"/>
                <w:sz w:val="20"/>
                <w:szCs w:val="20"/>
              </w:rPr>
              <w:t xml:space="preserve"> </w:t>
            </w:r>
            <w:r w:rsidR="004149EE" w:rsidRPr="0038322F">
              <w:rPr>
                <w:rFonts w:eastAsia="Calibri" w:cstheme="minorHAnsi"/>
                <w:sz w:val="20"/>
                <w:szCs w:val="20"/>
              </w:rPr>
              <w:t>art.</w:t>
            </w:r>
            <w:r w:rsidRPr="0038322F">
              <w:rPr>
                <w:rFonts w:eastAsia="Calibri" w:cstheme="minorHAnsi"/>
                <w:sz w:val="20"/>
                <w:szCs w:val="20"/>
              </w:rPr>
              <w:t xml:space="preserve"> 7 ust 8i</w:t>
            </w:r>
            <w:r w:rsidRPr="0038322F">
              <w:rPr>
                <w:rFonts w:eastAsia="Calibri" w:cstheme="minorHAnsi"/>
                <w:sz w:val="20"/>
                <w:szCs w:val="20"/>
                <w:vertAlign w:val="superscript"/>
              </w:rPr>
              <w:t>3</w:t>
            </w:r>
            <w:r w:rsidRPr="0038322F">
              <w:rPr>
                <w:rFonts w:eastAsia="Calibri" w:cstheme="minorHAnsi"/>
                <w:sz w:val="20"/>
                <w:szCs w:val="20"/>
              </w:rPr>
              <w:t>.</w:t>
            </w:r>
          </w:p>
        </w:tc>
        <w:tc>
          <w:tcPr>
            <w:tcW w:w="5670" w:type="dxa"/>
            <w:shd w:val="clear" w:color="auto" w:fill="FFFFFF" w:themeFill="background1"/>
          </w:tcPr>
          <w:p w14:paraId="3035871D" w14:textId="77777777" w:rsidR="00EA382E" w:rsidRPr="0038322F" w:rsidRDefault="00EA382E" w:rsidP="00EA382E">
            <w:pPr>
              <w:jc w:val="both"/>
              <w:rPr>
                <w:rFonts w:eastAsia="Calibri" w:cstheme="minorHAnsi"/>
                <w:sz w:val="20"/>
                <w:szCs w:val="20"/>
                <w:lang w:val="pl"/>
              </w:rPr>
            </w:pPr>
            <w:r w:rsidRPr="0038322F">
              <w:rPr>
                <w:rFonts w:eastAsia="Calibri" w:cstheme="minorHAnsi"/>
                <w:sz w:val="20"/>
                <w:szCs w:val="20"/>
                <w:lang w:val="pl"/>
              </w:rPr>
              <w:t xml:space="preserve">Istnieje ryzyko zakwalifikowania magazynów energii jako instalacji odbiorczej, o której mowa w tym przepisie. </w:t>
            </w:r>
          </w:p>
          <w:p w14:paraId="223D33F7" w14:textId="0B4E7300" w:rsidR="00321E82" w:rsidRPr="0038322F" w:rsidRDefault="00EA382E" w:rsidP="00EA382E">
            <w:pPr>
              <w:jc w:val="both"/>
              <w:rPr>
                <w:rFonts w:eastAsia="Calibri" w:cstheme="minorHAnsi"/>
                <w:sz w:val="20"/>
                <w:szCs w:val="20"/>
              </w:rPr>
            </w:pPr>
            <w:r w:rsidRPr="0038322F">
              <w:rPr>
                <w:rFonts w:cstheme="minorHAnsi"/>
                <w:sz w:val="20"/>
                <w:szCs w:val="20"/>
                <w:lang w:val="pl"/>
              </w:rPr>
              <w:t>Ponadto, b</w:t>
            </w:r>
            <w:r w:rsidR="00321E82" w:rsidRPr="0038322F">
              <w:rPr>
                <w:rFonts w:cstheme="minorHAnsi"/>
                <w:sz w:val="20"/>
                <w:szCs w:val="20"/>
              </w:rPr>
              <w:t xml:space="preserve">rak określenia minimalnego okresu obowiązywania warunków przyłączenia na napięciu powyżej 1 </w:t>
            </w:r>
            <w:proofErr w:type="spellStart"/>
            <w:r w:rsidR="00321E82" w:rsidRPr="0038322F">
              <w:rPr>
                <w:rFonts w:cstheme="minorHAnsi"/>
                <w:sz w:val="20"/>
                <w:szCs w:val="20"/>
              </w:rPr>
              <w:t>kV</w:t>
            </w:r>
            <w:proofErr w:type="spellEnd"/>
            <w:r w:rsidR="00321E82" w:rsidRPr="0038322F">
              <w:rPr>
                <w:rFonts w:cstheme="minorHAnsi"/>
                <w:sz w:val="20"/>
                <w:szCs w:val="20"/>
              </w:rPr>
              <w:t xml:space="preserve"> może być wykorzystywany przez OSD do rozwiązywania umów nawet 30 dni od ich wydania (w zależności od ważności projektu umowy przyłączeniowej), w połączeniu z zaliczką jak</w:t>
            </w:r>
            <w:r w:rsidR="00D77CC4" w:rsidRPr="0038322F">
              <w:rPr>
                <w:rFonts w:cstheme="minorHAnsi"/>
                <w:sz w:val="20"/>
                <w:szCs w:val="20"/>
              </w:rPr>
              <w:t>ą</w:t>
            </w:r>
            <w:r w:rsidR="00321E82" w:rsidRPr="0038322F">
              <w:rPr>
                <w:rFonts w:cstheme="minorHAnsi"/>
                <w:sz w:val="20"/>
                <w:szCs w:val="20"/>
              </w:rPr>
              <w:t xml:space="preserve"> </w:t>
            </w:r>
            <w:r w:rsidR="00D77CC4" w:rsidRPr="0038322F">
              <w:rPr>
                <w:rFonts w:cstheme="minorHAnsi"/>
                <w:sz w:val="20"/>
                <w:szCs w:val="20"/>
              </w:rPr>
              <w:t xml:space="preserve">należy </w:t>
            </w:r>
            <w:r w:rsidR="00321E82" w:rsidRPr="0038322F">
              <w:rPr>
                <w:rFonts w:cstheme="minorHAnsi"/>
                <w:sz w:val="20"/>
                <w:szCs w:val="20"/>
              </w:rPr>
              <w:t>wnieść</w:t>
            </w:r>
            <w:r w:rsidR="009C74EE" w:rsidRPr="0038322F">
              <w:rPr>
                <w:rFonts w:cstheme="minorHAnsi"/>
                <w:sz w:val="20"/>
                <w:szCs w:val="20"/>
              </w:rPr>
              <w:t xml:space="preserve"> -</w:t>
            </w:r>
            <w:r w:rsidR="00321E82" w:rsidRPr="0038322F">
              <w:rPr>
                <w:rFonts w:cstheme="minorHAnsi"/>
                <w:sz w:val="20"/>
                <w:szCs w:val="20"/>
              </w:rPr>
              <w:t xml:space="preserve"> jest to duże ryzyko w zakresie np. zapewnieni</w:t>
            </w:r>
            <w:r w:rsidR="009C74EE" w:rsidRPr="0038322F">
              <w:rPr>
                <w:rFonts w:cstheme="minorHAnsi"/>
                <w:sz w:val="20"/>
                <w:szCs w:val="20"/>
              </w:rPr>
              <w:t>a</w:t>
            </w:r>
            <w:r w:rsidR="00321E82" w:rsidRPr="0038322F">
              <w:rPr>
                <w:rFonts w:cstheme="minorHAnsi"/>
                <w:sz w:val="20"/>
                <w:szCs w:val="20"/>
              </w:rPr>
              <w:t xml:space="preserve"> potrzeb własnych magazynów lub sieci. Dodatkowo brak jest trybu zgłaszania przez </w:t>
            </w:r>
            <w:proofErr w:type="spellStart"/>
            <w:r w:rsidR="00321E82" w:rsidRPr="0038322F">
              <w:rPr>
                <w:rFonts w:cstheme="minorHAnsi"/>
                <w:sz w:val="20"/>
                <w:szCs w:val="20"/>
              </w:rPr>
              <w:t>OSDp</w:t>
            </w:r>
            <w:proofErr w:type="spellEnd"/>
            <w:r w:rsidR="00321E82" w:rsidRPr="0038322F">
              <w:rPr>
                <w:rFonts w:cstheme="minorHAnsi"/>
                <w:sz w:val="20"/>
                <w:szCs w:val="20"/>
              </w:rPr>
              <w:t xml:space="preserve"> odmowy zawarcia umowy w tym trybie.</w:t>
            </w:r>
          </w:p>
        </w:tc>
        <w:tc>
          <w:tcPr>
            <w:tcW w:w="4394" w:type="dxa"/>
            <w:shd w:val="clear" w:color="auto" w:fill="FFFFFF" w:themeFill="background1"/>
          </w:tcPr>
          <w:p w14:paraId="20FF59EF" w14:textId="1800D58F" w:rsidR="00321E82" w:rsidRPr="0038322F" w:rsidRDefault="005038F4" w:rsidP="00321E82">
            <w:pPr>
              <w:ind w:left="40"/>
              <w:jc w:val="both"/>
              <w:rPr>
                <w:rFonts w:eastAsia="Calibri" w:cstheme="minorHAnsi"/>
                <w:sz w:val="20"/>
                <w:szCs w:val="20"/>
              </w:rPr>
            </w:pPr>
            <w:r w:rsidRPr="0038322F">
              <w:rPr>
                <w:rFonts w:eastAsia="Calibri" w:cstheme="minorHAnsi"/>
                <w:sz w:val="20"/>
                <w:szCs w:val="20"/>
              </w:rPr>
              <w:t>8i</w:t>
            </w:r>
            <w:r w:rsidRPr="0038322F">
              <w:rPr>
                <w:rFonts w:eastAsia="Calibri" w:cstheme="minorHAnsi"/>
                <w:sz w:val="20"/>
                <w:szCs w:val="20"/>
                <w:vertAlign w:val="superscript"/>
              </w:rPr>
              <w:t>3</w:t>
            </w:r>
            <w:r w:rsidRPr="0038322F">
              <w:rPr>
                <w:rFonts w:eastAsia="Calibri" w:cstheme="minorHAnsi"/>
                <w:sz w:val="20"/>
                <w:szCs w:val="20"/>
              </w:rPr>
              <w:t>.</w:t>
            </w:r>
            <w:r w:rsidRPr="0038322F">
              <w:rPr>
                <w:rFonts w:eastAsia="Calibri" w:cstheme="minorHAnsi"/>
                <w:sz w:val="20"/>
                <w:szCs w:val="20"/>
              </w:rPr>
              <w:t xml:space="preserve"> </w:t>
            </w:r>
            <w:r w:rsidR="00321E82" w:rsidRPr="0038322F">
              <w:rPr>
                <w:rFonts w:cstheme="minorHAnsi"/>
                <w:sz w:val="20"/>
                <w:szCs w:val="20"/>
              </w:rPr>
              <w:t>W przypadku warunków przyłączenia obejmujących przyłączenie instalacji odbiorczej do sieci o napięciu powyżej 1kV</w:t>
            </w:r>
            <w:r w:rsidR="00EA382E" w:rsidRPr="0038322F">
              <w:rPr>
                <w:rFonts w:cstheme="minorHAnsi"/>
                <w:sz w:val="20"/>
                <w:szCs w:val="20"/>
              </w:rPr>
              <w:t>,</w:t>
            </w:r>
            <w:r w:rsidR="00EA382E" w:rsidRPr="0038322F">
              <w:rPr>
                <w:rFonts w:eastAsia="Calibri" w:cstheme="minorHAnsi"/>
                <w:b/>
                <w:bCs/>
                <w:sz w:val="20"/>
                <w:szCs w:val="20"/>
                <w:lang w:val="pl"/>
              </w:rPr>
              <w:t xml:space="preserve"> </w:t>
            </w:r>
            <w:r w:rsidR="00EA382E" w:rsidRPr="0038322F">
              <w:rPr>
                <w:rFonts w:eastAsia="Calibri" w:cstheme="minorHAnsi"/>
                <w:b/>
                <w:bCs/>
                <w:sz w:val="20"/>
                <w:szCs w:val="20"/>
                <w:lang w:val="pl"/>
              </w:rPr>
              <w:t>z wyłączeniem magazynów energii</w:t>
            </w:r>
            <w:r w:rsidR="00EA382E" w:rsidRPr="0038322F">
              <w:rPr>
                <w:rFonts w:eastAsia="Calibri" w:cstheme="minorHAnsi"/>
                <w:sz w:val="20"/>
                <w:szCs w:val="20"/>
                <w:lang w:val="pl"/>
              </w:rPr>
              <w:t>,</w:t>
            </w:r>
            <w:r w:rsidR="00EA382E" w:rsidRPr="0038322F">
              <w:rPr>
                <w:rFonts w:eastAsia="Calibri" w:cstheme="minorHAnsi"/>
                <w:sz w:val="20"/>
                <w:szCs w:val="20"/>
                <w:lang w:val="pl"/>
              </w:rPr>
              <w:t xml:space="preserve"> </w:t>
            </w:r>
            <w:r w:rsidR="00321E82" w:rsidRPr="0038322F">
              <w:rPr>
                <w:rFonts w:cstheme="minorHAnsi"/>
                <w:sz w:val="20"/>
                <w:szCs w:val="20"/>
              </w:rPr>
              <w:t xml:space="preserve">przedsiębiorstwo energetyczne na etapie zawierania umowy o przyłączenie może dokonać ponownej weryfikacji istnienia warunków technicznych i ekonomicznych przyłączenia oraz w przypadku stwierdzenia ich braku, odmówić zawarcia umowy o przyłączenie, </w:t>
            </w:r>
            <w:r w:rsidR="00321E82" w:rsidRPr="0038322F">
              <w:rPr>
                <w:rFonts w:cstheme="minorHAnsi"/>
                <w:b/>
                <w:bCs/>
                <w:sz w:val="20"/>
                <w:szCs w:val="20"/>
              </w:rPr>
              <w:t>jednak nie wcześniej niż po upływie 12 miesięcy od dnia wydania warunków przyłączenia.</w:t>
            </w:r>
          </w:p>
        </w:tc>
        <w:tc>
          <w:tcPr>
            <w:tcW w:w="1286" w:type="dxa"/>
            <w:shd w:val="clear" w:color="auto" w:fill="FFFFFF" w:themeFill="background1"/>
          </w:tcPr>
          <w:p w14:paraId="7F29D912" w14:textId="77777777" w:rsidR="00321E82" w:rsidRPr="0038322F" w:rsidRDefault="00321E82" w:rsidP="00321E82">
            <w:pPr>
              <w:jc w:val="both"/>
              <w:rPr>
                <w:rFonts w:cstheme="minorHAnsi"/>
                <w:sz w:val="20"/>
                <w:szCs w:val="20"/>
              </w:rPr>
            </w:pPr>
          </w:p>
        </w:tc>
      </w:tr>
      <w:tr w:rsidR="00B76C86" w:rsidRPr="0038322F" w14:paraId="1A9F1C0A" w14:textId="77777777" w:rsidTr="00862BFF">
        <w:tc>
          <w:tcPr>
            <w:tcW w:w="846" w:type="dxa"/>
          </w:tcPr>
          <w:p w14:paraId="09997BA0" w14:textId="77777777" w:rsidR="00B76C86" w:rsidRPr="0038322F" w:rsidRDefault="00B76C86" w:rsidP="00B74CC0">
            <w:pPr>
              <w:pStyle w:val="Akapitzlist"/>
              <w:numPr>
                <w:ilvl w:val="0"/>
                <w:numId w:val="15"/>
              </w:numPr>
              <w:ind w:left="313"/>
              <w:jc w:val="center"/>
              <w:rPr>
                <w:rFonts w:cstheme="minorHAnsi"/>
                <w:sz w:val="20"/>
                <w:szCs w:val="20"/>
              </w:rPr>
            </w:pPr>
          </w:p>
        </w:tc>
        <w:tc>
          <w:tcPr>
            <w:tcW w:w="1843" w:type="dxa"/>
          </w:tcPr>
          <w:p w14:paraId="483F9F53" w14:textId="010A9F46" w:rsidR="00B76C86" w:rsidRPr="0038322F" w:rsidRDefault="00B76C86" w:rsidP="00B76C86">
            <w:pPr>
              <w:jc w:val="center"/>
              <w:rPr>
                <w:rFonts w:cstheme="minorHAnsi"/>
                <w:sz w:val="20"/>
                <w:szCs w:val="20"/>
                <w:lang w:val="en-GB"/>
              </w:rPr>
            </w:pPr>
            <w:r w:rsidRPr="0038322F">
              <w:rPr>
                <w:rFonts w:eastAsia="Calibri" w:cstheme="minorHAnsi"/>
                <w:sz w:val="20"/>
                <w:szCs w:val="20"/>
                <w:lang w:val="en-GB"/>
              </w:rPr>
              <w:t xml:space="preserve">Art. 1 </w:t>
            </w:r>
            <w:proofErr w:type="spellStart"/>
            <w:r w:rsidRPr="0038322F">
              <w:rPr>
                <w:rFonts w:eastAsia="Calibri" w:cstheme="minorHAnsi"/>
                <w:sz w:val="20"/>
                <w:szCs w:val="20"/>
                <w:lang w:val="en-GB"/>
              </w:rPr>
              <w:t>pkt</w:t>
            </w:r>
            <w:proofErr w:type="spellEnd"/>
            <w:r w:rsidRPr="0038322F">
              <w:rPr>
                <w:rFonts w:eastAsia="Calibri" w:cstheme="minorHAnsi"/>
                <w:sz w:val="20"/>
                <w:szCs w:val="20"/>
                <w:lang w:val="en-GB"/>
              </w:rPr>
              <w:t xml:space="preserve"> 8 lit. </w:t>
            </w:r>
            <w:proofErr w:type="spellStart"/>
            <w:r w:rsidR="00014C1A" w:rsidRPr="0038322F">
              <w:rPr>
                <w:rFonts w:eastAsia="Calibri" w:cstheme="minorHAnsi"/>
                <w:sz w:val="20"/>
                <w:szCs w:val="20"/>
                <w:lang w:val="en-GB"/>
              </w:rPr>
              <w:t>z</w:t>
            </w:r>
            <w:r w:rsidR="0063378B" w:rsidRPr="0038322F">
              <w:rPr>
                <w:rFonts w:eastAsia="Calibri" w:cstheme="minorHAnsi"/>
                <w:sz w:val="20"/>
                <w:szCs w:val="20"/>
                <w:lang w:val="en-GB"/>
              </w:rPr>
              <w:t>g</w:t>
            </w:r>
            <w:proofErr w:type="spellEnd"/>
            <w:r w:rsidR="0063378B" w:rsidRPr="0038322F">
              <w:rPr>
                <w:rFonts w:eastAsia="Calibri" w:cstheme="minorHAnsi"/>
                <w:sz w:val="20"/>
                <w:szCs w:val="20"/>
                <w:lang w:val="en-GB"/>
              </w:rPr>
              <w:t xml:space="preserve"> </w:t>
            </w:r>
          </w:p>
        </w:tc>
        <w:tc>
          <w:tcPr>
            <w:tcW w:w="5670" w:type="dxa"/>
          </w:tcPr>
          <w:p w14:paraId="75E444C4" w14:textId="2F3C1672" w:rsidR="00B76C86" w:rsidRPr="0038322F" w:rsidRDefault="00B76C86" w:rsidP="00B76C86">
            <w:pPr>
              <w:jc w:val="both"/>
              <w:rPr>
                <w:rFonts w:cstheme="minorHAnsi"/>
                <w:sz w:val="20"/>
                <w:szCs w:val="20"/>
              </w:rPr>
            </w:pPr>
            <w:r w:rsidRPr="0038322F">
              <w:rPr>
                <w:rFonts w:eastAsia="Calibri" w:cstheme="minorHAnsi"/>
                <w:sz w:val="20"/>
                <w:szCs w:val="20"/>
                <w:lang w:val="pl"/>
              </w:rPr>
              <w:t>Niezbędnym jest aby operator publikował model sieci na bazie którego prowadzone są analizy celem zachowania transparentności prowadzonych analiz.</w:t>
            </w:r>
          </w:p>
        </w:tc>
        <w:tc>
          <w:tcPr>
            <w:tcW w:w="4394" w:type="dxa"/>
          </w:tcPr>
          <w:p w14:paraId="1CA5106B" w14:textId="594FC456" w:rsidR="00B76C86" w:rsidRPr="0038322F" w:rsidRDefault="00B76C86" w:rsidP="008B4346">
            <w:pPr>
              <w:ind w:left="29" w:firstLine="142"/>
              <w:jc w:val="both"/>
              <w:rPr>
                <w:rFonts w:cstheme="minorHAnsi"/>
                <w:sz w:val="20"/>
                <w:szCs w:val="20"/>
              </w:rPr>
            </w:pPr>
            <w:r w:rsidRPr="0038322F">
              <w:rPr>
                <w:rFonts w:eastAsia="Calibri" w:cstheme="minorHAnsi"/>
                <w:sz w:val="20"/>
                <w:szCs w:val="20"/>
                <w:lang w:val="pl"/>
              </w:rPr>
              <w:t xml:space="preserve">5)       kryteriów stosowanych do obliczania przepustowości sieci elektroenergetycznej </w:t>
            </w:r>
            <w:r w:rsidRPr="0038322F">
              <w:rPr>
                <w:rFonts w:eastAsia="Calibri" w:cstheme="minorHAnsi"/>
                <w:b/>
                <w:bCs/>
                <w:sz w:val="20"/>
                <w:szCs w:val="20"/>
                <w:lang w:val="pl"/>
              </w:rPr>
              <w:t>oraz jej modeli obliczeniowych</w:t>
            </w:r>
            <w:r w:rsidRPr="0038322F">
              <w:rPr>
                <w:rFonts w:eastAsia="Calibri" w:cstheme="minorHAnsi"/>
                <w:sz w:val="20"/>
                <w:szCs w:val="20"/>
                <w:lang w:val="pl"/>
              </w:rPr>
              <w:t xml:space="preserve"> dostępnej dla nowych przyłączeń oraz możliwości elastycznego przyłączania na obszarach, na których występują ograniczenia przesyłowe</w:t>
            </w:r>
          </w:p>
        </w:tc>
        <w:tc>
          <w:tcPr>
            <w:tcW w:w="1286" w:type="dxa"/>
          </w:tcPr>
          <w:p w14:paraId="398ABDC6" w14:textId="77777777" w:rsidR="00B76C86" w:rsidRPr="0038322F" w:rsidRDefault="00B76C86" w:rsidP="00B76C86">
            <w:pPr>
              <w:jc w:val="both"/>
              <w:rPr>
                <w:rFonts w:cstheme="minorHAnsi"/>
                <w:sz w:val="20"/>
                <w:szCs w:val="20"/>
              </w:rPr>
            </w:pPr>
          </w:p>
        </w:tc>
      </w:tr>
      <w:tr w:rsidR="00FF618D" w:rsidRPr="0038322F" w14:paraId="676EAB75" w14:textId="77777777" w:rsidTr="00862BFF">
        <w:tc>
          <w:tcPr>
            <w:tcW w:w="846" w:type="dxa"/>
          </w:tcPr>
          <w:p w14:paraId="5DCCC118" w14:textId="77777777" w:rsidR="00FF618D" w:rsidRPr="0038322F" w:rsidRDefault="00FF618D" w:rsidP="00FF618D">
            <w:pPr>
              <w:pStyle w:val="Akapitzlist"/>
              <w:numPr>
                <w:ilvl w:val="0"/>
                <w:numId w:val="15"/>
              </w:numPr>
              <w:ind w:left="313"/>
              <w:jc w:val="center"/>
              <w:rPr>
                <w:rFonts w:cstheme="minorHAnsi"/>
                <w:sz w:val="20"/>
                <w:szCs w:val="20"/>
              </w:rPr>
            </w:pPr>
          </w:p>
        </w:tc>
        <w:tc>
          <w:tcPr>
            <w:tcW w:w="1843" w:type="dxa"/>
          </w:tcPr>
          <w:p w14:paraId="16BF8E43" w14:textId="77777777" w:rsidR="00FF618D" w:rsidRDefault="00FF618D" w:rsidP="00FF618D">
            <w:pPr>
              <w:spacing w:after="160"/>
              <w:jc w:val="center"/>
              <w:rPr>
                <w:rFonts w:eastAsia="Aptos" w:cstheme="minorHAnsi"/>
                <w:sz w:val="20"/>
                <w:szCs w:val="20"/>
              </w:rPr>
            </w:pPr>
            <w:r w:rsidRPr="0038322F">
              <w:rPr>
                <w:rFonts w:eastAsia="Aptos" w:cstheme="minorHAnsi"/>
                <w:sz w:val="20"/>
                <w:szCs w:val="20"/>
              </w:rPr>
              <w:t xml:space="preserve">art. 7 ust. 8l–8o </w:t>
            </w:r>
            <w:proofErr w:type="spellStart"/>
            <w:r w:rsidRPr="0038322F">
              <w:rPr>
                <w:rFonts w:eastAsia="Aptos" w:cstheme="minorHAnsi"/>
                <w:sz w:val="20"/>
                <w:szCs w:val="20"/>
              </w:rPr>
              <w:t>uPE</w:t>
            </w:r>
            <w:proofErr w:type="spellEnd"/>
            <w:r>
              <w:rPr>
                <w:rFonts w:eastAsia="Aptos" w:cstheme="minorHAnsi"/>
                <w:sz w:val="20"/>
                <w:szCs w:val="20"/>
              </w:rPr>
              <w:t xml:space="preserve"> – nowy</w:t>
            </w:r>
          </w:p>
          <w:p w14:paraId="1318AD02" w14:textId="4DC153D1" w:rsidR="00FF618D" w:rsidRPr="0038322F" w:rsidRDefault="00FF618D" w:rsidP="00FF618D">
            <w:pPr>
              <w:jc w:val="center"/>
              <w:rPr>
                <w:rFonts w:eastAsia="Calibri" w:cstheme="minorHAnsi"/>
                <w:sz w:val="20"/>
                <w:szCs w:val="20"/>
                <w:lang w:val="pl"/>
              </w:rPr>
            </w:pPr>
            <w:r>
              <w:rPr>
                <w:rFonts w:eastAsia="Aptos" w:cstheme="minorHAnsi"/>
                <w:sz w:val="20"/>
                <w:szCs w:val="20"/>
              </w:rPr>
              <w:t xml:space="preserve">oraz zmiana w art. 1 pkt 8 lit. </w:t>
            </w:r>
            <w:proofErr w:type="spellStart"/>
            <w:r>
              <w:rPr>
                <w:rFonts w:eastAsia="Aptos" w:cstheme="minorHAnsi"/>
                <w:sz w:val="20"/>
                <w:szCs w:val="20"/>
              </w:rPr>
              <w:t>zh</w:t>
            </w:r>
            <w:proofErr w:type="spellEnd"/>
          </w:p>
        </w:tc>
        <w:tc>
          <w:tcPr>
            <w:tcW w:w="5670" w:type="dxa"/>
          </w:tcPr>
          <w:p w14:paraId="34B1DFCC" w14:textId="0CB94A9A" w:rsidR="00FF618D" w:rsidRPr="0038322F" w:rsidRDefault="00FF618D" w:rsidP="00FF618D">
            <w:pPr>
              <w:jc w:val="both"/>
              <w:rPr>
                <w:rFonts w:eastAsia="Calibri" w:cstheme="minorHAnsi"/>
                <w:sz w:val="20"/>
                <w:szCs w:val="20"/>
                <w:lang w:val="pl"/>
              </w:rPr>
            </w:pPr>
            <w:r w:rsidRPr="0038322F">
              <w:rPr>
                <w:rFonts w:eastAsia="Aptos" w:cstheme="minorHAnsi"/>
                <w:sz w:val="20"/>
                <w:szCs w:val="20"/>
              </w:rPr>
              <w:t>Choć projekt rozszerza obowiązki informacyjne, nie określa minimalnej treści publikowanych kryteriów kalkulacji przepustowości oraz częstotliwości aktualizacji modeli obliczeniowych.</w:t>
            </w:r>
            <w:r w:rsidRPr="0038322F">
              <w:rPr>
                <w:rFonts w:cstheme="minorHAnsi"/>
                <w:sz w:val="20"/>
                <w:szCs w:val="20"/>
              </w:rPr>
              <w:br/>
            </w:r>
            <w:r w:rsidRPr="0038322F">
              <w:rPr>
                <w:rFonts w:eastAsia="Aptos" w:cstheme="minorHAnsi"/>
                <w:sz w:val="20"/>
                <w:szCs w:val="20"/>
              </w:rPr>
              <w:t xml:space="preserve"> </w:t>
            </w:r>
            <w:r w:rsidRPr="0038322F">
              <w:rPr>
                <w:rFonts w:cstheme="minorHAnsi"/>
                <w:sz w:val="20"/>
                <w:szCs w:val="20"/>
              </w:rPr>
              <w:br/>
            </w:r>
            <w:r w:rsidRPr="0038322F">
              <w:rPr>
                <w:rFonts w:eastAsia="Aptos" w:cstheme="minorHAnsi"/>
                <w:sz w:val="20"/>
                <w:szCs w:val="20"/>
              </w:rPr>
              <w:t>Uzasadnienie: transparentność i możliwość weryfikacji odmów.</w:t>
            </w:r>
            <w:r w:rsidRPr="0038322F">
              <w:rPr>
                <w:rFonts w:cstheme="minorHAnsi"/>
                <w:sz w:val="20"/>
                <w:szCs w:val="20"/>
              </w:rPr>
              <w:br/>
            </w:r>
            <w:r w:rsidRPr="0038322F">
              <w:rPr>
                <w:rFonts w:eastAsia="Aptos" w:cstheme="minorHAnsi"/>
                <w:sz w:val="20"/>
                <w:szCs w:val="20"/>
              </w:rPr>
              <w:t xml:space="preserve"> </w:t>
            </w:r>
            <w:r w:rsidRPr="0038322F">
              <w:rPr>
                <w:rFonts w:cstheme="minorHAnsi"/>
                <w:sz w:val="20"/>
                <w:szCs w:val="20"/>
              </w:rPr>
              <w:br/>
            </w:r>
          </w:p>
        </w:tc>
        <w:tc>
          <w:tcPr>
            <w:tcW w:w="4394" w:type="dxa"/>
          </w:tcPr>
          <w:p w14:paraId="3B6FA8F9" w14:textId="77777777" w:rsidR="00FF618D" w:rsidRDefault="00FF618D" w:rsidP="00FF618D">
            <w:pPr>
              <w:spacing w:after="160"/>
              <w:jc w:val="both"/>
              <w:rPr>
                <w:rFonts w:eastAsia="Aptos" w:cstheme="minorHAnsi"/>
                <w:sz w:val="20"/>
                <w:szCs w:val="20"/>
              </w:rPr>
            </w:pPr>
            <w:r w:rsidRPr="0038322F">
              <w:rPr>
                <w:rFonts w:eastAsia="Aptos" w:cstheme="minorHAnsi"/>
                <w:sz w:val="20"/>
                <w:szCs w:val="20"/>
              </w:rPr>
              <w:t xml:space="preserve">W art. 7 ust. 8l pkt 5 po wyrazach “kryteriów stosowanych do obliczania przepustowości” dodaje się  w tym: parametry sieci przyjmowane do obliczeń, typy modeli obliczeniowych, przyjęte założenia (w tym scenariusze generacji i obciążenia) oraz datę ostatniej aktualizacji modelu i danych»; </w:t>
            </w:r>
          </w:p>
          <w:p w14:paraId="777F3B0D" w14:textId="67094EBE" w:rsidR="006C0F71" w:rsidRDefault="006C0F71" w:rsidP="006C0F71">
            <w:pPr>
              <w:jc w:val="both"/>
              <w:rPr>
                <w:rFonts w:eastAsia="Aptos" w:cstheme="minorHAnsi"/>
                <w:sz w:val="20"/>
                <w:szCs w:val="20"/>
              </w:rPr>
            </w:pPr>
            <w:r>
              <w:rPr>
                <w:rFonts w:eastAsia="Aptos" w:cstheme="minorHAnsi"/>
                <w:sz w:val="20"/>
                <w:szCs w:val="20"/>
              </w:rPr>
              <w:t xml:space="preserve">zmiana w art. 1 pkt 8 lit. </w:t>
            </w:r>
            <w:proofErr w:type="spellStart"/>
            <w:r>
              <w:rPr>
                <w:rFonts w:eastAsia="Aptos" w:cstheme="minorHAnsi"/>
                <w:sz w:val="20"/>
                <w:szCs w:val="20"/>
              </w:rPr>
              <w:t>zh</w:t>
            </w:r>
            <w:proofErr w:type="spellEnd"/>
          </w:p>
          <w:p w14:paraId="26E3662F" w14:textId="4CA52B69" w:rsidR="00FF618D" w:rsidRPr="0038322F" w:rsidRDefault="00FF618D" w:rsidP="006C0F71">
            <w:pPr>
              <w:ind w:left="29"/>
              <w:jc w:val="both"/>
              <w:rPr>
                <w:rFonts w:eastAsia="Calibri" w:cstheme="minorHAnsi"/>
                <w:sz w:val="20"/>
                <w:szCs w:val="20"/>
                <w:lang w:val="pl"/>
              </w:rPr>
            </w:pPr>
            <w:r w:rsidRPr="0038322F">
              <w:rPr>
                <w:rFonts w:eastAsia="Aptos" w:cstheme="minorHAnsi"/>
                <w:sz w:val="20"/>
                <w:szCs w:val="20"/>
              </w:rPr>
              <w:t>w ust. 8m wyrazy “co najmniej raz na miesiąc» zastępuje się wyrazami «co najmniej raz na dwa tygodnie”.</w:t>
            </w:r>
          </w:p>
        </w:tc>
        <w:tc>
          <w:tcPr>
            <w:tcW w:w="1286" w:type="dxa"/>
          </w:tcPr>
          <w:p w14:paraId="7CD3E114" w14:textId="77777777" w:rsidR="00FF618D" w:rsidRPr="0038322F" w:rsidRDefault="00FF618D" w:rsidP="00FF618D">
            <w:pPr>
              <w:jc w:val="both"/>
              <w:rPr>
                <w:rFonts w:cstheme="minorHAnsi"/>
                <w:sz w:val="20"/>
                <w:szCs w:val="20"/>
              </w:rPr>
            </w:pPr>
          </w:p>
        </w:tc>
      </w:tr>
      <w:tr w:rsidR="00FF618D" w:rsidRPr="0038322F" w14:paraId="0CA8EADE" w14:textId="77777777" w:rsidTr="00862BFF">
        <w:tc>
          <w:tcPr>
            <w:tcW w:w="846" w:type="dxa"/>
          </w:tcPr>
          <w:p w14:paraId="320DEF9A" w14:textId="77777777" w:rsidR="00FF618D" w:rsidRPr="0038322F" w:rsidRDefault="00FF618D" w:rsidP="00FF618D">
            <w:pPr>
              <w:pStyle w:val="Akapitzlist"/>
              <w:numPr>
                <w:ilvl w:val="0"/>
                <w:numId w:val="15"/>
              </w:numPr>
              <w:ind w:left="313"/>
              <w:jc w:val="center"/>
              <w:rPr>
                <w:rFonts w:cstheme="minorHAnsi"/>
                <w:sz w:val="20"/>
                <w:szCs w:val="20"/>
              </w:rPr>
            </w:pPr>
          </w:p>
        </w:tc>
        <w:tc>
          <w:tcPr>
            <w:tcW w:w="1843" w:type="dxa"/>
          </w:tcPr>
          <w:p w14:paraId="5BF2097E" w14:textId="3D4763AB" w:rsidR="00FF618D" w:rsidRPr="0038322F" w:rsidRDefault="00FF618D" w:rsidP="00023271">
            <w:pPr>
              <w:ind w:left="174" w:right="121"/>
              <w:jc w:val="center"/>
              <w:rPr>
                <w:rFonts w:cstheme="minorHAnsi"/>
                <w:sz w:val="20"/>
                <w:szCs w:val="20"/>
                <w:lang w:val="en-GB"/>
              </w:rPr>
            </w:pPr>
            <w:r w:rsidRPr="0038322F">
              <w:rPr>
                <w:rFonts w:eastAsia="Lato" w:cstheme="minorHAnsi"/>
                <w:sz w:val="20"/>
                <w:szCs w:val="20"/>
                <w:lang w:val="en-US"/>
              </w:rPr>
              <w:t xml:space="preserve">Art. 1 pkt 8 lit. </w:t>
            </w:r>
            <w:proofErr w:type="spellStart"/>
            <w:r w:rsidRPr="0038322F">
              <w:rPr>
                <w:rFonts w:eastAsia="Lato" w:cstheme="minorHAnsi"/>
                <w:sz w:val="20"/>
                <w:szCs w:val="20"/>
                <w:lang w:val="en-US"/>
              </w:rPr>
              <w:t>z</w:t>
            </w:r>
            <w:r w:rsidR="006C0F71">
              <w:rPr>
                <w:rFonts w:eastAsia="Lato" w:cstheme="minorHAnsi"/>
                <w:sz w:val="20"/>
                <w:szCs w:val="20"/>
                <w:lang w:val="en-US"/>
              </w:rPr>
              <w:t>h</w:t>
            </w:r>
            <w:proofErr w:type="spellEnd"/>
          </w:p>
          <w:p w14:paraId="5BADB911" w14:textId="6F6307A7" w:rsidR="00FF618D" w:rsidRPr="00FF618D" w:rsidRDefault="00FF618D" w:rsidP="00FF618D">
            <w:pPr>
              <w:jc w:val="center"/>
              <w:rPr>
                <w:rFonts w:eastAsia="Calibri" w:cstheme="minorHAnsi"/>
                <w:sz w:val="20"/>
                <w:szCs w:val="20"/>
                <w:lang w:val="en-GB"/>
              </w:rPr>
            </w:pPr>
            <w:proofErr w:type="spellStart"/>
            <w:r w:rsidRPr="0038322F">
              <w:rPr>
                <w:rFonts w:eastAsia="Lato" w:cstheme="minorHAnsi"/>
                <w:sz w:val="20"/>
                <w:szCs w:val="20"/>
                <w:lang w:val="en-US"/>
              </w:rPr>
              <w:t>uPE</w:t>
            </w:r>
            <w:proofErr w:type="spellEnd"/>
            <w:r w:rsidRPr="0038322F">
              <w:rPr>
                <w:rFonts w:eastAsia="Lato" w:cstheme="minorHAnsi"/>
                <w:sz w:val="20"/>
                <w:szCs w:val="20"/>
                <w:lang w:val="en-US"/>
              </w:rPr>
              <w:t xml:space="preserve"> Art. 7’ </w:t>
            </w:r>
            <w:proofErr w:type="spellStart"/>
            <w:r w:rsidRPr="0038322F">
              <w:rPr>
                <w:rFonts w:eastAsia="Lato" w:cstheme="minorHAnsi"/>
                <w:sz w:val="20"/>
                <w:szCs w:val="20"/>
                <w:lang w:val="en-US"/>
              </w:rPr>
              <w:t>ust</w:t>
            </w:r>
            <w:proofErr w:type="spellEnd"/>
            <w:r w:rsidRPr="0038322F">
              <w:rPr>
                <w:rFonts w:eastAsia="Lato" w:cstheme="minorHAnsi"/>
                <w:sz w:val="20"/>
                <w:szCs w:val="20"/>
                <w:lang w:val="en-US"/>
              </w:rPr>
              <w:t>. 8n</w:t>
            </w:r>
          </w:p>
        </w:tc>
        <w:tc>
          <w:tcPr>
            <w:tcW w:w="5670" w:type="dxa"/>
          </w:tcPr>
          <w:p w14:paraId="32A19E03" w14:textId="4F76E44C" w:rsidR="00FF618D" w:rsidRPr="0038322F" w:rsidRDefault="00FF618D" w:rsidP="00FF618D">
            <w:pPr>
              <w:jc w:val="both"/>
              <w:rPr>
                <w:rFonts w:eastAsia="Calibri" w:cstheme="minorHAnsi"/>
                <w:sz w:val="20"/>
                <w:szCs w:val="20"/>
                <w:lang w:val="pl"/>
              </w:rPr>
            </w:pPr>
            <w:r w:rsidRPr="0038322F">
              <w:rPr>
                <w:rFonts w:eastAsia="Lato" w:cstheme="minorHAnsi"/>
                <w:sz w:val="20"/>
                <w:szCs w:val="20"/>
              </w:rPr>
              <w:t xml:space="preserve">Proponujemy aby to Urząd Regulacji Energetyki publikował te informacje </w:t>
            </w:r>
            <w:r w:rsidR="005B700D">
              <w:rPr>
                <w:rFonts w:eastAsia="Lato" w:cstheme="minorHAnsi"/>
                <w:sz w:val="20"/>
                <w:szCs w:val="20"/>
              </w:rPr>
              <w:t>–</w:t>
            </w:r>
            <w:r w:rsidRPr="0038322F">
              <w:rPr>
                <w:rFonts w:eastAsia="Lato" w:cstheme="minorHAnsi"/>
                <w:sz w:val="20"/>
                <w:szCs w:val="20"/>
              </w:rPr>
              <w:t xml:space="preserve"> nie</w:t>
            </w:r>
            <w:r w:rsidR="005B700D">
              <w:rPr>
                <w:rFonts w:eastAsia="Lato" w:cstheme="minorHAnsi"/>
                <w:sz w:val="20"/>
                <w:szCs w:val="20"/>
              </w:rPr>
              <w:t xml:space="preserve"> zaś</w:t>
            </w:r>
            <w:r w:rsidRPr="0038322F">
              <w:rPr>
                <w:rFonts w:eastAsia="Lato" w:cstheme="minorHAnsi"/>
                <w:sz w:val="20"/>
                <w:szCs w:val="20"/>
              </w:rPr>
              <w:t xml:space="preserve"> OSP. Nie widzimy uzasadnienia dlaczego OSP ma mieć bezpośredni dostęp do </w:t>
            </w:r>
            <w:r w:rsidR="005B700D">
              <w:rPr>
                <w:rFonts w:eastAsia="Lato" w:cstheme="minorHAnsi"/>
                <w:sz w:val="20"/>
                <w:szCs w:val="20"/>
              </w:rPr>
              <w:t>tego rodzaju</w:t>
            </w:r>
            <w:r w:rsidRPr="0038322F">
              <w:rPr>
                <w:rFonts w:eastAsia="Lato" w:cstheme="minorHAnsi"/>
                <w:sz w:val="20"/>
                <w:szCs w:val="20"/>
              </w:rPr>
              <w:t xml:space="preserve"> informacji.</w:t>
            </w:r>
          </w:p>
        </w:tc>
        <w:tc>
          <w:tcPr>
            <w:tcW w:w="4394" w:type="dxa"/>
          </w:tcPr>
          <w:p w14:paraId="7D37B4F3" w14:textId="6601D2DD" w:rsidR="00FF618D" w:rsidRPr="0038322F" w:rsidRDefault="00FF618D" w:rsidP="00FF618D">
            <w:pPr>
              <w:ind w:left="29" w:firstLine="142"/>
              <w:jc w:val="both"/>
              <w:rPr>
                <w:rFonts w:eastAsia="Calibri" w:cstheme="minorHAnsi"/>
                <w:sz w:val="20"/>
                <w:szCs w:val="20"/>
                <w:lang w:val="pl"/>
              </w:rPr>
            </w:pPr>
            <w:r w:rsidRPr="0038322F">
              <w:rPr>
                <w:rFonts w:eastAsia="Lato" w:cstheme="minorHAnsi"/>
                <w:sz w:val="20"/>
                <w:szCs w:val="20"/>
              </w:rPr>
              <w:t xml:space="preserve"> </w:t>
            </w:r>
          </w:p>
        </w:tc>
        <w:tc>
          <w:tcPr>
            <w:tcW w:w="1286" w:type="dxa"/>
          </w:tcPr>
          <w:p w14:paraId="5D25C2A4" w14:textId="77777777" w:rsidR="00FF618D" w:rsidRPr="0038322F" w:rsidRDefault="00FF618D" w:rsidP="00FF618D">
            <w:pPr>
              <w:jc w:val="both"/>
              <w:rPr>
                <w:rFonts w:cstheme="minorHAnsi"/>
                <w:sz w:val="20"/>
                <w:szCs w:val="20"/>
              </w:rPr>
            </w:pPr>
          </w:p>
        </w:tc>
      </w:tr>
      <w:tr w:rsidR="00B76C86" w:rsidRPr="0038322F" w14:paraId="20622C7E" w14:textId="77777777" w:rsidTr="00862BFF">
        <w:tc>
          <w:tcPr>
            <w:tcW w:w="846" w:type="dxa"/>
          </w:tcPr>
          <w:p w14:paraId="4A9EEFCA" w14:textId="77777777" w:rsidR="00B76C86" w:rsidRPr="0038322F" w:rsidRDefault="00B76C86" w:rsidP="00B74CC0">
            <w:pPr>
              <w:pStyle w:val="Akapitzlist"/>
              <w:numPr>
                <w:ilvl w:val="0"/>
                <w:numId w:val="15"/>
              </w:numPr>
              <w:ind w:left="313"/>
              <w:jc w:val="center"/>
              <w:rPr>
                <w:rFonts w:cstheme="minorHAnsi"/>
                <w:sz w:val="20"/>
                <w:szCs w:val="20"/>
              </w:rPr>
            </w:pPr>
          </w:p>
        </w:tc>
        <w:tc>
          <w:tcPr>
            <w:tcW w:w="1843" w:type="dxa"/>
          </w:tcPr>
          <w:p w14:paraId="7859CA51" w14:textId="34257C65" w:rsidR="00B76C86" w:rsidRPr="0038322F" w:rsidRDefault="00B76C86" w:rsidP="00B76C86">
            <w:pPr>
              <w:jc w:val="center"/>
              <w:rPr>
                <w:rFonts w:cstheme="minorHAnsi"/>
                <w:sz w:val="20"/>
                <w:szCs w:val="20"/>
              </w:rPr>
            </w:pPr>
            <w:r w:rsidRPr="0038322F">
              <w:rPr>
                <w:rFonts w:eastAsia="Calibri" w:cstheme="minorHAnsi"/>
                <w:sz w:val="20"/>
                <w:szCs w:val="20"/>
                <w:lang w:val="pl"/>
              </w:rPr>
              <w:t xml:space="preserve">Art. 1 pkt 8 lit. </w:t>
            </w:r>
            <w:proofErr w:type="spellStart"/>
            <w:r w:rsidRPr="0038322F">
              <w:rPr>
                <w:rFonts w:eastAsia="Calibri" w:cstheme="minorHAnsi"/>
                <w:sz w:val="20"/>
                <w:szCs w:val="20"/>
                <w:lang w:val="pl"/>
              </w:rPr>
              <w:t>z</w:t>
            </w:r>
            <w:r w:rsidR="002F1A06" w:rsidRPr="0038322F">
              <w:rPr>
                <w:rFonts w:eastAsia="Calibri" w:cstheme="minorHAnsi"/>
                <w:sz w:val="20"/>
                <w:szCs w:val="20"/>
                <w:lang w:val="pl"/>
              </w:rPr>
              <w:t>h</w:t>
            </w:r>
            <w:proofErr w:type="spellEnd"/>
            <w:r w:rsidRPr="0038322F">
              <w:rPr>
                <w:rFonts w:eastAsia="Calibri" w:cstheme="minorHAnsi"/>
                <w:sz w:val="20"/>
                <w:szCs w:val="20"/>
                <w:lang w:val="pl"/>
              </w:rPr>
              <w:t xml:space="preserve"> w zakresie dodawanego ust. 8</w:t>
            </w:r>
            <w:r w:rsidR="002F1A06" w:rsidRPr="0038322F">
              <w:rPr>
                <w:rFonts w:eastAsia="Calibri" w:cstheme="minorHAnsi"/>
                <w:sz w:val="20"/>
                <w:szCs w:val="20"/>
                <w:lang w:val="pl"/>
              </w:rPr>
              <w:t>p</w:t>
            </w:r>
          </w:p>
        </w:tc>
        <w:tc>
          <w:tcPr>
            <w:tcW w:w="5670" w:type="dxa"/>
          </w:tcPr>
          <w:p w14:paraId="22A24770" w14:textId="299BFC08" w:rsidR="00B76C86" w:rsidRPr="0038322F" w:rsidRDefault="00B76C86" w:rsidP="00B76C86">
            <w:pPr>
              <w:jc w:val="both"/>
              <w:rPr>
                <w:rFonts w:cstheme="minorHAnsi"/>
                <w:sz w:val="20"/>
                <w:szCs w:val="20"/>
              </w:rPr>
            </w:pPr>
            <w:r w:rsidRPr="0038322F">
              <w:rPr>
                <w:rFonts w:eastAsia="Calibri" w:cstheme="minorHAnsi"/>
                <w:sz w:val="20"/>
                <w:szCs w:val="20"/>
                <w:lang w:val="pl"/>
              </w:rPr>
              <w:t>Jednolity zbiór procedur, który zostanie opracowany przez Operatorów winien być przedstawiony do zatwierdzenia przez URE.</w:t>
            </w:r>
          </w:p>
        </w:tc>
        <w:tc>
          <w:tcPr>
            <w:tcW w:w="4394" w:type="dxa"/>
          </w:tcPr>
          <w:p w14:paraId="6F6A14C8" w14:textId="75C80A35" w:rsidR="00B76C86" w:rsidRPr="0038322F" w:rsidRDefault="00B76C86" w:rsidP="00480112">
            <w:pPr>
              <w:ind w:left="29" w:firstLine="142"/>
              <w:jc w:val="both"/>
              <w:rPr>
                <w:rFonts w:cstheme="minorHAnsi"/>
                <w:sz w:val="20"/>
                <w:szCs w:val="20"/>
              </w:rPr>
            </w:pPr>
            <w:r w:rsidRPr="0038322F">
              <w:rPr>
                <w:rFonts w:eastAsia="Calibri" w:cstheme="minorHAnsi"/>
                <w:sz w:val="20"/>
                <w:szCs w:val="20"/>
                <w:lang w:val="pl"/>
              </w:rPr>
              <w:t>8</w:t>
            </w:r>
            <w:r w:rsidR="002F1A06" w:rsidRPr="0038322F">
              <w:rPr>
                <w:rFonts w:eastAsia="Calibri" w:cstheme="minorHAnsi"/>
                <w:sz w:val="20"/>
                <w:szCs w:val="20"/>
                <w:lang w:val="pl"/>
              </w:rPr>
              <w:t>p</w:t>
            </w:r>
            <w:r w:rsidRPr="0038322F">
              <w:rPr>
                <w:rFonts w:eastAsia="Calibri" w:cstheme="minorHAnsi"/>
                <w:sz w:val="20"/>
                <w:szCs w:val="20"/>
                <w:lang w:val="pl"/>
              </w:rPr>
              <w:t xml:space="preserve">. </w:t>
            </w:r>
            <w:r w:rsidR="002907A6" w:rsidRPr="0038322F">
              <w:rPr>
                <w:rFonts w:cstheme="minorHAnsi"/>
                <w:sz w:val="20"/>
                <w:szCs w:val="20"/>
              </w:rPr>
              <w:t xml:space="preserve"> </w:t>
            </w:r>
            <w:r w:rsidR="002907A6" w:rsidRPr="0038322F">
              <w:rPr>
                <w:rFonts w:eastAsia="Calibri" w:cstheme="minorHAnsi"/>
                <w:sz w:val="20"/>
                <w:szCs w:val="20"/>
                <w:lang w:val="pl"/>
              </w:rPr>
              <w:t xml:space="preserve">Przedsiębiorstwo energetyczne zajmujące się przesyłaniem energii elektrycznej i przedsiębiorstwo energetyczne zajmujące się dystrybucją energii elektrycznej obsługujące co najmniej sto tysięcy przyłączonych odbiorców opracowują wspólnie </w:t>
            </w:r>
            <w:r w:rsidRPr="0038322F">
              <w:rPr>
                <w:rFonts w:eastAsia="Calibri" w:cstheme="minorHAnsi"/>
                <w:color w:val="0070C0"/>
                <w:sz w:val="20"/>
                <w:szCs w:val="20"/>
                <w:lang w:val="pl"/>
              </w:rPr>
              <w:t>i przedstawiają do zatwierdzenia przez Prezesa URE</w:t>
            </w:r>
            <w:r w:rsidRPr="0038322F">
              <w:rPr>
                <w:rFonts w:eastAsia="Calibri" w:cstheme="minorHAnsi"/>
                <w:sz w:val="20"/>
                <w:szCs w:val="20"/>
                <w:lang w:val="pl"/>
              </w:rPr>
              <w:t xml:space="preserve"> </w:t>
            </w:r>
            <w:r w:rsidR="001D307B" w:rsidRPr="0038322F">
              <w:rPr>
                <w:rFonts w:cstheme="minorHAnsi"/>
                <w:sz w:val="20"/>
                <w:szCs w:val="20"/>
              </w:rPr>
              <w:t xml:space="preserve"> </w:t>
            </w:r>
            <w:r w:rsidR="001D307B" w:rsidRPr="0038322F">
              <w:rPr>
                <w:rFonts w:eastAsia="Calibri" w:cstheme="minorHAnsi"/>
                <w:sz w:val="20"/>
                <w:szCs w:val="20"/>
                <w:lang w:val="pl"/>
              </w:rPr>
              <w:t>jednolity zbiór zasad opisujących co najmniej procedury, przepisy, terminy oraz kryteria stosowane przy rozpatrywaniu wniosków o przyłączenie do sieci elektroenergetycznej oraz publikują je w systemie informatycznym, o którym mowa w ust. 3a</w:t>
            </w:r>
            <w:r w:rsidR="001D307B" w:rsidRPr="0038322F">
              <w:rPr>
                <w:rFonts w:eastAsia="Calibri" w:cstheme="minorHAnsi"/>
                <w:sz w:val="20"/>
                <w:szCs w:val="20"/>
                <w:vertAlign w:val="superscript"/>
                <w:lang w:val="pl"/>
              </w:rPr>
              <w:t>2</w:t>
            </w:r>
            <w:r w:rsidRPr="0038322F">
              <w:rPr>
                <w:rFonts w:eastAsia="Calibri" w:cstheme="minorHAnsi"/>
                <w:sz w:val="20"/>
                <w:szCs w:val="20"/>
                <w:lang w:val="pl"/>
              </w:rPr>
              <w:t>.”,</w:t>
            </w:r>
          </w:p>
        </w:tc>
        <w:tc>
          <w:tcPr>
            <w:tcW w:w="1286" w:type="dxa"/>
          </w:tcPr>
          <w:p w14:paraId="6F9774A1" w14:textId="77777777" w:rsidR="00B76C86" w:rsidRPr="0038322F" w:rsidRDefault="00B76C86" w:rsidP="00B76C86">
            <w:pPr>
              <w:jc w:val="both"/>
              <w:rPr>
                <w:rFonts w:cstheme="minorHAnsi"/>
                <w:sz w:val="20"/>
                <w:szCs w:val="20"/>
              </w:rPr>
            </w:pPr>
          </w:p>
        </w:tc>
      </w:tr>
      <w:tr w:rsidR="00B76C86" w:rsidRPr="0038322F" w14:paraId="32DD98EA" w14:textId="77777777" w:rsidTr="00862BFF">
        <w:tc>
          <w:tcPr>
            <w:tcW w:w="846" w:type="dxa"/>
          </w:tcPr>
          <w:p w14:paraId="3BB9C348" w14:textId="77777777" w:rsidR="00B76C86" w:rsidRPr="0038322F" w:rsidRDefault="00B76C86" w:rsidP="00B74CC0">
            <w:pPr>
              <w:pStyle w:val="Akapitzlist"/>
              <w:numPr>
                <w:ilvl w:val="0"/>
                <w:numId w:val="15"/>
              </w:numPr>
              <w:ind w:left="313"/>
              <w:jc w:val="center"/>
              <w:rPr>
                <w:rFonts w:cstheme="minorHAnsi"/>
                <w:sz w:val="20"/>
                <w:szCs w:val="20"/>
              </w:rPr>
            </w:pPr>
          </w:p>
        </w:tc>
        <w:tc>
          <w:tcPr>
            <w:tcW w:w="1843" w:type="dxa"/>
          </w:tcPr>
          <w:p w14:paraId="42FA70E7" w14:textId="07E625ED" w:rsidR="00B76C86" w:rsidRPr="0038322F" w:rsidRDefault="00B76C86" w:rsidP="00B76C86">
            <w:pPr>
              <w:jc w:val="center"/>
              <w:rPr>
                <w:rFonts w:cstheme="minorHAnsi"/>
                <w:sz w:val="20"/>
                <w:szCs w:val="20"/>
              </w:rPr>
            </w:pPr>
            <w:r w:rsidRPr="0038322F">
              <w:rPr>
                <w:rFonts w:eastAsia="Calibri" w:cstheme="minorHAnsi"/>
                <w:sz w:val="20"/>
                <w:szCs w:val="20"/>
                <w:lang w:val="pl"/>
              </w:rPr>
              <w:t>Art. 1 pkt 9 w zakresie dodawanego art. 7</w:t>
            </w:r>
            <w:r w:rsidRPr="0038322F">
              <w:rPr>
                <w:rFonts w:eastAsia="Calibri" w:cstheme="minorHAnsi"/>
                <w:sz w:val="20"/>
                <w:szCs w:val="20"/>
                <w:vertAlign w:val="superscript"/>
                <w:lang w:val="pl"/>
              </w:rPr>
              <w:t>1</w:t>
            </w:r>
            <w:r w:rsidRPr="0038322F">
              <w:rPr>
                <w:rFonts w:eastAsia="Calibri" w:cstheme="minorHAnsi"/>
                <w:sz w:val="20"/>
                <w:szCs w:val="20"/>
                <w:lang w:val="pl"/>
              </w:rPr>
              <w:t xml:space="preserve"> ust. 3</w:t>
            </w:r>
          </w:p>
        </w:tc>
        <w:tc>
          <w:tcPr>
            <w:tcW w:w="5670" w:type="dxa"/>
          </w:tcPr>
          <w:p w14:paraId="33E637C7" w14:textId="71156F11" w:rsidR="00B76C86" w:rsidRPr="0038322F" w:rsidRDefault="00B76C86" w:rsidP="00B76C86">
            <w:pPr>
              <w:jc w:val="both"/>
              <w:rPr>
                <w:rFonts w:cstheme="minorHAnsi"/>
                <w:sz w:val="20"/>
                <w:szCs w:val="20"/>
              </w:rPr>
            </w:pPr>
            <w:r w:rsidRPr="0038322F">
              <w:rPr>
                <w:rFonts w:eastAsia="Calibri" w:cstheme="minorHAnsi"/>
                <w:sz w:val="20"/>
                <w:szCs w:val="20"/>
                <w:lang w:val="pl"/>
              </w:rPr>
              <w:t xml:space="preserve">Brak sprecyzowanych zasad współpracy po upływie 3 lat w zakresie ograniczeń wprowadzonych umową elastyczną i brak rozwiązań w przypadku braku wypełnienia przez Operatora modernizacji lub rozbudowy sieci. Istnieje realne ryzyko, że ze względu na problemy z prowadzeniem rozbudowy lub modernizacji sieci przez Operatora, będzie on celowo wydłużał ograniczenia wynikające z umowy elastycznej. </w:t>
            </w:r>
          </w:p>
        </w:tc>
        <w:tc>
          <w:tcPr>
            <w:tcW w:w="4394" w:type="dxa"/>
          </w:tcPr>
          <w:p w14:paraId="18203BAE" w14:textId="5B9E815E" w:rsidR="00B76C86" w:rsidRPr="0038322F" w:rsidRDefault="00B76C86" w:rsidP="00480112">
            <w:pPr>
              <w:ind w:left="29" w:firstLine="142"/>
              <w:jc w:val="both"/>
              <w:rPr>
                <w:rFonts w:cstheme="minorHAnsi"/>
                <w:sz w:val="20"/>
                <w:szCs w:val="20"/>
              </w:rPr>
            </w:pPr>
            <w:r w:rsidRPr="0038322F">
              <w:rPr>
                <w:rFonts w:eastAsia="Calibri" w:cstheme="minorHAnsi"/>
                <w:sz w:val="20"/>
                <w:szCs w:val="20"/>
                <w:lang w:val="pl"/>
              </w:rPr>
              <w:t>3.        W przypadku, o którym mowa w ust. 1, warunki przyłączenia oraz elastyczna umowa o przyłączenie do sieci, a także zawierana na ich podstawie umowa o świadczenia usług przesyłania lub dystrybucji energii elektrycznej, zawierają w szczególności postanowienia określające ograniczenia odpowiednio w kierunku poboru lub wprowadzania do sieci energii elektrycznej oraz wymagany zakres rozbudowy sieci. Ograniczenia te obowiązują do czasu rozbudowy sieci nie dłużej jednak niż 3 lata  od dnia zakończenia realizacji całości przyłączanego obiektu i uzyskania ostatecznego pozwolenia na użytkowanie, o ile obiekt jest objęty obowiązkiem jego uzyskania</w:t>
            </w:r>
            <w:r w:rsidRPr="0038322F">
              <w:rPr>
                <w:rFonts w:eastAsia="Calibri" w:cstheme="minorHAnsi"/>
                <w:color w:val="0070C0"/>
                <w:sz w:val="20"/>
                <w:szCs w:val="20"/>
                <w:lang w:val="pl"/>
              </w:rPr>
              <w:t xml:space="preserve">. </w:t>
            </w:r>
            <w:r w:rsidR="009C74EE" w:rsidRPr="0038322F">
              <w:rPr>
                <w:rFonts w:eastAsia="Calibri" w:cstheme="minorHAnsi"/>
                <w:color w:val="0070C0"/>
                <w:sz w:val="20"/>
                <w:szCs w:val="20"/>
                <w:lang w:val="pl"/>
              </w:rPr>
              <w:br/>
            </w:r>
            <w:r w:rsidRPr="0038322F">
              <w:rPr>
                <w:rFonts w:eastAsia="Calibri" w:cstheme="minorHAnsi"/>
                <w:b/>
                <w:bCs/>
                <w:sz w:val="20"/>
                <w:szCs w:val="20"/>
                <w:lang w:val="pl"/>
              </w:rPr>
              <w:t>W przypadku braku realizacji rozbudowy lub modernizacji sieci przez operatora systemu elektroenergetycznego,</w:t>
            </w:r>
            <w:r w:rsidRPr="0038322F">
              <w:rPr>
                <w:rFonts w:eastAsia="Calibri" w:cstheme="minorHAnsi"/>
                <w:sz w:val="20"/>
                <w:szCs w:val="20"/>
                <w:lang w:val="pl"/>
              </w:rPr>
              <w:t xml:space="preserve"> </w:t>
            </w:r>
            <w:r w:rsidRPr="0038322F">
              <w:rPr>
                <w:rFonts w:eastAsia="Calibri" w:cstheme="minorHAnsi"/>
                <w:b/>
                <w:bCs/>
                <w:sz w:val="20"/>
                <w:szCs w:val="20"/>
                <w:lang w:val="pl"/>
              </w:rPr>
              <w:t>rozliczenia z tytułu ograniczenia są ograniczeniami leżącymi po stronie tego operatora.</w:t>
            </w:r>
            <w:r w:rsidRPr="0038322F">
              <w:rPr>
                <w:rFonts w:eastAsia="Calibri" w:cstheme="minorHAnsi"/>
                <w:sz w:val="20"/>
                <w:szCs w:val="20"/>
                <w:lang w:val="pl"/>
              </w:rPr>
              <w:t xml:space="preserve"> </w:t>
            </w:r>
          </w:p>
        </w:tc>
        <w:tc>
          <w:tcPr>
            <w:tcW w:w="1286" w:type="dxa"/>
          </w:tcPr>
          <w:p w14:paraId="7543533F" w14:textId="1ECC358F" w:rsidR="00B76C86" w:rsidRPr="0038322F" w:rsidRDefault="00B76C86" w:rsidP="00B76C86">
            <w:pPr>
              <w:jc w:val="both"/>
              <w:rPr>
                <w:rFonts w:cstheme="minorHAnsi"/>
                <w:sz w:val="20"/>
                <w:szCs w:val="20"/>
              </w:rPr>
            </w:pPr>
          </w:p>
        </w:tc>
      </w:tr>
      <w:tr w:rsidR="00B76C86" w:rsidRPr="0038322F" w14:paraId="5D62EAD2" w14:textId="77777777" w:rsidTr="00862BFF">
        <w:tc>
          <w:tcPr>
            <w:tcW w:w="846" w:type="dxa"/>
          </w:tcPr>
          <w:p w14:paraId="4A7034F4" w14:textId="77777777" w:rsidR="00B76C86" w:rsidRPr="0038322F" w:rsidRDefault="00B76C86" w:rsidP="00B74CC0">
            <w:pPr>
              <w:pStyle w:val="Akapitzlist"/>
              <w:numPr>
                <w:ilvl w:val="0"/>
                <w:numId w:val="15"/>
              </w:numPr>
              <w:ind w:left="313"/>
              <w:jc w:val="center"/>
              <w:rPr>
                <w:rFonts w:cstheme="minorHAnsi"/>
                <w:sz w:val="20"/>
                <w:szCs w:val="20"/>
              </w:rPr>
            </w:pPr>
          </w:p>
        </w:tc>
        <w:tc>
          <w:tcPr>
            <w:tcW w:w="1843" w:type="dxa"/>
          </w:tcPr>
          <w:p w14:paraId="4DAC585F" w14:textId="25F8FB85" w:rsidR="00B76C86" w:rsidRPr="0038322F" w:rsidRDefault="00B76C86" w:rsidP="00B76C86">
            <w:pPr>
              <w:jc w:val="center"/>
              <w:rPr>
                <w:rFonts w:eastAsia="Calibri" w:cstheme="minorHAnsi"/>
                <w:sz w:val="20"/>
                <w:szCs w:val="20"/>
                <w:lang w:val="pl"/>
              </w:rPr>
            </w:pPr>
            <w:r w:rsidRPr="0038322F">
              <w:rPr>
                <w:rFonts w:eastAsia="Calibri" w:cstheme="minorHAnsi"/>
                <w:sz w:val="20"/>
                <w:szCs w:val="20"/>
                <w:lang w:val="pl"/>
              </w:rPr>
              <w:t xml:space="preserve">Art. 1 pkt 9 w zakresie dodawanego </w:t>
            </w:r>
            <w:r w:rsidRPr="0038322F">
              <w:rPr>
                <w:rFonts w:eastAsia="Calibri" w:cstheme="minorHAnsi"/>
                <w:spacing w:val="-1"/>
                <w:sz w:val="20"/>
                <w:szCs w:val="20"/>
              </w:rPr>
              <w:t xml:space="preserve"> Art.</w:t>
            </w:r>
            <w:r w:rsidRPr="0038322F">
              <w:rPr>
                <w:rFonts w:eastAsia="Calibri" w:cstheme="minorHAnsi"/>
                <w:spacing w:val="54"/>
                <w:sz w:val="20"/>
                <w:szCs w:val="20"/>
              </w:rPr>
              <w:t xml:space="preserve"> </w:t>
            </w:r>
            <w:r w:rsidRPr="0038322F">
              <w:rPr>
                <w:rFonts w:eastAsia="Calibri" w:cstheme="minorHAnsi"/>
                <w:sz w:val="20"/>
                <w:szCs w:val="20"/>
              </w:rPr>
              <w:t>7</w:t>
            </w:r>
            <w:r w:rsidRPr="0038322F">
              <w:rPr>
                <w:rFonts w:eastAsia="Calibri" w:cstheme="minorHAnsi"/>
                <w:position w:val="9"/>
                <w:sz w:val="20"/>
                <w:szCs w:val="20"/>
              </w:rPr>
              <w:t>2</w:t>
            </w:r>
          </w:p>
        </w:tc>
        <w:tc>
          <w:tcPr>
            <w:tcW w:w="5670" w:type="dxa"/>
          </w:tcPr>
          <w:p w14:paraId="67C70548" w14:textId="7BE1DC1E" w:rsidR="00B76C86" w:rsidRPr="0038322F" w:rsidRDefault="00B76C86" w:rsidP="00B76C86">
            <w:pPr>
              <w:jc w:val="both"/>
              <w:rPr>
                <w:rFonts w:eastAsia="Calibri" w:cstheme="minorHAnsi"/>
                <w:sz w:val="20"/>
                <w:szCs w:val="20"/>
                <w:lang w:val="pl"/>
              </w:rPr>
            </w:pPr>
            <w:r w:rsidRPr="0038322F">
              <w:rPr>
                <w:rFonts w:eastAsia="Calibri" w:cstheme="minorHAnsi"/>
                <w:sz w:val="20"/>
                <w:szCs w:val="20"/>
                <w:lang w:val="pl"/>
              </w:rPr>
              <w:t>Zasady i warunki zawierania konfigurowalnych umów o przyłączenie, z uwagi na ich charakter, powinny być zunifikowane i jednakowo stosowane przez wszystkich operatorów. Aby tak się stało, niezbędny jest nadzór URE.</w:t>
            </w:r>
          </w:p>
        </w:tc>
        <w:tc>
          <w:tcPr>
            <w:tcW w:w="4394" w:type="dxa"/>
          </w:tcPr>
          <w:p w14:paraId="59229404" w14:textId="22C66303" w:rsidR="00B76C86" w:rsidRPr="0038322F" w:rsidRDefault="00B76C86" w:rsidP="00BE68F7">
            <w:pPr>
              <w:ind w:left="29"/>
              <w:jc w:val="both"/>
              <w:rPr>
                <w:rFonts w:eastAsia="Calibri" w:cstheme="minorHAnsi"/>
                <w:sz w:val="20"/>
                <w:szCs w:val="20"/>
                <w:lang w:val="pl"/>
              </w:rPr>
            </w:pPr>
            <w:r w:rsidRPr="0038322F">
              <w:rPr>
                <w:rFonts w:eastAsia="Calibri" w:cstheme="minorHAnsi"/>
                <w:b/>
                <w:bCs/>
                <w:sz w:val="20"/>
                <w:szCs w:val="20"/>
                <w:lang w:val="pl"/>
              </w:rPr>
              <w:t>7.</w:t>
            </w:r>
            <w:r w:rsidRPr="0038322F">
              <w:rPr>
                <w:rFonts w:eastAsia="Calibri" w:cstheme="minorHAnsi"/>
                <w:sz w:val="20"/>
                <w:szCs w:val="20"/>
                <w:lang w:val="pl"/>
              </w:rPr>
              <w:t xml:space="preserve"> </w:t>
            </w:r>
            <w:r w:rsidRPr="0038322F">
              <w:rPr>
                <w:rFonts w:eastAsia="Calibri" w:cstheme="minorHAnsi"/>
                <w:b/>
                <w:bCs/>
                <w:sz w:val="20"/>
                <w:szCs w:val="20"/>
                <w:lang w:val="pl"/>
              </w:rPr>
              <w:t xml:space="preserve"> Zasady zawierania konfigurowalnych umów o przyłączenie do sieci są określane jednakowo dla wszystkich operatorów systemu elektroenergetycznego przez Prezesa URE oraz publikowane </w:t>
            </w:r>
            <w:r w:rsidRPr="0038322F">
              <w:rPr>
                <w:rFonts w:cstheme="minorHAnsi"/>
                <w:sz w:val="20"/>
                <w:szCs w:val="20"/>
              </w:rPr>
              <w:t xml:space="preserve"> </w:t>
            </w:r>
            <w:r w:rsidRPr="0038322F">
              <w:rPr>
                <w:rFonts w:eastAsia="Calibri" w:cstheme="minorHAnsi"/>
                <w:b/>
                <w:bCs/>
                <w:sz w:val="20"/>
                <w:szCs w:val="20"/>
                <w:lang w:val="pl"/>
              </w:rPr>
              <w:t>w Biuletynie Urzędu Regulacji Energetyki.</w:t>
            </w:r>
          </w:p>
        </w:tc>
        <w:tc>
          <w:tcPr>
            <w:tcW w:w="1286" w:type="dxa"/>
          </w:tcPr>
          <w:p w14:paraId="1E9536C5" w14:textId="77777777" w:rsidR="00B76C86" w:rsidRPr="0038322F" w:rsidRDefault="00B76C86" w:rsidP="00B76C86">
            <w:pPr>
              <w:jc w:val="both"/>
              <w:rPr>
                <w:rFonts w:cstheme="minorHAnsi"/>
                <w:sz w:val="20"/>
                <w:szCs w:val="20"/>
              </w:rPr>
            </w:pPr>
          </w:p>
        </w:tc>
      </w:tr>
      <w:tr w:rsidR="00B76C86" w:rsidRPr="0038322F" w14:paraId="5E05FC01" w14:textId="77777777" w:rsidTr="00862BFF">
        <w:tc>
          <w:tcPr>
            <w:tcW w:w="846" w:type="dxa"/>
          </w:tcPr>
          <w:p w14:paraId="37570538" w14:textId="77777777" w:rsidR="00B76C86" w:rsidRPr="0038322F" w:rsidRDefault="00B76C86" w:rsidP="00B74CC0">
            <w:pPr>
              <w:pStyle w:val="Akapitzlist"/>
              <w:numPr>
                <w:ilvl w:val="0"/>
                <w:numId w:val="15"/>
              </w:numPr>
              <w:ind w:left="313"/>
              <w:jc w:val="center"/>
              <w:rPr>
                <w:rFonts w:cstheme="minorHAnsi"/>
                <w:sz w:val="20"/>
                <w:szCs w:val="20"/>
              </w:rPr>
            </w:pPr>
          </w:p>
        </w:tc>
        <w:tc>
          <w:tcPr>
            <w:tcW w:w="1843" w:type="dxa"/>
          </w:tcPr>
          <w:p w14:paraId="561EFD38" w14:textId="3A0F77D0" w:rsidR="00B76C86" w:rsidRPr="0038322F" w:rsidRDefault="00B76C86" w:rsidP="00B76C86">
            <w:pPr>
              <w:jc w:val="center"/>
              <w:rPr>
                <w:rFonts w:cstheme="minorHAnsi"/>
                <w:sz w:val="20"/>
                <w:szCs w:val="20"/>
              </w:rPr>
            </w:pPr>
            <w:r w:rsidRPr="0038322F">
              <w:rPr>
                <w:rFonts w:eastAsia="Calibri" w:cstheme="minorHAnsi"/>
                <w:sz w:val="20"/>
                <w:szCs w:val="20"/>
                <w:lang w:val="en-GB"/>
              </w:rPr>
              <w:t xml:space="preserve">Art. 1 </w:t>
            </w:r>
            <w:proofErr w:type="spellStart"/>
            <w:r w:rsidRPr="0038322F">
              <w:rPr>
                <w:rFonts w:eastAsia="Calibri" w:cstheme="minorHAnsi"/>
                <w:sz w:val="20"/>
                <w:szCs w:val="20"/>
                <w:lang w:val="en-GB"/>
              </w:rPr>
              <w:t>pkt</w:t>
            </w:r>
            <w:proofErr w:type="spellEnd"/>
            <w:r w:rsidRPr="0038322F">
              <w:rPr>
                <w:rFonts w:eastAsia="Calibri" w:cstheme="minorHAnsi"/>
                <w:sz w:val="20"/>
                <w:szCs w:val="20"/>
                <w:lang w:val="en-GB"/>
              </w:rPr>
              <w:t xml:space="preserve"> 10</w:t>
            </w:r>
          </w:p>
        </w:tc>
        <w:tc>
          <w:tcPr>
            <w:tcW w:w="5670" w:type="dxa"/>
          </w:tcPr>
          <w:p w14:paraId="65CF7837" w14:textId="07EDD974" w:rsidR="00B76C86" w:rsidRPr="0038322F" w:rsidRDefault="00B76C86" w:rsidP="00B76C86">
            <w:pPr>
              <w:jc w:val="both"/>
              <w:rPr>
                <w:rFonts w:cstheme="minorHAnsi"/>
                <w:sz w:val="20"/>
                <w:szCs w:val="20"/>
              </w:rPr>
            </w:pPr>
            <w:r w:rsidRPr="0038322F">
              <w:rPr>
                <w:rFonts w:eastAsia="Calibri" w:cstheme="minorHAnsi"/>
                <w:sz w:val="20"/>
                <w:szCs w:val="20"/>
              </w:rPr>
              <w:t>Jednoznacznie negatywnie oceniamy wprowadzenie regulacji dotyczących konkursów, które w naszej ocenie są mechanizmem niedojrzałym, nieprecyzyjnym i bardzo ogólnikowym.  Jesteśmy przeciwko zatrzymywaniu procesu rozpatrywania wniosków o przyłączenie i uruchamianiu nieprzygotowanej, sporządzonej na szybko nowej formy przydzielania mocy przyłączeniowych. Stoimy na stanowisku, że przedmiotowy projekt przewiduje wiele innych rozwiązań, które mają na celu rozwiązanie problemu nadmiaru wniosków o określenie warunków przyłączenia oraz niepełnej transparentności procesu przyłączeniowego.</w:t>
            </w:r>
          </w:p>
          <w:p w14:paraId="0E6AC63A" w14:textId="77777777" w:rsidR="00B76C86" w:rsidRPr="0038322F" w:rsidRDefault="00B76C86" w:rsidP="00B76C86">
            <w:pPr>
              <w:jc w:val="both"/>
              <w:rPr>
                <w:rFonts w:eastAsia="Calibri" w:cstheme="minorHAnsi"/>
                <w:sz w:val="20"/>
                <w:szCs w:val="20"/>
              </w:rPr>
            </w:pPr>
          </w:p>
          <w:p w14:paraId="187A8AD5" w14:textId="77777777" w:rsidR="00B76C86" w:rsidRPr="0038322F" w:rsidRDefault="00B76C86" w:rsidP="00B76C86">
            <w:pPr>
              <w:jc w:val="both"/>
              <w:rPr>
                <w:rFonts w:cstheme="minorHAnsi"/>
                <w:sz w:val="20"/>
                <w:szCs w:val="20"/>
              </w:rPr>
            </w:pPr>
            <w:r w:rsidRPr="0038322F">
              <w:rPr>
                <w:rFonts w:cstheme="minorHAnsi"/>
                <w:sz w:val="20"/>
                <w:szCs w:val="20"/>
              </w:rPr>
              <w:t>Po pierwsze, wymóg deklarowania terminu uzyskania ostatecznego pozwolenia na użytkowanie jest nieadekwatny w kontekście istnienia kamieni milowych w umowach przyłączeniowych. Pozwolenie na użytkowanie jest końcowym etapem realizacji projektu, zależnym od wielu czynników zewnętrznych, w tym administracyjnych, które nie są pod kontrolą inwestora. Uzależnianie oceny oferty od tej deklaracji oraz sankcjonowanie opóźnień poprzez zatrzymanie zabezpieczenia jest nieproporcjonalne i może prowadzić do nieuzasadnionych strat finansowych.</w:t>
            </w:r>
          </w:p>
          <w:p w14:paraId="4F3D0B3F" w14:textId="77777777" w:rsidR="00B76C86" w:rsidRPr="0038322F" w:rsidRDefault="00B76C86" w:rsidP="00B76C86">
            <w:pPr>
              <w:jc w:val="both"/>
              <w:rPr>
                <w:rFonts w:cstheme="minorHAnsi"/>
                <w:sz w:val="20"/>
                <w:szCs w:val="20"/>
              </w:rPr>
            </w:pPr>
          </w:p>
          <w:p w14:paraId="302CD8E8" w14:textId="77777777" w:rsidR="00B76C86" w:rsidRPr="0038322F" w:rsidRDefault="00B76C86" w:rsidP="00B76C86">
            <w:pPr>
              <w:jc w:val="both"/>
              <w:rPr>
                <w:rFonts w:cstheme="minorHAnsi"/>
                <w:sz w:val="20"/>
                <w:szCs w:val="20"/>
              </w:rPr>
            </w:pPr>
            <w:r w:rsidRPr="0038322F">
              <w:rPr>
                <w:rFonts w:cstheme="minorHAnsi"/>
                <w:sz w:val="20"/>
                <w:szCs w:val="20"/>
              </w:rPr>
              <w:t>Po drugie, mechanizm ten tworzy ryzyko spekulacyjnego licytowania opłat za przyłączenie. Brak górnego limitu oraz presja konkurencyjna mogą prowadzić do sztucznego zawyżania wartości ofert, co nie ma związku z rzeczywistymi kosztami przyłączenia, a jedynie z próbą „kupienia” miejsca w sieci. Taki model sprzyja podmiotom dysponującym nadmiernym kapitałem, a nie tym, które realizują efektywne i potrzebne systemowo inwestycje.</w:t>
            </w:r>
          </w:p>
          <w:p w14:paraId="3B2ACE61" w14:textId="77777777" w:rsidR="00B76C86" w:rsidRPr="0038322F" w:rsidRDefault="00B76C86" w:rsidP="00B76C86">
            <w:pPr>
              <w:jc w:val="both"/>
              <w:rPr>
                <w:rFonts w:cstheme="minorHAnsi"/>
                <w:sz w:val="20"/>
                <w:szCs w:val="20"/>
              </w:rPr>
            </w:pPr>
          </w:p>
          <w:p w14:paraId="70252892" w14:textId="77777777" w:rsidR="00B76C86" w:rsidRPr="0038322F" w:rsidRDefault="00B76C86" w:rsidP="00B76C86">
            <w:pPr>
              <w:jc w:val="both"/>
              <w:rPr>
                <w:rFonts w:cstheme="minorHAnsi"/>
                <w:sz w:val="20"/>
                <w:szCs w:val="20"/>
              </w:rPr>
            </w:pPr>
            <w:r w:rsidRPr="0038322F">
              <w:rPr>
                <w:rFonts w:cstheme="minorHAnsi"/>
                <w:sz w:val="20"/>
                <w:szCs w:val="20"/>
              </w:rPr>
              <w:t>W obecnej formie przepis może stać się narzędziem do generowania przychodów dla operatorów, bez gwarancji realizacji inwestycji i bez zapewnienia korzyści dla systemu elektroenergetycznego. W efekcie może dojść do sytuacji, w której konkursy staną się mechanizmem transferu środków finansowych, a nie narzędziem racjonalnego zarządzania ograniczoną mocą przyłączeniową.</w:t>
            </w:r>
          </w:p>
          <w:p w14:paraId="6CB27B69" w14:textId="77777777" w:rsidR="00B76C86" w:rsidRPr="0038322F" w:rsidRDefault="00B76C86" w:rsidP="00B76C86">
            <w:pPr>
              <w:jc w:val="both"/>
              <w:rPr>
                <w:rFonts w:cstheme="minorHAnsi"/>
                <w:sz w:val="20"/>
                <w:szCs w:val="20"/>
              </w:rPr>
            </w:pPr>
          </w:p>
          <w:p w14:paraId="66E9DA97" w14:textId="34C7B689" w:rsidR="00B76C86" w:rsidRPr="0038322F" w:rsidRDefault="00B76C86" w:rsidP="00B76C86">
            <w:pPr>
              <w:jc w:val="both"/>
              <w:rPr>
                <w:rFonts w:cstheme="minorHAnsi"/>
                <w:sz w:val="20"/>
                <w:szCs w:val="20"/>
              </w:rPr>
            </w:pPr>
            <w:r w:rsidRPr="0038322F">
              <w:rPr>
                <w:rFonts w:cstheme="minorHAnsi"/>
                <w:sz w:val="20"/>
                <w:szCs w:val="20"/>
              </w:rPr>
              <w:t>Tylko głęboka rewizja tego przepisu może zapewnić jego zgodność z celami polityki energetycznej państwa, w tym rozwojem OZE, transparentnością procesów inwestycyjnych oraz ochroną interesów uczestników rynku.</w:t>
            </w:r>
          </w:p>
          <w:p w14:paraId="57F8C9BC" w14:textId="42FA5328" w:rsidR="00B76C86" w:rsidRPr="0038322F" w:rsidRDefault="00B76C86" w:rsidP="00B76C86">
            <w:pPr>
              <w:jc w:val="both"/>
              <w:rPr>
                <w:rFonts w:cstheme="minorHAnsi"/>
                <w:sz w:val="20"/>
                <w:szCs w:val="20"/>
              </w:rPr>
            </w:pPr>
            <w:r w:rsidRPr="0038322F">
              <w:rPr>
                <w:rFonts w:eastAsia="Calibri" w:cstheme="minorHAnsi"/>
                <w:sz w:val="20"/>
                <w:szCs w:val="20"/>
              </w:rPr>
              <w:t>Pozostałe kwestie, które budzą nasze obawy:</w:t>
            </w:r>
          </w:p>
          <w:p w14:paraId="79F60DA9" w14:textId="4A08B466" w:rsidR="00B76C86" w:rsidRPr="0038322F" w:rsidRDefault="00B76C86" w:rsidP="00B76C86">
            <w:pPr>
              <w:jc w:val="both"/>
              <w:rPr>
                <w:rFonts w:cstheme="minorHAnsi"/>
                <w:sz w:val="20"/>
                <w:szCs w:val="20"/>
              </w:rPr>
            </w:pPr>
            <w:r w:rsidRPr="0038322F">
              <w:rPr>
                <w:rFonts w:eastAsia="Calibri" w:cstheme="minorHAnsi"/>
                <w:sz w:val="20"/>
                <w:szCs w:val="20"/>
              </w:rPr>
              <w:t xml:space="preserve">- możliwości rzetelnego przygotowania przez OSP i OSD podziału całej sieci powyżej 1 </w:t>
            </w:r>
            <w:proofErr w:type="spellStart"/>
            <w:r w:rsidRPr="0038322F">
              <w:rPr>
                <w:rFonts w:eastAsia="Calibri" w:cstheme="minorHAnsi"/>
                <w:sz w:val="20"/>
                <w:szCs w:val="20"/>
              </w:rPr>
              <w:t>kV</w:t>
            </w:r>
            <w:proofErr w:type="spellEnd"/>
            <w:r w:rsidRPr="0038322F">
              <w:rPr>
                <w:rFonts w:eastAsia="Calibri" w:cstheme="minorHAnsi"/>
                <w:sz w:val="20"/>
                <w:szCs w:val="20"/>
              </w:rPr>
              <w:t xml:space="preserve"> na obszary z dostępnymi mocami (w terminie 120 dni od wejścia ustawy), gdy:</w:t>
            </w:r>
          </w:p>
          <w:p w14:paraId="2464B4B8" w14:textId="7C259D93" w:rsidR="00B76C86" w:rsidRPr="0038322F" w:rsidRDefault="00B76C86" w:rsidP="00B76C86">
            <w:pPr>
              <w:pStyle w:val="Akapitzlist"/>
              <w:numPr>
                <w:ilvl w:val="0"/>
                <w:numId w:val="6"/>
              </w:numPr>
              <w:jc w:val="both"/>
              <w:rPr>
                <w:rFonts w:eastAsia="Calibri" w:cstheme="minorHAnsi"/>
                <w:sz w:val="20"/>
                <w:szCs w:val="20"/>
              </w:rPr>
            </w:pPr>
            <w:r w:rsidRPr="0038322F">
              <w:rPr>
                <w:rFonts w:eastAsia="Calibri" w:cstheme="minorHAnsi"/>
                <w:sz w:val="20"/>
                <w:szCs w:val="20"/>
              </w:rPr>
              <w:t>z doświadczeń wiemy, że OSE nie radzi sobie w tak krótkim czasie z analizami normalnie składanych wniosków,</w:t>
            </w:r>
          </w:p>
          <w:p w14:paraId="6C104F8C" w14:textId="630F1DEC" w:rsidR="00B76C86" w:rsidRPr="0038322F" w:rsidRDefault="00B76C86" w:rsidP="00B76C86">
            <w:pPr>
              <w:pStyle w:val="Akapitzlist"/>
              <w:numPr>
                <w:ilvl w:val="0"/>
                <w:numId w:val="6"/>
              </w:numPr>
              <w:jc w:val="both"/>
              <w:rPr>
                <w:rFonts w:eastAsia="Calibri" w:cstheme="minorHAnsi"/>
                <w:sz w:val="20"/>
                <w:szCs w:val="20"/>
              </w:rPr>
            </w:pPr>
            <w:r w:rsidRPr="0038322F">
              <w:rPr>
                <w:rFonts w:eastAsia="Calibri" w:cstheme="minorHAnsi"/>
                <w:sz w:val="20"/>
                <w:szCs w:val="20"/>
              </w:rPr>
              <w:t xml:space="preserve">nie ma szansy, aby w tym czasie można było uwzględnić wygaśnięte WNP, WP i </w:t>
            </w:r>
            <w:proofErr w:type="spellStart"/>
            <w:r w:rsidRPr="0038322F">
              <w:rPr>
                <w:rFonts w:eastAsia="Calibri" w:cstheme="minorHAnsi"/>
                <w:sz w:val="20"/>
                <w:szCs w:val="20"/>
              </w:rPr>
              <w:t>UoP</w:t>
            </w:r>
            <w:proofErr w:type="spellEnd"/>
            <w:r w:rsidRPr="0038322F">
              <w:rPr>
                <w:rFonts w:eastAsia="Calibri" w:cstheme="minorHAnsi"/>
                <w:sz w:val="20"/>
                <w:szCs w:val="20"/>
              </w:rPr>
              <w:t xml:space="preserve">, które będą w trakcie weryfikacji - tym bardziej, że dla dużej ilości WP (których ważność upływa nie wcześniej niż z upływem 6 miesięcy od dnia wejścia ustawy), nie ma konieczności wnoszenia zwiększonej zaliczki i składania dodatkowego zabezpieczenia, a wszystkie dodatkowe restrykcje finansowe dla WNP, WP i </w:t>
            </w:r>
            <w:proofErr w:type="spellStart"/>
            <w:r w:rsidRPr="0038322F">
              <w:rPr>
                <w:rFonts w:eastAsia="Calibri" w:cstheme="minorHAnsi"/>
                <w:sz w:val="20"/>
                <w:szCs w:val="20"/>
              </w:rPr>
              <w:t>UoP</w:t>
            </w:r>
            <w:proofErr w:type="spellEnd"/>
            <w:r w:rsidRPr="0038322F">
              <w:rPr>
                <w:rFonts w:eastAsia="Calibri" w:cstheme="minorHAnsi"/>
                <w:sz w:val="20"/>
                <w:szCs w:val="20"/>
              </w:rPr>
              <w:t xml:space="preserve"> muszą być spełnione w terminie do 60 dni od wejścia ustawy;</w:t>
            </w:r>
          </w:p>
          <w:p w14:paraId="383A0EE5" w14:textId="49238BB4" w:rsidR="00B76C86" w:rsidRPr="0038322F" w:rsidRDefault="00B76C86" w:rsidP="00B76C86">
            <w:pPr>
              <w:jc w:val="both"/>
              <w:rPr>
                <w:rFonts w:cstheme="minorHAnsi"/>
                <w:sz w:val="20"/>
                <w:szCs w:val="20"/>
              </w:rPr>
            </w:pPr>
            <w:r w:rsidRPr="0038322F">
              <w:rPr>
                <w:rFonts w:eastAsia="Calibri" w:cstheme="minorHAnsi"/>
                <w:sz w:val="20"/>
                <w:szCs w:val="20"/>
              </w:rPr>
              <w:t>- nie jest wyjaśniona kwestia aktualizacji informacji o obszarach oraz częstotliwości konkursów;</w:t>
            </w:r>
          </w:p>
          <w:p w14:paraId="7ABFDDF8" w14:textId="7E9DD9FB" w:rsidR="00B76C86" w:rsidRPr="0038322F" w:rsidRDefault="00B76C86" w:rsidP="00B76C86">
            <w:pPr>
              <w:jc w:val="both"/>
              <w:rPr>
                <w:rFonts w:eastAsia="Calibri" w:cstheme="minorHAnsi"/>
                <w:sz w:val="20"/>
                <w:szCs w:val="20"/>
              </w:rPr>
            </w:pPr>
            <w:r w:rsidRPr="0038322F">
              <w:rPr>
                <w:rFonts w:eastAsia="Calibri" w:cstheme="minorHAnsi"/>
                <w:sz w:val="20"/>
                <w:szCs w:val="20"/>
              </w:rPr>
              <w:t>- nie wiemy co będzie się działo z uwalnianymi mocami przyłączeniowymi;</w:t>
            </w:r>
          </w:p>
          <w:p w14:paraId="3600321A" w14:textId="77777777" w:rsidR="00B76C86" w:rsidRPr="0038322F" w:rsidRDefault="00B76C86" w:rsidP="00B76C86">
            <w:pPr>
              <w:jc w:val="both"/>
              <w:rPr>
                <w:rFonts w:cstheme="minorHAnsi"/>
                <w:sz w:val="20"/>
                <w:szCs w:val="20"/>
              </w:rPr>
            </w:pPr>
          </w:p>
          <w:p w14:paraId="573CEAA7" w14:textId="1ECDC494" w:rsidR="00B76C86" w:rsidRPr="0038322F" w:rsidRDefault="00B76C86" w:rsidP="00B76C86">
            <w:pPr>
              <w:jc w:val="both"/>
              <w:rPr>
                <w:rFonts w:eastAsia="Calibri" w:cstheme="minorHAnsi"/>
                <w:b/>
                <w:bCs/>
                <w:sz w:val="20"/>
                <w:szCs w:val="20"/>
              </w:rPr>
            </w:pPr>
            <w:r w:rsidRPr="0038322F">
              <w:rPr>
                <w:rFonts w:eastAsia="Calibri" w:cstheme="minorHAnsi"/>
                <w:b/>
                <w:bCs/>
                <w:sz w:val="20"/>
                <w:szCs w:val="20"/>
              </w:rPr>
              <w:t>Naszym zdaniem, wprowadzanie nowych zasad przydzielania mocy przyłączeniowych powinno nastąpić dopiero po analizie sytuacji, która wystąpi po wprowadzeniu obostrzeń wynikających z omawianej ustawy zmieniającej. Może się okazać, że zmiany będą wystarczające. Jesteśmy zwolennikami zmian ewolucyjnych, a nie rewolucyjnych, których skutki są trudne do przewidzenia.</w:t>
            </w:r>
          </w:p>
        </w:tc>
        <w:tc>
          <w:tcPr>
            <w:tcW w:w="4394" w:type="dxa"/>
          </w:tcPr>
          <w:p w14:paraId="48B15CCA" w14:textId="470D530D" w:rsidR="00B76C86" w:rsidRPr="0038322F" w:rsidRDefault="00B76C86" w:rsidP="00B76C86">
            <w:pPr>
              <w:jc w:val="both"/>
              <w:rPr>
                <w:rFonts w:cstheme="minorHAnsi"/>
                <w:sz w:val="20"/>
                <w:szCs w:val="20"/>
              </w:rPr>
            </w:pPr>
            <w:r w:rsidRPr="0038322F">
              <w:rPr>
                <w:rFonts w:eastAsia="Calibri" w:cstheme="minorHAnsi"/>
                <w:i/>
                <w:iCs/>
                <w:sz w:val="20"/>
                <w:szCs w:val="20"/>
              </w:rPr>
              <w:t xml:space="preserve"> </w:t>
            </w:r>
          </w:p>
        </w:tc>
        <w:tc>
          <w:tcPr>
            <w:tcW w:w="1286" w:type="dxa"/>
          </w:tcPr>
          <w:p w14:paraId="227B6F3D" w14:textId="6E51D005" w:rsidR="00B76C86" w:rsidRPr="0038322F" w:rsidRDefault="00B76C86" w:rsidP="00B76C86">
            <w:pPr>
              <w:jc w:val="both"/>
              <w:rPr>
                <w:rFonts w:cstheme="minorHAnsi"/>
                <w:sz w:val="20"/>
                <w:szCs w:val="20"/>
              </w:rPr>
            </w:pPr>
            <w:r w:rsidRPr="0038322F">
              <w:rPr>
                <w:rFonts w:eastAsia="Calibri" w:cstheme="minorHAnsi"/>
                <w:b/>
                <w:bCs/>
                <w:sz w:val="20"/>
                <w:szCs w:val="20"/>
                <w:highlight w:val="yellow"/>
              </w:rPr>
              <w:t xml:space="preserve"> </w:t>
            </w:r>
          </w:p>
        </w:tc>
      </w:tr>
      <w:tr w:rsidR="006D5970" w:rsidRPr="0038322F" w14:paraId="7BEEB5CE" w14:textId="77777777" w:rsidTr="00862BFF">
        <w:tc>
          <w:tcPr>
            <w:tcW w:w="846" w:type="dxa"/>
          </w:tcPr>
          <w:p w14:paraId="187CE416" w14:textId="77777777" w:rsidR="006D5970" w:rsidRPr="0038322F" w:rsidRDefault="006D5970" w:rsidP="006D5970">
            <w:pPr>
              <w:pStyle w:val="Akapitzlist"/>
              <w:numPr>
                <w:ilvl w:val="0"/>
                <w:numId w:val="15"/>
              </w:numPr>
              <w:ind w:left="313"/>
              <w:jc w:val="center"/>
              <w:rPr>
                <w:rFonts w:cstheme="minorHAnsi"/>
                <w:sz w:val="20"/>
                <w:szCs w:val="20"/>
              </w:rPr>
            </w:pPr>
          </w:p>
        </w:tc>
        <w:tc>
          <w:tcPr>
            <w:tcW w:w="1843" w:type="dxa"/>
          </w:tcPr>
          <w:p w14:paraId="0038037E" w14:textId="672CC2A5" w:rsidR="006D5970" w:rsidRPr="00461DBE" w:rsidRDefault="006D5970" w:rsidP="006D5970">
            <w:pPr>
              <w:ind w:left="174" w:right="121"/>
              <w:jc w:val="center"/>
              <w:rPr>
                <w:rFonts w:cstheme="minorHAnsi"/>
                <w:sz w:val="20"/>
                <w:szCs w:val="20"/>
                <w:lang w:val="en-GB"/>
              </w:rPr>
            </w:pPr>
            <w:r w:rsidRPr="0038322F">
              <w:rPr>
                <w:rFonts w:eastAsia="Lato" w:cstheme="minorHAnsi"/>
                <w:sz w:val="20"/>
                <w:szCs w:val="20"/>
                <w:lang w:val="en-US"/>
              </w:rPr>
              <w:t xml:space="preserve">Art. 1 pkt </w:t>
            </w:r>
            <w:r w:rsidR="00461DBE">
              <w:rPr>
                <w:rFonts w:eastAsia="Lato" w:cstheme="minorHAnsi"/>
                <w:sz w:val="20"/>
                <w:szCs w:val="20"/>
                <w:lang w:val="en-US"/>
              </w:rPr>
              <w:t xml:space="preserve">13 lit. a </w:t>
            </w:r>
            <w:proofErr w:type="spellStart"/>
            <w:r w:rsidR="00461DBE">
              <w:rPr>
                <w:rFonts w:eastAsia="Lato" w:cstheme="minorHAnsi"/>
                <w:sz w:val="20"/>
                <w:szCs w:val="20"/>
                <w:lang w:val="en-US"/>
              </w:rPr>
              <w:t>tiret</w:t>
            </w:r>
            <w:proofErr w:type="spellEnd"/>
            <w:r w:rsidR="00461DBE">
              <w:rPr>
                <w:rFonts w:eastAsia="Lato" w:cstheme="minorHAnsi"/>
                <w:sz w:val="20"/>
                <w:szCs w:val="20"/>
                <w:lang w:val="en-US"/>
              </w:rPr>
              <w:t xml:space="preserve"> </w:t>
            </w:r>
            <w:proofErr w:type="spellStart"/>
            <w:r w:rsidR="00461DBE">
              <w:rPr>
                <w:rFonts w:eastAsia="Lato" w:cstheme="minorHAnsi"/>
                <w:sz w:val="20"/>
                <w:szCs w:val="20"/>
                <w:lang w:val="en-US"/>
              </w:rPr>
              <w:t>pierwsze</w:t>
            </w:r>
            <w:proofErr w:type="spellEnd"/>
          </w:p>
          <w:p w14:paraId="7FEAA9EC" w14:textId="77777777" w:rsidR="006D5970" w:rsidRPr="00461DBE" w:rsidRDefault="006D5970" w:rsidP="006D5970">
            <w:pPr>
              <w:ind w:left="174" w:right="121"/>
              <w:jc w:val="center"/>
              <w:rPr>
                <w:rFonts w:cstheme="minorHAnsi"/>
                <w:sz w:val="20"/>
                <w:szCs w:val="20"/>
                <w:lang w:val="en-GB"/>
              </w:rPr>
            </w:pPr>
          </w:p>
          <w:p w14:paraId="0A46D7F8" w14:textId="77777777" w:rsidR="006D5970" w:rsidRPr="00461DBE" w:rsidRDefault="006D5970" w:rsidP="00461DBE">
            <w:pPr>
              <w:ind w:left="174" w:right="121"/>
              <w:jc w:val="center"/>
              <w:rPr>
                <w:rFonts w:cstheme="minorHAnsi"/>
                <w:sz w:val="20"/>
                <w:szCs w:val="20"/>
                <w:lang w:val="en-GB"/>
              </w:rPr>
            </w:pPr>
          </w:p>
        </w:tc>
        <w:tc>
          <w:tcPr>
            <w:tcW w:w="5670" w:type="dxa"/>
          </w:tcPr>
          <w:p w14:paraId="77D46F8E" w14:textId="55053C03" w:rsidR="006D5970" w:rsidRPr="0038322F" w:rsidRDefault="006D5970" w:rsidP="006D5970">
            <w:pPr>
              <w:ind w:right="142"/>
              <w:jc w:val="both"/>
              <w:rPr>
                <w:rFonts w:cstheme="minorHAnsi"/>
                <w:sz w:val="20"/>
                <w:szCs w:val="20"/>
              </w:rPr>
            </w:pPr>
            <w:r w:rsidRPr="0038322F">
              <w:rPr>
                <w:rFonts w:eastAsia="Lato" w:cstheme="minorHAnsi"/>
                <w:sz w:val="20"/>
                <w:szCs w:val="20"/>
              </w:rPr>
              <w:t>Uważamy, że opracowywaniem sprawozdania na temat szacowanych potrzeb w zakresie elastyczności nie powinien zajmować</w:t>
            </w:r>
            <w:r>
              <w:rPr>
                <w:rFonts w:eastAsia="Lato" w:cstheme="minorHAnsi"/>
                <w:sz w:val="20"/>
                <w:szCs w:val="20"/>
              </w:rPr>
              <w:t xml:space="preserve"> się</w:t>
            </w:r>
            <w:r w:rsidRPr="0038322F">
              <w:rPr>
                <w:rFonts w:eastAsia="Lato" w:cstheme="minorHAnsi"/>
                <w:sz w:val="20"/>
                <w:szCs w:val="20"/>
              </w:rPr>
              <w:t xml:space="preserve"> OSP. Zgodnie z przepisami unijnymi, opracowywanym Kodeksem Sieci NC DSR, usługi elastyczności są dedykowane tylko OSD.</w:t>
            </w:r>
            <w:r w:rsidR="00115250">
              <w:rPr>
                <w:rFonts w:eastAsia="Lato" w:cstheme="minorHAnsi"/>
                <w:sz w:val="20"/>
                <w:szCs w:val="20"/>
              </w:rPr>
              <w:t xml:space="preserve"> </w:t>
            </w:r>
            <w:r w:rsidRPr="0038322F">
              <w:rPr>
                <w:rFonts w:eastAsia="Lato" w:cstheme="minorHAnsi"/>
                <w:sz w:val="20"/>
                <w:szCs w:val="20"/>
              </w:rPr>
              <w:t xml:space="preserve">Nie widzimy </w:t>
            </w:r>
            <w:r w:rsidR="00115250">
              <w:rPr>
                <w:rFonts w:eastAsia="Lato" w:cstheme="minorHAnsi"/>
                <w:sz w:val="20"/>
                <w:szCs w:val="20"/>
              </w:rPr>
              <w:t>więc</w:t>
            </w:r>
            <w:r w:rsidRPr="0038322F">
              <w:rPr>
                <w:rFonts w:eastAsia="Lato" w:cstheme="minorHAnsi"/>
                <w:sz w:val="20"/>
                <w:szCs w:val="20"/>
              </w:rPr>
              <w:t xml:space="preserve"> uzasadnienia dla powierzenia tego obowiązku OSP.</w:t>
            </w:r>
          </w:p>
          <w:p w14:paraId="5AD7EC81" w14:textId="2BC88908" w:rsidR="006D5970" w:rsidRPr="0038322F" w:rsidRDefault="006D5970" w:rsidP="006D5970">
            <w:pPr>
              <w:jc w:val="both"/>
              <w:rPr>
                <w:rFonts w:cstheme="minorHAnsi"/>
                <w:sz w:val="20"/>
                <w:szCs w:val="20"/>
              </w:rPr>
            </w:pPr>
            <w:r w:rsidRPr="0038322F">
              <w:rPr>
                <w:rFonts w:eastAsia="Lato" w:cstheme="minorHAnsi"/>
                <w:sz w:val="20"/>
                <w:szCs w:val="20"/>
              </w:rPr>
              <w:t>Proponujemy, aby podmiotem opracowującym takie sprawozdanie był Urząd Regulacji Energetyki wraz z zagwarantowaniem mu odpowiednich środków na ten cel.</w:t>
            </w:r>
          </w:p>
        </w:tc>
        <w:tc>
          <w:tcPr>
            <w:tcW w:w="4394" w:type="dxa"/>
          </w:tcPr>
          <w:p w14:paraId="2898FF89" w14:textId="473DC7DB" w:rsidR="006D5970" w:rsidRPr="0038322F" w:rsidRDefault="006D5970" w:rsidP="006D5970">
            <w:pPr>
              <w:jc w:val="both"/>
              <w:rPr>
                <w:rFonts w:eastAsia="Calibri" w:cstheme="minorHAnsi"/>
                <w:i/>
                <w:iCs/>
                <w:sz w:val="20"/>
                <w:szCs w:val="20"/>
              </w:rPr>
            </w:pPr>
            <w:r w:rsidRPr="0038322F">
              <w:rPr>
                <w:rFonts w:eastAsia="Lato" w:cstheme="minorHAnsi"/>
                <w:sz w:val="20"/>
                <w:szCs w:val="20"/>
              </w:rPr>
              <w:t xml:space="preserve"> </w:t>
            </w:r>
          </w:p>
        </w:tc>
        <w:tc>
          <w:tcPr>
            <w:tcW w:w="1286" w:type="dxa"/>
          </w:tcPr>
          <w:p w14:paraId="108FE91D" w14:textId="77777777" w:rsidR="006D5970" w:rsidRPr="0038322F" w:rsidRDefault="006D5970" w:rsidP="006D5970">
            <w:pPr>
              <w:jc w:val="both"/>
              <w:rPr>
                <w:rFonts w:eastAsia="Calibri" w:cstheme="minorHAnsi"/>
                <w:b/>
                <w:bCs/>
                <w:sz w:val="20"/>
                <w:szCs w:val="20"/>
                <w:highlight w:val="yellow"/>
              </w:rPr>
            </w:pPr>
          </w:p>
        </w:tc>
      </w:tr>
      <w:tr w:rsidR="00924A18" w:rsidRPr="0038322F" w14:paraId="3D9E4BD8" w14:textId="77777777" w:rsidTr="00862BFF">
        <w:tc>
          <w:tcPr>
            <w:tcW w:w="846" w:type="dxa"/>
          </w:tcPr>
          <w:p w14:paraId="0826D1F3" w14:textId="77777777" w:rsidR="00924A18" w:rsidRPr="0038322F" w:rsidRDefault="00924A18" w:rsidP="00924A18">
            <w:pPr>
              <w:pStyle w:val="Akapitzlist"/>
              <w:numPr>
                <w:ilvl w:val="0"/>
                <w:numId w:val="15"/>
              </w:numPr>
              <w:ind w:left="313"/>
              <w:jc w:val="center"/>
              <w:rPr>
                <w:rFonts w:cstheme="minorHAnsi"/>
                <w:sz w:val="20"/>
                <w:szCs w:val="20"/>
              </w:rPr>
            </w:pPr>
          </w:p>
        </w:tc>
        <w:tc>
          <w:tcPr>
            <w:tcW w:w="1843" w:type="dxa"/>
          </w:tcPr>
          <w:p w14:paraId="4101F1C6" w14:textId="77777777" w:rsidR="00924A18" w:rsidRPr="0038322F" w:rsidRDefault="00924A18" w:rsidP="00924A18">
            <w:pPr>
              <w:ind w:left="174" w:right="121"/>
              <w:jc w:val="center"/>
              <w:rPr>
                <w:rFonts w:cstheme="minorHAnsi"/>
                <w:sz w:val="20"/>
                <w:szCs w:val="20"/>
                <w:lang w:val="en-GB"/>
              </w:rPr>
            </w:pPr>
            <w:r w:rsidRPr="0038322F">
              <w:rPr>
                <w:rFonts w:eastAsia="Lato" w:cstheme="minorHAnsi"/>
                <w:sz w:val="20"/>
                <w:szCs w:val="20"/>
                <w:lang w:val="en-US"/>
              </w:rPr>
              <w:t>Art. 1 pkt 17</w:t>
            </w:r>
          </w:p>
          <w:p w14:paraId="02A50C54" w14:textId="77777777" w:rsidR="00924A18" w:rsidRPr="0038322F" w:rsidRDefault="00924A18" w:rsidP="00924A18">
            <w:pPr>
              <w:ind w:left="174" w:right="121"/>
              <w:jc w:val="center"/>
              <w:rPr>
                <w:rFonts w:cstheme="minorHAnsi"/>
                <w:sz w:val="20"/>
                <w:szCs w:val="20"/>
                <w:lang w:val="en-GB"/>
              </w:rPr>
            </w:pPr>
          </w:p>
          <w:p w14:paraId="54511192" w14:textId="10D6AC5D" w:rsidR="00924A18" w:rsidRPr="0038322F" w:rsidRDefault="00924A18" w:rsidP="00924A18">
            <w:pPr>
              <w:ind w:left="174" w:right="121"/>
              <w:jc w:val="center"/>
              <w:rPr>
                <w:rFonts w:eastAsia="Lato" w:cstheme="minorHAnsi"/>
                <w:sz w:val="20"/>
                <w:szCs w:val="20"/>
                <w:lang w:val="en-US"/>
              </w:rPr>
            </w:pPr>
            <w:proofErr w:type="spellStart"/>
            <w:r w:rsidRPr="0038322F">
              <w:rPr>
                <w:rFonts w:eastAsia="Lato" w:cstheme="minorHAnsi"/>
                <w:sz w:val="20"/>
                <w:szCs w:val="20"/>
                <w:lang w:val="en-US"/>
              </w:rPr>
              <w:t>uPE</w:t>
            </w:r>
            <w:proofErr w:type="spellEnd"/>
            <w:r w:rsidRPr="0038322F">
              <w:rPr>
                <w:rFonts w:eastAsia="Lato" w:cstheme="minorHAnsi"/>
                <w:sz w:val="20"/>
                <w:szCs w:val="20"/>
                <w:lang w:val="en-US"/>
              </w:rPr>
              <w:t xml:space="preserve"> Art. 10e</w:t>
            </w:r>
          </w:p>
        </w:tc>
        <w:tc>
          <w:tcPr>
            <w:tcW w:w="5670" w:type="dxa"/>
          </w:tcPr>
          <w:p w14:paraId="169F27F5" w14:textId="77777777" w:rsidR="00924A18" w:rsidRPr="0038322F" w:rsidRDefault="00924A18" w:rsidP="008A6570">
            <w:pPr>
              <w:ind w:right="142"/>
              <w:jc w:val="both"/>
              <w:rPr>
                <w:rFonts w:cstheme="minorHAnsi"/>
                <w:sz w:val="20"/>
                <w:szCs w:val="20"/>
              </w:rPr>
            </w:pPr>
            <w:r w:rsidRPr="0038322F">
              <w:rPr>
                <w:rFonts w:eastAsia="Lato" w:cstheme="minorHAnsi"/>
                <w:sz w:val="20"/>
                <w:szCs w:val="20"/>
              </w:rPr>
              <w:t>Wprowadza się nowy obowiązek dla wszystkich przedsiębiorstw energetycznych zajmujących się obrotem energią, podczas gdy realne ryzyko braku ciągłości dostaw jest największe w przypadku najmniejszych przedsiębiorstw obrotu.</w:t>
            </w:r>
          </w:p>
          <w:p w14:paraId="451BF404" w14:textId="2B2EF50C" w:rsidR="00924A18" w:rsidRPr="0038322F" w:rsidRDefault="00924A18" w:rsidP="00924A18">
            <w:pPr>
              <w:ind w:right="142"/>
              <w:jc w:val="both"/>
              <w:rPr>
                <w:rFonts w:eastAsia="Lato" w:cstheme="minorHAnsi"/>
                <w:sz w:val="20"/>
                <w:szCs w:val="20"/>
              </w:rPr>
            </w:pPr>
            <w:r w:rsidRPr="0038322F">
              <w:rPr>
                <w:rFonts w:eastAsia="Lato" w:cstheme="minorHAnsi"/>
                <w:sz w:val="20"/>
                <w:szCs w:val="20"/>
              </w:rPr>
              <w:t>Stąd proponujemy, aby zastosowanie nowego artykułu 10e dotyczyło tylko małych spółek obrotu</w:t>
            </w:r>
            <w:r w:rsidR="008A6570">
              <w:rPr>
                <w:rFonts w:eastAsia="Lato" w:cstheme="minorHAnsi"/>
                <w:sz w:val="20"/>
                <w:szCs w:val="20"/>
              </w:rPr>
              <w:t>,</w:t>
            </w:r>
            <w:r w:rsidRPr="0038322F">
              <w:rPr>
                <w:rFonts w:eastAsia="Lato" w:cstheme="minorHAnsi"/>
                <w:sz w:val="20"/>
                <w:szCs w:val="20"/>
              </w:rPr>
              <w:t xml:space="preserve"> np. posiadających nie więcej niż 30 tys. </w:t>
            </w:r>
            <w:r w:rsidRPr="0038322F">
              <w:rPr>
                <w:rFonts w:cstheme="minorHAnsi"/>
                <w:sz w:val="20"/>
                <w:szCs w:val="20"/>
              </w:rPr>
              <w:t xml:space="preserve"> </w:t>
            </w:r>
            <w:r w:rsidRPr="0038322F">
              <w:rPr>
                <w:rFonts w:eastAsia="Lato" w:cstheme="minorHAnsi"/>
                <w:sz w:val="20"/>
                <w:szCs w:val="20"/>
              </w:rPr>
              <w:t>odbiorców energii elektrycznej, powiązania ze spółką będącą przedsiębiorstwem zintegrowanym poniżej 100 przyłączonych odbiorców  lub przychodu ze sprzedaży nie wię</w:t>
            </w:r>
            <w:r w:rsidR="00466697">
              <w:rPr>
                <w:rFonts w:eastAsia="Lato" w:cstheme="minorHAnsi"/>
                <w:sz w:val="20"/>
                <w:szCs w:val="20"/>
              </w:rPr>
              <w:t xml:space="preserve">kszego </w:t>
            </w:r>
            <w:r w:rsidRPr="0038322F">
              <w:rPr>
                <w:rFonts w:eastAsia="Lato" w:cstheme="minorHAnsi"/>
                <w:sz w:val="20"/>
                <w:szCs w:val="20"/>
              </w:rPr>
              <w:t>niż 50 mln PLN.</w:t>
            </w:r>
          </w:p>
        </w:tc>
        <w:tc>
          <w:tcPr>
            <w:tcW w:w="4394" w:type="dxa"/>
          </w:tcPr>
          <w:p w14:paraId="5C6D1F75" w14:textId="30300318" w:rsidR="00924A18" w:rsidRPr="0038322F" w:rsidRDefault="00924A18" w:rsidP="00924A18">
            <w:pPr>
              <w:jc w:val="both"/>
              <w:rPr>
                <w:rFonts w:eastAsia="Lato" w:cstheme="minorHAnsi"/>
                <w:sz w:val="20"/>
                <w:szCs w:val="20"/>
              </w:rPr>
            </w:pPr>
            <w:r w:rsidRPr="0038322F">
              <w:rPr>
                <w:rFonts w:eastAsia="Lato" w:cstheme="minorHAnsi"/>
                <w:sz w:val="20"/>
                <w:szCs w:val="20"/>
              </w:rPr>
              <w:t xml:space="preserve"> </w:t>
            </w:r>
          </w:p>
        </w:tc>
        <w:tc>
          <w:tcPr>
            <w:tcW w:w="1286" w:type="dxa"/>
          </w:tcPr>
          <w:p w14:paraId="615CBBD2" w14:textId="77777777" w:rsidR="00924A18" w:rsidRPr="0038322F" w:rsidRDefault="00924A18" w:rsidP="00924A18">
            <w:pPr>
              <w:jc w:val="both"/>
              <w:rPr>
                <w:rFonts w:eastAsia="Calibri" w:cstheme="minorHAnsi"/>
                <w:b/>
                <w:bCs/>
                <w:sz w:val="20"/>
                <w:szCs w:val="20"/>
                <w:highlight w:val="yellow"/>
              </w:rPr>
            </w:pPr>
          </w:p>
        </w:tc>
      </w:tr>
      <w:tr w:rsidR="003A315D" w:rsidRPr="0038322F" w14:paraId="373B2C8D" w14:textId="77777777" w:rsidTr="00862BFF">
        <w:tc>
          <w:tcPr>
            <w:tcW w:w="846" w:type="dxa"/>
          </w:tcPr>
          <w:p w14:paraId="492A1718" w14:textId="77777777" w:rsidR="003A315D" w:rsidRPr="0038322F" w:rsidRDefault="003A315D" w:rsidP="003A315D">
            <w:pPr>
              <w:pStyle w:val="Akapitzlist"/>
              <w:numPr>
                <w:ilvl w:val="0"/>
                <w:numId w:val="15"/>
              </w:numPr>
              <w:ind w:left="313"/>
              <w:jc w:val="center"/>
              <w:rPr>
                <w:rFonts w:cstheme="minorHAnsi"/>
                <w:sz w:val="20"/>
                <w:szCs w:val="20"/>
              </w:rPr>
            </w:pPr>
          </w:p>
        </w:tc>
        <w:tc>
          <w:tcPr>
            <w:tcW w:w="1843" w:type="dxa"/>
          </w:tcPr>
          <w:p w14:paraId="46608D70" w14:textId="77777777" w:rsidR="003A315D" w:rsidRPr="0038322F" w:rsidRDefault="003A315D" w:rsidP="003A315D">
            <w:pPr>
              <w:jc w:val="center"/>
              <w:rPr>
                <w:rFonts w:cstheme="minorHAnsi"/>
                <w:sz w:val="20"/>
                <w:szCs w:val="20"/>
                <w:vertAlign w:val="superscript"/>
              </w:rPr>
            </w:pPr>
            <w:r w:rsidRPr="0038322F">
              <w:rPr>
                <w:rFonts w:cstheme="minorHAnsi"/>
                <w:sz w:val="20"/>
                <w:szCs w:val="20"/>
              </w:rPr>
              <w:t>Art. 1 pkt 20</w:t>
            </w:r>
          </w:p>
          <w:p w14:paraId="6EC4E216" w14:textId="77777777" w:rsidR="003A315D" w:rsidRPr="0038322F" w:rsidRDefault="003A315D" w:rsidP="003A315D">
            <w:pPr>
              <w:jc w:val="center"/>
              <w:rPr>
                <w:rFonts w:eastAsia="Calibri" w:cstheme="minorHAnsi"/>
                <w:sz w:val="20"/>
                <w:szCs w:val="20"/>
                <w:lang w:val="en-GB"/>
              </w:rPr>
            </w:pPr>
          </w:p>
        </w:tc>
        <w:tc>
          <w:tcPr>
            <w:tcW w:w="5670" w:type="dxa"/>
          </w:tcPr>
          <w:p w14:paraId="011ED696" w14:textId="1046A87E" w:rsidR="003A315D" w:rsidRPr="0038322F" w:rsidRDefault="003A315D" w:rsidP="003A315D">
            <w:pPr>
              <w:jc w:val="both"/>
              <w:rPr>
                <w:rFonts w:cstheme="minorHAnsi"/>
                <w:sz w:val="20"/>
                <w:szCs w:val="20"/>
              </w:rPr>
            </w:pPr>
            <w:r w:rsidRPr="0038322F">
              <w:rPr>
                <w:rFonts w:cstheme="minorHAnsi"/>
                <w:sz w:val="20"/>
                <w:szCs w:val="20"/>
              </w:rPr>
              <w:t>Proponowane brzmienie wprowadza mechanizm klasyfikacji obszarów przyłączeniowych, który budzi poważne wątpliwości co do jego przejrzystości i wykonalności</w:t>
            </w:r>
            <w:r w:rsidRPr="0038322F">
              <w:rPr>
                <w:rFonts w:cstheme="minorHAnsi"/>
                <w:sz w:val="20"/>
                <w:szCs w:val="20"/>
              </w:rPr>
              <w:t xml:space="preserve"> przez operatorów</w:t>
            </w:r>
            <w:r w:rsidRPr="0038322F">
              <w:rPr>
                <w:rFonts w:cstheme="minorHAnsi"/>
                <w:sz w:val="20"/>
                <w:szCs w:val="20"/>
              </w:rPr>
              <w:t>.</w:t>
            </w:r>
          </w:p>
          <w:p w14:paraId="171AE441" w14:textId="77777777" w:rsidR="003A315D" w:rsidRPr="0038322F" w:rsidRDefault="003A315D" w:rsidP="003A315D">
            <w:pPr>
              <w:jc w:val="both"/>
              <w:rPr>
                <w:rFonts w:cstheme="minorHAnsi"/>
                <w:sz w:val="20"/>
                <w:szCs w:val="20"/>
              </w:rPr>
            </w:pPr>
            <w:r w:rsidRPr="0038322F">
              <w:rPr>
                <w:rFonts w:cstheme="minorHAnsi"/>
                <w:sz w:val="20"/>
                <w:szCs w:val="20"/>
              </w:rPr>
              <w:t>Nie wiadomo jak będą liczone parametry dla wielu projektów w jednym obszarze ani według jakiej metodologii ustalane będą proporcje między technologiami. Brakuje wskazania, kto ma koordynować cały proces i jak zapewnić jego spójność. Ponadto, nie ma gwarancji, że operatorzy będą działać według jednolitych, transparentnych zasad, co rodzi ryzyko arbitralności i faworyzowania wybranych podmiotów.</w:t>
            </w:r>
          </w:p>
          <w:p w14:paraId="12225530" w14:textId="75918E88" w:rsidR="003A315D" w:rsidRPr="0038322F" w:rsidRDefault="003A315D" w:rsidP="003A315D">
            <w:pPr>
              <w:jc w:val="both"/>
              <w:rPr>
                <w:rFonts w:eastAsia="Calibri" w:cstheme="minorHAnsi"/>
                <w:sz w:val="20"/>
                <w:szCs w:val="20"/>
              </w:rPr>
            </w:pPr>
            <w:r w:rsidRPr="0038322F">
              <w:rPr>
                <w:rFonts w:cstheme="minorHAnsi"/>
                <w:sz w:val="20"/>
                <w:szCs w:val="20"/>
              </w:rPr>
              <w:t>W obecnej formie przepisy mogą stać się narzędziem do selektywnego przydzielania mocy przyłączeniowej, bez zapewnienia równych szans dla wszystkich uczestników rynku</w:t>
            </w:r>
            <w:r w:rsidR="00D47889" w:rsidRPr="0038322F">
              <w:rPr>
                <w:rFonts w:cstheme="minorHAnsi"/>
                <w:sz w:val="20"/>
                <w:szCs w:val="20"/>
              </w:rPr>
              <w:t>, dlatego konieczne jest ich doprecyzowanie.</w:t>
            </w:r>
          </w:p>
        </w:tc>
        <w:tc>
          <w:tcPr>
            <w:tcW w:w="4394" w:type="dxa"/>
          </w:tcPr>
          <w:p w14:paraId="4A2ADB31" w14:textId="77777777" w:rsidR="003A315D" w:rsidRPr="0038322F" w:rsidRDefault="003A315D" w:rsidP="003A315D">
            <w:pPr>
              <w:jc w:val="both"/>
              <w:rPr>
                <w:rFonts w:eastAsia="Calibri" w:cstheme="minorHAnsi"/>
                <w:i/>
                <w:iCs/>
                <w:sz w:val="20"/>
                <w:szCs w:val="20"/>
              </w:rPr>
            </w:pPr>
          </w:p>
        </w:tc>
        <w:tc>
          <w:tcPr>
            <w:tcW w:w="1286" w:type="dxa"/>
          </w:tcPr>
          <w:p w14:paraId="6927CEF3" w14:textId="77777777" w:rsidR="003A315D" w:rsidRPr="0038322F" w:rsidRDefault="003A315D" w:rsidP="003A315D">
            <w:pPr>
              <w:jc w:val="both"/>
              <w:rPr>
                <w:rFonts w:eastAsia="Calibri" w:cstheme="minorHAnsi"/>
                <w:b/>
                <w:bCs/>
                <w:sz w:val="20"/>
                <w:szCs w:val="20"/>
                <w:highlight w:val="yellow"/>
              </w:rPr>
            </w:pPr>
          </w:p>
        </w:tc>
      </w:tr>
      <w:tr w:rsidR="002D7DD7" w:rsidRPr="0038322F" w14:paraId="3B6AAA0D" w14:textId="77777777" w:rsidTr="00862BFF">
        <w:tc>
          <w:tcPr>
            <w:tcW w:w="846" w:type="dxa"/>
          </w:tcPr>
          <w:p w14:paraId="6FF65DF3" w14:textId="77777777" w:rsidR="002D7DD7" w:rsidRPr="0038322F" w:rsidRDefault="002D7DD7" w:rsidP="002D7DD7">
            <w:pPr>
              <w:pStyle w:val="Akapitzlist"/>
              <w:numPr>
                <w:ilvl w:val="0"/>
                <w:numId w:val="15"/>
              </w:numPr>
              <w:ind w:left="313"/>
              <w:jc w:val="center"/>
              <w:rPr>
                <w:rFonts w:cstheme="minorHAnsi"/>
                <w:sz w:val="20"/>
                <w:szCs w:val="20"/>
              </w:rPr>
            </w:pPr>
          </w:p>
        </w:tc>
        <w:tc>
          <w:tcPr>
            <w:tcW w:w="1843" w:type="dxa"/>
          </w:tcPr>
          <w:p w14:paraId="597F1CC6" w14:textId="08FF2E4C" w:rsidR="002D7DD7" w:rsidRPr="0038322F" w:rsidRDefault="002D7DD7" w:rsidP="002D7DD7">
            <w:pPr>
              <w:jc w:val="center"/>
              <w:rPr>
                <w:rFonts w:eastAsia="Calibri" w:cstheme="minorHAnsi"/>
                <w:sz w:val="20"/>
                <w:szCs w:val="20"/>
                <w:lang w:val="en-GB"/>
              </w:rPr>
            </w:pPr>
            <w:r w:rsidRPr="0038322F">
              <w:rPr>
                <w:rFonts w:cstheme="minorHAnsi"/>
                <w:sz w:val="20"/>
                <w:szCs w:val="20"/>
              </w:rPr>
              <w:t xml:space="preserve">Art. 4 </w:t>
            </w:r>
          </w:p>
        </w:tc>
        <w:tc>
          <w:tcPr>
            <w:tcW w:w="5670" w:type="dxa"/>
          </w:tcPr>
          <w:p w14:paraId="409FC97D" w14:textId="77777777" w:rsidR="002D7DD7" w:rsidRPr="0038322F" w:rsidRDefault="002D7DD7" w:rsidP="002D7DD7">
            <w:pPr>
              <w:spacing w:after="160"/>
              <w:jc w:val="both"/>
              <w:rPr>
                <w:rFonts w:cstheme="minorHAnsi"/>
                <w:sz w:val="20"/>
                <w:szCs w:val="20"/>
              </w:rPr>
            </w:pPr>
            <w:r w:rsidRPr="0038322F">
              <w:rPr>
                <w:rFonts w:eastAsia="Aptos" w:cstheme="minorHAnsi"/>
                <w:sz w:val="20"/>
                <w:szCs w:val="20"/>
              </w:rPr>
              <w:t xml:space="preserve">W latach 2024 – 2025 upowszechniło się zjawisko ujemnych cen energii elektrycznej. W roku 2024 sześciokrotnie wystąpiła sytuacja utrzymywania się ujemnych cen energii przez co najmniej sześć kolejnych godzin (co przekłada się na 53 godziny z cenami ujemnymi, biorąc pod uwagę tylko 6 ww. przypadków), zaś w 2025 roku sytuacja taka miała miejsce już piętnastokrotnie (co przekłada się na 106 godzin z cenami ujemnymi, biorąc pod uwagę tylko 15 ww. przypadków).  </w:t>
            </w:r>
          </w:p>
          <w:p w14:paraId="4D019CDF" w14:textId="77777777" w:rsidR="002D7DD7" w:rsidRPr="0038322F" w:rsidRDefault="002D7DD7" w:rsidP="002D7DD7">
            <w:pPr>
              <w:spacing w:after="160"/>
              <w:jc w:val="both"/>
              <w:rPr>
                <w:rFonts w:cstheme="minorHAnsi"/>
                <w:sz w:val="20"/>
                <w:szCs w:val="20"/>
              </w:rPr>
            </w:pPr>
            <w:r w:rsidRPr="0038322F">
              <w:rPr>
                <w:rFonts w:eastAsia="Aptos" w:cstheme="minorHAnsi"/>
                <w:sz w:val="20"/>
                <w:szCs w:val="20"/>
              </w:rPr>
              <w:t>Zgodnie z przepisami obowiązującymi do 27.12.2024 r., wytwórcy nie byli uprawnieni do rozliczania w ramach systemu aukcyjnego energii elektrycznej wytwarzanej w czasie występowania godzin dostawy z cenami ujemnymi, o ile stan taki utrzymywał się przez co najmniej 6 kolejnych godzin. W wyniku zmian wprowadzonych 28.12.2024 r. została wyłączona możliwość rozliczania w ramach systemu aukcyjnego jakiejkolwiek energii wytworzonej w godzinach z cenami ujemnymi (z wyjątkiem instalacji, które wygrały aukcję przed 28.12.2024 r.).</w:t>
            </w:r>
          </w:p>
          <w:p w14:paraId="51EBF665" w14:textId="77777777" w:rsidR="002D7DD7" w:rsidRPr="0038322F" w:rsidRDefault="002D7DD7" w:rsidP="002D7DD7">
            <w:pPr>
              <w:spacing w:after="160"/>
              <w:jc w:val="both"/>
              <w:rPr>
                <w:rFonts w:cstheme="minorHAnsi"/>
                <w:sz w:val="20"/>
                <w:szCs w:val="20"/>
              </w:rPr>
            </w:pPr>
            <w:r w:rsidRPr="0038322F">
              <w:rPr>
                <w:rFonts w:eastAsia="Aptos" w:cstheme="minorHAnsi"/>
                <w:sz w:val="20"/>
                <w:szCs w:val="20"/>
              </w:rPr>
              <w:t xml:space="preserve">Jednocześnie wytwórcy, którzy wygrali aukcję, zobowiązani są do sprzedaży (w ramach systemu aukcyjnego) wolumenu zadeklarowanego w ofertach aukcyjnych, pod rygorem kar pieniężnych nakładanych przez Prezesa Urzędu Regulacji Energetyki.  </w:t>
            </w:r>
          </w:p>
          <w:p w14:paraId="6458634C" w14:textId="77777777" w:rsidR="002D7DD7" w:rsidRPr="0038322F" w:rsidRDefault="002D7DD7" w:rsidP="002D7DD7">
            <w:pPr>
              <w:spacing w:after="160"/>
              <w:jc w:val="both"/>
              <w:rPr>
                <w:rFonts w:cstheme="minorHAnsi"/>
                <w:sz w:val="20"/>
                <w:szCs w:val="20"/>
              </w:rPr>
            </w:pPr>
            <w:r w:rsidRPr="0038322F">
              <w:rPr>
                <w:rFonts w:eastAsia="Aptos" w:cstheme="minorHAnsi"/>
                <w:sz w:val="20"/>
                <w:szCs w:val="20"/>
              </w:rPr>
              <w:t>Brak możliwości rozliczenia energii elektrycznej wytwarzanej w godzinach dostawy z cenami ujemnymi i upowszechnienie się zjawiska cen ujemnych prowadzi do istotnego ryzyka nakładania na wytwórców znacznych kar pieniężnych za uchybienie obowiązkowi sprzedaży energii w ramach systemu aukcyjnego, z przyczyn niezawinionych przez wytwórców i niezależnych od nich. Nie jest przy tym jasne, czy brak możliwości sprzedaży energii elektrycznej w ramach systemu aukcyjnego z tej przyczyny jest objęty katalogiem przesłanek wyłączających odpowiedzialność zgodnie z art. 83 ust. 3b ustawy o odnawialnych źródłach energii (Ustawa OZE).</w:t>
            </w:r>
          </w:p>
          <w:p w14:paraId="2DE635F3" w14:textId="77777777" w:rsidR="002D7DD7" w:rsidRPr="0038322F" w:rsidRDefault="002D7DD7" w:rsidP="002D7DD7">
            <w:pPr>
              <w:spacing w:after="160"/>
              <w:jc w:val="both"/>
              <w:rPr>
                <w:rFonts w:cstheme="minorHAnsi"/>
                <w:sz w:val="20"/>
                <w:szCs w:val="20"/>
              </w:rPr>
            </w:pPr>
            <w:r w:rsidRPr="0038322F">
              <w:rPr>
                <w:rFonts w:eastAsia="Aptos" w:cstheme="minorHAnsi"/>
                <w:sz w:val="20"/>
                <w:szCs w:val="20"/>
              </w:rPr>
              <w:t xml:space="preserve">Proponowane zmiany w przepisach Ustawy OZE mają na celu </w:t>
            </w:r>
            <w:r w:rsidRPr="0038322F">
              <w:rPr>
                <w:rFonts w:eastAsia="Aptos" w:cstheme="minorHAnsi"/>
                <w:b/>
                <w:bCs/>
                <w:sz w:val="20"/>
                <w:szCs w:val="20"/>
              </w:rPr>
              <w:t>zachęcić wytwórców do dobrowolnego ograniczania wytwarzania (w tym wyłączania instalacji) w godzinach dostawy z cenami ujemnymi</w:t>
            </w:r>
            <w:r w:rsidRPr="0038322F">
              <w:rPr>
                <w:rFonts w:eastAsia="Aptos" w:cstheme="minorHAnsi"/>
                <w:sz w:val="20"/>
                <w:szCs w:val="20"/>
              </w:rPr>
              <w:t xml:space="preserve">. Z jednej strony, możliwość zaliczenia zredukowanej ilości energii elektrycznej na poczet zobowiązania aukcyjnego zagwarantuje wytwórcom, że nie będą karani za brak możliwości sprzedaży energii w ramach systemu aukcyjnego z przyczyn od nich niezależnych (co powinno zwiększyć zaufanie wytwórców do aukcyjnego systemu wsparcia i poprawić stabilność rozwoju inwestycji OZE w Polsce). Z drugiej zaś, jest to rozwiązanie pożądane z perspektywy bezpieczeństwa pracy sieci elektroenergetycznej, ponieważ przyczyni się do zmniejszenia nadpodaży energii elektrycznej w systemie (która w oczywisty sposób skorelowana jest z występowaniem cen ujemnych na rynku).  </w:t>
            </w:r>
          </w:p>
          <w:p w14:paraId="7C7FCE8A" w14:textId="77777777" w:rsidR="002D7DD7" w:rsidRPr="0038322F" w:rsidRDefault="002D7DD7" w:rsidP="002D7DD7">
            <w:pPr>
              <w:jc w:val="both"/>
              <w:rPr>
                <w:rFonts w:eastAsia="Calibri" w:cstheme="minorHAnsi"/>
                <w:sz w:val="20"/>
                <w:szCs w:val="20"/>
              </w:rPr>
            </w:pPr>
          </w:p>
        </w:tc>
        <w:tc>
          <w:tcPr>
            <w:tcW w:w="4394" w:type="dxa"/>
          </w:tcPr>
          <w:p w14:paraId="73B06EDC" w14:textId="77777777" w:rsidR="002D7DD7" w:rsidRPr="0038322F" w:rsidRDefault="002D7DD7" w:rsidP="002D7DD7">
            <w:pPr>
              <w:spacing w:after="160"/>
              <w:jc w:val="both"/>
              <w:rPr>
                <w:rFonts w:eastAsia="Aptos" w:cstheme="minorHAnsi"/>
                <w:sz w:val="20"/>
                <w:szCs w:val="20"/>
              </w:rPr>
            </w:pPr>
            <w:r w:rsidRPr="0038322F">
              <w:rPr>
                <w:rFonts w:eastAsia="Aptos" w:cstheme="minorHAnsi"/>
                <w:sz w:val="20"/>
                <w:szCs w:val="20"/>
              </w:rPr>
              <w:t xml:space="preserve">W ustawie z dnia 20 lutego 2015 r. o odnawialnych źródłach energii  ((Dz. U. z 2024 r. poz. 1361, z </w:t>
            </w:r>
            <w:proofErr w:type="spellStart"/>
            <w:r w:rsidRPr="0038322F">
              <w:rPr>
                <w:rFonts w:eastAsia="Aptos" w:cstheme="minorHAnsi"/>
                <w:sz w:val="20"/>
                <w:szCs w:val="20"/>
              </w:rPr>
              <w:t>późn</w:t>
            </w:r>
            <w:proofErr w:type="spellEnd"/>
            <w:r w:rsidRPr="0038322F">
              <w:rPr>
                <w:rFonts w:eastAsia="Aptos" w:cstheme="minorHAnsi"/>
                <w:sz w:val="20"/>
                <w:szCs w:val="20"/>
              </w:rPr>
              <w:t>. Zm.) wprowadza się następujące zmiany:</w:t>
            </w:r>
          </w:p>
          <w:p w14:paraId="5299E7FB" w14:textId="77777777" w:rsidR="002D7DD7" w:rsidRPr="0038322F" w:rsidRDefault="002D7DD7" w:rsidP="002D7DD7">
            <w:pPr>
              <w:pStyle w:val="Akapitzlist"/>
              <w:numPr>
                <w:ilvl w:val="0"/>
                <w:numId w:val="5"/>
              </w:numPr>
              <w:jc w:val="both"/>
              <w:rPr>
                <w:rFonts w:eastAsia="Aptos" w:cstheme="minorHAnsi"/>
                <w:sz w:val="20"/>
                <w:szCs w:val="20"/>
              </w:rPr>
            </w:pPr>
            <w:r w:rsidRPr="0038322F">
              <w:rPr>
                <w:rFonts w:eastAsia="Aptos" w:cstheme="minorHAnsi"/>
                <w:sz w:val="20"/>
                <w:szCs w:val="20"/>
              </w:rPr>
              <w:t>w art. 93 po ust. 19 dodaje się ust. 20 w brzmieniu:</w:t>
            </w:r>
          </w:p>
          <w:p w14:paraId="75655DF9" w14:textId="77777777" w:rsidR="002D7DD7" w:rsidRPr="0038322F" w:rsidRDefault="002D7DD7" w:rsidP="002D7DD7">
            <w:pPr>
              <w:spacing w:after="160"/>
              <w:jc w:val="both"/>
              <w:rPr>
                <w:rFonts w:cstheme="minorHAnsi"/>
                <w:sz w:val="20"/>
                <w:szCs w:val="20"/>
              </w:rPr>
            </w:pPr>
            <w:r w:rsidRPr="0038322F">
              <w:rPr>
                <w:rFonts w:eastAsia="Aptos" w:cstheme="minorHAnsi"/>
                <w:sz w:val="20"/>
                <w:szCs w:val="20"/>
              </w:rPr>
              <w:t>„</w:t>
            </w:r>
            <w:r w:rsidRPr="0038322F">
              <w:rPr>
                <w:rFonts w:eastAsia="Aptos" w:cstheme="minorHAnsi"/>
                <w:i/>
                <w:iCs/>
                <w:sz w:val="20"/>
                <w:szCs w:val="20"/>
              </w:rPr>
              <w:t>20. W przypadku, gdy w danych godzinach dostawy instalacja odnawialnego źródła energii pozostawała w gotowości do wytwarzania energii, ale nie doszło do jej wytworzenia z uwagi na to, że średnie ważone wolumenem transakcji sesyjnych giełdowych ceny energii elektrycznej z rynku, o którym mowa w ust. 3, były niższe niż 0 złotych za 1 MWh, wytwórca informuje operatora, do którego sieci jest przyłączony, czy i jaka część zredukowanej przez wytwórcę energii powinna zostać rozliczona w systemie aukcyjnym. W przypadku zgłoszenia przez wytwórcę zaliczenia ilości zredukowanej energii elektrycznej, w godzinach dostawy określonych w zdaniu pierwszym, do realizacji zobowiązania wynikającego z systemu aukcyjnego, operator, do którego sieci przyłączony jest wytwórca, informuje operatora rozliczeń energii odnawialnej oraz Prezesa URE o ilości energii zaliczonej do realizacji takiego zobowiązania w terminie do końca miesiąca następującego po miesiącu otrzymania informacji od wytwórcy. W przypadku nieprzekazania przez wytwórcę informacji, o której mowa w zdaniu pierwszym, w terminie 15 dni po zakończeniu miesiąca, w którym nastąpiły godziny dostawy, o których mowa w zdaniu pierwszym, zredukowana energia nie zostanie zaliczona do realizacji zobowiązania wynikającego z systemu aukcyjnego.</w:t>
            </w:r>
            <w:r w:rsidRPr="0038322F">
              <w:rPr>
                <w:rFonts w:eastAsia="Aptos" w:cstheme="minorHAnsi"/>
                <w:sz w:val="20"/>
                <w:szCs w:val="20"/>
              </w:rPr>
              <w:t>”</w:t>
            </w:r>
          </w:p>
          <w:p w14:paraId="4CD318D6" w14:textId="77777777" w:rsidR="002D7DD7" w:rsidRPr="0038322F" w:rsidRDefault="002D7DD7" w:rsidP="002D7DD7">
            <w:pPr>
              <w:spacing w:after="160"/>
              <w:jc w:val="both"/>
              <w:rPr>
                <w:rFonts w:eastAsia="Aptos" w:cstheme="minorHAnsi"/>
                <w:sz w:val="20"/>
                <w:szCs w:val="20"/>
              </w:rPr>
            </w:pPr>
            <w:r w:rsidRPr="0038322F">
              <w:rPr>
                <w:rFonts w:eastAsia="Aptos" w:cstheme="minorHAnsi"/>
                <w:sz w:val="20"/>
                <w:szCs w:val="20"/>
              </w:rPr>
              <w:t>Przepis przejściowy:</w:t>
            </w:r>
          </w:p>
          <w:p w14:paraId="4E237294" w14:textId="596C9B7D" w:rsidR="002D7DD7" w:rsidRPr="0038322F" w:rsidRDefault="002D7DD7" w:rsidP="002D7DD7">
            <w:pPr>
              <w:jc w:val="both"/>
              <w:rPr>
                <w:rFonts w:eastAsia="Calibri" w:cstheme="minorHAnsi"/>
                <w:i/>
                <w:iCs/>
                <w:sz w:val="20"/>
                <w:szCs w:val="20"/>
              </w:rPr>
            </w:pPr>
            <w:r w:rsidRPr="0038322F">
              <w:rPr>
                <w:rFonts w:eastAsia="Aptos" w:cstheme="minorHAnsi"/>
                <w:sz w:val="20"/>
                <w:szCs w:val="20"/>
              </w:rPr>
              <w:t>„</w:t>
            </w:r>
            <w:r w:rsidRPr="0038322F">
              <w:rPr>
                <w:rFonts w:eastAsia="Aptos" w:cstheme="minorHAnsi"/>
                <w:i/>
                <w:iCs/>
                <w:sz w:val="20"/>
                <w:szCs w:val="20"/>
              </w:rPr>
              <w:t>Wytwórca w rozumieniu art. 2 pkt 39 ustawy zmienianej w art. 1, wytwarzający energię elektryczną, zwany dalej "wytwórcą energii elektrycznej", który dokonał sprzedaży energii elektrycznej w ramach systemu aukcyjnego przed dniem wejścia w życie niniejszej ustawy, może złożyć do operatora rozliczeń energii odnawialnej informację, czy i jaka część energii wytworzonej w instalacji odnawialnego źródła energii, przed dniem wejścia w życie niniejszej ustawy, w godzinach dostawy, o których mowa w art. 93 ust. 3 ustawy zmienianej w art. 1, dla których średnie ważone wolumenem transakcji sesyjnych giełdowych ceny energii elektrycznej z rynku, o którym mowa w tym przepisie, były niższe niż 0 złotych za 1 MWh, powinna zostać zaliczona do realizacji zobowiązania wynikającego z systemu aukcyjnego. W przypadku zgłoszenia przez wytwórcę zaliczenia ilości energii elektrycznej, wyprodukowanej w instalacji odnawialnego źródła energii w godzinach dostawy określonych w zdaniu pierwszym, do realizacji zobowiązania wynikającego z systemu aukcyjnego, operator rozliczeń energii odnawialnej informuje Prezesa Urzędu Regulacji Energetyki o ilości energii zaliczonej do realizacji takiego zobowiązania w terminie do końca miesiąca następującego po miesiącu otrzymania informacji od wytwórcy. W przypadku nieprzekazania przez wytwórcę informacji, o której mowa w zdaniu pierwszym, w terminie 90 dni po dniu wejścia w życie niniejszej ustawy, energia wytworzona w takich godzinach dostawy nie zostanie zaliczona do realizacji zobowiązania wynikającego z systemu aukcyjnego, chyba że energia ta była ujęta w ilości energii elektrycznej, o której mowa w art. 93 ust. 2 pkt 1 ustawy zmienianej w art. 1 i nie podlegała odjęciu na podstawie art. 93 ust. 4 tej ustawy</w:t>
            </w:r>
            <w:r w:rsidRPr="0038322F">
              <w:rPr>
                <w:rFonts w:eastAsia="Aptos" w:cstheme="minorHAnsi"/>
                <w:sz w:val="20"/>
                <w:szCs w:val="20"/>
              </w:rPr>
              <w:t>”.</w:t>
            </w:r>
          </w:p>
        </w:tc>
        <w:tc>
          <w:tcPr>
            <w:tcW w:w="1286" w:type="dxa"/>
          </w:tcPr>
          <w:p w14:paraId="40EF67B7" w14:textId="77777777" w:rsidR="002D7DD7" w:rsidRPr="0038322F" w:rsidRDefault="002D7DD7" w:rsidP="002D7DD7">
            <w:pPr>
              <w:jc w:val="both"/>
              <w:rPr>
                <w:rFonts w:eastAsia="Calibri" w:cstheme="minorHAnsi"/>
                <w:b/>
                <w:bCs/>
                <w:sz w:val="20"/>
                <w:szCs w:val="20"/>
                <w:highlight w:val="yellow"/>
              </w:rPr>
            </w:pPr>
          </w:p>
        </w:tc>
      </w:tr>
      <w:tr w:rsidR="00B76C86" w:rsidRPr="0038322F" w14:paraId="6D204683" w14:textId="77777777" w:rsidTr="00862BFF">
        <w:tc>
          <w:tcPr>
            <w:tcW w:w="846" w:type="dxa"/>
          </w:tcPr>
          <w:p w14:paraId="0CE9F908" w14:textId="77777777" w:rsidR="00B76C86" w:rsidRPr="0038322F" w:rsidRDefault="00B76C86" w:rsidP="00B74CC0">
            <w:pPr>
              <w:pStyle w:val="Akapitzlist"/>
              <w:numPr>
                <w:ilvl w:val="0"/>
                <w:numId w:val="15"/>
              </w:numPr>
              <w:ind w:left="313"/>
              <w:jc w:val="center"/>
              <w:rPr>
                <w:rFonts w:cstheme="minorHAnsi"/>
                <w:sz w:val="20"/>
                <w:szCs w:val="20"/>
              </w:rPr>
            </w:pPr>
          </w:p>
        </w:tc>
        <w:tc>
          <w:tcPr>
            <w:tcW w:w="1843" w:type="dxa"/>
          </w:tcPr>
          <w:p w14:paraId="2811C20D" w14:textId="175304AD" w:rsidR="00B76C86" w:rsidRPr="0038322F" w:rsidRDefault="00B76C86" w:rsidP="00B76C86">
            <w:pPr>
              <w:jc w:val="center"/>
              <w:rPr>
                <w:rFonts w:cstheme="minorHAnsi"/>
                <w:sz w:val="20"/>
                <w:szCs w:val="20"/>
              </w:rPr>
            </w:pPr>
            <w:r w:rsidRPr="0038322F">
              <w:rPr>
                <w:rFonts w:cstheme="minorHAnsi"/>
                <w:sz w:val="20"/>
                <w:szCs w:val="20"/>
              </w:rPr>
              <w:t xml:space="preserve">Art. </w:t>
            </w:r>
            <w:r w:rsidR="00A7296C">
              <w:rPr>
                <w:rFonts w:cstheme="minorHAnsi"/>
                <w:sz w:val="20"/>
                <w:szCs w:val="20"/>
              </w:rPr>
              <w:t>7</w:t>
            </w:r>
            <w:r w:rsidRPr="0038322F">
              <w:rPr>
                <w:rFonts w:cstheme="minorHAnsi"/>
                <w:sz w:val="20"/>
                <w:szCs w:val="20"/>
              </w:rPr>
              <w:t xml:space="preserve"> projektu – propozycja dodania nowego pkt 1 </w:t>
            </w:r>
            <w:r w:rsidR="00AE0396" w:rsidRPr="0038322F">
              <w:rPr>
                <w:rFonts w:cstheme="minorHAnsi"/>
                <w:sz w:val="20"/>
                <w:szCs w:val="20"/>
              </w:rPr>
              <w:t xml:space="preserve">(konieczne </w:t>
            </w:r>
            <w:r w:rsidRPr="0038322F">
              <w:rPr>
                <w:rFonts w:cstheme="minorHAnsi"/>
                <w:sz w:val="20"/>
                <w:szCs w:val="20"/>
              </w:rPr>
              <w:t>przenumerowanie kolejnych p</w:t>
            </w:r>
            <w:r w:rsidR="00AE0396" w:rsidRPr="0038322F">
              <w:rPr>
                <w:rFonts w:cstheme="minorHAnsi"/>
                <w:sz w:val="20"/>
                <w:szCs w:val="20"/>
              </w:rPr>
              <w:t>unktów)</w:t>
            </w:r>
          </w:p>
        </w:tc>
        <w:tc>
          <w:tcPr>
            <w:tcW w:w="5670" w:type="dxa"/>
          </w:tcPr>
          <w:p w14:paraId="4C4E26CB" w14:textId="48B3799E" w:rsidR="00B76C86" w:rsidRPr="0038322F" w:rsidRDefault="00B76C86" w:rsidP="00B76C86">
            <w:pPr>
              <w:jc w:val="both"/>
              <w:rPr>
                <w:rFonts w:cstheme="minorHAnsi"/>
                <w:sz w:val="20"/>
                <w:szCs w:val="20"/>
              </w:rPr>
            </w:pPr>
            <w:r w:rsidRPr="0038322F">
              <w:rPr>
                <w:rFonts w:cstheme="minorHAnsi"/>
                <w:sz w:val="20"/>
                <w:szCs w:val="20"/>
              </w:rPr>
              <w:t xml:space="preserve">Proponujemy zmianę art. 3 pkt 2 ustawy z dnia 17 grudnia 2020 r. o promowaniu wytwarzania energii elektrycznej w morskich farmach wiatrowych w zakresie definicji mocy zainstalowanej morskiej farmy wiatrowej. Zgodnie z aktualnym brzmieniem przepisu, moc zainstalowana morskiej farmy wiatrowej oznacza sumę określonych przez producenta mocy znamionowych morskich turbin wiatrowych składających się na morską farmę wiatrową, </w:t>
            </w:r>
            <w:r w:rsidRPr="0038322F">
              <w:rPr>
                <w:rFonts w:cstheme="minorHAnsi"/>
                <w:b/>
                <w:bCs/>
                <w:sz w:val="20"/>
                <w:szCs w:val="20"/>
              </w:rPr>
              <w:t>nie większą niż moc przyłączeniowa.</w:t>
            </w:r>
            <w:r w:rsidRPr="0038322F">
              <w:rPr>
                <w:rFonts w:cstheme="minorHAnsi"/>
                <w:sz w:val="20"/>
                <w:szCs w:val="20"/>
              </w:rPr>
              <w:t xml:space="preserve"> Zgodnie natomiast z proponowanym art. 1 pkt 8 lit. d projektu UC84, w przypadku, gdy moc zainstalowana przekracza moc przyłączeniową wprowadzona zostaje możliwość skorzystania z tzw. strażnika mocy. W przypadku braku wynikowej zmiany w art. 3 pkt 2 ustawy </w:t>
            </w:r>
            <w:proofErr w:type="spellStart"/>
            <w:r w:rsidRPr="0038322F">
              <w:rPr>
                <w:rFonts w:cstheme="minorHAnsi"/>
                <w:sz w:val="20"/>
                <w:szCs w:val="20"/>
              </w:rPr>
              <w:t>offshore</w:t>
            </w:r>
            <w:proofErr w:type="spellEnd"/>
            <w:r w:rsidRPr="0038322F">
              <w:rPr>
                <w:rFonts w:cstheme="minorHAnsi"/>
                <w:sz w:val="20"/>
                <w:szCs w:val="20"/>
              </w:rPr>
              <w:t xml:space="preserve"> powstaje wątpliwość natury legislacyjnej na temat możliwości zastosowania opisanego rozwiązania w przypadku morskich farm wiatrowych.</w:t>
            </w:r>
          </w:p>
        </w:tc>
        <w:tc>
          <w:tcPr>
            <w:tcW w:w="4394" w:type="dxa"/>
          </w:tcPr>
          <w:p w14:paraId="610FF94F" w14:textId="4E089786" w:rsidR="00931334" w:rsidRPr="0038322F" w:rsidRDefault="00B76C86" w:rsidP="00B76C86">
            <w:pPr>
              <w:jc w:val="both"/>
              <w:rPr>
                <w:rFonts w:cstheme="minorHAnsi"/>
                <w:sz w:val="20"/>
                <w:szCs w:val="20"/>
              </w:rPr>
            </w:pPr>
            <w:r w:rsidRPr="0038322F">
              <w:rPr>
                <w:rFonts w:cstheme="minorHAnsi"/>
                <w:sz w:val="20"/>
                <w:szCs w:val="20"/>
              </w:rPr>
              <w:t xml:space="preserve">W art. </w:t>
            </w:r>
            <w:r w:rsidR="00A7296C">
              <w:rPr>
                <w:rFonts w:cstheme="minorHAnsi"/>
                <w:sz w:val="20"/>
                <w:szCs w:val="20"/>
              </w:rPr>
              <w:t>7</w:t>
            </w:r>
            <w:r w:rsidRPr="0038322F">
              <w:rPr>
                <w:rFonts w:cstheme="minorHAnsi"/>
                <w:sz w:val="20"/>
                <w:szCs w:val="20"/>
              </w:rPr>
              <w:t xml:space="preserve"> ustawy proponujemy dopisane nowego pkt 1 o treści:</w:t>
            </w:r>
          </w:p>
          <w:p w14:paraId="6D330AD1" w14:textId="232BC421" w:rsidR="00B76C86" w:rsidRPr="0038322F" w:rsidRDefault="00B76C86" w:rsidP="00B76C86">
            <w:pPr>
              <w:jc w:val="both"/>
              <w:rPr>
                <w:rFonts w:cstheme="minorHAnsi"/>
                <w:sz w:val="20"/>
                <w:szCs w:val="20"/>
              </w:rPr>
            </w:pPr>
            <w:r w:rsidRPr="0038322F">
              <w:rPr>
                <w:rFonts w:cstheme="minorHAnsi"/>
                <w:sz w:val="20"/>
                <w:szCs w:val="20"/>
              </w:rPr>
              <w:t>1) w art. 2 w pkt 3 skreśla się przecinek oraz wyrazy “nie większą niż moc przyłączeniowa”.</w:t>
            </w:r>
          </w:p>
        </w:tc>
        <w:tc>
          <w:tcPr>
            <w:tcW w:w="1286" w:type="dxa"/>
          </w:tcPr>
          <w:p w14:paraId="5A32E24B" w14:textId="3980EDD2" w:rsidR="00B76C86" w:rsidRPr="0038322F" w:rsidRDefault="00B76C86" w:rsidP="00B76C86">
            <w:pPr>
              <w:jc w:val="both"/>
              <w:rPr>
                <w:rFonts w:cstheme="minorHAnsi"/>
                <w:sz w:val="20"/>
                <w:szCs w:val="20"/>
              </w:rPr>
            </w:pPr>
          </w:p>
        </w:tc>
      </w:tr>
      <w:tr w:rsidR="00D84B48" w:rsidRPr="0038322F" w14:paraId="318E39DE" w14:textId="77777777" w:rsidTr="00862BFF">
        <w:tc>
          <w:tcPr>
            <w:tcW w:w="846" w:type="dxa"/>
          </w:tcPr>
          <w:p w14:paraId="026BA699" w14:textId="77777777" w:rsidR="00D84B48" w:rsidRPr="0038322F" w:rsidRDefault="00D84B48" w:rsidP="00D84B48">
            <w:pPr>
              <w:pStyle w:val="Akapitzlist"/>
              <w:numPr>
                <w:ilvl w:val="0"/>
                <w:numId w:val="15"/>
              </w:numPr>
              <w:ind w:left="313"/>
              <w:jc w:val="center"/>
              <w:rPr>
                <w:rFonts w:cstheme="minorHAnsi"/>
                <w:sz w:val="20"/>
                <w:szCs w:val="20"/>
              </w:rPr>
            </w:pPr>
          </w:p>
        </w:tc>
        <w:tc>
          <w:tcPr>
            <w:tcW w:w="1843" w:type="dxa"/>
          </w:tcPr>
          <w:p w14:paraId="76E2DF8B" w14:textId="6DCF7AF3" w:rsidR="00D84B48" w:rsidRPr="0038322F" w:rsidRDefault="00D84B48" w:rsidP="00D84B48">
            <w:pPr>
              <w:jc w:val="center"/>
              <w:rPr>
                <w:rFonts w:cstheme="minorHAnsi"/>
                <w:sz w:val="20"/>
                <w:szCs w:val="20"/>
              </w:rPr>
            </w:pPr>
            <w:r w:rsidRPr="0038322F">
              <w:rPr>
                <w:rFonts w:cstheme="minorHAnsi"/>
                <w:sz w:val="20"/>
                <w:szCs w:val="20"/>
              </w:rPr>
              <w:t xml:space="preserve">Art. </w:t>
            </w:r>
            <w:r>
              <w:rPr>
                <w:rFonts w:cstheme="minorHAnsi"/>
                <w:sz w:val="20"/>
                <w:szCs w:val="20"/>
              </w:rPr>
              <w:t>7</w:t>
            </w:r>
            <w:r w:rsidRPr="0038322F">
              <w:rPr>
                <w:rFonts w:cstheme="minorHAnsi"/>
                <w:sz w:val="20"/>
                <w:szCs w:val="20"/>
              </w:rPr>
              <w:t xml:space="preserve"> pkt 1 (dot. dodania nowego art. 6a w ustawie </w:t>
            </w:r>
            <w:proofErr w:type="spellStart"/>
            <w:r w:rsidRPr="0038322F">
              <w:rPr>
                <w:rFonts w:cstheme="minorHAnsi"/>
                <w:sz w:val="20"/>
                <w:szCs w:val="20"/>
              </w:rPr>
              <w:t>offshore</w:t>
            </w:r>
            <w:proofErr w:type="spellEnd"/>
            <w:r w:rsidRPr="0038322F">
              <w:rPr>
                <w:rFonts w:cstheme="minorHAnsi"/>
                <w:sz w:val="20"/>
                <w:szCs w:val="20"/>
              </w:rPr>
              <w:t xml:space="preserve"> wind)</w:t>
            </w:r>
          </w:p>
        </w:tc>
        <w:tc>
          <w:tcPr>
            <w:tcW w:w="5670" w:type="dxa"/>
          </w:tcPr>
          <w:p w14:paraId="4BACB6AC" w14:textId="77777777" w:rsidR="00D84B48" w:rsidRPr="0038322F" w:rsidRDefault="00D84B48" w:rsidP="00D84B48">
            <w:pPr>
              <w:jc w:val="both"/>
              <w:rPr>
                <w:rFonts w:cstheme="minorHAnsi"/>
                <w:sz w:val="20"/>
                <w:szCs w:val="20"/>
              </w:rPr>
            </w:pPr>
            <w:r w:rsidRPr="0038322F">
              <w:rPr>
                <w:rFonts w:cstheme="minorHAnsi"/>
                <w:sz w:val="20"/>
                <w:szCs w:val="20"/>
              </w:rPr>
              <w:t xml:space="preserve">Popieramy proponowane rozwiązanie, zgodnie z którym zasady ogólne dotyczące sprzedaży energii elektrycznej w okresie rozruchu technologicznego, które zostaną uregulowane w nowych art. 43i-43r ustawy – Prawo Energetyczne, znajdą także zastosowanie do morskich farm wiatrowych. Zwracamy jednak uwagę na to, że ustawa z 9 października 2025 r. o zmianie ustawy o promowaniu wytwarzania energii elektrycznej w morskich farmach wiatrowych, która oczekuje aktualnie na podpis Prezydenta RP, wprowadza odmienne zasady sprzedaży energii w trakcie rozruchu technologicznego MFW. </w:t>
            </w:r>
          </w:p>
          <w:p w14:paraId="3BE8C66B" w14:textId="77777777" w:rsidR="00D84B48" w:rsidRPr="0038322F" w:rsidRDefault="00D84B48" w:rsidP="00D84B48">
            <w:pPr>
              <w:jc w:val="both"/>
              <w:rPr>
                <w:rFonts w:cstheme="minorHAnsi"/>
                <w:sz w:val="20"/>
                <w:szCs w:val="20"/>
              </w:rPr>
            </w:pPr>
          </w:p>
          <w:p w14:paraId="78A6DEE4" w14:textId="6C10B9DB" w:rsidR="00D84B48" w:rsidRPr="0038322F" w:rsidRDefault="00D84B48" w:rsidP="00D84B48">
            <w:pPr>
              <w:jc w:val="both"/>
              <w:rPr>
                <w:rFonts w:cstheme="minorHAnsi"/>
                <w:sz w:val="20"/>
                <w:szCs w:val="20"/>
              </w:rPr>
            </w:pPr>
            <w:r w:rsidRPr="0038322F">
              <w:rPr>
                <w:rFonts w:cstheme="minorHAnsi"/>
                <w:sz w:val="20"/>
                <w:szCs w:val="20"/>
              </w:rPr>
              <w:t xml:space="preserve">W przypadku wejścia w życie ustawy z 9 października zwracamy uwagę na konieczność odpowiedniego dostosowania przepisów i uchylenia niektórych przepisów w ustawie </w:t>
            </w:r>
            <w:proofErr w:type="spellStart"/>
            <w:r w:rsidRPr="0038322F">
              <w:rPr>
                <w:rFonts w:cstheme="minorHAnsi"/>
                <w:sz w:val="20"/>
                <w:szCs w:val="20"/>
              </w:rPr>
              <w:t>offshore</w:t>
            </w:r>
            <w:proofErr w:type="spellEnd"/>
            <w:r w:rsidRPr="0038322F">
              <w:rPr>
                <w:rFonts w:cstheme="minorHAnsi"/>
                <w:sz w:val="20"/>
                <w:szCs w:val="20"/>
              </w:rPr>
              <w:t xml:space="preserve"> wind, aby można było zastosować rozwiązanie ogólne proponowane w projekcie UC84.</w:t>
            </w:r>
          </w:p>
        </w:tc>
        <w:tc>
          <w:tcPr>
            <w:tcW w:w="4394" w:type="dxa"/>
          </w:tcPr>
          <w:p w14:paraId="34C1CA4A" w14:textId="77777777" w:rsidR="00D84B48" w:rsidRPr="0038322F" w:rsidRDefault="00D84B48" w:rsidP="00D84B48">
            <w:pPr>
              <w:jc w:val="both"/>
              <w:rPr>
                <w:rFonts w:cstheme="minorHAnsi"/>
                <w:sz w:val="20"/>
                <w:szCs w:val="20"/>
              </w:rPr>
            </w:pPr>
          </w:p>
        </w:tc>
        <w:tc>
          <w:tcPr>
            <w:tcW w:w="1286" w:type="dxa"/>
          </w:tcPr>
          <w:p w14:paraId="097A3D4C" w14:textId="77777777" w:rsidR="00D84B48" w:rsidRPr="0038322F" w:rsidRDefault="00D84B48" w:rsidP="00D84B48">
            <w:pPr>
              <w:jc w:val="both"/>
              <w:rPr>
                <w:rFonts w:cstheme="minorHAnsi"/>
                <w:sz w:val="20"/>
                <w:szCs w:val="20"/>
              </w:rPr>
            </w:pPr>
          </w:p>
        </w:tc>
      </w:tr>
      <w:tr w:rsidR="00D116B4" w:rsidRPr="0038322F" w14:paraId="6718A1F7" w14:textId="77777777" w:rsidTr="00D116B4">
        <w:tc>
          <w:tcPr>
            <w:tcW w:w="846" w:type="dxa"/>
            <w:shd w:val="clear" w:color="auto" w:fill="E2EFD9" w:themeFill="accent6" w:themeFillTint="33"/>
          </w:tcPr>
          <w:p w14:paraId="56C16DEF" w14:textId="77777777" w:rsidR="00D116B4" w:rsidRPr="0038322F" w:rsidRDefault="00D116B4" w:rsidP="00D116B4">
            <w:pPr>
              <w:pStyle w:val="Akapitzlist"/>
              <w:numPr>
                <w:ilvl w:val="0"/>
                <w:numId w:val="15"/>
              </w:numPr>
              <w:ind w:left="313"/>
              <w:jc w:val="center"/>
              <w:rPr>
                <w:rFonts w:cstheme="minorHAnsi"/>
                <w:sz w:val="20"/>
                <w:szCs w:val="20"/>
              </w:rPr>
            </w:pPr>
          </w:p>
        </w:tc>
        <w:tc>
          <w:tcPr>
            <w:tcW w:w="1843" w:type="dxa"/>
            <w:shd w:val="clear" w:color="auto" w:fill="E2EFD9" w:themeFill="accent6" w:themeFillTint="33"/>
          </w:tcPr>
          <w:p w14:paraId="55A351F9" w14:textId="25C133D2" w:rsidR="00D116B4" w:rsidRPr="0038322F" w:rsidRDefault="00D116B4" w:rsidP="00D116B4">
            <w:pPr>
              <w:jc w:val="center"/>
              <w:rPr>
                <w:rFonts w:cstheme="minorHAnsi"/>
                <w:sz w:val="20"/>
                <w:szCs w:val="20"/>
              </w:rPr>
            </w:pPr>
            <w:r w:rsidRPr="0038322F">
              <w:rPr>
                <w:rFonts w:eastAsia="Lato" w:cstheme="minorHAnsi"/>
                <w:sz w:val="20"/>
                <w:szCs w:val="20"/>
                <w:lang w:val="en-US"/>
              </w:rPr>
              <w:t>Art. 1</w:t>
            </w:r>
            <w:r w:rsidR="00C57E73">
              <w:rPr>
                <w:rFonts w:eastAsia="Lato" w:cstheme="minorHAnsi"/>
                <w:sz w:val="20"/>
                <w:szCs w:val="20"/>
                <w:lang w:val="en-US"/>
              </w:rPr>
              <w:t>2</w:t>
            </w:r>
          </w:p>
        </w:tc>
        <w:tc>
          <w:tcPr>
            <w:tcW w:w="5670" w:type="dxa"/>
            <w:shd w:val="clear" w:color="auto" w:fill="E2EFD9" w:themeFill="accent6" w:themeFillTint="33"/>
          </w:tcPr>
          <w:p w14:paraId="758CA9BA" w14:textId="2C0C0254" w:rsidR="00D116B4" w:rsidRPr="0038322F" w:rsidRDefault="00D116B4" w:rsidP="00D116B4">
            <w:pPr>
              <w:jc w:val="both"/>
              <w:rPr>
                <w:rFonts w:cstheme="minorHAnsi"/>
                <w:sz w:val="20"/>
                <w:szCs w:val="20"/>
              </w:rPr>
            </w:pPr>
            <w:r w:rsidRPr="0038322F">
              <w:rPr>
                <w:rFonts w:cstheme="minorHAnsi"/>
                <w:sz w:val="20"/>
                <w:szCs w:val="20"/>
              </w:rPr>
              <w:t>W zakresie umów o przyłączenie, które nie są realizowane, proponuje się krótsze terminy na spełnienie „kamieni milowych”, aby rozwiązać problem blokowania mocy przyłączeniowych. W przypadku umów zawartych wcześniej niż 48 miesięcy przed dniem wejścia w życie ustawy, w ramach których nie zostały wykonane żadne działania zbliżające projekt do realizacji wydaje się, że możliwości realizacji tych projektów w przyszłości są minimalne. Moc przyłączeniowa blokowana przez te projekty stanowi ogromną barierę w realizacji nowych projektów przez rzetelne podmioty, które w istocie są zdeterminowane, aby dany projekt zrealizować. W związku z tym proponuje się skrócenie terminów na dostarczenie wymaganych dokumentów, aby w relatywnie krótkim czasie uporządkować sytuację z dostępnością mocy przyłączeniowych, które są blokowane od lat. Aby nie wykluczać projektów, które mają potencjał na realizację, proponuje się zastosowanie przepisów o możliwości wydłużenia tych terminów, analogicznie do pozostałych umów (zgodnie z art. 7 ust. 2</w:t>
            </w:r>
            <w:r w:rsidRPr="0038322F">
              <w:rPr>
                <w:rFonts w:cstheme="minorHAnsi"/>
                <w:sz w:val="20"/>
                <w:szCs w:val="20"/>
                <w:vertAlign w:val="superscript"/>
              </w:rPr>
              <w:t>1a</w:t>
            </w:r>
            <w:r w:rsidRPr="0038322F">
              <w:rPr>
                <w:rFonts w:cstheme="minorHAnsi"/>
                <w:sz w:val="20"/>
                <w:szCs w:val="20"/>
              </w:rPr>
              <w:t>), co wiąże się z koniecznością spełnienia tych samych wymogów, w tym złożenia dodatkowego zabezpieczenia. W przypadku braku wniosku o wydłużenie ww. terminu, umowy zawarte wcześniej niż 48 miesięcy przed dniem wejścia w życie ustawy ulegną rozwiązaniu najpóźniej w terminie 6 miesięcy od dnia wejścia w życie ustawy, co znacząco przyspieszy proces odblokowania mocy przyłączeniowych.</w:t>
            </w:r>
          </w:p>
        </w:tc>
        <w:tc>
          <w:tcPr>
            <w:tcW w:w="4394" w:type="dxa"/>
            <w:shd w:val="clear" w:color="auto" w:fill="E2EFD9" w:themeFill="accent6" w:themeFillTint="33"/>
          </w:tcPr>
          <w:p w14:paraId="63C210E1" w14:textId="77777777" w:rsidR="00D116B4" w:rsidRPr="0038322F" w:rsidRDefault="00D116B4" w:rsidP="00D116B4">
            <w:pPr>
              <w:jc w:val="both"/>
              <w:rPr>
                <w:rFonts w:cstheme="minorHAnsi"/>
                <w:sz w:val="20"/>
                <w:szCs w:val="20"/>
              </w:rPr>
            </w:pPr>
            <w:r w:rsidRPr="0038322F">
              <w:rPr>
                <w:rFonts w:cstheme="minorHAnsi"/>
                <w:sz w:val="20"/>
                <w:szCs w:val="20"/>
              </w:rPr>
              <w:t>Art. 11 otrzymuje brzmienie:</w:t>
            </w:r>
          </w:p>
          <w:p w14:paraId="270E62B4" w14:textId="77777777" w:rsidR="00D116B4" w:rsidRPr="0038322F" w:rsidRDefault="00D116B4" w:rsidP="00D116B4">
            <w:pPr>
              <w:jc w:val="both"/>
              <w:rPr>
                <w:rFonts w:cstheme="minorHAnsi"/>
                <w:sz w:val="20"/>
                <w:szCs w:val="20"/>
              </w:rPr>
            </w:pPr>
            <w:r w:rsidRPr="0038322F">
              <w:rPr>
                <w:rFonts w:cstheme="minorHAnsi"/>
                <w:sz w:val="20"/>
                <w:szCs w:val="20"/>
              </w:rPr>
              <w:t>Art. 11. Umowy, o których mowa w art. 7 ust. 2</w:t>
            </w:r>
            <w:r w:rsidRPr="0038322F">
              <w:rPr>
                <w:rFonts w:cstheme="minorHAnsi"/>
                <w:sz w:val="20"/>
                <w:szCs w:val="20"/>
                <w:vertAlign w:val="superscript"/>
              </w:rPr>
              <w:t>1a</w:t>
            </w:r>
            <w:r w:rsidRPr="0038322F">
              <w:rPr>
                <w:rFonts w:cstheme="minorHAnsi"/>
                <w:sz w:val="20"/>
                <w:szCs w:val="20"/>
              </w:rPr>
              <w:t xml:space="preserve"> ustawy zmienianej w art. 1 w brzmieniu nadanym niniejszą ustawą, zawarte wcześniej niż 48 miesięcy przed dniem wejścia w życie niniejszej ustawy, ulegają rozwiązaniu z przyczyn leżących po  stronie podmiotu przyłączanego w przypadku gdy:</w:t>
            </w:r>
          </w:p>
          <w:p w14:paraId="6DED5A7F" w14:textId="77777777" w:rsidR="00D116B4" w:rsidRPr="0038322F" w:rsidRDefault="00D116B4" w:rsidP="00D116B4">
            <w:pPr>
              <w:jc w:val="both"/>
              <w:rPr>
                <w:rFonts w:cstheme="minorHAnsi"/>
                <w:b/>
                <w:bCs/>
                <w:sz w:val="20"/>
                <w:szCs w:val="20"/>
              </w:rPr>
            </w:pPr>
            <w:r w:rsidRPr="0038322F">
              <w:rPr>
                <w:rFonts w:cstheme="minorHAnsi"/>
                <w:sz w:val="20"/>
                <w:szCs w:val="20"/>
              </w:rPr>
              <w:t>1) w terminie 3 miesięcy od daty wejścia w życie niniejszej ustawy podmiot ten nie zawiadomi operatora, do którego sieci jest przyłączany</w:t>
            </w:r>
            <w:r w:rsidRPr="0038322F" w:rsidDel="00894636">
              <w:rPr>
                <w:rFonts w:cstheme="minorHAnsi"/>
                <w:sz w:val="20"/>
                <w:szCs w:val="20"/>
              </w:rPr>
              <w:t xml:space="preserve"> </w:t>
            </w:r>
            <w:r w:rsidRPr="0038322F">
              <w:rPr>
                <w:rFonts w:cstheme="minorHAnsi"/>
                <w:sz w:val="20"/>
                <w:szCs w:val="20"/>
              </w:rPr>
              <w:t xml:space="preserve"> o uzyskaniu prawomocnej decyzji o pozwoleniu na budowę;</w:t>
            </w:r>
          </w:p>
          <w:p w14:paraId="45B5A270" w14:textId="77777777" w:rsidR="00D116B4" w:rsidRPr="0038322F" w:rsidRDefault="00D116B4" w:rsidP="00D116B4">
            <w:pPr>
              <w:ind w:right="141"/>
              <w:jc w:val="both"/>
              <w:rPr>
                <w:rFonts w:cstheme="minorHAnsi"/>
                <w:sz w:val="20"/>
                <w:szCs w:val="20"/>
              </w:rPr>
            </w:pPr>
            <w:r w:rsidRPr="0038322F">
              <w:rPr>
                <w:rFonts w:cstheme="minorHAnsi"/>
                <w:sz w:val="20"/>
                <w:szCs w:val="20"/>
              </w:rPr>
              <w:t>2) w terminie 6 miesięcy od daty wejścia w życie niniejszej ustawy podmiot ten nie</w:t>
            </w:r>
            <w:r w:rsidRPr="0038322F">
              <w:rPr>
                <w:rFonts w:cstheme="minorHAnsi"/>
                <w:spacing w:val="1"/>
                <w:sz w:val="20"/>
                <w:szCs w:val="20"/>
              </w:rPr>
              <w:t xml:space="preserve"> </w:t>
            </w:r>
            <w:r w:rsidRPr="0038322F">
              <w:rPr>
                <w:rFonts w:cstheme="minorHAnsi"/>
                <w:sz w:val="20"/>
                <w:szCs w:val="20"/>
              </w:rPr>
              <w:t>zawiadomi</w:t>
            </w:r>
            <w:r w:rsidRPr="0038322F">
              <w:rPr>
                <w:rFonts w:cstheme="minorHAnsi"/>
                <w:spacing w:val="7"/>
                <w:sz w:val="20"/>
                <w:szCs w:val="20"/>
              </w:rPr>
              <w:t xml:space="preserve"> </w:t>
            </w:r>
            <w:r w:rsidRPr="0038322F">
              <w:rPr>
                <w:rFonts w:cstheme="minorHAnsi"/>
                <w:spacing w:val="-1"/>
                <w:sz w:val="20"/>
                <w:szCs w:val="20"/>
              </w:rPr>
              <w:t>operatora,</w:t>
            </w:r>
            <w:r w:rsidRPr="0038322F">
              <w:rPr>
                <w:rFonts w:cstheme="minorHAnsi"/>
                <w:spacing w:val="2"/>
                <w:sz w:val="20"/>
                <w:szCs w:val="20"/>
              </w:rPr>
              <w:t xml:space="preserve"> </w:t>
            </w:r>
            <w:r w:rsidRPr="0038322F">
              <w:rPr>
                <w:rFonts w:cstheme="minorHAnsi"/>
                <w:sz w:val="20"/>
                <w:szCs w:val="20"/>
              </w:rPr>
              <w:t>do</w:t>
            </w:r>
            <w:r w:rsidRPr="0038322F">
              <w:rPr>
                <w:rFonts w:cstheme="minorHAnsi"/>
                <w:spacing w:val="4"/>
                <w:sz w:val="20"/>
                <w:szCs w:val="20"/>
              </w:rPr>
              <w:t xml:space="preserve"> </w:t>
            </w:r>
            <w:r w:rsidRPr="0038322F">
              <w:rPr>
                <w:rFonts w:cstheme="minorHAnsi"/>
                <w:spacing w:val="-1"/>
                <w:sz w:val="20"/>
                <w:szCs w:val="20"/>
              </w:rPr>
              <w:t>którego</w:t>
            </w:r>
            <w:r w:rsidRPr="0038322F">
              <w:rPr>
                <w:rFonts w:cstheme="minorHAnsi"/>
                <w:spacing w:val="4"/>
                <w:sz w:val="20"/>
                <w:szCs w:val="20"/>
              </w:rPr>
              <w:t xml:space="preserve"> </w:t>
            </w:r>
            <w:r w:rsidRPr="0038322F">
              <w:rPr>
                <w:rFonts w:cstheme="minorHAnsi"/>
                <w:spacing w:val="-1"/>
                <w:sz w:val="20"/>
                <w:szCs w:val="20"/>
              </w:rPr>
              <w:t>sieci</w:t>
            </w:r>
            <w:r w:rsidRPr="0038322F">
              <w:rPr>
                <w:rFonts w:cstheme="minorHAnsi"/>
                <w:spacing w:val="2"/>
                <w:sz w:val="20"/>
                <w:szCs w:val="20"/>
              </w:rPr>
              <w:t xml:space="preserve"> </w:t>
            </w:r>
            <w:r w:rsidRPr="0038322F">
              <w:rPr>
                <w:rFonts w:cstheme="minorHAnsi"/>
                <w:sz w:val="20"/>
                <w:szCs w:val="20"/>
              </w:rPr>
              <w:t>jest</w:t>
            </w:r>
            <w:r w:rsidRPr="0038322F">
              <w:rPr>
                <w:rFonts w:cstheme="minorHAnsi"/>
                <w:spacing w:val="45"/>
                <w:sz w:val="20"/>
                <w:szCs w:val="20"/>
              </w:rPr>
              <w:t xml:space="preserve"> </w:t>
            </w:r>
            <w:r w:rsidRPr="0038322F">
              <w:rPr>
                <w:rFonts w:cstheme="minorHAnsi"/>
                <w:spacing w:val="-1"/>
                <w:sz w:val="20"/>
                <w:szCs w:val="20"/>
              </w:rPr>
              <w:t>przyłączany</w:t>
            </w:r>
            <w:r w:rsidRPr="0038322F">
              <w:rPr>
                <w:rFonts w:cstheme="minorHAnsi"/>
                <w:sz w:val="20"/>
                <w:szCs w:val="20"/>
              </w:rPr>
              <w:t>, o pozyskaniu prawomocnej decyzji o pozwoleniu na budowę dla turbiny wiatrowej  niezbędnej  dla realizacji co najmniej 80 % mocy zainstalowanej elektrycznej instalacji objętej umową</w:t>
            </w:r>
          </w:p>
          <w:p w14:paraId="64257688" w14:textId="77777777" w:rsidR="00D116B4" w:rsidRPr="0038322F" w:rsidRDefault="00D116B4" w:rsidP="00D116B4">
            <w:pPr>
              <w:ind w:right="141"/>
              <w:jc w:val="both"/>
              <w:rPr>
                <w:rFonts w:cstheme="minorHAnsi"/>
                <w:sz w:val="20"/>
                <w:szCs w:val="20"/>
              </w:rPr>
            </w:pPr>
            <w:r w:rsidRPr="0038322F">
              <w:rPr>
                <w:rFonts w:cstheme="minorHAnsi"/>
                <w:sz w:val="20"/>
                <w:szCs w:val="20"/>
              </w:rPr>
              <w:t>– jeżeli jest to wymagane na podstawie przepisów prawa budowlanego.</w:t>
            </w:r>
          </w:p>
          <w:p w14:paraId="0C412310" w14:textId="77777777" w:rsidR="00D116B4" w:rsidRPr="0038322F" w:rsidRDefault="00D116B4" w:rsidP="00D116B4">
            <w:pPr>
              <w:jc w:val="both"/>
              <w:rPr>
                <w:rFonts w:eastAsia="Lato" w:cstheme="minorHAnsi"/>
                <w:sz w:val="20"/>
                <w:szCs w:val="20"/>
              </w:rPr>
            </w:pPr>
            <w:r w:rsidRPr="0038322F">
              <w:rPr>
                <w:rFonts w:eastAsia="Lato" w:cstheme="minorHAnsi"/>
                <w:sz w:val="20"/>
                <w:szCs w:val="20"/>
              </w:rPr>
              <w:t>Przepis art. 7 ust. 2</w:t>
            </w:r>
            <w:r w:rsidRPr="0038322F">
              <w:rPr>
                <w:rFonts w:eastAsia="Lato" w:cstheme="minorHAnsi"/>
                <w:sz w:val="20"/>
                <w:szCs w:val="20"/>
                <w:vertAlign w:val="superscript"/>
              </w:rPr>
              <w:t>1h</w:t>
            </w:r>
            <w:r w:rsidRPr="0038322F">
              <w:rPr>
                <w:rFonts w:eastAsia="Lato" w:cstheme="minorHAnsi"/>
                <w:sz w:val="20"/>
                <w:szCs w:val="20"/>
              </w:rPr>
              <w:t xml:space="preserve"> i 2</w:t>
            </w:r>
            <w:r w:rsidRPr="0038322F">
              <w:rPr>
                <w:rFonts w:eastAsia="Lato" w:cstheme="minorHAnsi"/>
                <w:sz w:val="20"/>
                <w:szCs w:val="20"/>
                <w:vertAlign w:val="superscript"/>
              </w:rPr>
              <w:t xml:space="preserve">1i </w:t>
            </w:r>
            <w:r w:rsidRPr="0038322F">
              <w:rPr>
                <w:rFonts w:cstheme="minorHAnsi"/>
                <w:sz w:val="20"/>
                <w:szCs w:val="20"/>
              </w:rPr>
              <w:t>stosuje się odpowiednio.</w:t>
            </w:r>
          </w:p>
          <w:p w14:paraId="30583078" w14:textId="77777777" w:rsidR="00D116B4" w:rsidRPr="0038322F" w:rsidRDefault="00D116B4" w:rsidP="00D116B4">
            <w:pPr>
              <w:jc w:val="both"/>
              <w:rPr>
                <w:rFonts w:cstheme="minorHAnsi"/>
                <w:sz w:val="20"/>
                <w:szCs w:val="20"/>
              </w:rPr>
            </w:pPr>
          </w:p>
        </w:tc>
        <w:tc>
          <w:tcPr>
            <w:tcW w:w="1286" w:type="dxa"/>
            <w:shd w:val="clear" w:color="auto" w:fill="E2EFD9" w:themeFill="accent6" w:themeFillTint="33"/>
          </w:tcPr>
          <w:p w14:paraId="424834A6" w14:textId="77777777" w:rsidR="00D116B4" w:rsidRPr="0038322F" w:rsidRDefault="00D116B4" w:rsidP="00D116B4">
            <w:pPr>
              <w:jc w:val="both"/>
              <w:rPr>
                <w:rFonts w:cstheme="minorHAnsi"/>
                <w:sz w:val="20"/>
                <w:szCs w:val="20"/>
              </w:rPr>
            </w:pPr>
          </w:p>
        </w:tc>
      </w:tr>
      <w:tr w:rsidR="006715B2" w:rsidRPr="0038322F" w14:paraId="2D019411" w14:textId="77777777" w:rsidTr="00862BFF">
        <w:trPr>
          <w:trHeight w:val="300"/>
        </w:trPr>
        <w:tc>
          <w:tcPr>
            <w:tcW w:w="846" w:type="dxa"/>
          </w:tcPr>
          <w:p w14:paraId="171AAC11" w14:textId="77777777" w:rsidR="006715B2" w:rsidRPr="0038322F" w:rsidRDefault="006715B2" w:rsidP="006715B2">
            <w:pPr>
              <w:pStyle w:val="Akapitzlist"/>
              <w:numPr>
                <w:ilvl w:val="0"/>
                <w:numId w:val="15"/>
              </w:numPr>
              <w:ind w:left="313"/>
              <w:jc w:val="center"/>
              <w:rPr>
                <w:rFonts w:cstheme="minorHAnsi"/>
                <w:sz w:val="20"/>
                <w:szCs w:val="20"/>
              </w:rPr>
            </w:pPr>
          </w:p>
        </w:tc>
        <w:tc>
          <w:tcPr>
            <w:tcW w:w="1843" w:type="dxa"/>
          </w:tcPr>
          <w:p w14:paraId="7547D473" w14:textId="52139215" w:rsidR="006715B2" w:rsidRPr="0038322F" w:rsidRDefault="006715B2" w:rsidP="006715B2">
            <w:pPr>
              <w:jc w:val="center"/>
              <w:rPr>
                <w:rFonts w:cstheme="minorHAnsi"/>
                <w:sz w:val="20"/>
                <w:szCs w:val="20"/>
              </w:rPr>
            </w:pPr>
            <w:r w:rsidRPr="0038322F">
              <w:rPr>
                <w:rFonts w:eastAsia="Lato" w:cstheme="minorHAnsi"/>
                <w:sz w:val="20"/>
                <w:szCs w:val="20"/>
              </w:rPr>
              <w:t>Art. 1</w:t>
            </w:r>
            <w:r w:rsidR="00E6133C">
              <w:rPr>
                <w:rFonts w:eastAsia="Lato" w:cstheme="minorHAnsi"/>
                <w:sz w:val="20"/>
                <w:szCs w:val="20"/>
              </w:rPr>
              <w:t>9</w:t>
            </w:r>
          </w:p>
        </w:tc>
        <w:tc>
          <w:tcPr>
            <w:tcW w:w="5670" w:type="dxa"/>
          </w:tcPr>
          <w:p w14:paraId="12095861" w14:textId="7FC11517" w:rsidR="006715B2" w:rsidRPr="0038322F" w:rsidRDefault="006715B2" w:rsidP="007B50BB">
            <w:pPr>
              <w:ind w:right="142"/>
              <w:jc w:val="both"/>
              <w:rPr>
                <w:rFonts w:cstheme="minorHAnsi"/>
                <w:sz w:val="20"/>
                <w:szCs w:val="20"/>
              </w:rPr>
            </w:pPr>
            <w:r w:rsidRPr="0038322F">
              <w:rPr>
                <w:rFonts w:eastAsia="Lato" w:cstheme="minorHAnsi"/>
                <w:sz w:val="20"/>
                <w:szCs w:val="20"/>
              </w:rPr>
              <w:t xml:space="preserve">Proponujemy rozważenie przesunięcia konieczności opracowywania i poddawania ponownie konsultacjom planów rozwoju </w:t>
            </w:r>
            <w:proofErr w:type="spellStart"/>
            <w:r w:rsidRPr="0038322F">
              <w:rPr>
                <w:rFonts w:eastAsia="Lato" w:cstheme="minorHAnsi"/>
                <w:sz w:val="20"/>
                <w:szCs w:val="20"/>
              </w:rPr>
              <w:t>OSDp</w:t>
            </w:r>
            <w:proofErr w:type="spellEnd"/>
            <w:r w:rsidRPr="0038322F">
              <w:rPr>
                <w:rFonts w:eastAsia="Lato" w:cstheme="minorHAnsi"/>
                <w:sz w:val="20"/>
                <w:szCs w:val="20"/>
              </w:rPr>
              <w:t xml:space="preserve">, które właśnie są w trakcie uzgadniania swoich Planów Rozwoju na lata 2026-2031 i które to plany były przedmiotem konsultacji na początku roku 2025. Obowiązek sporządzenia aktualizacji tych planów przypada na 30.04.2027 i taka data jest uzasadniona do dokonania zmian wynikających </w:t>
            </w:r>
            <w:r w:rsidR="002A6E01">
              <w:rPr>
                <w:rFonts w:eastAsia="Lato" w:cstheme="minorHAnsi"/>
                <w:sz w:val="20"/>
                <w:szCs w:val="20"/>
              </w:rPr>
              <w:br/>
            </w:r>
            <w:r w:rsidRPr="0038322F">
              <w:rPr>
                <w:rFonts w:eastAsia="Lato" w:cstheme="minorHAnsi"/>
                <w:sz w:val="20"/>
                <w:szCs w:val="20"/>
              </w:rPr>
              <w:t>z niniejszej ustawy.</w:t>
            </w:r>
          </w:p>
          <w:p w14:paraId="5FAE3C88" w14:textId="3E2412EC" w:rsidR="006715B2" w:rsidRPr="0038322F" w:rsidRDefault="006715B2" w:rsidP="006715B2">
            <w:pPr>
              <w:jc w:val="both"/>
              <w:rPr>
                <w:rFonts w:cstheme="minorHAnsi"/>
                <w:sz w:val="20"/>
                <w:szCs w:val="20"/>
              </w:rPr>
            </w:pPr>
            <w:r w:rsidRPr="0038322F">
              <w:rPr>
                <w:rFonts w:eastAsia="Lato" w:cstheme="minorHAnsi"/>
                <w:sz w:val="20"/>
                <w:szCs w:val="20"/>
              </w:rPr>
              <w:t>Niezależnie od tego czy zapisy zostaną utrzymane lub zmienione, proponujemy aby koszty opracowania zmian</w:t>
            </w:r>
            <w:r w:rsidR="002A6E01">
              <w:rPr>
                <w:rFonts w:eastAsia="Lato" w:cstheme="minorHAnsi"/>
                <w:sz w:val="20"/>
                <w:szCs w:val="20"/>
              </w:rPr>
              <w:t xml:space="preserve"> i</w:t>
            </w:r>
            <w:r w:rsidRPr="0038322F">
              <w:rPr>
                <w:rFonts w:eastAsia="Lato" w:cstheme="minorHAnsi"/>
                <w:sz w:val="20"/>
                <w:szCs w:val="20"/>
              </w:rPr>
              <w:t xml:space="preserve"> ponownych konsultacji stanowiły koszty uzasadnione operatorów.</w:t>
            </w:r>
          </w:p>
        </w:tc>
        <w:tc>
          <w:tcPr>
            <w:tcW w:w="4394" w:type="dxa"/>
          </w:tcPr>
          <w:p w14:paraId="3A5517E1" w14:textId="39765D4C" w:rsidR="006715B2" w:rsidRPr="0038322F" w:rsidRDefault="006715B2" w:rsidP="006715B2">
            <w:pPr>
              <w:jc w:val="both"/>
              <w:rPr>
                <w:rFonts w:cstheme="minorHAnsi"/>
                <w:sz w:val="20"/>
                <w:szCs w:val="20"/>
              </w:rPr>
            </w:pPr>
            <w:r w:rsidRPr="0038322F">
              <w:rPr>
                <w:rFonts w:eastAsia="Lato" w:cstheme="minorHAnsi"/>
                <w:sz w:val="20"/>
                <w:szCs w:val="20"/>
              </w:rPr>
              <w:t xml:space="preserve"> </w:t>
            </w:r>
          </w:p>
        </w:tc>
        <w:tc>
          <w:tcPr>
            <w:tcW w:w="1286" w:type="dxa"/>
          </w:tcPr>
          <w:p w14:paraId="6D81F0D9" w14:textId="77777777" w:rsidR="006715B2" w:rsidRPr="0038322F" w:rsidRDefault="006715B2" w:rsidP="006715B2">
            <w:pPr>
              <w:jc w:val="both"/>
              <w:rPr>
                <w:rFonts w:cstheme="minorHAnsi"/>
                <w:sz w:val="20"/>
                <w:szCs w:val="20"/>
              </w:rPr>
            </w:pPr>
          </w:p>
        </w:tc>
      </w:tr>
      <w:tr w:rsidR="006715B2" w:rsidRPr="0038322F" w14:paraId="067CAE10" w14:textId="77777777" w:rsidTr="00862BFF">
        <w:trPr>
          <w:trHeight w:val="300"/>
        </w:trPr>
        <w:tc>
          <w:tcPr>
            <w:tcW w:w="846" w:type="dxa"/>
          </w:tcPr>
          <w:p w14:paraId="6A7E0511" w14:textId="77777777" w:rsidR="006715B2" w:rsidRPr="0038322F" w:rsidRDefault="006715B2" w:rsidP="006715B2">
            <w:pPr>
              <w:pStyle w:val="Akapitzlist"/>
              <w:numPr>
                <w:ilvl w:val="0"/>
                <w:numId w:val="15"/>
              </w:numPr>
              <w:ind w:left="313"/>
              <w:jc w:val="center"/>
              <w:rPr>
                <w:rFonts w:cstheme="minorHAnsi"/>
                <w:sz w:val="20"/>
                <w:szCs w:val="20"/>
              </w:rPr>
            </w:pPr>
          </w:p>
        </w:tc>
        <w:tc>
          <w:tcPr>
            <w:tcW w:w="1843" w:type="dxa"/>
          </w:tcPr>
          <w:p w14:paraId="7F955821" w14:textId="7C3C7BDF" w:rsidR="006715B2" w:rsidRPr="0038322F" w:rsidRDefault="006715B2" w:rsidP="006715B2">
            <w:pPr>
              <w:jc w:val="center"/>
              <w:rPr>
                <w:rFonts w:cstheme="minorHAnsi"/>
                <w:sz w:val="20"/>
                <w:szCs w:val="20"/>
              </w:rPr>
            </w:pPr>
            <w:r w:rsidRPr="0038322F">
              <w:rPr>
                <w:rFonts w:eastAsia="Lato" w:cstheme="minorHAnsi"/>
                <w:sz w:val="20"/>
                <w:szCs w:val="20"/>
              </w:rPr>
              <w:t xml:space="preserve">Art. </w:t>
            </w:r>
            <w:r w:rsidR="00CD4623">
              <w:rPr>
                <w:rFonts w:eastAsia="Lato" w:cstheme="minorHAnsi"/>
                <w:sz w:val="20"/>
                <w:szCs w:val="20"/>
              </w:rPr>
              <w:t>21</w:t>
            </w:r>
            <w:r w:rsidRPr="0038322F">
              <w:rPr>
                <w:rFonts w:eastAsia="Lato" w:cstheme="minorHAnsi"/>
                <w:sz w:val="20"/>
                <w:szCs w:val="20"/>
              </w:rPr>
              <w:t xml:space="preserve"> Ust. 1</w:t>
            </w:r>
          </w:p>
        </w:tc>
        <w:tc>
          <w:tcPr>
            <w:tcW w:w="5670" w:type="dxa"/>
          </w:tcPr>
          <w:p w14:paraId="1F62ECF7" w14:textId="08F6BA62" w:rsidR="006715B2" w:rsidRPr="0038322F" w:rsidRDefault="006715B2" w:rsidP="006715B2">
            <w:pPr>
              <w:jc w:val="both"/>
              <w:rPr>
                <w:rFonts w:cstheme="minorHAnsi"/>
                <w:sz w:val="20"/>
                <w:szCs w:val="20"/>
              </w:rPr>
            </w:pPr>
            <w:r w:rsidRPr="0038322F">
              <w:rPr>
                <w:rFonts w:eastAsia="Lato" w:cstheme="minorHAnsi"/>
                <w:sz w:val="20"/>
                <w:szCs w:val="20"/>
              </w:rPr>
              <w:t>Proponujemy aby wytyczne Urzędu Regulacji Energetyki co do strategii zabezpieczających zostały wypracowane we współpracy ze spółkami obrotu.</w:t>
            </w:r>
          </w:p>
        </w:tc>
        <w:tc>
          <w:tcPr>
            <w:tcW w:w="4394" w:type="dxa"/>
          </w:tcPr>
          <w:p w14:paraId="312986B0" w14:textId="11B4BD44" w:rsidR="006715B2" w:rsidRPr="0038322F" w:rsidRDefault="006715B2" w:rsidP="006715B2">
            <w:pPr>
              <w:jc w:val="both"/>
              <w:rPr>
                <w:rFonts w:cstheme="minorHAnsi"/>
                <w:sz w:val="20"/>
                <w:szCs w:val="20"/>
              </w:rPr>
            </w:pPr>
            <w:r w:rsidRPr="0038322F">
              <w:rPr>
                <w:rFonts w:eastAsia="Lato" w:cstheme="minorHAnsi"/>
                <w:sz w:val="20"/>
                <w:szCs w:val="20"/>
              </w:rPr>
              <w:t xml:space="preserve">Art. 17. 1. Prezes Urzędu Regulacji Energetyki opracowuje </w:t>
            </w:r>
            <w:r w:rsidRPr="0038322F">
              <w:rPr>
                <w:rFonts w:eastAsia="Lato" w:cstheme="minorHAnsi"/>
                <w:sz w:val="20"/>
                <w:szCs w:val="20"/>
                <w:u w:val="single"/>
              </w:rPr>
              <w:t>we współpracy z przedsiębiorstwami energetycznymi zajmującymi się obrotem energią elektryczną</w:t>
            </w:r>
            <w:r w:rsidRPr="0038322F">
              <w:rPr>
                <w:rFonts w:eastAsia="Lato" w:cstheme="minorHAnsi"/>
                <w:sz w:val="20"/>
                <w:szCs w:val="20"/>
              </w:rPr>
              <w:t xml:space="preserve"> i zamieszcza w Biuletynie Urzędu Regulacji Energetyki wytyczne, o których mowa w art. 23 ust. 2 pkt 3aa ustawy zmienianej w art. 1, w terminie 3 miesięcy od dnia wejścia w życie niniejszej ustawy.</w:t>
            </w:r>
          </w:p>
        </w:tc>
        <w:tc>
          <w:tcPr>
            <w:tcW w:w="1286" w:type="dxa"/>
          </w:tcPr>
          <w:p w14:paraId="2120E84E" w14:textId="77777777" w:rsidR="006715B2" w:rsidRPr="0038322F" w:rsidRDefault="006715B2" w:rsidP="006715B2">
            <w:pPr>
              <w:jc w:val="both"/>
              <w:rPr>
                <w:rFonts w:cstheme="minorHAnsi"/>
                <w:sz w:val="20"/>
                <w:szCs w:val="20"/>
              </w:rPr>
            </w:pPr>
          </w:p>
        </w:tc>
      </w:tr>
      <w:tr w:rsidR="006715B2" w:rsidRPr="0038322F" w14:paraId="367705BB" w14:textId="77777777" w:rsidTr="00862BFF">
        <w:trPr>
          <w:trHeight w:val="300"/>
        </w:trPr>
        <w:tc>
          <w:tcPr>
            <w:tcW w:w="846" w:type="dxa"/>
          </w:tcPr>
          <w:p w14:paraId="0C63A466" w14:textId="77777777" w:rsidR="006715B2" w:rsidRPr="0038322F" w:rsidRDefault="006715B2" w:rsidP="006715B2">
            <w:pPr>
              <w:pStyle w:val="Akapitzlist"/>
              <w:numPr>
                <w:ilvl w:val="0"/>
                <w:numId w:val="15"/>
              </w:numPr>
              <w:ind w:left="313"/>
              <w:jc w:val="center"/>
              <w:rPr>
                <w:rFonts w:cstheme="minorHAnsi"/>
                <w:sz w:val="20"/>
                <w:szCs w:val="20"/>
              </w:rPr>
            </w:pPr>
          </w:p>
        </w:tc>
        <w:tc>
          <w:tcPr>
            <w:tcW w:w="1843" w:type="dxa"/>
          </w:tcPr>
          <w:p w14:paraId="65A69087" w14:textId="0528A3CD" w:rsidR="006715B2" w:rsidRPr="0038322F" w:rsidRDefault="006715B2" w:rsidP="006715B2">
            <w:pPr>
              <w:jc w:val="center"/>
              <w:rPr>
                <w:rFonts w:cstheme="minorHAnsi"/>
                <w:sz w:val="20"/>
                <w:szCs w:val="20"/>
              </w:rPr>
            </w:pPr>
            <w:r w:rsidRPr="0038322F">
              <w:rPr>
                <w:rFonts w:eastAsia="Lato" w:cstheme="minorHAnsi"/>
                <w:sz w:val="20"/>
                <w:szCs w:val="20"/>
              </w:rPr>
              <w:t xml:space="preserve">Art. </w:t>
            </w:r>
            <w:r w:rsidR="00873482">
              <w:rPr>
                <w:rFonts w:eastAsia="Lato" w:cstheme="minorHAnsi"/>
                <w:sz w:val="20"/>
                <w:szCs w:val="20"/>
              </w:rPr>
              <w:t>21</w:t>
            </w:r>
            <w:r w:rsidRPr="0038322F">
              <w:rPr>
                <w:rFonts w:eastAsia="Lato" w:cstheme="minorHAnsi"/>
                <w:sz w:val="20"/>
                <w:szCs w:val="20"/>
              </w:rPr>
              <w:t xml:space="preserve"> Ust. 2</w:t>
            </w:r>
          </w:p>
        </w:tc>
        <w:tc>
          <w:tcPr>
            <w:tcW w:w="5670" w:type="dxa"/>
          </w:tcPr>
          <w:p w14:paraId="42038314" w14:textId="34E9CA23" w:rsidR="006715B2" w:rsidRPr="0038322F" w:rsidRDefault="006715B2" w:rsidP="006715B2">
            <w:pPr>
              <w:jc w:val="both"/>
              <w:rPr>
                <w:rFonts w:cstheme="minorHAnsi"/>
                <w:sz w:val="20"/>
                <w:szCs w:val="20"/>
              </w:rPr>
            </w:pPr>
            <w:r w:rsidRPr="0038322F">
              <w:rPr>
                <w:rFonts w:eastAsia="Lato" w:cstheme="minorHAnsi"/>
                <w:sz w:val="20"/>
                <w:szCs w:val="20"/>
              </w:rPr>
              <w:t>Proponujemy aby przywrócić termin przekazania Prezesowi Urzędu Regulacji Energetyki termin przekazania strategii zabezpieczającej przez spółki obrotu na 12 miesięcy od dnia wejścia w życie niniejszej ustawy.</w:t>
            </w:r>
          </w:p>
        </w:tc>
        <w:tc>
          <w:tcPr>
            <w:tcW w:w="4394" w:type="dxa"/>
          </w:tcPr>
          <w:p w14:paraId="1BC86FA8" w14:textId="07FC7C81" w:rsidR="006715B2" w:rsidRPr="0038322F" w:rsidRDefault="006715B2" w:rsidP="006715B2">
            <w:pPr>
              <w:jc w:val="both"/>
              <w:rPr>
                <w:rFonts w:cstheme="minorHAnsi"/>
                <w:sz w:val="20"/>
                <w:szCs w:val="20"/>
              </w:rPr>
            </w:pPr>
            <w:r w:rsidRPr="0038322F">
              <w:rPr>
                <w:rFonts w:eastAsia="Lato" w:cstheme="minorHAnsi"/>
                <w:sz w:val="20"/>
                <w:szCs w:val="20"/>
              </w:rPr>
              <w:t xml:space="preserve">2. Przedsiębiorstwo energetyczne zajmujące się obrotem energią elektryczną po raz pierwszy opracowuje i przekazuje Prezesowi Urzędu Regulacji Energetyki strategię zabezpieczającą, o której mowa w art. 10e ustawy zmienianej w art. 1 w brzmieniu nadanym niniejszą ustawą w terminie </w:t>
            </w:r>
            <w:r w:rsidRPr="0038322F">
              <w:rPr>
                <w:rFonts w:eastAsia="Lato" w:cstheme="minorHAnsi"/>
                <w:strike/>
                <w:sz w:val="20"/>
                <w:szCs w:val="20"/>
              </w:rPr>
              <w:t>9</w:t>
            </w:r>
            <w:r w:rsidRPr="0038322F">
              <w:rPr>
                <w:rFonts w:eastAsia="Lato" w:cstheme="minorHAnsi"/>
                <w:sz w:val="20"/>
                <w:szCs w:val="20"/>
              </w:rPr>
              <w:t xml:space="preserve"> </w:t>
            </w:r>
            <w:r w:rsidRPr="0038322F">
              <w:rPr>
                <w:rFonts w:eastAsia="Lato" w:cstheme="minorHAnsi"/>
                <w:sz w:val="20"/>
                <w:szCs w:val="20"/>
                <w:u w:val="single"/>
              </w:rPr>
              <w:t>12</w:t>
            </w:r>
            <w:r w:rsidRPr="0038322F">
              <w:rPr>
                <w:rFonts w:eastAsia="Lato" w:cstheme="minorHAnsi"/>
                <w:sz w:val="20"/>
                <w:szCs w:val="20"/>
              </w:rPr>
              <w:t xml:space="preserve"> miesięcy od dnia wejścia w życie niniejszej ustawy. </w:t>
            </w:r>
          </w:p>
        </w:tc>
        <w:tc>
          <w:tcPr>
            <w:tcW w:w="1286" w:type="dxa"/>
          </w:tcPr>
          <w:p w14:paraId="73704E41" w14:textId="77777777" w:rsidR="006715B2" w:rsidRPr="0038322F" w:rsidRDefault="006715B2" w:rsidP="006715B2">
            <w:pPr>
              <w:jc w:val="both"/>
              <w:rPr>
                <w:rFonts w:cstheme="minorHAnsi"/>
                <w:sz w:val="20"/>
                <w:szCs w:val="20"/>
              </w:rPr>
            </w:pPr>
          </w:p>
        </w:tc>
      </w:tr>
      <w:tr w:rsidR="00E74FE3" w:rsidRPr="0038322F" w14:paraId="6C57C7A4" w14:textId="77777777" w:rsidTr="00E74FE3">
        <w:trPr>
          <w:trHeight w:val="300"/>
        </w:trPr>
        <w:tc>
          <w:tcPr>
            <w:tcW w:w="846" w:type="dxa"/>
            <w:shd w:val="clear" w:color="auto" w:fill="E2EFD9" w:themeFill="accent6" w:themeFillTint="33"/>
          </w:tcPr>
          <w:p w14:paraId="45D48E65" w14:textId="77777777" w:rsidR="00E74FE3" w:rsidRPr="0038322F" w:rsidRDefault="00E74FE3" w:rsidP="00E74FE3">
            <w:pPr>
              <w:pStyle w:val="Akapitzlist"/>
              <w:numPr>
                <w:ilvl w:val="0"/>
                <w:numId w:val="15"/>
              </w:numPr>
              <w:ind w:left="313"/>
              <w:jc w:val="center"/>
              <w:rPr>
                <w:rFonts w:cstheme="minorHAnsi"/>
                <w:sz w:val="20"/>
                <w:szCs w:val="20"/>
              </w:rPr>
            </w:pPr>
          </w:p>
        </w:tc>
        <w:tc>
          <w:tcPr>
            <w:tcW w:w="1843" w:type="dxa"/>
            <w:shd w:val="clear" w:color="auto" w:fill="E2EFD9" w:themeFill="accent6" w:themeFillTint="33"/>
          </w:tcPr>
          <w:tbl>
            <w:tblPr>
              <w:tblW w:w="0" w:type="auto"/>
              <w:tblLayout w:type="fixed"/>
              <w:tblLook w:val="06A0" w:firstRow="1" w:lastRow="0" w:firstColumn="1" w:lastColumn="0" w:noHBand="1" w:noVBand="1"/>
            </w:tblPr>
            <w:tblGrid>
              <w:gridCol w:w="2484"/>
            </w:tblGrid>
            <w:tr w:rsidR="00E74FE3" w:rsidRPr="0038322F" w14:paraId="2CAB996D" w14:textId="77777777" w:rsidTr="009170CD">
              <w:trPr>
                <w:trHeight w:val="300"/>
              </w:trPr>
              <w:tc>
                <w:tcPr>
                  <w:tcW w:w="2484" w:type="dxa"/>
                  <w:tcMar>
                    <w:left w:w="142" w:type="dxa"/>
                    <w:right w:w="142" w:type="dxa"/>
                  </w:tcMar>
                </w:tcPr>
                <w:p w14:paraId="13367ECF" w14:textId="77777777" w:rsidR="00E74FE3" w:rsidRPr="0038322F" w:rsidRDefault="00E74FE3" w:rsidP="00E74FE3">
                  <w:pPr>
                    <w:framePr w:hSpace="142" w:wrap="around" w:vAnchor="text" w:hAnchor="margin" w:xAlign="center" w:y="58"/>
                    <w:spacing w:line="240" w:lineRule="auto"/>
                    <w:rPr>
                      <w:rFonts w:cstheme="minorHAnsi"/>
                      <w:sz w:val="20"/>
                      <w:szCs w:val="20"/>
                    </w:rPr>
                  </w:pPr>
                  <w:r>
                    <w:rPr>
                      <w:rFonts w:cstheme="minorHAnsi"/>
                      <w:sz w:val="20"/>
                      <w:szCs w:val="20"/>
                    </w:rPr>
                    <w:t>Art. 27</w:t>
                  </w:r>
                </w:p>
              </w:tc>
            </w:tr>
          </w:tbl>
          <w:p w14:paraId="06678725" w14:textId="77777777" w:rsidR="00E74FE3" w:rsidRPr="0038322F" w:rsidRDefault="00E74FE3" w:rsidP="00E74FE3">
            <w:pPr>
              <w:jc w:val="center"/>
              <w:rPr>
                <w:rFonts w:eastAsia="Lato" w:cstheme="minorHAnsi"/>
                <w:sz w:val="20"/>
                <w:szCs w:val="20"/>
              </w:rPr>
            </w:pPr>
          </w:p>
        </w:tc>
        <w:tc>
          <w:tcPr>
            <w:tcW w:w="5670" w:type="dxa"/>
            <w:shd w:val="clear" w:color="auto" w:fill="E2EFD9" w:themeFill="accent6" w:themeFillTint="33"/>
          </w:tcPr>
          <w:p w14:paraId="4E29B65A" w14:textId="77777777" w:rsidR="00E74FE3" w:rsidRPr="0038322F" w:rsidRDefault="00E74FE3" w:rsidP="00E74FE3">
            <w:pPr>
              <w:spacing w:after="160"/>
              <w:jc w:val="both"/>
              <w:rPr>
                <w:rFonts w:cstheme="minorHAnsi"/>
                <w:sz w:val="20"/>
                <w:szCs w:val="20"/>
              </w:rPr>
            </w:pPr>
            <w:r w:rsidRPr="0038322F">
              <w:rPr>
                <w:rFonts w:eastAsia="Calibri" w:cstheme="minorHAnsi"/>
                <w:sz w:val="20"/>
                <w:szCs w:val="20"/>
              </w:rPr>
              <w:t>Proponowany art 7 ust. 8i</w:t>
            </w:r>
            <w:r w:rsidRPr="0038322F">
              <w:rPr>
                <w:rFonts w:eastAsia="Calibri" w:cstheme="minorHAnsi"/>
                <w:sz w:val="20"/>
                <w:szCs w:val="20"/>
                <w:vertAlign w:val="superscript"/>
              </w:rPr>
              <w:t xml:space="preserve">2 </w:t>
            </w:r>
            <w:r w:rsidRPr="0038322F">
              <w:rPr>
                <w:rFonts w:eastAsia="Calibri" w:cstheme="minorHAnsi"/>
                <w:sz w:val="20"/>
                <w:szCs w:val="20"/>
              </w:rPr>
              <w:t xml:space="preserve">zakłada wprowadzenie ograniczenia możliwości modyfikacji lokalizacji projektu. Ze względu na toczące się procesy administracyjne mające na celu przygotowanie do realizacji projektów, przepis ten powinien zostać opatrzony dłuższym vacatio legis. </w:t>
            </w:r>
          </w:p>
          <w:p w14:paraId="314566AC" w14:textId="77777777" w:rsidR="00E74FE3" w:rsidRPr="0038322F" w:rsidRDefault="00E74FE3" w:rsidP="00E74FE3">
            <w:pPr>
              <w:spacing w:after="160"/>
              <w:jc w:val="both"/>
              <w:rPr>
                <w:rFonts w:cstheme="minorHAnsi"/>
                <w:sz w:val="20"/>
                <w:szCs w:val="20"/>
              </w:rPr>
            </w:pPr>
            <w:r w:rsidRPr="0038322F">
              <w:rPr>
                <w:rFonts w:eastAsia="Calibri" w:cstheme="minorHAnsi"/>
                <w:sz w:val="20"/>
                <w:szCs w:val="20"/>
              </w:rPr>
              <w:t xml:space="preserve">Dotychczas kwestia zmiany lokalizacji nie była uregulowana wprost w przepisach, więc wobec braku zakazu niektórzy operatorzy pozwalali na takie zmiany. Inwestorzy zabezpieczali więc i przygotowywali pod względem proceduralnym (planistyka, środowisko) lokalizacje możliwie blisko punktu przyłączenia, aby zredukować przyszłe nakłady inwestycyjne, co zdaje się być zjawiskiem pozytywnym: punkt przyłączenia do sieci się nie zmienia; inwestor zabezpiecza lokalizację w mniejszej odległości, co obniża CAPEX, a tym samym przekłada się to na wyższe prawdopodobieństwo uzyskania </w:t>
            </w:r>
            <w:proofErr w:type="spellStart"/>
            <w:r w:rsidRPr="0038322F">
              <w:rPr>
                <w:rFonts w:eastAsia="Calibri" w:cstheme="minorHAnsi"/>
                <w:sz w:val="20"/>
                <w:szCs w:val="20"/>
              </w:rPr>
              <w:t>bankowalności</w:t>
            </w:r>
            <w:proofErr w:type="spellEnd"/>
            <w:r w:rsidRPr="0038322F">
              <w:rPr>
                <w:rFonts w:eastAsia="Calibri" w:cstheme="minorHAnsi"/>
                <w:sz w:val="20"/>
                <w:szCs w:val="20"/>
              </w:rPr>
              <w:t xml:space="preserve"> projektu. W obecnej sytuacji jest wiele przypadków, gdy działając w oparciu o ww. praktykę operatorów inwestorzy zabezpieczali lokalizację bliżej </w:t>
            </w:r>
            <w:proofErr w:type="spellStart"/>
            <w:r w:rsidRPr="0038322F">
              <w:rPr>
                <w:rFonts w:eastAsia="Calibri" w:cstheme="minorHAnsi"/>
                <w:sz w:val="20"/>
                <w:szCs w:val="20"/>
              </w:rPr>
              <w:t>GPZu</w:t>
            </w:r>
            <w:proofErr w:type="spellEnd"/>
            <w:r w:rsidRPr="0038322F">
              <w:rPr>
                <w:rFonts w:eastAsia="Calibri" w:cstheme="minorHAnsi"/>
                <w:sz w:val="20"/>
                <w:szCs w:val="20"/>
              </w:rPr>
              <w:t xml:space="preserve">, co często wiązało się z koniecznością poniesienia dodatkowych kosztów względem wydzierżawiających. </w:t>
            </w:r>
          </w:p>
          <w:p w14:paraId="4CB850BC" w14:textId="4E80B55E" w:rsidR="00E74FE3" w:rsidRPr="0038322F" w:rsidRDefault="00E74FE3" w:rsidP="00E74FE3">
            <w:pPr>
              <w:jc w:val="both"/>
              <w:rPr>
                <w:rFonts w:eastAsia="Lato" w:cstheme="minorHAnsi"/>
                <w:sz w:val="20"/>
                <w:szCs w:val="20"/>
              </w:rPr>
            </w:pPr>
            <w:r w:rsidRPr="0038322F">
              <w:rPr>
                <w:rFonts w:eastAsia="Calibri" w:cstheme="minorHAnsi"/>
                <w:sz w:val="20"/>
                <w:szCs w:val="20"/>
              </w:rPr>
              <w:t xml:space="preserve">Projektowane zmiany powinny zostać opatrzone adekwatnym vacatio legis aby nie przekreślić możliwości realizacji rentownych i możliwych do przyłączenia projektów, na terenach przygotowanych pod względem formalnym. W przeciwnym razie nakłady czasu i pracy po stronie inwestorów, ale też samorządów i organów administracji zostałyby zaprzepaszczone, co </w:t>
            </w:r>
            <w:proofErr w:type="spellStart"/>
            <w:r w:rsidRPr="0038322F">
              <w:rPr>
                <w:rFonts w:eastAsia="Calibri" w:cstheme="minorHAnsi"/>
                <w:sz w:val="20"/>
                <w:szCs w:val="20"/>
              </w:rPr>
              <w:t>skutkuwałoby</w:t>
            </w:r>
            <w:proofErr w:type="spellEnd"/>
            <w:r w:rsidRPr="0038322F">
              <w:rPr>
                <w:rFonts w:eastAsia="Calibri" w:cstheme="minorHAnsi"/>
                <w:sz w:val="20"/>
                <w:szCs w:val="20"/>
              </w:rPr>
              <w:t xml:space="preserve"> dalszym osłabieniem zaufania lokalnych społeczności i inwestorów do stabilnego otoczenia regulacyjnego.</w:t>
            </w:r>
          </w:p>
        </w:tc>
        <w:tc>
          <w:tcPr>
            <w:tcW w:w="4394" w:type="dxa"/>
            <w:shd w:val="clear" w:color="auto" w:fill="E2EFD9" w:themeFill="accent6" w:themeFillTint="33"/>
          </w:tcPr>
          <w:p w14:paraId="3ABAABAB" w14:textId="77777777" w:rsidR="00E74FE3" w:rsidRPr="0038322F" w:rsidRDefault="00E74FE3" w:rsidP="00E74FE3">
            <w:pPr>
              <w:jc w:val="both"/>
              <w:rPr>
                <w:rFonts w:eastAsia="Calibri" w:cstheme="minorHAnsi"/>
                <w:sz w:val="20"/>
                <w:szCs w:val="20"/>
              </w:rPr>
            </w:pPr>
            <w:r w:rsidRPr="0038322F">
              <w:rPr>
                <w:rFonts w:eastAsia="Calibri" w:cstheme="minorHAnsi"/>
                <w:sz w:val="20"/>
                <w:szCs w:val="20"/>
              </w:rPr>
              <w:t>Art. 27. Ustawa wchodzi w życie po upływie 14 dni od dnia ogłoszenia, z wyjątkiem:</w:t>
            </w:r>
          </w:p>
          <w:p w14:paraId="265894C4" w14:textId="77777777" w:rsidR="00E74FE3" w:rsidRPr="0038322F" w:rsidRDefault="00E74FE3" w:rsidP="00E74FE3">
            <w:pPr>
              <w:jc w:val="both"/>
              <w:rPr>
                <w:rFonts w:eastAsia="Calibri" w:cstheme="minorHAnsi"/>
                <w:sz w:val="20"/>
                <w:szCs w:val="20"/>
              </w:rPr>
            </w:pPr>
            <w:r w:rsidRPr="0038322F">
              <w:rPr>
                <w:rFonts w:eastAsia="Calibri" w:cstheme="minorHAnsi"/>
                <w:sz w:val="20"/>
                <w:szCs w:val="20"/>
              </w:rPr>
              <w:t>1)</w:t>
            </w:r>
            <w:r w:rsidRPr="0038322F">
              <w:rPr>
                <w:rFonts w:eastAsia="Calibri" w:cstheme="minorHAnsi"/>
                <w:sz w:val="20"/>
                <w:szCs w:val="20"/>
              </w:rPr>
              <w:tab/>
              <w:t>art. 1 pkt 28 i 29 oraz art. 4 pkt 1, które wchodzą w życie z dniem 1 stycznia 2026 r.;</w:t>
            </w:r>
          </w:p>
          <w:p w14:paraId="2F4FEE48" w14:textId="77777777" w:rsidR="00E74FE3" w:rsidRPr="0038322F" w:rsidRDefault="00E74FE3" w:rsidP="00E74FE3">
            <w:pPr>
              <w:jc w:val="both"/>
              <w:rPr>
                <w:rFonts w:eastAsia="Calibri" w:cstheme="minorHAnsi"/>
                <w:sz w:val="20"/>
                <w:szCs w:val="20"/>
              </w:rPr>
            </w:pPr>
            <w:r w:rsidRPr="0038322F">
              <w:rPr>
                <w:rFonts w:eastAsia="Calibri" w:cstheme="minorHAnsi"/>
                <w:sz w:val="20"/>
                <w:szCs w:val="20"/>
              </w:rPr>
              <w:t>2)</w:t>
            </w:r>
            <w:r w:rsidRPr="0038322F">
              <w:rPr>
                <w:rFonts w:eastAsia="Calibri" w:cstheme="minorHAnsi"/>
                <w:sz w:val="20"/>
                <w:szCs w:val="20"/>
              </w:rPr>
              <w:tab/>
              <w:t>art. 1 pkt 13 lit. a i c oraz pkt 18, które wchodzą w życie z dniem następującym po dniu ogłoszenia;</w:t>
            </w:r>
          </w:p>
          <w:p w14:paraId="28751A26" w14:textId="77777777" w:rsidR="00E74FE3" w:rsidRPr="0038322F" w:rsidRDefault="00E74FE3" w:rsidP="00E74FE3">
            <w:pPr>
              <w:jc w:val="both"/>
              <w:rPr>
                <w:rFonts w:eastAsia="Calibri" w:cstheme="minorHAnsi"/>
                <w:b/>
                <w:bCs/>
                <w:sz w:val="20"/>
                <w:szCs w:val="20"/>
              </w:rPr>
            </w:pPr>
            <w:r w:rsidRPr="0038322F">
              <w:rPr>
                <w:rFonts w:eastAsia="Calibri" w:cstheme="minorHAnsi"/>
                <w:b/>
                <w:bCs/>
                <w:sz w:val="20"/>
                <w:szCs w:val="20"/>
              </w:rPr>
              <w:t xml:space="preserve">3) art. </w:t>
            </w:r>
            <w:r w:rsidRPr="0038322F">
              <w:rPr>
                <w:rFonts w:cstheme="minorHAnsi"/>
                <w:sz w:val="20"/>
                <w:szCs w:val="20"/>
              </w:rPr>
              <w:t xml:space="preserve"> </w:t>
            </w:r>
            <w:r w:rsidRPr="0038322F">
              <w:rPr>
                <w:rFonts w:eastAsia="Calibri" w:cstheme="minorHAnsi"/>
                <w:b/>
                <w:bCs/>
                <w:sz w:val="20"/>
                <w:szCs w:val="20"/>
              </w:rPr>
              <w:t xml:space="preserve">1 pkt 8 lit. </w:t>
            </w:r>
            <w:proofErr w:type="spellStart"/>
            <w:r w:rsidRPr="0038322F">
              <w:rPr>
                <w:rFonts w:eastAsia="Calibri" w:cstheme="minorHAnsi"/>
                <w:b/>
                <w:bCs/>
                <w:sz w:val="20"/>
                <w:szCs w:val="20"/>
              </w:rPr>
              <w:t>zb</w:t>
            </w:r>
            <w:proofErr w:type="spellEnd"/>
            <w:r w:rsidRPr="0038322F">
              <w:rPr>
                <w:rFonts w:eastAsia="Calibri" w:cstheme="minorHAnsi"/>
                <w:b/>
                <w:bCs/>
                <w:sz w:val="20"/>
                <w:szCs w:val="20"/>
              </w:rPr>
              <w:t xml:space="preserve"> w zakresie dodawanego art. 7 ust. 8i</w:t>
            </w:r>
            <w:r w:rsidRPr="0038322F">
              <w:rPr>
                <w:rFonts w:eastAsia="Calibri" w:cstheme="minorHAnsi"/>
                <w:b/>
                <w:bCs/>
                <w:sz w:val="20"/>
                <w:szCs w:val="20"/>
                <w:vertAlign w:val="superscript"/>
              </w:rPr>
              <w:t>2</w:t>
            </w:r>
            <w:r w:rsidRPr="0038322F">
              <w:rPr>
                <w:rFonts w:eastAsia="Calibri" w:cstheme="minorHAnsi"/>
                <w:b/>
                <w:bCs/>
                <w:sz w:val="20"/>
                <w:szCs w:val="20"/>
              </w:rPr>
              <w:t>, który wchodzi w życie w terminie 12 miesięcy od dnia ogłoszenia.</w:t>
            </w:r>
          </w:p>
          <w:p w14:paraId="55FE2246" w14:textId="77777777" w:rsidR="00E74FE3" w:rsidRPr="0038322F" w:rsidRDefault="00E74FE3" w:rsidP="00E74FE3">
            <w:pPr>
              <w:jc w:val="both"/>
              <w:rPr>
                <w:rFonts w:eastAsia="Lato" w:cstheme="minorHAnsi"/>
                <w:sz w:val="20"/>
                <w:szCs w:val="20"/>
              </w:rPr>
            </w:pPr>
          </w:p>
        </w:tc>
        <w:tc>
          <w:tcPr>
            <w:tcW w:w="1286" w:type="dxa"/>
            <w:shd w:val="clear" w:color="auto" w:fill="E2EFD9" w:themeFill="accent6" w:themeFillTint="33"/>
          </w:tcPr>
          <w:p w14:paraId="1175B970" w14:textId="77777777" w:rsidR="00E74FE3" w:rsidRPr="0038322F" w:rsidRDefault="00E74FE3" w:rsidP="00E74FE3">
            <w:pPr>
              <w:jc w:val="both"/>
              <w:rPr>
                <w:rFonts w:cstheme="minorHAnsi"/>
                <w:sz w:val="20"/>
                <w:szCs w:val="20"/>
              </w:rPr>
            </w:pPr>
          </w:p>
        </w:tc>
      </w:tr>
      <w:tr w:rsidR="003046A8" w:rsidRPr="0038322F" w14:paraId="1E55F525" w14:textId="77777777" w:rsidTr="00862BFF">
        <w:trPr>
          <w:trHeight w:val="300"/>
        </w:trPr>
        <w:tc>
          <w:tcPr>
            <w:tcW w:w="846" w:type="dxa"/>
          </w:tcPr>
          <w:p w14:paraId="1099E7BD" w14:textId="77777777" w:rsidR="003046A8" w:rsidRPr="0038322F" w:rsidRDefault="003046A8" w:rsidP="003046A8">
            <w:pPr>
              <w:pStyle w:val="Akapitzlist"/>
              <w:numPr>
                <w:ilvl w:val="0"/>
                <w:numId w:val="15"/>
              </w:numPr>
              <w:ind w:left="313"/>
              <w:jc w:val="center"/>
              <w:rPr>
                <w:rFonts w:cstheme="minorHAnsi"/>
                <w:sz w:val="20"/>
                <w:szCs w:val="20"/>
              </w:rPr>
            </w:pPr>
          </w:p>
        </w:tc>
        <w:tc>
          <w:tcPr>
            <w:tcW w:w="1843" w:type="dxa"/>
          </w:tcPr>
          <w:p w14:paraId="7B5BFC86" w14:textId="3244349A" w:rsidR="003046A8" w:rsidRPr="0038322F" w:rsidRDefault="003046A8" w:rsidP="003046A8">
            <w:pPr>
              <w:jc w:val="center"/>
              <w:rPr>
                <w:rFonts w:cstheme="minorHAnsi"/>
                <w:sz w:val="20"/>
                <w:szCs w:val="20"/>
              </w:rPr>
            </w:pPr>
            <w:r w:rsidRPr="0038322F">
              <w:rPr>
                <w:rFonts w:cstheme="minorHAnsi"/>
                <w:sz w:val="20"/>
                <w:szCs w:val="20"/>
              </w:rPr>
              <w:t xml:space="preserve">Art. 39 ust. 4a-4b ustawy z dnia 20 lutego 2015 r. o odnawialnych źródłach energii </w:t>
            </w:r>
            <w:r w:rsidRPr="0038322F">
              <w:rPr>
                <w:rFonts w:cstheme="minorHAnsi"/>
                <w:b/>
                <w:bCs/>
                <w:sz w:val="20"/>
                <w:szCs w:val="20"/>
              </w:rPr>
              <w:t>(nowy)</w:t>
            </w:r>
          </w:p>
        </w:tc>
        <w:tc>
          <w:tcPr>
            <w:tcW w:w="5670" w:type="dxa"/>
          </w:tcPr>
          <w:p w14:paraId="12F389BB" w14:textId="7DA2C545" w:rsidR="003046A8" w:rsidRPr="0038322F" w:rsidRDefault="003046A8" w:rsidP="003046A8">
            <w:pPr>
              <w:jc w:val="both"/>
              <w:rPr>
                <w:rFonts w:cstheme="minorHAnsi"/>
                <w:sz w:val="20"/>
                <w:szCs w:val="20"/>
              </w:rPr>
            </w:pPr>
            <w:r w:rsidRPr="0038322F">
              <w:rPr>
                <w:rFonts w:cstheme="minorHAnsi"/>
                <w:sz w:val="20"/>
                <w:szCs w:val="20"/>
              </w:rPr>
              <w:t xml:space="preserve">Poprawka ma na celu udostępnienie instalacjom odnawialnego źródła energii, które są dołączane w formule </w:t>
            </w:r>
            <w:proofErr w:type="spellStart"/>
            <w:r w:rsidRPr="0038322F">
              <w:rPr>
                <w:rFonts w:cstheme="minorHAnsi"/>
                <w:sz w:val="20"/>
                <w:szCs w:val="20"/>
              </w:rPr>
              <w:t>cable</w:t>
            </w:r>
            <w:proofErr w:type="spellEnd"/>
            <w:r w:rsidRPr="0038322F">
              <w:rPr>
                <w:rFonts w:cstheme="minorHAnsi"/>
                <w:sz w:val="20"/>
                <w:szCs w:val="20"/>
              </w:rPr>
              <w:t xml:space="preserve"> </w:t>
            </w:r>
            <w:proofErr w:type="spellStart"/>
            <w:r w:rsidRPr="0038322F">
              <w:rPr>
                <w:rFonts w:cstheme="minorHAnsi"/>
                <w:sz w:val="20"/>
                <w:szCs w:val="20"/>
              </w:rPr>
              <w:t>pooling</w:t>
            </w:r>
            <w:proofErr w:type="spellEnd"/>
            <w:r w:rsidRPr="0038322F">
              <w:rPr>
                <w:rFonts w:cstheme="minorHAnsi"/>
                <w:sz w:val="20"/>
                <w:szCs w:val="20"/>
              </w:rPr>
              <w:t xml:space="preserve"> możliwości korzystania z systemów wsparcia. Obowiązujące wymogi dotyczące opomiarowania instalacji w sposób jednoznaczny pozwalają na określenie wolumenu energii elektrycznej wyprodukowanej we wszystkich przyłączonych w danym miejscu przyłączenia. W zakresie systemów wsparcia, ze względu na regulacje związane z pomocą publiczną, konieczne jest wprowadzenie przepisu, który dostosowuje ostateczną cenę wynikającą z oferty w aukcji o uniknięte koszty ponoszone na działania związane z majątkiem sieciowym. </w:t>
            </w:r>
          </w:p>
        </w:tc>
        <w:tc>
          <w:tcPr>
            <w:tcW w:w="4394" w:type="dxa"/>
          </w:tcPr>
          <w:p w14:paraId="6876D349" w14:textId="77777777" w:rsidR="003046A8" w:rsidRPr="0038322F" w:rsidRDefault="003046A8" w:rsidP="003046A8">
            <w:pPr>
              <w:jc w:val="both"/>
              <w:rPr>
                <w:rFonts w:cstheme="minorHAnsi"/>
                <w:b/>
                <w:bCs/>
                <w:i/>
                <w:iCs/>
                <w:sz w:val="20"/>
                <w:szCs w:val="20"/>
              </w:rPr>
            </w:pPr>
            <w:r w:rsidRPr="0038322F">
              <w:rPr>
                <w:rFonts w:cstheme="minorHAnsi"/>
                <w:b/>
                <w:bCs/>
                <w:i/>
                <w:iCs/>
                <w:sz w:val="20"/>
                <w:szCs w:val="20"/>
              </w:rPr>
              <w:t>4a. W przypadku gdy przyłączenie kolejnej instalacji odnawialnego źródła energii odbywa się w trybie określonym w art. 7 ust. 1f ustawy z dnia 10 kwietnia 1997 r. - Prawo energetyczne, cenę, o której mowa w ust. 1 pomniejsza się o koszt budowy urządzeń lub modernizacji w miejscu przyłączenia do sieci elektroenergetycznej dystrybucyjnej lub przesyłowej, określony w warunkach przyłączenia lub umowie o przyłączenie do sieci danej instalacji odnawialnego źródła energii.</w:t>
            </w:r>
          </w:p>
          <w:p w14:paraId="23F797E3" w14:textId="31949507" w:rsidR="003046A8" w:rsidRPr="0038322F" w:rsidRDefault="003046A8" w:rsidP="003046A8">
            <w:pPr>
              <w:jc w:val="both"/>
              <w:rPr>
                <w:rFonts w:cstheme="minorHAnsi"/>
                <w:sz w:val="20"/>
                <w:szCs w:val="20"/>
              </w:rPr>
            </w:pPr>
            <w:r w:rsidRPr="0038322F">
              <w:rPr>
                <w:rFonts w:cstheme="minorHAnsi"/>
                <w:b/>
                <w:bCs/>
                <w:i/>
                <w:iCs/>
                <w:sz w:val="20"/>
                <w:szCs w:val="20"/>
              </w:rPr>
              <w:t>4b. Pomniejszenie ceny, o którym mowa w ust. 4a, dokonywane jest proporcjonalnie przez cały okres, o którym mowa w art. 92 ust. 6 i w odniesieniu do ilości energii elektrycznej, o której mowa w art. 79 ust. 3 pkt 3.</w:t>
            </w:r>
          </w:p>
        </w:tc>
        <w:tc>
          <w:tcPr>
            <w:tcW w:w="1286" w:type="dxa"/>
          </w:tcPr>
          <w:p w14:paraId="6C8AA7D8" w14:textId="77777777" w:rsidR="003046A8" w:rsidRPr="0038322F" w:rsidRDefault="003046A8" w:rsidP="003046A8">
            <w:pPr>
              <w:jc w:val="both"/>
              <w:rPr>
                <w:rFonts w:cstheme="minorHAnsi"/>
                <w:sz w:val="20"/>
                <w:szCs w:val="20"/>
              </w:rPr>
            </w:pPr>
          </w:p>
        </w:tc>
      </w:tr>
      <w:tr w:rsidR="003046A8" w:rsidRPr="0038322F" w14:paraId="67AD2449" w14:textId="77777777" w:rsidTr="00862BFF">
        <w:trPr>
          <w:trHeight w:val="300"/>
        </w:trPr>
        <w:tc>
          <w:tcPr>
            <w:tcW w:w="846" w:type="dxa"/>
          </w:tcPr>
          <w:p w14:paraId="2CA252A1" w14:textId="77777777" w:rsidR="003046A8" w:rsidRPr="0038322F" w:rsidRDefault="003046A8" w:rsidP="003046A8">
            <w:pPr>
              <w:pStyle w:val="Akapitzlist"/>
              <w:numPr>
                <w:ilvl w:val="0"/>
                <w:numId w:val="15"/>
              </w:numPr>
              <w:ind w:left="313"/>
              <w:jc w:val="center"/>
              <w:rPr>
                <w:rFonts w:cstheme="minorHAnsi"/>
                <w:sz w:val="20"/>
                <w:szCs w:val="20"/>
              </w:rPr>
            </w:pPr>
          </w:p>
        </w:tc>
        <w:tc>
          <w:tcPr>
            <w:tcW w:w="1843" w:type="dxa"/>
          </w:tcPr>
          <w:p w14:paraId="6A48B7BD" w14:textId="2C25EA89" w:rsidR="003046A8" w:rsidRPr="0038322F" w:rsidRDefault="003046A8" w:rsidP="003046A8">
            <w:pPr>
              <w:jc w:val="center"/>
              <w:rPr>
                <w:rFonts w:cstheme="minorHAnsi"/>
                <w:sz w:val="20"/>
                <w:szCs w:val="20"/>
              </w:rPr>
            </w:pPr>
            <w:r w:rsidRPr="0038322F">
              <w:rPr>
                <w:rFonts w:cstheme="minorHAnsi"/>
                <w:sz w:val="20"/>
                <w:szCs w:val="20"/>
              </w:rPr>
              <w:t xml:space="preserve">Art. 39a ust. 4a-4b ustawy z dnia 20 lutego 2015 r. o odnawialnych źródłach energii </w:t>
            </w:r>
            <w:r w:rsidRPr="0038322F">
              <w:rPr>
                <w:rFonts w:cstheme="minorHAnsi"/>
                <w:b/>
                <w:bCs/>
                <w:sz w:val="20"/>
                <w:szCs w:val="20"/>
              </w:rPr>
              <w:t>(nowy)</w:t>
            </w:r>
          </w:p>
        </w:tc>
        <w:tc>
          <w:tcPr>
            <w:tcW w:w="5670" w:type="dxa"/>
          </w:tcPr>
          <w:p w14:paraId="02BDB1EB" w14:textId="45A35E10" w:rsidR="003046A8" w:rsidRPr="0038322F" w:rsidRDefault="003046A8" w:rsidP="003046A8">
            <w:pPr>
              <w:jc w:val="both"/>
              <w:rPr>
                <w:rFonts w:cstheme="minorHAnsi"/>
                <w:sz w:val="20"/>
                <w:szCs w:val="20"/>
              </w:rPr>
            </w:pPr>
            <w:r w:rsidRPr="0038322F">
              <w:rPr>
                <w:rFonts w:cstheme="minorHAnsi"/>
                <w:sz w:val="20"/>
                <w:szCs w:val="20"/>
              </w:rPr>
              <w:t xml:space="preserve">Poprawka ma na celu udostępnienie instalacjom odnawialnego źródła energii, które są dołączane w formule </w:t>
            </w:r>
            <w:proofErr w:type="spellStart"/>
            <w:r w:rsidRPr="0038322F">
              <w:rPr>
                <w:rFonts w:cstheme="minorHAnsi"/>
                <w:sz w:val="20"/>
                <w:szCs w:val="20"/>
              </w:rPr>
              <w:t>cable</w:t>
            </w:r>
            <w:proofErr w:type="spellEnd"/>
            <w:r w:rsidRPr="0038322F">
              <w:rPr>
                <w:rFonts w:cstheme="minorHAnsi"/>
                <w:sz w:val="20"/>
                <w:szCs w:val="20"/>
              </w:rPr>
              <w:t xml:space="preserve"> </w:t>
            </w:r>
            <w:proofErr w:type="spellStart"/>
            <w:r w:rsidRPr="0038322F">
              <w:rPr>
                <w:rFonts w:cstheme="minorHAnsi"/>
                <w:sz w:val="20"/>
                <w:szCs w:val="20"/>
              </w:rPr>
              <w:t>pooling</w:t>
            </w:r>
            <w:proofErr w:type="spellEnd"/>
            <w:r w:rsidRPr="0038322F">
              <w:rPr>
                <w:rFonts w:cstheme="minorHAnsi"/>
                <w:sz w:val="20"/>
                <w:szCs w:val="20"/>
              </w:rPr>
              <w:t xml:space="preserve"> możliwości korzystania z systemów wsparcia. Obowiązujące wymogi dotyczące opomiarowania instalacji w sposób jednoznaczny pozwalają na określenie wolumenu energii elektrycznej wyprodukowanej we wszystkich przyłączonych w danym miejscu przyłączenia. W zakresie systemów wsparcia, ze względu na regulacje związane z pomocą publiczną, konieczne jest wprowadzenie przepisu, który dostosowuje ostateczną cenę w systemie taryf </w:t>
            </w:r>
            <w:proofErr w:type="spellStart"/>
            <w:r w:rsidRPr="0038322F">
              <w:rPr>
                <w:rFonts w:cstheme="minorHAnsi"/>
                <w:sz w:val="20"/>
                <w:szCs w:val="20"/>
              </w:rPr>
              <w:t>FiP</w:t>
            </w:r>
            <w:proofErr w:type="spellEnd"/>
            <w:r w:rsidRPr="0038322F">
              <w:rPr>
                <w:rFonts w:cstheme="minorHAnsi"/>
                <w:sz w:val="20"/>
                <w:szCs w:val="20"/>
              </w:rPr>
              <w:t>/</w:t>
            </w:r>
            <w:proofErr w:type="spellStart"/>
            <w:r w:rsidRPr="0038322F">
              <w:rPr>
                <w:rFonts w:cstheme="minorHAnsi"/>
                <w:sz w:val="20"/>
                <w:szCs w:val="20"/>
              </w:rPr>
              <w:t>FiT</w:t>
            </w:r>
            <w:proofErr w:type="spellEnd"/>
            <w:r w:rsidRPr="0038322F">
              <w:rPr>
                <w:rFonts w:cstheme="minorHAnsi"/>
                <w:sz w:val="20"/>
                <w:szCs w:val="20"/>
              </w:rPr>
              <w:t xml:space="preserve"> o uniknięte koszty ponoszone na działania związane z majątkiem sieciowym.</w:t>
            </w:r>
          </w:p>
        </w:tc>
        <w:tc>
          <w:tcPr>
            <w:tcW w:w="4394" w:type="dxa"/>
          </w:tcPr>
          <w:p w14:paraId="275C72EA" w14:textId="77777777" w:rsidR="003046A8" w:rsidRPr="0038322F" w:rsidRDefault="003046A8" w:rsidP="003046A8">
            <w:pPr>
              <w:jc w:val="both"/>
              <w:rPr>
                <w:rFonts w:cstheme="minorHAnsi"/>
                <w:b/>
                <w:bCs/>
                <w:i/>
                <w:iCs/>
                <w:sz w:val="20"/>
                <w:szCs w:val="20"/>
              </w:rPr>
            </w:pPr>
            <w:r w:rsidRPr="0038322F">
              <w:rPr>
                <w:rFonts w:cstheme="minorHAnsi"/>
                <w:b/>
                <w:bCs/>
                <w:i/>
                <w:iCs/>
                <w:sz w:val="20"/>
                <w:szCs w:val="20"/>
              </w:rPr>
              <w:t>4a. W przypadku gdy przyłączenie kolejnej instalacji odnawialnego źródła energii odbywa się w trybie określonym w art. 7 ust. 1f ustawy z dnia 10 kwietnia 1997 r. - Prawo energetyczne, cenę, o której mowa w ust. 1 pomniejsza się o koszt budowy urządzeń lub modernizacji w miejscu przyłączenia do sieci elektroenergetycznej dystrybucyjnej lub przesyłowej, określony w warunkach przyłączenia lub umowie o przyłączenie do sieci danej instalacji odnawialnego źródła energii.</w:t>
            </w:r>
          </w:p>
          <w:p w14:paraId="425F3932" w14:textId="20B15274" w:rsidR="003046A8" w:rsidRPr="0038322F" w:rsidRDefault="003046A8" w:rsidP="003046A8">
            <w:pPr>
              <w:jc w:val="both"/>
              <w:rPr>
                <w:rFonts w:cstheme="minorHAnsi"/>
                <w:sz w:val="20"/>
                <w:szCs w:val="20"/>
              </w:rPr>
            </w:pPr>
            <w:r w:rsidRPr="0038322F">
              <w:rPr>
                <w:rFonts w:cstheme="minorHAnsi"/>
                <w:b/>
                <w:bCs/>
                <w:i/>
                <w:iCs/>
                <w:sz w:val="20"/>
                <w:szCs w:val="20"/>
              </w:rPr>
              <w:t>4b. Pomniejszenie ceny, o którym mowa w ust. 4a, dokonywane jest proporcjonalnie przez cały okres, o którym mowa w art. 70f i w odniesieniu do ilości energii elektrycznej, o której mowa w art. 70b ust. 3 pkt 2.</w:t>
            </w:r>
          </w:p>
        </w:tc>
        <w:tc>
          <w:tcPr>
            <w:tcW w:w="1286" w:type="dxa"/>
          </w:tcPr>
          <w:p w14:paraId="5A220F2D" w14:textId="77777777" w:rsidR="003046A8" w:rsidRPr="0038322F" w:rsidRDefault="003046A8" w:rsidP="003046A8">
            <w:pPr>
              <w:jc w:val="both"/>
              <w:rPr>
                <w:rFonts w:cstheme="minorHAnsi"/>
                <w:sz w:val="20"/>
                <w:szCs w:val="20"/>
              </w:rPr>
            </w:pPr>
          </w:p>
        </w:tc>
      </w:tr>
      <w:tr w:rsidR="003046A8" w:rsidRPr="0038322F" w14:paraId="6FF02A92" w14:textId="77777777" w:rsidTr="00862BFF">
        <w:trPr>
          <w:trHeight w:val="300"/>
        </w:trPr>
        <w:tc>
          <w:tcPr>
            <w:tcW w:w="846" w:type="dxa"/>
          </w:tcPr>
          <w:p w14:paraId="04E793AE" w14:textId="77777777" w:rsidR="003046A8" w:rsidRPr="0038322F" w:rsidRDefault="003046A8" w:rsidP="003046A8">
            <w:pPr>
              <w:pStyle w:val="Akapitzlist"/>
              <w:numPr>
                <w:ilvl w:val="0"/>
                <w:numId w:val="15"/>
              </w:numPr>
              <w:ind w:left="313"/>
              <w:jc w:val="center"/>
              <w:rPr>
                <w:rFonts w:cstheme="minorHAnsi"/>
                <w:sz w:val="20"/>
                <w:szCs w:val="20"/>
              </w:rPr>
            </w:pPr>
          </w:p>
        </w:tc>
        <w:tc>
          <w:tcPr>
            <w:tcW w:w="1843" w:type="dxa"/>
          </w:tcPr>
          <w:p w14:paraId="43193195" w14:textId="4DB4DEA4" w:rsidR="003046A8" w:rsidRPr="0038322F" w:rsidRDefault="003046A8" w:rsidP="003046A8">
            <w:pPr>
              <w:jc w:val="center"/>
              <w:rPr>
                <w:rFonts w:cstheme="minorHAnsi"/>
                <w:sz w:val="20"/>
                <w:szCs w:val="20"/>
              </w:rPr>
            </w:pPr>
            <w:r w:rsidRPr="0038322F">
              <w:rPr>
                <w:rFonts w:cstheme="minorHAnsi"/>
                <w:sz w:val="20"/>
                <w:szCs w:val="20"/>
              </w:rPr>
              <w:t>Art. 70a ust. 2</w:t>
            </w:r>
            <w:r w:rsidRPr="0038322F">
              <w:rPr>
                <w:rFonts w:cstheme="minorHAnsi"/>
                <w:sz w:val="20"/>
                <w:szCs w:val="20"/>
                <w:vertAlign w:val="superscript"/>
              </w:rPr>
              <w:t>1</w:t>
            </w:r>
            <w:r w:rsidRPr="0038322F">
              <w:rPr>
                <w:rFonts w:cstheme="minorHAnsi"/>
                <w:sz w:val="20"/>
                <w:szCs w:val="20"/>
              </w:rPr>
              <w:t xml:space="preserve"> ustawy z dnia 20 lutego 2015 r. o odnawialnych źródłach energii </w:t>
            </w:r>
            <w:r w:rsidRPr="0038322F">
              <w:rPr>
                <w:rFonts w:cstheme="minorHAnsi"/>
                <w:b/>
                <w:bCs/>
                <w:sz w:val="20"/>
                <w:szCs w:val="20"/>
              </w:rPr>
              <w:t>(nowy)</w:t>
            </w:r>
          </w:p>
        </w:tc>
        <w:tc>
          <w:tcPr>
            <w:tcW w:w="5670" w:type="dxa"/>
          </w:tcPr>
          <w:p w14:paraId="389003E3" w14:textId="2ECE23C1" w:rsidR="003046A8" w:rsidRPr="0038322F" w:rsidRDefault="003046A8" w:rsidP="003046A8">
            <w:pPr>
              <w:jc w:val="both"/>
              <w:rPr>
                <w:rFonts w:cstheme="minorHAnsi"/>
                <w:sz w:val="20"/>
                <w:szCs w:val="20"/>
              </w:rPr>
            </w:pPr>
            <w:r w:rsidRPr="0038322F">
              <w:rPr>
                <w:rFonts w:cstheme="minorHAnsi"/>
                <w:sz w:val="20"/>
                <w:szCs w:val="20"/>
              </w:rPr>
              <w:t xml:space="preserve">Poprawka ma na celu udostępnienie instalacjom odnawialnego źródła energii, które są dołączane w formule </w:t>
            </w:r>
            <w:proofErr w:type="spellStart"/>
            <w:r w:rsidRPr="0038322F">
              <w:rPr>
                <w:rFonts w:cstheme="minorHAnsi"/>
                <w:sz w:val="20"/>
                <w:szCs w:val="20"/>
              </w:rPr>
              <w:t>cable</w:t>
            </w:r>
            <w:proofErr w:type="spellEnd"/>
            <w:r w:rsidRPr="0038322F">
              <w:rPr>
                <w:rFonts w:cstheme="minorHAnsi"/>
                <w:sz w:val="20"/>
                <w:szCs w:val="20"/>
              </w:rPr>
              <w:t xml:space="preserve"> </w:t>
            </w:r>
            <w:proofErr w:type="spellStart"/>
            <w:r w:rsidRPr="0038322F">
              <w:rPr>
                <w:rFonts w:cstheme="minorHAnsi"/>
                <w:sz w:val="20"/>
                <w:szCs w:val="20"/>
              </w:rPr>
              <w:t>pooling</w:t>
            </w:r>
            <w:proofErr w:type="spellEnd"/>
            <w:r w:rsidRPr="0038322F">
              <w:rPr>
                <w:rFonts w:cstheme="minorHAnsi"/>
                <w:sz w:val="20"/>
                <w:szCs w:val="20"/>
              </w:rPr>
              <w:t xml:space="preserve"> możliwości korzystania z systemów wsparcia. Obowiązujące wymogi dotyczące opomiarowania instalacji w sposób jednoznaczny pozwalają na określenie wolumenu energii elektrycznej wyprodukowanej we wszystkich przyłączonych w danym miejscu przyłączenia.</w:t>
            </w:r>
          </w:p>
        </w:tc>
        <w:tc>
          <w:tcPr>
            <w:tcW w:w="4394" w:type="dxa"/>
          </w:tcPr>
          <w:p w14:paraId="07F1DE61" w14:textId="353E655A" w:rsidR="003046A8" w:rsidRPr="0038322F" w:rsidRDefault="003046A8" w:rsidP="003046A8">
            <w:pPr>
              <w:jc w:val="both"/>
              <w:rPr>
                <w:rFonts w:cstheme="minorHAnsi"/>
                <w:sz w:val="20"/>
                <w:szCs w:val="20"/>
              </w:rPr>
            </w:pPr>
            <w:r w:rsidRPr="0038322F">
              <w:rPr>
                <w:rFonts w:cstheme="minorHAnsi"/>
                <w:sz w:val="20"/>
                <w:szCs w:val="20"/>
              </w:rPr>
              <w:t>2</w:t>
            </w:r>
            <w:r w:rsidRPr="0038322F">
              <w:rPr>
                <w:rFonts w:cstheme="minorHAnsi"/>
                <w:sz w:val="20"/>
                <w:szCs w:val="20"/>
                <w:vertAlign w:val="superscript"/>
              </w:rPr>
              <w:t>1</w:t>
            </w:r>
            <w:r w:rsidRPr="0038322F">
              <w:rPr>
                <w:rFonts w:cstheme="minorHAnsi"/>
                <w:sz w:val="20"/>
                <w:szCs w:val="20"/>
              </w:rPr>
              <w:t>.  Wymogu posiadania wyodrębnionego zespołu urządzeń służących do wyprowadzania mocy wyłącznie z danej instalacji do sieci elektroenergetycznej dystrybucyjnej, o którym mowa w ust. 1 i 2, nie stosuje się, w przypadku gdy wytwórca energii elektrycznej z odnawialnych źródeł energii w tej instalacji odnawialnego źródła energii, otrzymał dla tej instalacji zaświadczenie, o którym mowa w art. 70b ust. 8, a w miejscu przyłączenia tej instalacji planowane jest przyłączenie innej instalacji odnawialnego źródła energii zgodnie z art. 7 ust. 1f ustawy - Prawo energetyczne</w:t>
            </w:r>
            <w:r w:rsidRPr="0038322F">
              <w:rPr>
                <w:rFonts w:cstheme="minorHAnsi"/>
                <w:b/>
                <w:bCs/>
                <w:strike/>
                <w:sz w:val="20"/>
                <w:szCs w:val="20"/>
              </w:rPr>
              <w:t>, pod warunkiem, że wytwórcy energii elektrycznej w instalacji planowanej do przyłączenia nie przysługuje świadectwo pochodzenia, o którym mowa w art. 44 ust. 1, albo nie otrzymał zaświadczenia, o którym mowa w art. 70b ust. 8, albo potwierdzenia przyjęcia deklaracji, o którym mowa w art. 71 ust. 4, albo nie posiada ważnego zaświadczenia o dopuszczeniu do aukcji, o którym mowa w art. 76 ust. 1, albo nie wygrał aukcji, o której mowa w art. 72 ust. 1</w:t>
            </w:r>
            <w:r w:rsidRPr="0038322F">
              <w:rPr>
                <w:rFonts w:cstheme="minorHAnsi"/>
                <w:sz w:val="20"/>
                <w:szCs w:val="20"/>
              </w:rPr>
              <w:t>.</w:t>
            </w:r>
          </w:p>
        </w:tc>
        <w:tc>
          <w:tcPr>
            <w:tcW w:w="1286" w:type="dxa"/>
          </w:tcPr>
          <w:p w14:paraId="64ECEA94" w14:textId="77777777" w:rsidR="003046A8" w:rsidRPr="0038322F" w:rsidRDefault="003046A8" w:rsidP="003046A8">
            <w:pPr>
              <w:jc w:val="both"/>
              <w:rPr>
                <w:rFonts w:cstheme="minorHAnsi"/>
                <w:sz w:val="20"/>
                <w:szCs w:val="20"/>
              </w:rPr>
            </w:pPr>
          </w:p>
        </w:tc>
      </w:tr>
      <w:tr w:rsidR="003046A8" w:rsidRPr="0038322F" w14:paraId="69F54A19" w14:textId="77777777" w:rsidTr="00862BFF">
        <w:trPr>
          <w:trHeight w:val="300"/>
        </w:trPr>
        <w:tc>
          <w:tcPr>
            <w:tcW w:w="846" w:type="dxa"/>
          </w:tcPr>
          <w:p w14:paraId="3FD12B49" w14:textId="77777777" w:rsidR="003046A8" w:rsidRPr="0038322F" w:rsidRDefault="003046A8" w:rsidP="003046A8">
            <w:pPr>
              <w:pStyle w:val="Akapitzlist"/>
              <w:numPr>
                <w:ilvl w:val="0"/>
                <w:numId w:val="15"/>
              </w:numPr>
              <w:ind w:left="313"/>
              <w:jc w:val="center"/>
              <w:rPr>
                <w:rFonts w:cstheme="minorHAnsi"/>
                <w:sz w:val="20"/>
                <w:szCs w:val="20"/>
              </w:rPr>
            </w:pPr>
          </w:p>
        </w:tc>
        <w:tc>
          <w:tcPr>
            <w:tcW w:w="1843" w:type="dxa"/>
          </w:tcPr>
          <w:p w14:paraId="56765F78" w14:textId="35C2F70D" w:rsidR="003046A8" w:rsidRPr="0038322F" w:rsidRDefault="003046A8" w:rsidP="003046A8">
            <w:pPr>
              <w:jc w:val="center"/>
              <w:rPr>
                <w:rFonts w:cstheme="minorHAnsi"/>
                <w:sz w:val="20"/>
                <w:szCs w:val="20"/>
              </w:rPr>
            </w:pPr>
            <w:r w:rsidRPr="0038322F">
              <w:rPr>
                <w:rFonts w:cstheme="minorHAnsi"/>
                <w:sz w:val="20"/>
                <w:szCs w:val="20"/>
              </w:rPr>
              <w:t xml:space="preserve">Art. 70b ust. 10e ustawy z dnia 20 lutego 2015 r. o odnawialnych źródłach energii </w:t>
            </w:r>
            <w:r w:rsidRPr="0038322F">
              <w:rPr>
                <w:rFonts w:cstheme="minorHAnsi"/>
                <w:b/>
                <w:bCs/>
                <w:sz w:val="20"/>
                <w:szCs w:val="20"/>
              </w:rPr>
              <w:t>(nowy)</w:t>
            </w:r>
          </w:p>
        </w:tc>
        <w:tc>
          <w:tcPr>
            <w:tcW w:w="5670" w:type="dxa"/>
          </w:tcPr>
          <w:p w14:paraId="1639512B" w14:textId="138C80E5" w:rsidR="003046A8" w:rsidRPr="0038322F" w:rsidRDefault="003046A8" w:rsidP="003046A8">
            <w:pPr>
              <w:jc w:val="both"/>
              <w:rPr>
                <w:rFonts w:cstheme="minorHAnsi"/>
                <w:sz w:val="20"/>
                <w:szCs w:val="20"/>
              </w:rPr>
            </w:pPr>
            <w:r w:rsidRPr="0038322F">
              <w:rPr>
                <w:rFonts w:cstheme="minorHAnsi"/>
                <w:sz w:val="20"/>
                <w:szCs w:val="20"/>
              </w:rPr>
              <w:t xml:space="preserve">Poprawka ma na celu udostępnienie instalacjom odnawialnego źródła energii, które są dołączane w formule </w:t>
            </w:r>
            <w:proofErr w:type="spellStart"/>
            <w:r w:rsidRPr="0038322F">
              <w:rPr>
                <w:rFonts w:cstheme="minorHAnsi"/>
                <w:sz w:val="20"/>
                <w:szCs w:val="20"/>
              </w:rPr>
              <w:t>cable</w:t>
            </w:r>
            <w:proofErr w:type="spellEnd"/>
            <w:r w:rsidRPr="0038322F">
              <w:rPr>
                <w:rFonts w:cstheme="minorHAnsi"/>
                <w:sz w:val="20"/>
                <w:szCs w:val="20"/>
              </w:rPr>
              <w:t xml:space="preserve"> </w:t>
            </w:r>
            <w:proofErr w:type="spellStart"/>
            <w:r w:rsidRPr="0038322F">
              <w:rPr>
                <w:rFonts w:cstheme="minorHAnsi"/>
                <w:sz w:val="20"/>
                <w:szCs w:val="20"/>
              </w:rPr>
              <w:t>pooling</w:t>
            </w:r>
            <w:proofErr w:type="spellEnd"/>
            <w:r w:rsidRPr="0038322F">
              <w:rPr>
                <w:rFonts w:cstheme="minorHAnsi"/>
                <w:sz w:val="20"/>
                <w:szCs w:val="20"/>
              </w:rPr>
              <w:t xml:space="preserve"> możliwości korzystania z systemów wsparcia. Obowiązujące wymogi dotyczące opomiarowania instalacji w sposób jednoznaczny pozwalają na określenie wolumenu energii elektrycznej wyprodukowanej we wszystkich przyłączonych w danym miejscu przyłączenia. Zniesienie wymogu dotyczącego przyłączenia instalacji objętej systemem wsparcia jako pierwsze w większym stopniu wpłynie korzystnie na zainteresowaniem udziałem nowych instalacji OZE w systemie taryf </w:t>
            </w:r>
            <w:proofErr w:type="spellStart"/>
            <w:r w:rsidRPr="0038322F">
              <w:rPr>
                <w:rFonts w:cstheme="minorHAnsi"/>
                <w:sz w:val="20"/>
                <w:szCs w:val="20"/>
              </w:rPr>
              <w:t>FiT</w:t>
            </w:r>
            <w:proofErr w:type="spellEnd"/>
            <w:r w:rsidRPr="0038322F">
              <w:rPr>
                <w:rFonts w:cstheme="minorHAnsi"/>
                <w:sz w:val="20"/>
                <w:szCs w:val="20"/>
              </w:rPr>
              <w:t>/</w:t>
            </w:r>
            <w:proofErr w:type="spellStart"/>
            <w:r w:rsidRPr="0038322F">
              <w:rPr>
                <w:rFonts w:cstheme="minorHAnsi"/>
                <w:sz w:val="20"/>
                <w:szCs w:val="20"/>
              </w:rPr>
              <w:t>FiP</w:t>
            </w:r>
            <w:proofErr w:type="spellEnd"/>
            <w:r w:rsidRPr="0038322F">
              <w:rPr>
                <w:rFonts w:cstheme="minorHAnsi"/>
                <w:sz w:val="20"/>
                <w:szCs w:val="20"/>
              </w:rPr>
              <w:t>, co jeszcze bardziej zwiększy atrakcyjność tego instrumentu wsparcia.</w:t>
            </w:r>
          </w:p>
        </w:tc>
        <w:tc>
          <w:tcPr>
            <w:tcW w:w="4394" w:type="dxa"/>
          </w:tcPr>
          <w:p w14:paraId="2FEB988B" w14:textId="10399C7F" w:rsidR="003046A8" w:rsidRPr="0038322F" w:rsidRDefault="003046A8" w:rsidP="003046A8">
            <w:pPr>
              <w:jc w:val="both"/>
              <w:rPr>
                <w:rFonts w:cstheme="minorHAnsi"/>
                <w:sz w:val="20"/>
                <w:szCs w:val="20"/>
              </w:rPr>
            </w:pPr>
            <w:r w:rsidRPr="0038322F">
              <w:rPr>
                <w:rFonts w:cstheme="minorHAnsi"/>
                <w:sz w:val="20"/>
                <w:szCs w:val="20"/>
              </w:rPr>
              <w:t xml:space="preserve">10e. W przypadku gdy w miejscu przyłączania instalacji odnawialnego źródła energii do sieci została przyłączona kolejna instalacja odnawialnego źródła energii zgodnie z art. 7 ust. 1f ustawy - Prawo energetyczne, wytwórca, który uzyskał zaświadczenie, o którym mowa w ust. 8, w terminie 14 dni od dnia przyłączenia tej instalacji odnawialnego źródła energii przekazuje Prezesowi URE oryginał albo poświadczoną kopię nowej umowy przyłączeniowej, oraz aktualny schemat wszystkich instalacji odnawialnego źródła energii przyłączonych w tym miejscu przyłączenia, ze wskazaniem urządzeń służących do wytwarzania energii elektrycznej oraz urządzeń służących do wyprowadzenia mocy wchodzących w skład tych instalacji przyłączonych w miejscu przyłączenia, z oznaczeniem lokalizacji urządzeń pomiarowo-rozliczeniowych oraz miejsca przyłączenia tych instalacji do sieci elektroenergetycznej, naniesionych na mapę poglądową uwzględniającą numery ewidencyjne działek i obrębów. </w:t>
            </w:r>
            <w:r w:rsidRPr="0038322F">
              <w:rPr>
                <w:rFonts w:cstheme="minorHAnsi"/>
                <w:b/>
                <w:bCs/>
                <w:strike/>
                <w:sz w:val="20"/>
                <w:szCs w:val="20"/>
              </w:rPr>
              <w:t>Przyłączenie kolejnej instalacji odnawialnego źródła energii zgodnie z art. 7 ust. 1f ustawy - Prawo energetyczne, jest możliwe po uprzednim przyłączeniu instalacji odnawialnego źródła energii do sieci, dla której wytwórca uzyskał zaświadczenie, o którym mowa w ust. 8.</w:t>
            </w:r>
          </w:p>
        </w:tc>
        <w:tc>
          <w:tcPr>
            <w:tcW w:w="1286" w:type="dxa"/>
          </w:tcPr>
          <w:p w14:paraId="7C47CFA1" w14:textId="77777777" w:rsidR="003046A8" w:rsidRPr="0038322F" w:rsidRDefault="003046A8" w:rsidP="003046A8">
            <w:pPr>
              <w:jc w:val="both"/>
              <w:rPr>
                <w:rFonts w:cstheme="minorHAnsi"/>
                <w:sz w:val="20"/>
                <w:szCs w:val="20"/>
              </w:rPr>
            </w:pPr>
          </w:p>
        </w:tc>
      </w:tr>
      <w:tr w:rsidR="003046A8" w:rsidRPr="0038322F" w14:paraId="35B082CE" w14:textId="77777777" w:rsidTr="00862BFF">
        <w:trPr>
          <w:trHeight w:val="300"/>
        </w:trPr>
        <w:tc>
          <w:tcPr>
            <w:tcW w:w="846" w:type="dxa"/>
          </w:tcPr>
          <w:p w14:paraId="2EA4BF77" w14:textId="77777777" w:rsidR="003046A8" w:rsidRPr="0038322F" w:rsidRDefault="003046A8" w:rsidP="003046A8">
            <w:pPr>
              <w:pStyle w:val="Akapitzlist"/>
              <w:numPr>
                <w:ilvl w:val="0"/>
                <w:numId w:val="15"/>
              </w:numPr>
              <w:ind w:left="313"/>
              <w:jc w:val="center"/>
              <w:rPr>
                <w:rFonts w:cstheme="minorHAnsi"/>
                <w:sz w:val="20"/>
                <w:szCs w:val="20"/>
              </w:rPr>
            </w:pPr>
          </w:p>
        </w:tc>
        <w:tc>
          <w:tcPr>
            <w:tcW w:w="1843" w:type="dxa"/>
          </w:tcPr>
          <w:p w14:paraId="01520962" w14:textId="0D357CAC" w:rsidR="003046A8" w:rsidRPr="0038322F" w:rsidRDefault="003046A8" w:rsidP="003046A8">
            <w:pPr>
              <w:jc w:val="center"/>
              <w:rPr>
                <w:rFonts w:cstheme="minorHAnsi"/>
                <w:sz w:val="20"/>
                <w:szCs w:val="20"/>
              </w:rPr>
            </w:pPr>
            <w:r w:rsidRPr="0038322F">
              <w:rPr>
                <w:rFonts w:cstheme="minorHAnsi"/>
                <w:sz w:val="20"/>
                <w:szCs w:val="20"/>
              </w:rPr>
              <w:t xml:space="preserve">Art. 71 ust. 1b ustawy z dnia 20 lutego 2015 r. o odnawialnych źródłach energii </w:t>
            </w:r>
            <w:r w:rsidRPr="0038322F">
              <w:rPr>
                <w:rFonts w:cstheme="minorHAnsi"/>
                <w:b/>
                <w:bCs/>
                <w:sz w:val="20"/>
                <w:szCs w:val="20"/>
              </w:rPr>
              <w:t>(nowy)</w:t>
            </w:r>
          </w:p>
        </w:tc>
        <w:tc>
          <w:tcPr>
            <w:tcW w:w="5670" w:type="dxa"/>
          </w:tcPr>
          <w:p w14:paraId="433E9D36" w14:textId="57FC7F5E" w:rsidR="003046A8" w:rsidRPr="0038322F" w:rsidRDefault="003046A8" w:rsidP="003046A8">
            <w:pPr>
              <w:jc w:val="both"/>
              <w:rPr>
                <w:rFonts w:cstheme="minorHAnsi"/>
                <w:sz w:val="20"/>
                <w:szCs w:val="20"/>
              </w:rPr>
            </w:pPr>
            <w:r w:rsidRPr="0038322F">
              <w:rPr>
                <w:rFonts w:cstheme="minorHAnsi"/>
                <w:sz w:val="20"/>
                <w:szCs w:val="20"/>
              </w:rPr>
              <w:t xml:space="preserve">Poprawka ma na celu udostępnienie instalacjom odnawialnego źródła energii, które są dołączane w formule </w:t>
            </w:r>
            <w:proofErr w:type="spellStart"/>
            <w:r w:rsidRPr="0038322F">
              <w:rPr>
                <w:rFonts w:cstheme="minorHAnsi"/>
                <w:sz w:val="20"/>
                <w:szCs w:val="20"/>
              </w:rPr>
              <w:t>cable</w:t>
            </w:r>
            <w:proofErr w:type="spellEnd"/>
            <w:r w:rsidRPr="0038322F">
              <w:rPr>
                <w:rFonts w:cstheme="minorHAnsi"/>
                <w:sz w:val="20"/>
                <w:szCs w:val="20"/>
              </w:rPr>
              <w:t xml:space="preserve"> </w:t>
            </w:r>
            <w:proofErr w:type="spellStart"/>
            <w:r w:rsidRPr="0038322F">
              <w:rPr>
                <w:rFonts w:cstheme="minorHAnsi"/>
                <w:sz w:val="20"/>
                <w:szCs w:val="20"/>
              </w:rPr>
              <w:t>pooling</w:t>
            </w:r>
            <w:proofErr w:type="spellEnd"/>
            <w:r w:rsidRPr="0038322F">
              <w:rPr>
                <w:rFonts w:cstheme="minorHAnsi"/>
                <w:sz w:val="20"/>
                <w:szCs w:val="20"/>
              </w:rPr>
              <w:t xml:space="preserve"> możliwości korzystania z systemów wsparcia. Obowiązujące wymogi dotyczące opomiarowania instalacji w sposób jednoznaczny pozwalają na określenie wolumenu energii elektrycznej wyprodukowanej we wszystkich przyłączonych w danym miejscu przyłączenia.</w:t>
            </w:r>
          </w:p>
        </w:tc>
        <w:tc>
          <w:tcPr>
            <w:tcW w:w="4394" w:type="dxa"/>
          </w:tcPr>
          <w:p w14:paraId="54220BB1" w14:textId="0CAF0B6C" w:rsidR="003046A8" w:rsidRPr="0038322F" w:rsidRDefault="003046A8" w:rsidP="003046A8">
            <w:pPr>
              <w:jc w:val="both"/>
              <w:rPr>
                <w:rFonts w:cstheme="minorHAnsi"/>
                <w:sz w:val="20"/>
                <w:szCs w:val="20"/>
              </w:rPr>
            </w:pPr>
            <w:r w:rsidRPr="0038322F">
              <w:rPr>
                <w:rFonts w:cstheme="minorHAnsi"/>
                <w:sz w:val="20"/>
                <w:szCs w:val="20"/>
              </w:rPr>
              <w:t>1b.  Wymogu posiadania wyodrębnionego zespołu urządzeń służących do wyprowadzania mocy, o którym mowa w ust. 1, nie stosuje się, w przypadku gdy wytwórca energii elektrycznej z odnawialnych źródeł energii w tej instalacji odnawialnego źródła energii, przyłączonej do sieci w danym miejscu przyłączenia złożył deklarację, o której mowa w ust. 1, lub otrzymał dla tej instalacji potwierdzenie przyjęcia deklaracji, o którym mowa w ust. 4, a w miejscu tego przyłączenia planowane jest przyłączenie innej instalacji odnawialnego źródła energii zgodnie z art. 7 ust. 1f ustawy - Prawo energetyczne</w:t>
            </w:r>
            <w:r w:rsidRPr="0038322F">
              <w:rPr>
                <w:rFonts w:cstheme="minorHAnsi"/>
                <w:b/>
                <w:bCs/>
                <w:i/>
                <w:iCs/>
                <w:strike/>
                <w:sz w:val="20"/>
                <w:szCs w:val="20"/>
              </w:rPr>
              <w:t xml:space="preserve">, </w:t>
            </w:r>
            <w:r w:rsidRPr="0038322F">
              <w:rPr>
                <w:rFonts w:cstheme="minorHAnsi"/>
                <w:b/>
                <w:bCs/>
                <w:strike/>
                <w:sz w:val="20"/>
                <w:szCs w:val="20"/>
              </w:rPr>
              <w:t>pod warunkiem, że wytwórcy energii elektrycznej w instalacji planowanej do przyłączenia nie przysługuje świadectwo pochodzenia, o którym mowa w art. 44 ust. 1, albo nie otrzymał zaświadczenia, o którym mowa w art. 70b ust. 8, albo potwierdzenia przyjęcia deklaracji, o którym mowa w ust. 4, albo nie posiada ważnego zaświadczenia o dopuszczeniu do aukcji, o którym mowa w art. 76 ust. 1, albo nie wygrał aukcji, o której mowa w art. 72 ust. 1</w:t>
            </w:r>
            <w:r w:rsidRPr="0038322F">
              <w:rPr>
                <w:rFonts w:cstheme="minorHAnsi"/>
                <w:sz w:val="20"/>
                <w:szCs w:val="20"/>
              </w:rPr>
              <w:t>.</w:t>
            </w:r>
          </w:p>
        </w:tc>
        <w:tc>
          <w:tcPr>
            <w:tcW w:w="1286" w:type="dxa"/>
          </w:tcPr>
          <w:p w14:paraId="392759E5" w14:textId="77777777" w:rsidR="003046A8" w:rsidRPr="0038322F" w:rsidRDefault="003046A8" w:rsidP="003046A8">
            <w:pPr>
              <w:jc w:val="both"/>
              <w:rPr>
                <w:rFonts w:cstheme="minorHAnsi"/>
                <w:sz w:val="20"/>
                <w:szCs w:val="20"/>
              </w:rPr>
            </w:pPr>
          </w:p>
        </w:tc>
      </w:tr>
      <w:tr w:rsidR="003046A8" w:rsidRPr="0038322F" w14:paraId="29E2D841" w14:textId="77777777" w:rsidTr="00862BFF">
        <w:trPr>
          <w:trHeight w:val="300"/>
        </w:trPr>
        <w:tc>
          <w:tcPr>
            <w:tcW w:w="846" w:type="dxa"/>
          </w:tcPr>
          <w:p w14:paraId="003DCEBF" w14:textId="77777777" w:rsidR="003046A8" w:rsidRPr="0038322F" w:rsidRDefault="003046A8" w:rsidP="003046A8">
            <w:pPr>
              <w:pStyle w:val="Akapitzlist"/>
              <w:numPr>
                <w:ilvl w:val="0"/>
                <w:numId w:val="15"/>
              </w:numPr>
              <w:ind w:left="313"/>
              <w:jc w:val="center"/>
              <w:rPr>
                <w:rFonts w:cstheme="minorHAnsi"/>
                <w:sz w:val="20"/>
                <w:szCs w:val="20"/>
              </w:rPr>
            </w:pPr>
          </w:p>
        </w:tc>
        <w:tc>
          <w:tcPr>
            <w:tcW w:w="1843" w:type="dxa"/>
          </w:tcPr>
          <w:p w14:paraId="5E312437" w14:textId="3255F2A5" w:rsidR="003046A8" w:rsidRPr="0038322F" w:rsidRDefault="003046A8" w:rsidP="003046A8">
            <w:pPr>
              <w:jc w:val="center"/>
              <w:rPr>
                <w:rFonts w:cstheme="minorHAnsi"/>
                <w:sz w:val="20"/>
                <w:szCs w:val="20"/>
              </w:rPr>
            </w:pPr>
            <w:r w:rsidRPr="0038322F">
              <w:rPr>
                <w:rFonts w:cstheme="minorHAnsi"/>
                <w:sz w:val="20"/>
                <w:szCs w:val="20"/>
              </w:rPr>
              <w:t xml:space="preserve">Art. 75 ust. 1b ustawy z dnia 20 lutego 2015 r. o odnawialnych źródłach energii </w:t>
            </w:r>
            <w:r w:rsidRPr="0038322F">
              <w:rPr>
                <w:rFonts w:cstheme="minorHAnsi"/>
                <w:b/>
                <w:bCs/>
                <w:sz w:val="20"/>
                <w:szCs w:val="20"/>
              </w:rPr>
              <w:t>(nowy)</w:t>
            </w:r>
          </w:p>
        </w:tc>
        <w:tc>
          <w:tcPr>
            <w:tcW w:w="5670" w:type="dxa"/>
          </w:tcPr>
          <w:p w14:paraId="1E473FFB" w14:textId="264A7790" w:rsidR="003046A8" w:rsidRPr="0038322F" w:rsidRDefault="003046A8" w:rsidP="003046A8">
            <w:pPr>
              <w:jc w:val="both"/>
              <w:rPr>
                <w:rFonts w:cstheme="minorHAnsi"/>
                <w:sz w:val="20"/>
                <w:szCs w:val="20"/>
              </w:rPr>
            </w:pPr>
            <w:r w:rsidRPr="0038322F">
              <w:rPr>
                <w:rFonts w:cstheme="minorHAnsi"/>
                <w:sz w:val="20"/>
                <w:szCs w:val="20"/>
              </w:rPr>
              <w:t xml:space="preserve">Poprawka ma na celu udostępnienie instalacjom odnawialnego źródła energii, które są dołączane w formule </w:t>
            </w:r>
            <w:proofErr w:type="spellStart"/>
            <w:r w:rsidRPr="0038322F">
              <w:rPr>
                <w:rFonts w:cstheme="minorHAnsi"/>
                <w:sz w:val="20"/>
                <w:szCs w:val="20"/>
              </w:rPr>
              <w:t>cable</w:t>
            </w:r>
            <w:proofErr w:type="spellEnd"/>
            <w:r w:rsidRPr="0038322F">
              <w:rPr>
                <w:rFonts w:cstheme="minorHAnsi"/>
                <w:sz w:val="20"/>
                <w:szCs w:val="20"/>
              </w:rPr>
              <w:t xml:space="preserve"> </w:t>
            </w:r>
            <w:proofErr w:type="spellStart"/>
            <w:r w:rsidRPr="0038322F">
              <w:rPr>
                <w:rFonts w:cstheme="minorHAnsi"/>
                <w:sz w:val="20"/>
                <w:szCs w:val="20"/>
              </w:rPr>
              <w:t>pooling</w:t>
            </w:r>
            <w:proofErr w:type="spellEnd"/>
            <w:r w:rsidRPr="0038322F">
              <w:rPr>
                <w:rFonts w:cstheme="minorHAnsi"/>
                <w:sz w:val="20"/>
                <w:szCs w:val="20"/>
              </w:rPr>
              <w:t xml:space="preserve"> możliwości korzystania z systemów wsparcia. Obowiązujące wymogi dotyczące opomiarowania instalacji w sposób jednoznaczny pozwalają na określenie wolumenu energii elektrycznej wyprodukowanej we wszystkich przyłączonych w danym miejscu przyłączenia.</w:t>
            </w:r>
          </w:p>
        </w:tc>
        <w:tc>
          <w:tcPr>
            <w:tcW w:w="4394" w:type="dxa"/>
          </w:tcPr>
          <w:p w14:paraId="2E6E348F" w14:textId="11D99E11" w:rsidR="003046A8" w:rsidRPr="0038322F" w:rsidRDefault="003046A8" w:rsidP="003046A8">
            <w:pPr>
              <w:jc w:val="both"/>
              <w:rPr>
                <w:rFonts w:cstheme="minorHAnsi"/>
                <w:sz w:val="20"/>
                <w:szCs w:val="20"/>
              </w:rPr>
            </w:pPr>
            <w:r w:rsidRPr="0038322F">
              <w:rPr>
                <w:rFonts w:cstheme="minorHAnsi"/>
                <w:sz w:val="20"/>
                <w:szCs w:val="20"/>
              </w:rPr>
              <w:t>1b. Wymogu posiadania wyodrębnionego zespołu urządzeń służących do wyprowadzania mocy, o którym mowa w ust. 1, nie stosuje się w przypadku gdy wytwórca energii elektrycznej z odnawialnych źródeł energii w instalacji odnawialnego źródła energii planowanej do przyłączenia do sieci w danym miejscu przyłączenia złożył wniosek o wydanie zaświadczenia o dopuszczeniu do udziału w aukcji, o którym mowa w ust. 3, albo posiada dla tej instalacji ważne zaświadczenie o dopuszczeniu do aukcji, o którym mowa w art. 76 ust. 1, albo wygrał aukcję, o której mowa w art. 72 ust. 1, a w miejscu tego przyłączenia planowane jest przyłączenie innej instalacji odnawialnego źródła energii zgodnie z art. 7 ust. 1f ustawy - Prawo energetyczne</w:t>
            </w:r>
            <w:r w:rsidRPr="0038322F">
              <w:rPr>
                <w:rFonts w:cstheme="minorHAnsi"/>
                <w:b/>
                <w:bCs/>
                <w:i/>
                <w:iCs/>
                <w:strike/>
                <w:sz w:val="20"/>
                <w:szCs w:val="20"/>
              </w:rPr>
              <w:t xml:space="preserve">, </w:t>
            </w:r>
            <w:r w:rsidRPr="0038322F">
              <w:rPr>
                <w:rFonts w:cstheme="minorHAnsi"/>
                <w:b/>
                <w:bCs/>
                <w:strike/>
                <w:sz w:val="20"/>
                <w:szCs w:val="20"/>
              </w:rPr>
              <w:t>pod warunkiem, że wytwórcy energii elektrycznej w instalacji odnawialnego źródła energii planowanej do przyłączenia nie przysługuje świadectwo pochodzenia, o którym mowa w art. 44 ust. 1, albo nie otrzymał zaświadczenia, o którym mowa w art. 70b ust. 8, albo potwierdzenia przyjęcia deklaracji, o którym mowa w art. 71 ust. 4, albo nie posiada ważnego zaświadczenia o dopuszczeniu do aukcji, o którym mowa w art. 76 ust. 1, albo nie wygrał aukcji, o której mowa w art. 72 ust. 1</w:t>
            </w:r>
            <w:r w:rsidRPr="0038322F">
              <w:rPr>
                <w:rFonts w:cstheme="minorHAnsi"/>
                <w:sz w:val="20"/>
                <w:szCs w:val="20"/>
              </w:rPr>
              <w:t>.</w:t>
            </w:r>
          </w:p>
        </w:tc>
        <w:tc>
          <w:tcPr>
            <w:tcW w:w="1286" w:type="dxa"/>
          </w:tcPr>
          <w:p w14:paraId="54E32A83" w14:textId="77777777" w:rsidR="003046A8" w:rsidRPr="0038322F" w:rsidRDefault="003046A8" w:rsidP="003046A8">
            <w:pPr>
              <w:jc w:val="both"/>
              <w:rPr>
                <w:rFonts w:cstheme="minorHAnsi"/>
                <w:sz w:val="20"/>
                <w:szCs w:val="20"/>
              </w:rPr>
            </w:pPr>
          </w:p>
        </w:tc>
      </w:tr>
      <w:tr w:rsidR="0047110F" w:rsidRPr="0038322F" w14:paraId="235DFD24" w14:textId="77777777" w:rsidTr="00862BFF">
        <w:trPr>
          <w:trHeight w:val="300"/>
        </w:trPr>
        <w:tc>
          <w:tcPr>
            <w:tcW w:w="846" w:type="dxa"/>
          </w:tcPr>
          <w:p w14:paraId="104FF462" w14:textId="77777777" w:rsidR="0047110F" w:rsidRPr="0038322F" w:rsidRDefault="0047110F" w:rsidP="0047110F">
            <w:pPr>
              <w:pStyle w:val="Akapitzlist"/>
              <w:numPr>
                <w:ilvl w:val="0"/>
                <w:numId w:val="15"/>
              </w:numPr>
              <w:ind w:left="313"/>
              <w:jc w:val="center"/>
              <w:rPr>
                <w:rFonts w:cstheme="minorHAnsi"/>
                <w:sz w:val="20"/>
                <w:szCs w:val="20"/>
              </w:rPr>
            </w:pPr>
          </w:p>
        </w:tc>
        <w:tc>
          <w:tcPr>
            <w:tcW w:w="1843" w:type="dxa"/>
          </w:tcPr>
          <w:p w14:paraId="5248FBF1" w14:textId="77777777" w:rsidR="0047110F" w:rsidRPr="0038322F" w:rsidRDefault="0047110F" w:rsidP="0047110F">
            <w:pPr>
              <w:jc w:val="center"/>
              <w:rPr>
                <w:rFonts w:cstheme="minorHAnsi"/>
                <w:sz w:val="20"/>
                <w:szCs w:val="20"/>
              </w:rPr>
            </w:pPr>
            <w:r w:rsidRPr="0038322F">
              <w:rPr>
                <w:rFonts w:cstheme="minorHAnsi"/>
                <w:sz w:val="20"/>
                <w:szCs w:val="20"/>
              </w:rPr>
              <w:t>Art. 1 pkt 13 lit. d (konieczna zmiana lit. d na lit. e)</w:t>
            </w:r>
          </w:p>
          <w:p w14:paraId="3861523C" w14:textId="77777777" w:rsidR="0047110F" w:rsidRDefault="0047110F" w:rsidP="0047110F">
            <w:pPr>
              <w:jc w:val="center"/>
              <w:rPr>
                <w:rFonts w:cstheme="minorHAnsi"/>
                <w:sz w:val="20"/>
                <w:szCs w:val="20"/>
              </w:rPr>
            </w:pPr>
            <w:r w:rsidRPr="0038322F">
              <w:rPr>
                <w:rFonts w:cstheme="minorHAnsi"/>
                <w:sz w:val="20"/>
                <w:szCs w:val="20"/>
              </w:rPr>
              <w:t>- propozycja dodania nowych przepisów</w:t>
            </w:r>
          </w:p>
          <w:p w14:paraId="7DA0E87C" w14:textId="77777777" w:rsidR="0047110F" w:rsidRDefault="0047110F" w:rsidP="0047110F">
            <w:pPr>
              <w:jc w:val="center"/>
              <w:rPr>
                <w:rFonts w:cstheme="minorHAnsi"/>
                <w:sz w:val="20"/>
                <w:szCs w:val="20"/>
              </w:rPr>
            </w:pPr>
          </w:p>
          <w:p w14:paraId="665F0102" w14:textId="565AF44A" w:rsidR="0047110F" w:rsidRPr="0047110F" w:rsidRDefault="0047110F" w:rsidP="0047110F">
            <w:pPr>
              <w:jc w:val="center"/>
              <w:rPr>
                <w:rFonts w:cstheme="minorHAnsi"/>
                <w:b/>
                <w:bCs/>
                <w:sz w:val="20"/>
                <w:szCs w:val="20"/>
              </w:rPr>
            </w:pPr>
            <w:r>
              <w:rPr>
                <w:rFonts w:cstheme="minorHAnsi"/>
                <w:b/>
                <w:bCs/>
                <w:sz w:val="20"/>
                <w:szCs w:val="20"/>
              </w:rPr>
              <w:t>redysponowanie</w:t>
            </w:r>
          </w:p>
        </w:tc>
        <w:tc>
          <w:tcPr>
            <w:tcW w:w="5670" w:type="dxa"/>
          </w:tcPr>
          <w:p w14:paraId="0100A974" w14:textId="77777777" w:rsidR="0047110F" w:rsidRPr="0038322F" w:rsidRDefault="0047110F" w:rsidP="0047110F">
            <w:pPr>
              <w:jc w:val="both"/>
              <w:rPr>
                <w:rFonts w:cstheme="minorHAnsi"/>
                <w:sz w:val="20"/>
                <w:szCs w:val="20"/>
              </w:rPr>
            </w:pPr>
            <w:r w:rsidRPr="0038322F">
              <w:rPr>
                <w:rFonts w:cstheme="minorHAnsi"/>
                <w:sz w:val="20"/>
                <w:szCs w:val="20"/>
              </w:rPr>
              <w:t>Proponujemy dodanie nowego punktu, który wprowadzałby zmiany do art. 9c ustawy zmienianej w art. 1. Proponowane postanowienia odnoszą się do kwestii redysponowania, które jest coraz bardziej palącym problemem tak dla operatorów systemów elektroenergetycznych, jak i dla wytwórców OZE.</w:t>
            </w:r>
          </w:p>
          <w:p w14:paraId="117180C3" w14:textId="77777777" w:rsidR="0047110F" w:rsidRPr="0038322F" w:rsidRDefault="0047110F" w:rsidP="0047110F">
            <w:pPr>
              <w:jc w:val="both"/>
              <w:rPr>
                <w:rFonts w:cstheme="minorHAnsi"/>
                <w:sz w:val="20"/>
                <w:szCs w:val="20"/>
              </w:rPr>
            </w:pPr>
          </w:p>
          <w:p w14:paraId="4A658677" w14:textId="77777777" w:rsidR="0047110F" w:rsidRPr="0038322F" w:rsidRDefault="0047110F" w:rsidP="0047110F">
            <w:pPr>
              <w:jc w:val="both"/>
              <w:rPr>
                <w:rFonts w:cstheme="minorHAnsi"/>
                <w:sz w:val="20"/>
                <w:szCs w:val="20"/>
              </w:rPr>
            </w:pPr>
            <w:r w:rsidRPr="0038322F">
              <w:rPr>
                <w:rFonts w:cstheme="minorHAnsi"/>
                <w:sz w:val="20"/>
                <w:szCs w:val="20"/>
              </w:rPr>
              <w:t>Redysponowanie nierynkowe źródeł OZE zaczyna negatywnie wpływać na rynek energii. Destabilizuje sytuację ekonomiczną wytwórców energii z OZE, zagraża niezawodności dostaw zielonej energii i pogarsza klimat inwestycyjny w Polsce. Wymaga to pilnej interwencji legislacyjnej.</w:t>
            </w:r>
          </w:p>
          <w:p w14:paraId="33E46F77" w14:textId="77777777" w:rsidR="0047110F" w:rsidRPr="0038322F" w:rsidRDefault="0047110F" w:rsidP="0047110F">
            <w:pPr>
              <w:jc w:val="both"/>
              <w:rPr>
                <w:rFonts w:cstheme="minorHAnsi"/>
                <w:sz w:val="20"/>
                <w:szCs w:val="20"/>
              </w:rPr>
            </w:pPr>
          </w:p>
          <w:p w14:paraId="5D94FD7F" w14:textId="77777777" w:rsidR="0047110F" w:rsidRPr="0038322F" w:rsidRDefault="0047110F" w:rsidP="0047110F">
            <w:pPr>
              <w:jc w:val="both"/>
              <w:rPr>
                <w:rFonts w:cstheme="minorHAnsi"/>
                <w:sz w:val="20"/>
                <w:szCs w:val="20"/>
              </w:rPr>
            </w:pPr>
            <w:r w:rsidRPr="0038322F">
              <w:rPr>
                <w:rFonts w:cstheme="minorHAnsi"/>
                <w:sz w:val="20"/>
                <w:szCs w:val="20"/>
              </w:rPr>
              <w:t xml:space="preserve">Redysponowanie wspiera bezpieczeństwo pracy sieci i gwarancje dostaw energii. Nie powinno jednak powodować wzrostu cen energii dla odbiorców ani zagrożenia dla sytuacji ekonomicznej wytwórców, którzy tracą stabilny dostęp do sieci i przewidywalne źródło przychodów. Proponowane rozwiązania zmieniają zasady ograniczania lub wyłączania jednostek wytwórczych oraz dają możliwość uzyskania przez wytwórców godziwej rekompensaty za ograniczenie możliwości korzystania z własnego majątku. </w:t>
            </w:r>
          </w:p>
          <w:p w14:paraId="37CDE61A" w14:textId="77777777" w:rsidR="0047110F" w:rsidRPr="0038322F" w:rsidRDefault="0047110F" w:rsidP="0047110F">
            <w:pPr>
              <w:jc w:val="both"/>
              <w:rPr>
                <w:rFonts w:cstheme="minorHAnsi"/>
                <w:sz w:val="20"/>
                <w:szCs w:val="20"/>
              </w:rPr>
            </w:pPr>
            <w:r w:rsidRPr="0038322F">
              <w:rPr>
                <w:rFonts w:cstheme="minorHAnsi"/>
                <w:sz w:val="20"/>
                <w:szCs w:val="20"/>
              </w:rPr>
              <w:t>Proponowane regulacje przyczynią się do stabilizowania rynku – chroniąc umowy PPA i kontrakty różnicowe, gwarantując odbiorcom szeroki dostęp do zielonej energii, kupowanej po stabilnych i przewidywalnych cenach, przy zachowaniu transparentności rozwiązań i mechanizmów kontrolnych.</w:t>
            </w:r>
          </w:p>
          <w:p w14:paraId="65B68669" w14:textId="71013BAC" w:rsidR="0047110F" w:rsidRPr="0038322F" w:rsidRDefault="0047110F" w:rsidP="0047110F">
            <w:pPr>
              <w:jc w:val="both"/>
              <w:rPr>
                <w:rFonts w:cstheme="minorHAnsi"/>
                <w:sz w:val="20"/>
                <w:szCs w:val="20"/>
              </w:rPr>
            </w:pPr>
            <w:r w:rsidRPr="0038322F">
              <w:rPr>
                <w:rFonts w:cstheme="minorHAnsi"/>
                <w:sz w:val="20"/>
                <w:szCs w:val="20"/>
              </w:rPr>
              <w:t xml:space="preserve"> </w:t>
            </w:r>
          </w:p>
        </w:tc>
        <w:tc>
          <w:tcPr>
            <w:tcW w:w="4394" w:type="dxa"/>
          </w:tcPr>
          <w:p w14:paraId="575B3995" w14:textId="77777777" w:rsidR="0047110F" w:rsidRPr="0038322F" w:rsidRDefault="0047110F" w:rsidP="0047110F">
            <w:pPr>
              <w:jc w:val="both"/>
              <w:rPr>
                <w:rFonts w:cstheme="minorHAnsi"/>
                <w:sz w:val="20"/>
                <w:szCs w:val="20"/>
              </w:rPr>
            </w:pPr>
            <w:r w:rsidRPr="0038322F">
              <w:rPr>
                <w:rFonts w:cstheme="minorHAnsi"/>
                <w:sz w:val="20"/>
                <w:szCs w:val="20"/>
              </w:rPr>
              <w:t>c) po ust. 7q dodaje się ust. 7r – 7 za w brzmieniu:</w:t>
            </w:r>
          </w:p>
          <w:p w14:paraId="61BCEBF5" w14:textId="77777777" w:rsidR="0047110F" w:rsidRPr="0038322F" w:rsidRDefault="0047110F" w:rsidP="0047110F">
            <w:pPr>
              <w:jc w:val="both"/>
              <w:rPr>
                <w:rFonts w:cstheme="minorHAnsi"/>
                <w:sz w:val="20"/>
                <w:szCs w:val="20"/>
              </w:rPr>
            </w:pPr>
            <w:r w:rsidRPr="0038322F">
              <w:rPr>
                <w:rFonts w:cstheme="minorHAnsi"/>
                <w:sz w:val="20"/>
                <w:szCs w:val="20"/>
              </w:rPr>
              <w:t>„7r.</w:t>
            </w:r>
            <w:r w:rsidRPr="0038322F">
              <w:rPr>
                <w:rFonts w:cstheme="minorHAnsi"/>
                <w:sz w:val="20"/>
                <w:szCs w:val="20"/>
              </w:rPr>
              <w:tab/>
              <w:t>W przypadku wydania przez operatora systemu przesyłowego lub operatora systemu dystrybucyjnego elektroenergetycznego polecenia, o którym mowa w ust. 7a lub 7b, do rozliczenia za energię elektryczną w ramach zawartej umowy sprzedaży energii elektrycznej lub umowy mającej charakter instrumentu finansowego, w rozumieniu art. 2 ust. 1 ustawy z dnia 29 lipca 2005 r. o obrocie instrumentami finansowymi, w której podstawą ustalenia należności za energię elektryczną lub rozliczenia instrumentu finansowego jest ilość energii elektrycznej zarejestrowana przez układy pomiarowo-rozliczeniowe, za ilość energii elektrycznej wytworzonej w jednostce wytwórczej lub wprowadzonej przez magazyn energii elektrycznej, objętych takimi poleceniami, przyjmuje się ilość energii elektrycznej zarejestrowaną przez układy pomiarowo – rozliczeniowe i wprowadzoną do sieci elektroenergetycznej dla okresu objętego poleceniem, powiększoną o ilość energii elektrycznej niewyprodukowanej w wyniku takiego polecenia.</w:t>
            </w:r>
          </w:p>
          <w:p w14:paraId="27B50640" w14:textId="77777777" w:rsidR="0047110F" w:rsidRPr="0038322F" w:rsidRDefault="0047110F" w:rsidP="0047110F">
            <w:pPr>
              <w:jc w:val="both"/>
              <w:rPr>
                <w:rFonts w:cstheme="minorHAnsi"/>
                <w:sz w:val="20"/>
                <w:szCs w:val="20"/>
              </w:rPr>
            </w:pPr>
            <w:r w:rsidRPr="0038322F">
              <w:rPr>
                <w:rFonts w:cstheme="minorHAnsi"/>
                <w:sz w:val="20"/>
                <w:szCs w:val="20"/>
              </w:rPr>
              <w:t>7s. Przez energię elektryczną niewyprodukowaną rozumie się energię elektryczną niewytworzoną przez jednostkę wytwórczą albo niewprowadzoną do sieci przez magazyn energii elektrycznej w wyniku polecenia, o którym mowa w ust. 7a lub 7b, której ilość jest określana przez właściwego operatora systemu elektroenergetycznego zgodnie z warunkami instrukcji, o której mowa w art. 9g ust. 1.</w:t>
            </w:r>
          </w:p>
          <w:p w14:paraId="66BD7C78" w14:textId="77777777" w:rsidR="0047110F" w:rsidRPr="0038322F" w:rsidRDefault="0047110F" w:rsidP="0047110F">
            <w:pPr>
              <w:jc w:val="both"/>
              <w:rPr>
                <w:rFonts w:cstheme="minorHAnsi"/>
                <w:sz w:val="20"/>
                <w:szCs w:val="20"/>
              </w:rPr>
            </w:pPr>
            <w:r w:rsidRPr="0038322F">
              <w:rPr>
                <w:rFonts w:cstheme="minorHAnsi"/>
                <w:sz w:val="20"/>
                <w:szCs w:val="20"/>
              </w:rPr>
              <w:t>7t. Dla przypadków wydania przez operatora systemu przesyłowego lub operatora systemu dystrybucyjnego elektroenergetycznego polecenia, o którym mowa w ust. 7a lub 7b, w tym dotyczących umów, o których mowa w ust. 7r, operator systemu przesyłowego elektroenergetycznego przy wyznaczaniu niezbilansowania podmiotu odpowiedzialnego za bilansowanie w ramach bilansowania handlowego uwzględnia ilość energii elektrycznej niewyprodukowanej w wyniku takiego polecenia.</w:t>
            </w:r>
          </w:p>
          <w:p w14:paraId="0E5D02C7" w14:textId="77777777" w:rsidR="0047110F" w:rsidRPr="0038322F" w:rsidRDefault="0047110F" w:rsidP="0047110F">
            <w:pPr>
              <w:jc w:val="both"/>
              <w:rPr>
                <w:rFonts w:cstheme="minorHAnsi"/>
                <w:sz w:val="20"/>
                <w:szCs w:val="20"/>
              </w:rPr>
            </w:pPr>
            <w:r w:rsidRPr="0038322F">
              <w:rPr>
                <w:rFonts w:cstheme="minorHAnsi"/>
                <w:sz w:val="20"/>
                <w:szCs w:val="20"/>
              </w:rPr>
              <w:t xml:space="preserve">7u. Koszty wynikające z uwzględnienia ilości energii elektrycznej niewyprodukowanej przy wyznaczaniu niezbilansowania podmiotu odpowiedzialnego za bilansowanie w ramach bilansowania handlowego, ponosi operator systemu elektroenergetycznego wydający polecenie, o którym mowa w ust. 7a lub 7b. </w:t>
            </w:r>
          </w:p>
          <w:p w14:paraId="21405773" w14:textId="77777777" w:rsidR="0047110F" w:rsidRPr="0038322F" w:rsidRDefault="0047110F" w:rsidP="0047110F">
            <w:pPr>
              <w:jc w:val="both"/>
              <w:rPr>
                <w:rFonts w:cstheme="minorHAnsi"/>
                <w:sz w:val="20"/>
                <w:szCs w:val="20"/>
              </w:rPr>
            </w:pPr>
            <w:r w:rsidRPr="0038322F">
              <w:rPr>
                <w:rFonts w:cstheme="minorHAnsi"/>
                <w:sz w:val="20"/>
                <w:szCs w:val="20"/>
              </w:rPr>
              <w:t>7v.</w:t>
            </w:r>
            <w:r w:rsidRPr="0038322F">
              <w:rPr>
                <w:rFonts w:cstheme="minorHAnsi"/>
                <w:sz w:val="20"/>
                <w:szCs w:val="20"/>
              </w:rPr>
              <w:tab/>
              <w:t>Sposób wyznaczania niezbilansowania, o którym mowa w ust. 7t, oraz rozliczeń pomiędzy operatorem systemu przesyłowego a operatorem systemu dystrybucyjnego elektroenergetycznego kosztów, o których mowa w ust. 7u, określają warunki dotyczące bilansowania, o których mowa w art. 18 rozporządzenia 2017/2195.</w:t>
            </w:r>
          </w:p>
          <w:p w14:paraId="3C67915F" w14:textId="77777777" w:rsidR="0047110F" w:rsidRPr="0038322F" w:rsidRDefault="0047110F" w:rsidP="0047110F">
            <w:pPr>
              <w:jc w:val="both"/>
              <w:rPr>
                <w:rFonts w:cstheme="minorHAnsi"/>
                <w:sz w:val="20"/>
                <w:szCs w:val="20"/>
              </w:rPr>
            </w:pPr>
            <w:r w:rsidRPr="0038322F">
              <w:rPr>
                <w:rFonts w:cstheme="minorHAnsi"/>
                <w:sz w:val="20"/>
                <w:szCs w:val="20"/>
              </w:rPr>
              <w:t>7w.</w:t>
            </w:r>
            <w:r w:rsidRPr="0038322F">
              <w:rPr>
                <w:rFonts w:cstheme="minorHAnsi"/>
                <w:sz w:val="20"/>
                <w:szCs w:val="20"/>
              </w:rPr>
              <w:tab/>
              <w:t>W przypadkach wyznaczania niezbilansowania w sposób, o którym mowa w ust. 7t, rekompensata finansowa, o której mowa w art. 13 ust. 7 rozporządzenia 2019/943 obejmuje wyłącznie przyznane wsparcie finansowe, w ramach mechanizmów, o których mowa w art. 69a pkt 1 - 4a ustawy z dnia 20 lutego 2015 r. o odnawialnych źródłach energii, które jednostka wytwórcza lub magazyn energii elektrycznej otrzymałyby, gdyby nie wydano polecenia, o którym mowa w ust. 7a lub 7b. Przepisu nie stosuje się do rozliczeń za energię elektryczną, o których mowa w ust. 7y.</w:t>
            </w:r>
          </w:p>
          <w:p w14:paraId="6C40C4FF" w14:textId="77777777" w:rsidR="0047110F" w:rsidRPr="0038322F" w:rsidRDefault="0047110F" w:rsidP="0047110F">
            <w:pPr>
              <w:jc w:val="both"/>
              <w:rPr>
                <w:rFonts w:cstheme="minorHAnsi"/>
                <w:sz w:val="20"/>
                <w:szCs w:val="20"/>
              </w:rPr>
            </w:pPr>
            <w:r w:rsidRPr="0038322F">
              <w:rPr>
                <w:rFonts w:cstheme="minorHAnsi"/>
                <w:sz w:val="20"/>
                <w:szCs w:val="20"/>
              </w:rPr>
              <w:t>7x.</w:t>
            </w:r>
            <w:r w:rsidRPr="0038322F">
              <w:rPr>
                <w:rFonts w:cstheme="minorHAnsi"/>
                <w:sz w:val="20"/>
                <w:szCs w:val="20"/>
              </w:rPr>
              <w:tab/>
              <w:t>Przepis ust. 7r, stosuje się także w przypadku, gdy wytwórcy lub posiadaczowi magazynu energii elektrycznej nie przysługuje rekompensata finansowa, o której mowa w ust. 7w.</w:t>
            </w:r>
          </w:p>
          <w:p w14:paraId="0BD26287" w14:textId="77777777" w:rsidR="0047110F" w:rsidRPr="0038322F" w:rsidRDefault="0047110F" w:rsidP="0047110F">
            <w:pPr>
              <w:jc w:val="both"/>
              <w:rPr>
                <w:rFonts w:cstheme="minorHAnsi"/>
                <w:sz w:val="20"/>
                <w:szCs w:val="20"/>
              </w:rPr>
            </w:pPr>
            <w:r w:rsidRPr="0038322F">
              <w:rPr>
                <w:rFonts w:cstheme="minorHAnsi"/>
                <w:sz w:val="20"/>
                <w:szCs w:val="20"/>
              </w:rPr>
              <w:t>7y.</w:t>
            </w:r>
            <w:r w:rsidRPr="0038322F">
              <w:rPr>
                <w:rFonts w:cstheme="minorHAnsi"/>
                <w:sz w:val="20"/>
                <w:szCs w:val="20"/>
              </w:rPr>
              <w:tab/>
              <w:t>Sposób ustalania ilości energii elektrycznej na potrzeby rozliczeń za energię elektryczną, o którym mowa w ust. 7r, stosuje się także do umów, na podstawie których zakupu energii elektrycznej dokonuje sprzedawca zobowiązany wyznaczony zgodnie z art. 40 ust. 3 pkt 1 ustawy z dnia 20 lutego 2015 r. o odnawialnych źródłach energii. W takim przypadku energię elektryczną zarejestrowaną przez układy pomiarowo – rozliczeniowe i wprowadzoną do sieci elektroenergetycznej dla okresu objętego poleceniem, powiększoną o ilość energii elektrycznej niewyprodukowanej w wyniku polecenia, o którym mowa w ust. 7a lub 7b, w ilości określonej przez właściwego operatora systemu elektroenergetycznego zgodnie z warunkami instrukcji, o której mowa w art. 9g ust. 1, uznaje się w całości za energię wytworzoną i wprowadzoną do sieci elektroenergetycznej.</w:t>
            </w:r>
          </w:p>
          <w:p w14:paraId="211A7A22" w14:textId="77777777" w:rsidR="0047110F" w:rsidRPr="0038322F" w:rsidRDefault="0047110F" w:rsidP="0047110F">
            <w:pPr>
              <w:jc w:val="both"/>
              <w:rPr>
                <w:rFonts w:cstheme="minorHAnsi"/>
                <w:sz w:val="20"/>
                <w:szCs w:val="20"/>
              </w:rPr>
            </w:pPr>
            <w:r w:rsidRPr="0038322F">
              <w:rPr>
                <w:rFonts w:cstheme="minorHAnsi"/>
                <w:sz w:val="20"/>
                <w:szCs w:val="20"/>
              </w:rPr>
              <w:t>7z.</w:t>
            </w:r>
            <w:r w:rsidRPr="0038322F">
              <w:rPr>
                <w:rFonts w:cstheme="minorHAnsi"/>
                <w:sz w:val="20"/>
                <w:szCs w:val="20"/>
              </w:rPr>
              <w:tab/>
              <w:t>Przepisy ust. 7r-7y stosuje się odpowiednio do instalacji, o której mowa w art. 7 ust. 2f.</w:t>
            </w:r>
          </w:p>
          <w:p w14:paraId="264F5E6F" w14:textId="0FCC40D2" w:rsidR="0047110F" w:rsidRPr="0038322F" w:rsidRDefault="0047110F" w:rsidP="0047110F">
            <w:pPr>
              <w:jc w:val="both"/>
              <w:rPr>
                <w:rFonts w:cstheme="minorHAnsi"/>
                <w:sz w:val="20"/>
                <w:szCs w:val="20"/>
              </w:rPr>
            </w:pPr>
            <w:r w:rsidRPr="0038322F">
              <w:rPr>
                <w:rFonts w:cstheme="minorHAnsi"/>
                <w:sz w:val="20"/>
                <w:szCs w:val="20"/>
              </w:rPr>
              <w:t>7za.</w:t>
            </w:r>
            <w:r w:rsidRPr="0038322F">
              <w:rPr>
                <w:rFonts w:cstheme="minorHAnsi"/>
                <w:sz w:val="20"/>
                <w:szCs w:val="20"/>
              </w:rPr>
              <w:tab/>
              <w:t>Jeżeli umowa o przyłączenie jednostki wytwórczej lub magazynu energii elektrycznej zawiera postanowienia skutkujące brakiem gwarancji niezawodnych dostaw energii elektrycznej, przepisów ust. 7r-7y nie stosuje się chyba że, moc tej jednostki wytwórczej lub moc magazynu energii elektrycznej jest objęta ofertą w ramach rynku bilansującego energii elektrycznej lub umową sprzedaży energii elektrycznej lub umową mającą charakter instrumentu finansowego, w rozumieniu art. 2 ust. 1 ustawy z dnia 29 lipca 2005 r. o obrocie instrumentami finansowymi, w której podstawą ustalenia należności za energię elektryczną lub rozliczenia instrumentu finansowego jest ilość energii elektrycznej zarejestrowana przez układy pomiarowo-rozliczeniowe tej jednostki wytwórczej lub magazynu.”</w:t>
            </w:r>
          </w:p>
        </w:tc>
        <w:tc>
          <w:tcPr>
            <w:tcW w:w="1286" w:type="dxa"/>
          </w:tcPr>
          <w:p w14:paraId="4DE69E91" w14:textId="77777777" w:rsidR="0047110F" w:rsidRPr="0038322F" w:rsidRDefault="0047110F" w:rsidP="0047110F">
            <w:pPr>
              <w:jc w:val="both"/>
              <w:rPr>
                <w:rFonts w:cstheme="minorHAnsi"/>
                <w:sz w:val="20"/>
                <w:szCs w:val="20"/>
              </w:rPr>
            </w:pPr>
          </w:p>
        </w:tc>
      </w:tr>
      <w:tr w:rsidR="00B76C86" w:rsidRPr="0038322F" w14:paraId="42E92236" w14:textId="77777777" w:rsidTr="00862BFF">
        <w:trPr>
          <w:trHeight w:val="300"/>
        </w:trPr>
        <w:tc>
          <w:tcPr>
            <w:tcW w:w="846" w:type="dxa"/>
          </w:tcPr>
          <w:p w14:paraId="307F371E" w14:textId="36E2D589" w:rsidR="00B76C86" w:rsidRPr="0038322F" w:rsidRDefault="00B76C86" w:rsidP="00B74CC0">
            <w:pPr>
              <w:pStyle w:val="Akapitzlist"/>
              <w:numPr>
                <w:ilvl w:val="0"/>
                <w:numId w:val="15"/>
              </w:numPr>
              <w:ind w:left="313"/>
              <w:jc w:val="center"/>
              <w:rPr>
                <w:rFonts w:cstheme="minorHAnsi"/>
                <w:sz w:val="20"/>
                <w:szCs w:val="20"/>
              </w:rPr>
            </w:pPr>
          </w:p>
        </w:tc>
        <w:tc>
          <w:tcPr>
            <w:tcW w:w="1843" w:type="dxa"/>
          </w:tcPr>
          <w:p w14:paraId="19624D49" w14:textId="7EE31C11" w:rsidR="00B76C86" w:rsidRPr="0038322F" w:rsidRDefault="0047110F" w:rsidP="00B76C86">
            <w:pPr>
              <w:jc w:val="center"/>
              <w:rPr>
                <w:rFonts w:cstheme="minorHAnsi"/>
                <w:sz w:val="20"/>
                <w:szCs w:val="20"/>
              </w:rPr>
            </w:pPr>
            <w:r>
              <w:rPr>
                <w:rFonts w:cstheme="minorHAnsi"/>
                <w:b/>
                <w:bCs/>
                <w:sz w:val="20"/>
                <w:szCs w:val="20"/>
              </w:rPr>
              <w:t>redysponowanie</w:t>
            </w:r>
          </w:p>
        </w:tc>
        <w:tc>
          <w:tcPr>
            <w:tcW w:w="5670" w:type="dxa"/>
          </w:tcPr>
          <w:p w14:paraId="29257D79" w14:textId="118D2D29" w:rsidR="00B76C86" w:rsidRPr="0038322F" w:rsidRDefault="00B76C86" w:rsidP="00B76C86">
            <w:pPr>
              <w:jc w:val="both"/>
              <w:rPr>
                <w:rFonts w:cstheme="minorHAnsi"/>
                <w:sz w:val="20"/>
                <w:szCs w:val="20"/>
              </w:rPr>
            </w:pPr>
            <w:r w:rsidRPr="0038322F">
              <w:rPr>
                <w:rFonts w:cstheme="minorHAnsi"/>
                <w:sz w:val="20"/>
                <w:szCs w:val="20"/>
              </w:rPr>
              <w:t>Proponujemy dodanie art. 14a, 14b i 14 c.</w:t>
            </w:r>
          </w:p>
          <w:p w14:paraId="7D906561" w14:textId="5BB04426" w:rsidR="00B76C86" w:rsidRPr="0038322F" w:rsidRDefault="00B76C86" w:rsidP="00B76C86">
            <w:pPr>
              <w:jc w:val="both"/>
              <w:rPr>
                <w:rFonts w:cstheme="minorHAnsi"/>
                <w:sz w:val="20"/>
                <w:szCs w:val="20"/>
              </w:rPr>
            </w:pPr>
            <w:r w:rsidRPr="0038322F">
              <w:rPr>
                <w:rFonts w:cstheme="minorHAnsi"/>
                <w:sz w:val="20"/>
                <w:szCs w:val="20"/>
              </w:rPr>
              <w:t>Służą one właściwej implementacji proponowanych zmian art. 9c w zakresie redysponowania.</w:t>
            </w:r>
          </w:p>
          <w:p w14:paraId="2B21043B" w14:textId="701467F3" w:rsidR="00B76C86" w:rsidRPr="0038322F" w:rsidRDefault="00B76C86" w:rsidP="00B76C86">
            <w:pPr>
              <w:jc w:val="both"/>
              <w:rPr>
                <w:rFonts w:cstheme="minorHAnsi"/>
                <w:sz w:val="20"/>
                <w:szCs w:val="20"/>
              </w:rPr>
            </w:pPr>
          </w:p>
        </w:tc>
        <w:tc>
          <w:tcPr>
            <w:tcW w:w="4394" w:type="dxa"/>
          </w:tcPr>
          <w:p w14:paraId="4A03BBE7" w14:textId="424A8586" w:rsidR="00B76C86" w:rsidRPr="0038322F" w:rsidRDefault="00B76C86" w:rsidP="00B76C86">
            <w:pPr>
              <w:jc w:val="both"/>
              <w:rPr>
                <w:rFonts w:cstheme="minorHAnsi"/>
                <w:sz w:val="20"/>
                <w:szCs w:val="20"/>
              </w:rPr>
            </w:pPr>
            <w:r w:rsidRPr="0038322F">
              <w:rPr>
                <w:rFonts w:cstheme="minorHAnsi"/>
                <w:sz w:val="20"/>
                <w:szCs w:val="20"/>
              </w:rPr>
              <w:t>Art. 14a. Operator systemu przesyłowego elektroenergetycznego opracuje i przedłoży Prezesowi URE, do zatwierdzenia zmianę warunków dotyczących bilansowania, o których mowa w art. 18 rozporządzenia 2017/2195 dostosowującą je do przepisów ustawy zmienianej w art. 1 w brzmieniu nadanym niniejszą ustawą, nie później niż w terminie 3 miesięcy od dnia wejścia w życie niniejszej ustawy.</w:t>
            </w:r>
          </w:p>
          <w:p w14:paraId="17229778" w14:textId="721732FE" w:rsidR="00B76C86" w:rsidRPr="0038322F" w:rsidRDefault="00B76C86" w:rsidP="00B76C86">
            <w:pPr>
              <w:jc w:val="both"/>
              <w:rPr>
                <w:rFonts w:cstheme="minorHAnsi"/>
                <w:sz w:val="20"/>
                <w:szCs w:val="20"/>
              </w:rPr>
            </w:pPr>
            <w:r w:rsidRPr="0038322F">
              <w:rPr>
                <w:rFonts w:cstheme="minorHAnsi"/>
                <w:sz w:val="20"/>
                <w:szCs w:val="20"/>
              </w:rPr>
              <w:t xml:space="preserve"> </w:t>
            </w:r>
          </w:p>
          <w:p w14:paraId="33E6DEF4" w14:textId="2BD004CA" w:rsidR="00B76C86" w:rsidRPr="0038322F" w:rsidRDefault="00B76C86" w:rsidP="00B76C86">
            <w:pPr>
              <w:jc w:val="both"/>
              <w:rPr>
                <w:rFonts w:cstheme="minorHAnsi"/>
                <w:sz w:val="20"/>
                <w:szCs w:val="20"/>
              </w:rPr>
            </w:pPr>
            <w:r w:rsidRPr="0038322F">
              <w:rPr>
                <w:rFonts w:cstheme="minorHAnsi"/>
                <w:sz w:val="20"/>
                <w:szCs w:val="20"/>
              </w:rPr>
              <w:t xml:space="preserve">Art. 14b. W terminie 3 miesięcy od dnia ogłoszenia zatwierdzonej instrukcji, o której mowa w art. 14, oraz zmienionych warunków dotyczących bilansowania, o których mowa w art. 14a, operator systemu dystrybucyjnego elektroenergetycznego, opracuje i przedłoży Prezesowi URE do zatwierdzenia zmianę instrukcji, o której mowa w art. 9g ust. 1 dostosowującą ją do przepisów ustawy zmienianej w art. 1 w brzmieniu nadanym niniejszą ustawą. </w:t>
            </w:r>
          </w:p>
          <w:p w14:paraId="4A067637" w14:textId="3BA699C6" w:rsidR="00B76C86" w:rsidRPr="0038322F" w:rsidRDefault="00B76C86" w:rsidP="00B76C86">
            <w:pPr>
              <w:jc w:val="both"/>
              <w:rPr>
                <w:rFonts w:cstheme="minorHAnsi"/>
                <w:sz w:val="20"/>
                <w:szCs w:val="20"/>
              </w:rPr>
            </w:pPr>
          </w:p>
          <w:p w14:paraId="09192BAD" w14:textId="4CFB13ED" w:rsidR="00B76C86" w:rsidRPr="0038322F" w:rsidRDefault="00B76C86" w:rsidP="00B76C86">
            <w:pPr>
              <w:jc w:val="both"/>
              <w:rPr>
                <w:rFonts w:cstheme="minorHAnsi"/>
                <w:sz w:val="20"/>
                <w:szCs w:val="20"/>
              </w:rPr>
            </w:pPr>
            <w:r w:rsidRPr="0038322F">
              <w:rPr>
                <w:rFonts w:cstheme="minorHAnsi"/>
                <w:sz w:val="20"/>
                <w:szCs w:val="20"/>
              </w:rPr>
              <w:t>Art. 14c</w:t>
            </w:r>
          </w:p>
          <w:p w14:paraId="0A91A3DA" w14:textId="12F30B78" w:rsidR="00B76C86" w:rsidRPr="0038322F" w:rsidRDefault="00B76C86" w:rsidP="00B76C86">
            <w:pPr>
              <w:jc w:val="both"/>
              <w:rPr>
                <w:rFonts w:cstheme="minorHAnsi"/>
                <w:sz w:val="20"/>
                <w:szCs w:val="20"/>
              </w:rPr>
            </w:pPr>
            <w:r w:rsidRPr="0038322F">
              <w:rPr>
                <w:rFonts w:cstheme="minorHAnsi"/>
                <w:sz w:val="20"/>
                <w:szCs w:val="20"/>
              </w:rPr>
              <w:t xml:space="preserve">Ust. 1. Przepisy art. 9c ust. 7r-7za ustawy zmienianej w art. 1, w brzmieniu nadanym niniejszą ustawą, stosuje się do umów sprzedaży energii elektrycznej od dnia wejścia w życie zmian wynikających z zatwierdzonej instrukcji, o której mowa w art. 14, oraz zmienionych warunków dotyczących bilansowania, o których mowa w art. 14a, jednak nie później niż po upływie 12 miesięcy od dnia wejścia w życie niniejszej ustawy. </w:t>
            </w:r>
          </w:p>
          <w:p w14:paraId="556393A9" w14:textId="1072C94E" w:rsidR="00B76C86" w:rsidRPr="0038322F" w:rsidRDefault="00B76C86" w:rsidP="00B76C86">
            <w:pPr>
              <w:jc w:val="both"/>
              <w:rPr>
                <w:rFonts w:cstheme="minorHAnsi"/>
                <w:sz w:val="20"/>
                <w:szCs w:val="20"/>
              </w:rPr>
            </w:pPr>
            <w:r w:rsidRPr="0038322F">
              <w:rPr>
                <w:rFonts w:cstheme="minorHAnsi"/>
                <w:sz w:val="20"/>
                <w:szCs w:val="20"/>
              </w:rPr>
              <w:t>Ust. 2. Strony umów, o których mowa w art. 9c ust. 7r ustawy zmienianej w art. 1, zawartych przed dniem wejścia w życie niniejszej ustawy, dostosują te umowy do przepisów art. 9c ust. 7r-7za ustawy zmienianej w art. 1, w brzmieniu nadanym niniejszą ustawą w terminie 12 miesięcy od dnia wejścia w życie niniejszej ustawy.</w:t>
            </w:r>
          </w:p>
        </w:tc>
        <w:tc>
          <w:tcPr>
            <w:tcW w:w="1286" w:type="dxa"/>
          </w:tcPr>
          <w:p w14:paraId="3CE6E160" w14:textId="563D3367" w:rsidR="00B76C86" w:rsidRPr="0038322F" w:rsidRDefault="00B76C86" w:rsidP="00B76C86">
            <w:pPr>
              <w:jc w:val="both"/>
              <w:rPr>
                <w:rFonts w:cstheme="minorHAnsi"/>
                <w:sz w:val="20"/>
                <w:szCs w:val="20"/>
              </w:rPr>
            </w:pPr>
          </w:p>
        </w:tc>
      </w:tr>
      <w:tr w:rsidR="009E0EAD" w:rsidRPr="0038322F" w14:paraId="7B3B3393" w14:textId="77777777" w:rsidTr="00862BFF">
        <w:trPr>
          <w:trHeight w:val="300"/>
        </w:trPr>
        <w:tc>
          <w:tcPr>
            <w:tcW w:w="846" w:type="dxa"/>
          </w:tcPr>
          <w:p w14:paraId="03FA96B1" w14:textId="77777777" w:rsidR="009E0EAD" w:rsidRPr="0038322F" w:rsidRDefault="009E0EAD" w:rsidP="009E0EAD">
            <w:pPr>
              <w:pStyle w:val="Akapitzlist"/>
              <w:numPr>
                <w:ilvl w:val="0"/>
                <w:numId w:val="15"/>
              </w:numPr>
              <w:ind w:left="313"/>
              <w:jc w:val="center"/>
              <w:rPr>
                <w:rFonts w:cstheme="minorHAnsi"/>
                <w:sz w:val="20"/>
                <w:szCs w:val="20"/>
              </w:rPr>
            </w:pPr>
          </w:p>
        </w:tc>
        <w:tc>
          <w:tcPr>
            <w:tcW w:w="1843" w:type="dxa"/>
          </w:tcPr>
          <w:p w14:paraId="7FBF8AE0" w14:textId="26B82162" w:rsidR="009E0EAD" w:rsidRDefault="009E0EAD" w:rsidP="009E0EAD">
            <w:pPr>
              <w:jc w:val="center"/>
              <w:rPr>
                <w:rFonts w:cstheme="minorHAnsi"/>
                <w:sz w:val="20"/>
                <w:szCs w:val="20"/>
              </w:rPr>
            </w:pPr>
            <w:r w:rsidRPr="0038322F">
              <w:rPr>
                <w:rFonts w:cstheme="minorHAnsi"/>
                <w:sz w:val="20"/>
                <w:szCs w:val="20"/>
              </w:rPr>
              <w:t>Art. 1</w:t>
            </w:r>
            <w:r w:rsidR="00FE5156">
              <w:rPr>
                <w:rFonts w:cstheme="minorHAnsi"/>
                <w:sz w:val="20"/>
                <w:szCs w:val="20"/>
              </w:rPr>
              <w:t>8</w:t>
            </w:r>
          </w:p>
          <w:p w14:paraId="0D8BEC8A" w14:textId="77777777" w:rsidR="009E0EAD" w:rsidRDefault="009E0EAD" w:rsidP="009E0EAD">
            <w:pPr>
              <w:jc w:val="center"/>
              <w:rPr>
                <w:rFonts w:cstheme="minorHAnsi"/>
                <w:sz w:val="20"/>
                <w:szCs w:val="20"/>
              </w:rPr>
            </w:pPr>
          </w:p>
          <w:p w14:paraId="3F73A93E" w14:textId="34DAC9AF" w:rsidR="009E0EAD" w:rsidRPr="009E0EAD" w:rsidRDefault="009E0EAD" w:rsidP="009E0EAD">
            <w:pPr>
              <w:jc w:val="center"/>
              <w:rPr>
                <w:rFonts w:cstheme="minorHAnsi"/>
                <w:b/>
                <w:bCs/>
                <w:sz w:val="20"/>
                <w:szCs w:val="20"/>
              </w:rPr>
            </w:pPr>
            <w:r>
              <w:rPr>
                <w:rFonts w:cstheme="minorHAnsi"/>
                <w:b/>
                <w:bCs/>
                <w:sz w:val="20"/>
                <w:szCs w:val="20"/>
              </w:rPr>
              <w:t>redysponowanie</w:t>
            </w:r>
          </w:p>
        </w:tc>
        <w:tc>
          <w:tcPr>
            <w:tcW w:w="5670" w:type="dxa"/>
          </w:tcPr>
          <w:p w14:paraId="5330780E" w14:textId="2A13B2E7" w:rsidR="009E0EAD" w:rsidRPr="0038322F" w:rsidRDefault="009E0EAD" w:rsidP="009E0EAD">
            <w:pPr>
              <w:jc w:val="both"/>
              <w:rPr>
                <w:rFonts w:cstheme="minorHAnsi"/>
                <w:sz w:val="20"/>
                <w:szCs w:val="20"/>
              </w:rPr>
            </w:pPr>
            <w:r w:rsidRPr="0038322F">
              <w:rPr>
                <w:rFonts w:cstheme="minorHAnsi"/>
                <w:sz w:val="20"/>
                <w:szCs w:val="20"/>
              </w:rPr>
              <w:t xml:space="preserve">Artykuł zmieniony celem dostosowania do propozycji zmian art. 9c w zakresie redysponowania – wymagany zakres aktualizacji </w:t>
            </w:r>
            <w:proofErr w:type="spellStart"/>
            <w:r w:rsidRPr="0038322F">
              <w:rPr>
                <w:rFonts w:cstheme="minorHAnsi"/>
                <w:sz w:val="20"/>
                <w:szCs w:val="20"/>
              </w:rPr>
              <w:t>IRiESP</w:t>
            </w:r>
            <w:proofErr w:type="spellEnd"/>
            <w:r w:rsidRPr="0038322F">
              <w:rPr>
                <w:rFonts w:cstheme="minorHAnsi"/>
                <w:sz w:val="20"/>
                <w:szCs w:val="20"/>
              </w:rPr>
              <w:t xml:space="preserve"> byłby szerszy.</w:t>
            </w:r>
          </w:p>
        </w:tc>
        <w:tc>
          <w:tcPr>
            <w:tcW w:w="4394" w:type="dxa"/>
          </w:tcPr>
          <w:p w14:paraId="057A8456" w14:textId="4CB7EE8C" w:rsidR="009E0EAD" w:rsidRPr="0038322F" w:rsidRDefault="009E0EAD" w:rsidP="009E0EAD">
            <w:pPr>
              <w:jc w:val="both"/>
              <w:rPr>
                <w:rFonts w:cstheme="minorHAnsi"/>
                <w:sz w:val="20"/>
                <w:szCs w:val="20"/>
              </w:rPr>
            </w:pPr>
            <w:r w:rsidRPr="0038322F">
              <w:rPr>
                <w:rFonts w:cstheme="minorHAnsi"/>
                <w:sz w:val="20"/>
                <w:szCs w:val="20"/>
              </w:rPr>
              <w:t>Art. 1</w:t>
            </w:r>
            <w:r w:rsidR="00FE5156">
              <w:rPr>
                <w:rFonts w:cstheme="minorHAnsi"/>
                <w:sz w:val="20"/>
                <w:szCs w:val="20"/>
              </w:rPr>
              <w:t>8</w:t>
            </w:r>
            <w:r w:rsidRPr="0038322F">
              <w:rPr>
                <w:rFonts w:cstheme="minorHAnsi"/>
                <w:sz w:val="20"/>
                <w:szCs w:val="20"/>
              </w:rPr>
              <w:t>. Operator systemu przesyłowego elektroenergetycznego opracuje i przedłoży Prezesowi Urzędu Regulacji Energetyki do zatwierdzenia zmianę instrukcji, o której mowa w art. 9g ust. 1 ustawy zmienianej w art. 1 w zakresie dostosowania do przepisów art. 9a ust. 1 i 9c ust. 7r – 7za ustawy zmienianej w art. 1, w brzmieniu nadanym niniejszą ustawą, nie później niż w terminie 3 miesięcy od dnia wejścia w życie niniejszej ustawy.</w:t>
            </w:r>
          </w:p>
        </w:tc>
        <w:tc>
          <w:tcPr>
            <w:tcW w:w="1286" w:type="dxa"/>
          </w:tcPr>
          <w:p w14:paraId="48338326" w14:textId="77777777" w:rsidR="009E0EAD" w:rsidRPr="0038322F" w:rsidRDefault="009E0EAD" w:rsidP="009E0EAD">
            <w:pPr>
              <w:jc w:val="both"/>
              <w:rPr>
                <w:rFonts w:cstheme="minorHAnsi"/>
                <w:sz w:val="20"/>
                <w:szCs w:val="20"/>
              </w:rPr>
            </w:pPr>
          </w:p>
        </w:tc>
      </w:tr>
      <w:tr w:rsidR="00807203" w:rsidRPr="0038322F" w14:paraId="156AF49D" w14:textId="77777777" w:rsidTr="00862BFF">
        <w:tc>
          <w:tcPr>
            <w:tcW w:w="846" w:type="dxa"/>
          </w:tcPr>
          <w:p w14:paraId="63C32321" w14:textId="77777777" w:rsidR="00807203" w:rsidRPr="0038322F" w:rsidRDefault="00807203" w:rsidP="00807203">
            <w:pPr>
              <w:pStyle w:val="Akapitzlist"/>
              <w:numPr>
                <w:ilvl w:val="0"/>
                <w:numId w:val="15"/>
              </w:numPr>
              <w:ind w:left="313"/>
              <w:jc w:val="center"/>
              <w:rPr>
                <w:rFonts w:cstheme="minorHAnsi"/>
                <w:sz w:val="20"/>
                <w:szCs w:val="20"/>
              </w:rPr>
            </w:pPr>
          </w:p>
        </w:tc>
        <w:tc>
          <w:tcPr>
            <w:tcW w:w="1843" w:type="dxa"/>
          </w:tcPr>
          <w:p w14:paraId="50278FCA" w14:textId="19F04611" w:rsidR="00807203" w:rsidRPr="0038322F" w:rsidRDefault="00807203" w:rsidP="00807203">
            <w:pPr>
              <w:jc w:val="center"/>
              <w:rPr>
                <w:rFonts w:eastAsia="Aptos" w:cstheme="minorHAnsi"/>
                <w:sz w:val="20"/>
                <w:szCs w:val="20"/>
              </w:rPr>
            </w:pPr>
            <w:r w:rsidRPr="0038322F">
              <w:rPr>
                <w:rFonts w:cstheme="minorHAnsi"/>
                <w:sz w:val="20"/>
                <w:szCs w:val="20"/>
              </w:rPr>
              <w:t>Art. 9 ust. 3 pkt 16 (nowy)</w:t>
            </w:r>
          </w:p>
        </w:tc>
        <w:tc>
          <w:tcPr>
            <w:tcW w:w="5670" w:type="dxa"/>
          </w:tcPr>
          <w:p w14:paraId="18C41A51" w14:textId="31BCBC0A" w:rsidR="00807203" w:rsidRPr="0038322F" w:rsidRDefault="00807203" w:rsidP="00807203">
            <w:pPr>
              <w:jc w:val="both"/>
              <w:rPr>
                <w:rFonts w:eastAsia="Aptos" w:cstheme="minorHAnsi"/>
                <w:sz w:val="20"/>
                <w:szCs w:val="20"/>
              </w:rPr>
            </w:pPr>
            <w:r w:rsidRPr="0038322F">
              <w:rPr>
                <w:rFonts w:cstheme="minorHAnsi"/>
                <w:sz w:val="20"/>
                <w:szCs w:val="20"/>
              </w:rPr>
              <w:t xml:space="preserve">Jako uzupełnienie projektowanego przepisu art. 1 pkt 8 lit. e, proponuje się uzupełnienie możliwości doprecyzowania sposobu rozliczeń energii elektrycznej w ramach instalacji przyłączonych w formule </w:t>
            </w:r>
            <w:proofErr w:type="spellStart"/>
            <w:r w:rsidRPr="0038322F">
              <w:rPr>
                <w:rFonts w:cstheme="minorHAnsi"/>
                <w:sz w:val="20"/>
                <w:szCs w:val="20"/>
              </w:rPr>
              <w:t>cable</w:t>
            </w:r>
            <w:proofErr w:type="spellEnd"/>
            <w:r w:rsidRPr="0038322F">
              <w:rPr>
                <w:rFonts w:cstheme="minorHAnsi"/>
                <w:sz w:val="20"/>
                <w:szCs w:val="20"/>
              </w:rPr>
              <w:t xml:space="preserve"> </w:t>
            </w:r>
            <w:proofErr w:type="spellStart"/>
            <w:r w:rsidRPr="0038322F">
              <w:rPr>
                <w:rFonts w:cstheme="minorHAnsi"/>
                <w:sz w:val="20"/>
                <w:szCs w:val="20"/>
              </w:rPr>
              <w:t>pooling</w:t>
            </w:r>
            <w:proofErr w:type="spellEnd"/>
            <w:r w:rsidRPr="0038322F">
              <w:rPr>
                <w:rFonts w:cstheme="minorHAnsi"/>
                <w:sz w:val="20"/>
                <w:szCs w:val="20"/>
              </w:rPr>
              <w:t xml:space="preserve"> do tzw. rozporządzenia systemowego, co może mieć istotne znaczenie przy rozliczaniu systemów wsparcia.</w:t>
            </w:r>
          </w:p>
        </w:tc>
        <w:tc>
          <w:tcPr>
            <w:tcW w:w="4394" w:type="dxa"/>
          </w:tcPr>
          <w:p w14:paraId="3632586A" w14:textId="30869883" w:rsidR="00807203" w:rsidRPr="0038322F" w:rsidRDefault="00807203" w:rsidP="00807203">
            <w:pPr>
              <w:jc w:val="both"/>
              <w:rPr>
                <w:rFonts w:eastAsia="Aptos" w:cstheme="minorHAnsi"/>
                <w:sz w:val="20"/>
                <w:szCs w:val="20"/>
              </w:rPr>
            </w:pPr>
            <w:r w:rsidRPr="0038322F">
              <w:rPr>
                <w:rFonts w:cstheme="minorHAnsi"/>
                <w:b/>
                <w:bCs/>
                <w:i/>
                <w:iCs/>
                <w:sz w:val="20"/>
                <w:szCs w:val="20"/>
              </w:rPr>
              <w:t>16) sposób prowadzenia rozliczeń energii elektrycznej wytworzonej i wprowadzonej do sieci przez instalacje, o których mowa w art. 7 ust. 1f, w tym przez operatora rozliczeń energii odnawialnej, o którym mowa w art. 106 ustawy z dnia 20 lutego 2015 r. o odnawialnych źródłach energii.</w:t>
            </w:r>
          </w:p>
        </w:tc>
        <w:tc>
          <w:tcPr>
            <w:tcW w:w="1286" w:type="dxa"/>
          </w:tcPr>
          <w:p w14:paraId="44769CD2" w14:textId="77777777" w:rsidR="00807203" w:rsidRPr="0038322F" w:rsidRDefault="00807203" w:rsidP="00807203">
            <w:pPr>
              <w:jc w:val="both"/>
              <w:rPr>
                <w:rFonts w:cstheme="minorHAnsi"/>
                <w:sz w:val="20"/>
                <w:szCs w:val="20"/>
              </w:rPr>
            </w:pPr>
          </w:p>
        </w:tc>
      </w:tr>
      <w:tr w:rsidR="00807203" w:rsidRPr="0038322F" w14:paraId="3AE5D0FD" w14:textId="77777777" w:rsidTr="00862BFF">
        <w:tc>
          <w:tcPr>
            <w:tcW w:w="846" w:type="dxa"/>
          </w:tcPr>
          <w:p w14:paraId="4E005996" w14:textId="77777777" w:rsidR="00807203" w:rsidRPr="0038322F" w:rsidRDefault="00807203" w:rsidP="00807203">
            <w:pPr>
              <w:pStyle w:val="Akapitzlist"/>
              <w:numPr>
                <w:ilvl w:val="0"/>
                <w:numId w:val="15"/>
              </w:numPr>
              <w:ind w:left="313"/>
              <w:jc w:val="center"/>
              <w:rPr>
                <w:rFonts w:cstheme="minorHAnsi"/>
                <w:sz w:val="20"/>
                <w:szCs w:val="20"/>
              </w:rPr>
            </w:pPr>
          </w:p>
        </w:tc>
        <w:tc>
          <w:tcPr>
            <w:tcW w:w="1843" w:type="dxa"/>
          </w:tcPr>
          <w:p w14:paraId="7E79B10C" w14:textId="36959B01" w:rsidR="00807203" w:rsidRPr="0038322F" w:rsidRDefault="00807203" w:rsidP="00807203">
            <w:pPr>
              <w:jc w:val="center"/>
              <w:rPr>
                <w:rFonts w:eastAsia="Aptos" w:cstheme="minorHAnsi"/>
                <w:sz w:val="20"/>
                <w:szCs w:val="20"/>
              </w:rPr>
            </w:pPr>
            <w:r w:rsidRPr="0038322F">
              <w:rPr>
                <w:rFonts w:eastAsia="Calibri" w:cstheme="minorHAnsi"/>
                <w:sz w:val="20"/>
                <w:szCs w:val="20"/>
                <w:lang w:val="pl"/>
              </w:rPr>
              <w:t>Dodatkowa zmiana w ustawie PE w zakresie Art. 7 ust 8e</w:t>
            </w:r>
          </w:p>
        </w:tc>
        <w:tc>
          <w:tcPr>
            <w:tcW w:w="5670" w:type="dxa"/>
          </w:tcPr>
          <w:p w14:paraId="1D8A063C" w14:textId="24683ECC" w:rsidR="00807203" w:rsidRPr="0038322F" w:rsidRDefault="00807203" w:rsidP="00807203">
            <w:pPr>
              <w:jc w:val="both"/>
              <w:rPr>
                <w:rFonts w:eastAsia="Aptos" w:cstheme="minorHAnsi"/>
                <w:sz w:val="20"/>
                <w:szCs w:val="20"/>
              </w:rPr>
            </w:pPr>
            <w:r w:rsidRPr="0038322F">
              <w:rPr>
                <w:rFonts w:eastAsia="Calibri" w:cstheme="minorHAnsi"/>
                <w:sz w:val="20"/>
                <w:szCs w:val="20"/>
                <w:lang w:val="pl"/>
              </w:rPr>
              <w:t xml:space="preserve">Rewizji wymaga zakres mocy, dla jakiej nie jest realizowana ekspertyza. Spowodowane jest to procesem postępu technologicznego w zakresie parametrów technicznych źródeł dostępnych obecnie na rynku. </w:t>
            </w:r>
          </w:p>
        </w:tc>
        <w:tc>
          <w:tcPr>
            <w:tcW w:w="4394" w:type="dxa"/>
          </w:tcPr>
          <w:p w14:paraId="4E3DCBE2" w14:textId="77777777" w:rsidR="00807203" w:rsidRPr="0038322F" w:rsidRDefault="00807203" w:rsidP="00807203">
            <w:pPr>
              <w:ind w:left="510" w:hanging="510"/>
              <w:jc w:val="both"/>
              <w:rPr>
                <w:rFonts w:cstheme="minorHAnsi"/>
                <w:sz w:val="20"/>
                <w:szCs w:val="20"/>
              </w:rPr>
            </w:pPr>
            <w:r w:rsidRPr="0038322F">
              <w:rPr>
                <w:rFonts w:eastAsia="Calibri" w:cstheme="minorHAnsi"/>
                <w:sz w:val="20"/>
                <w:szCs w:val="20"/>
                <w:lang w:val="pl"/>
              </w:rPr>
              <w:t xml:space="preserve">8e.     W przypadku urządzeń, instalacji lub sieci przyłączanych bezpośrednio do sieci elektroenergetycznej o napięciu znamionowym wyższym niż 1 </w:t>
            </w:r>
            <w:proofErr w:type="spellStart"/>
            <w:r w:rsidRPr="0038322F">
              <w:rPr>
                <w:rFonts w:eastAsia="Calibri" w:cstheme="minorHAnsi"/>
                <w:sz w:val="20"/>
                <w:szCs w:val="20"/>
                <w:lang w:val="pl"/>
              </w:rPr>
              <w:t>kV</w:t>
            </w:r>
            <w:proofErr w:type="spellEnd"/>
            <w:r w:rsidRPr="0038322F">
              <w:rPr>
                <w:rFonts w:eastAsia="Calibri" w:cstheme="minorHAnsi"/>
                <w:sz w:val="20"/>
                <w:szCs w:val="20"/>
                <w:lang w:val="pl"/>
              </w:rPr>
              <w:t xml:space="preserve"> sporządza się ekspertyzę wpływu tych urządzeń, instalacji lub sieci na system elektroenergetyczny, z wyjątkiem:</w:t>
            </w:r>
          </w:p>
          <w:p w14:paraId="33C38AA6" w14:textId="77777777" w:rsidR="00807203" w:rsidRPr="0038322F" w:rsidRDefault="00807203" w:rsidP="00807203">
            <w:pPr>
              <w:ind w:left="510" w:hanging="510"/>
              <w:jc w:val="both"/>
              <w:rPr>
                <w:rFonts w:cstheme="minorHAnsi"/>
                <w:sz w:val="20"/>
                <w:szCs w:val="20"/>
              </w:rPr>
            </w:pPr>
            <w:r w:rsidRPr="0038322F">
              <w:rPr>
                <w:rFonts w:eastAsia="Calibri" w:cstheme="minorHAnsi"/>
                <w:sz w:val="20"/>
                <w:szCs w:val="20"/>
                <w:lang w:val="pl"/>
              </w:rPr>
              <w:t xml:space="preserve">1)       przyłączanej jednostki wytwórczej o łącznej mocy zainstalowanej nie większej niż </w:t>
            </w:r>
            <w:r w:rsidRPr="0038322F">
              <w:rPr>
                <w:rFonts w:eastAsia="Calibri" w:cstheme="minorHAnsi"/>
                <w:strike/>
                <w:sz w:val="20"/>
                <w:szCs w:val="20"/>
                <w:lang w:val="pl"/>
              </w:rPr>
              <w:t>2 MW</w:t>
            </w:r>
            <w:r w:rsidRPr="0038322F">
              <w:rPr>
                <w:rFonts w:eastAsia="Calibri" w:cstheme="minorHAnsi"/>
                <w:sz w:val="20"/>
                <w:szCs w:val="20"/>
                <w:lang w:val="pl"/>
              </w:rPr>
              <w:t xml:space="preserve"> </w:t>
            </w:r>
            <w:r w:rsidRPr="0038322F">
              <w:rPr>
                <w:rFonts w:eastAsia="Calibri" w:cstheme="minorHAnsi"/>
                <w:color w:val="0070C0"/>
                <w:sz w:val="20"/>
                <w:szCs w:val="20"/>
                <w:lang w:val="pl"/>
              </w:rPr>
              <w:t xml:space="preserve">4,5MW </w:t>
            </w:r>
            <w:r w:rsidRPr="0038322F">
              <w:rPr>
                <w:rFonts w:eastAsia="Calibri" w:cstheme="minorHAnsi"/>
                <w:sz w:val="20"/>
                <w:szCs w:val="20"/>
                <w:lang w:val="pl"/>
              </w:rPr>
              <w:t>lub</w:t>
            </w:r>
          </w:p>
          <w:p w14:paraId="6FAACB35" w14:textId="77777777" w:rsidR="00807203" w:rsidRPr="0038322F" w:rsidRDefault="00807203" w:rsidP="00807203">
            <w:pPr>
              <w:ind w:left="510" w:hanging="510"/>
              <w:jc w:val="both"/>
              <w:rPr>
                <w:rFonts w:cstheme="minorHAnsi"/>
                <w:sz w:val="20"/>
                <w:szCs w:val="20"/>
              </w:rPr>
            </w:pPr>
            <w:r w:rsidRPr="0038322F">
              <w:rPr>
                <w:rFonts w:eastAsia="Calibri" w:cstheme="minorHAnsi"/>
                <w:sz w:val="20"/>
                <w:szCs w:val="20"/>
                <w:lang w:val="pl"/>
              </w:rPr>
              <w:t>2)       przyłączanych urządzeń odbiorcy końcowego o łącznej mocy przyłączeniowej nie większej niż 5 MW, lub</w:t>
            </w:r>
          </w:p>
          <w:p w14:paraId="0642A658" w14:textId="77777777" w:rsidR="00807203" w:rsidRPr="0038322F" w:rsidRDefault="00807203" w:rsidP="00807203">
            <w:pPr>
              <w:ind w:left="510" w:hanging="510"/>
              <w:jc w:val="both"/>
              <w:rPr>
                <w:rFonts w:cstheme="minorHAnsi"/>
                <w:sz w:val="20"/>
                <w:szCs w:val="20"/>
              </w:rPr>
            </w:pPr>
            <w:r w:rsidRPr="0038322F">
              <w:rPr>
                <w:rFonts w:eastAsia="Calibri" w:cstheme="minorHAnsi"/>
                <w:sz w:val="20"/>
                <w:szCs w:val="20"/>
                <w:lang w:val="pl"/>
              </w:rPr>
              <w:t xml:space="preserve">3)       przyłączanego magazynu energii elektrycznej o łącznej mocy zainstalowanej nie większej niż </w:t>
            </w:r>
            <w:r w:rsidRPr="0038322F">
              <w:rPr>
                <w:rFonts w:eastAsia="Calibri" w:cstheme="minorHAnsi"/>
                <w:strike/>
                <w:sz w:val="20"/>
                <w:szCs w:val="20"/>
                <w:lang w:val="pl"/>
              </w:rPr>
              <w:t>2</w:t>
            </w:r>
            <w:r w:rsidRPr="0038322F">
              <w:rPr>
                <w:rFonts w:eastAsia="Calibri" w:cstheme="minorHAnsi"/>
                <w:sz w:val="20"/>
                <w:szCs w:val="20"/>
                <w:lang w:val="pl"/>
              </w:rPr>
              <w:t xml:space="preserve"> </w:t>
            </w:r>
            <w:r w:rsidRPr="0038322F">
              <w:rPr>
                <w:rFonts w:eastAsia="Calibri" w:cstheme="minorHAnsi"/>
                <w:color w:val="0070C0"/>
                <w:sz w:val="20"/>
                <w:szCs w:val="20"/>
                <w:lang w:val="pl"/>
              </w:rPr>
              <w:t>5MW</w:t>
            </w:r>
            <w:r w:rsidRPr="0038322F">
              <w:rPr>
                <w:rFonts w:eastAsia="Calibri" w:cstheme="minorHAnsi"/>
                <w:sz w:val="20"/>
                <w:szCs w:val="20"/>
                <w:lang w:val="pl"/>
              </w:rPr>
              <w:t>, lub</w:t>
            </w:r>
          </w:p>
          <w:p w14:paraId="45F43BA2" w14:textId="77777777" w:rsidR="00807203" w:rsidRPr="0038322F" w:rsidRDefault="00807203" w:rsidP="00807203">
            <w:pPr>
              <w:ind w:left="510" w:hanging="510"/>
              <w:jc w:val="both"/>
              <w:rPr>
                <w:rFonts w:cstheme="minorHAnsi"/>
                <w:sz w:val="20"/>
                <w:szCs w:val="20"/>
              </w:rPr>
            </w:pPr>
            <w:r w:rsidRPr="0038322F">
              <w:rPr>
                <w:rFonts w:eastAsia="Calibri" w:cstheme="minorHAnsi"/>
                <w:sz w:val="20"/>
                <w:szCs w:val="20"/>
                <w:lang w:val="pl"/>
              </w:rPr>
              <w:t xml:space="preserve">4)       przyłączanej jednostki wytwórczej, której część będzie stanowił magazyn energii elektrycznej, pod warunkiem że łączna moc zainstalowana tego magazynu i jednostki wytwórczej jest nie większa niż </w:t>
            </w:r>
            <w:r w:rsidRPr="0038322F">
              <w:rPr>
                <w:rFonts w:eastAsia="Calibri" w:cstheme="minorHAnsi"/>
                <w:strike/>
                <w:sz w:val="20"/>
                <w:szCs w:val="20"/>
                <w:lang w:val="pl"/>
              </w:rPr>
              <w:t>2 MW</w:t>
            </w:r>
            <w:r w:rsidRPr="0038322F">
              <w:rPr>
                <w:rFonts w:eastAsia="Calibri" w:cstheme="minorHAnsi"/>
                <w:sz w:val="20"/>
                <w:szCs w:val="20"/>
                <w:lang w:val="pl"/>
              </w:rPr>
              <w:t xml:space="preserve"> </w:t>
            </w:r>
            <w:r w:rsidRPr="0038322F">
              <w:rPr>
                <w:rFonts w:eastAsia="Calibri" w:cstheme="minorHAnsi"/>
                <w:color w:val="0070C0"/>
                <w:sz w:val="20"/>
                <w:szCs w:val="20"/>
                <w:lang w:val="pl"/>
              </w:rPr>
              <w:t xml:space="preserve">4,5MW </w:t>
            </w:r>
            <w:r w:rsidRPr="0038322F">
              <w:rPr>
                <w:rFonts w:eastAsia="Calibri" w:cstheme="minorHAnsi"/>
                <w:sz w:val="20"/>
                <w:szCs w:val="20"/>
                <w:lang w:val="pl"/>
              </w:rPr>
              <w:t>, lub</w:t>
            </w:r>
          </w:p>
          <w:p w14:paraId="531DDC6D" w14:textId="45A0A27F" w:rsidR="00807203" w:rsidRPr="0038322F" w:rsidRDefault="00807203" w:rsidP="00807203">
            <w:pPr>
              <w:jc w:val="both"/>
              <w:rPr>
                <w:rFonts w:eastAsia="Aptos" w:cstheme="minorHAnsi"/>
                <w:sz w:val="20"/>
                <w:szCs w:val="20"/>
              </w:rPr>
            </w:pPr>
            <w:r w:rsidRPr="0038322F">
              <w:rPr>
                <w:rFonts w:eastAsia="Calibri" w:cstheme="minorHAnsi"/>
                <w:sz w:val="20"/>
                <w:szCs w:val="20"/>
                <w:lang w:val="pl"/>
              </w:rPr>
              <w:t>5)       przyłączanej instalacji odbiorcy końcowego, której część będzie stanowił magazyn energii elektrycznej, pod warunkiem że łączna moc zainstalowana tego magazynu i moc przyłączeniowa instalacji odbiorcy końcowego jest nie większa niż 5 MW.</w:t>
            </w:r>
          </w:p>
        </w:tc>
        <w:tc>
          <w:tcPr>
            <w:tcW w:w="1286" w:type="dxa"/>
          </w:tcPr>
          <w:p w14:paraId="3B9E1704" w14:textId="77777777" w:rsidR="00807203" w:rsidRPr="0038322F" w:rsidRDefault="00807203" w:rsidP="00807203">
            <w:pPr>
              <w:jc w:val="both"/>
              <w:rPr>
                <w:rFonts w:cstheme="minorHAnsi"/>
                <w:sz w:val="20"/>
                <w:szCs w:val="20"/>
              </w:rPr>
            </w:pPr>
          </w:p>
        </w:tc>
      </w:tr>
      <w:tr w:rsidR="00B76C86" w:rsidRPr="0038322F" w14:paraId="18EF3E26" w14:textId="77777777" w:rsidTr="00862BFF">
        <w:tc>
          <w:tcPr>
            <w:tcW w:w="846" w:type="dxa"/>
          </w:tcPr>
          <w:p w14:paraId="0365D837" w14:textId="77777777" w:rsidR="00B76C86" w:rsidRPr="0038322F" w:rsidRDefault="00B76C86" w:rsidP="00B74CC0">
            <w:pPr>
              <w:pStyle w:val="Akapitzlist"/>
              <w:numPr>
                <w:ilvl w:val="0"/>
                <w:numId w:val="15"/>
              </w:numPr>
              <w:ind w:left="313"/>
              <w:jc w:val="center"/>
              <w:rPr>
                <w:rFonts w:cstheme="minorHAnsi"/>
                <w:sz w:val="20"/>
                <w:szCs w:val="20"/>
              </w:rPr>
            </w:pPr>
          </w:p>
        </w:tc>
        <w:tc>
          <w:tcPr>
            <w:tcW w:w="1843" w:type="dxa"/>
          </w:tcPr>
          <w:p w14:paraId="542FC4FC" w14:textId="65A5B628" w:rsidR="00B76C86" w:rsidRPr="0038322F" w:rsidRDefault="00B76C86" w:rsidP="00B76C86">
            <w:pPr>
              <w:spacing w:after="160"/>
              <w:jc w:val="center"/>
              <w:rPr>
                <w:rFonts w:cstheme="minorHAnsi"/>
                <w:sz w:val="20"/>
                <w:szCs w:val="20"/>
              </w:rPr>
            </w:pPr>
            <w:r w:rsidRPr="0038322F">
              <w:rPr>
                <w:rFonts w:eastAsia="Aptos" w:cstheme="minorHAnsi"/>
                <w:sz w:val="20"/>
                <w:szCs w:val="20"/>
              </w:rPr>
              <w:t xml:space="preserve">art. 71 </w:t>
            </w:r>
            <w:proofErr w:type="spellStart"/>
            <w:r w:rsidRPr="0038322F">
              <w:rPr>
                <w:rFonts w:eastAsia="Aptos" w:cstheme="minorHAnsi"/>
                <w:sz w:val="20"/>
                <w:szCs w:val="20"/>
              </w:rPr>
              <w:t>uPE</w:t>
            </w:r>
            <w:proofErr w:type="spellEnd"/>
            <w:r w:rsidRPr="0038322F">
              <w:rPr>
                <w:rFonts w:eastAsia="Aptos" w:cstheme="minorHAnsi"/>
                <w:sz w:val="20"/>
                <w:szCs w:val="20"/>
              </w:rPr>
              <w:t xml:space="preserve"> (nowy – ust. 4–9)</w:t>
            </w:r>
          </w:p>
        </w:tc>
        <w:tc>
          <w:tcPr>
            <w:tcW w:w="5670" w:type="dxa"/>
          </w:tcPr>
          <w:p w14:paraId="5D03B18A" w14:textId="77777777" w:rsidR="00B91D91" w:rsidRDefault="00B76C86" w:rsidP="00B76C86">
            <w:pPr>
              <w:spacing w:after="160"/>
              <w:jc w:val="both"/>
              <w:rPr>
                <w:rFonts w:eastAsia="Aptos" w:cstheme="minorHAnsi"/>
                <w:sz w:val="20"/>
                <w:szCs w:val="20"/>
              </w:rPr>
            </w:pPr>
            <w:r w:rsidRPr="0038322F">
              <w:rPr>
                <w:rFonts w:eastAsia="Aptos" w:cstheme="minorHAnsi"/>
                <w:sz w:val="20"/>
                <w:szCs w:val="20"/>
              </w:rPr>
              <w:t xml:space="preserve">Brak jednolitych, zatwierdzanych przez Prezesa URE zasad określania i wykonywania ograniczeń w elastycznych umowach przyłączeniowych rodzi ryzyko nieprzewidywalnych redukcji generacji OZE, zaburza </w:t>
            </w:r>
            <w:proofErr w:type="spellStart"/>
            <w:r w:rsidRPr="0038322F">
              <w:rPr>
                <w:rFonts w:eastAsia="Aptos" w:cstheme="minorHAnsi"/>
                <w:sz w:val="20"/>
                <w:szCs w:val="20"/>
              </w:rPr>
              <w:t>bankowalność</w:t>
            </w:r>
            <w:proofErr w:type="spellEnd"/>
            <w:r w:rsidRPr="0038322F">
              <w:rPr>
                <w:rFonts w:eastAsia="Aptos" w:cstheme="minorHAnsi"/>
                <w:sz w:val="20"/>
                <w:szCs w:val="20"/>
              </w:rPr>
              <w:t xml:space="preserve"> projektów i może prowadzić do dyskryminacji technologicznej. OSR i Uzasadnienie zapowiadają rozwój elastyczności niekopalnej i zwiększenie transparentności, ale projekt nie precyzuje mechanizmów (kryteriów, progu, sposobu publikacji) działania ograniczeń.</w:t>
            </w:r>
          </w:p>
          <w:p w14:paraId="2FA8B3C2" w14:textId="71BED964" w:rsidR="00B76C86" w:rsidRPr="0038322F" w:rsidRDefault="00B76C86" w:rsidP="00B76C86">
            <w:pPr>
              <w:spacing w:after="160"/>
              <w:jc w:val="both"/>
              <w:rPr>
                <w:rFonts w:cstheme="minorHAnsi"/>
                <w:sz w:val="20"/>
                <w:szCs w:val="20"/>
              </w:rPr>
            </w:pPr>
            <w:r w:rsidRPr="0038322F">
              <w:rPr>
                <w:rFonts w:eastAsia="Aptos" w:cstheme="minorHAnsi"/>
                <w:sz w:val="20"/>
                <w:szCs w:val="20"/>
              </w:rPr>
              <w:t xml:space="preserve"> </w:t>
            </w:r>
            <w:r w:rsidRPr="0038322F">
              <w:rPr>
                <w:rFonts w:cstheme="minorHAnsi"/>
                <w:sz w:val="20"/>
                <w:szCs w:val="20"/>
              </w:rPr>
              <w:br/>
            </w:r>
            <w:r w:rsidRPr="0038322F">
              <w:rPr>
                <w:rFonts w:eastAsia="Aptos" w:cstheme="minorHAnsi"/>
                <w:sz w:val="20"/>
                <w:szCs w:val="20"/>
              </w:rPr>
              <w:t xml:space="preserve">Uzasadnienie: zapewnienie proporcjonalności i przejrzystości (limity </w:t>
            </w:r>
            <w:proofErr w:type="spellStart"/>
            <w:r w:rsidRPr="0038322F">
              <w:rPr>
                <w:rFonts w:eastAsia="Aptos" w:cstheme="minorHAnsi"/>
                <w:sz w:val="20"/>
                <w:szCs w:val="20"/>
              </w:rPr>
              <w:t>nierefundacji</w:t>
            </w:r>
            <w:proofErr w:type="spellEnd"/>
            <w:r w:rsidRPr="0038322F">
              <w:rPr>
                <w:rFonts w:eastAsia="Aptos" w:cstheme="minorHAnsi"/>
                <w:sz w:val="20"/>
                <w:szCs w:val="20"/>
              </w:rPr>
              <w:t>, katalog zdarzeń, publikacja harmonogramów), zgodność z logiką procesu przyłączeniowego i neutralnością technologiczną.</w:t>
            </w:r>
          </w:p>
          <w:p w14:paraId="001F0744" w14:textId="0BE4F540" w:rsidR="00B76C86" w:rsidRPr="0038322F" w:rsidRDefault="00B76C86" w:rsidP="00B76C86">
            <w:pPr>
              <w:spacing w:after="160"/>
              <w:jc w:val="both"/>
              <w:rPr>
                <w:rFonts w:cstheme="minorHAnsi"/>
                <w:sz w:val="20"/>
                <w:szCs w:val="20"/>
              </w:rPr>
            </w:pPr>
          </w:p>
        </w:tc>
        <w:tc>
          <w:tcPr>
            <w:tcW w:w="4394" w:type="dxa"/>
          </w:tcPr>
          <w:p w14:paraId="7B9514B3" w14:textId="2D21E7C4" w:rsidR="00B76C86" w:rsidRPr="0038322F" w:rsidRDefault="00B76C86" w:rsidP="00B76C86">
            <w:pPr>
              <w:spacing w:after="160"/>
              <w:jc w:val="both"/>
              <w:rPr>
                <w:rFonts w:cstheme="minorHAnsi"/>
                <w:sz w:val="20"/>
                <w:szCs w:val="20"/>
              </w:rPr>
            </w:pPr>
            <w:r w:rsidRPr="0038322F">
              <w:rPr>
                <w:rFonts w:eastAsia="Aptos" w:cstheme="minorHAnsi"/>
                <w:sz w:val="20"/>
                <w:szCs w:val="20"/>
              </w:rPr>
              <w:t>W art. 71 dodaje się ust. 4–9 w brzmieniu:</w:t>
            </w:r>
            <w:r w:rsidRPr="0038322F">
              <w:rPr>
                <w:rFonts w:cstheme="minorHAnsi"/>
                <w:sz w:val="20"/>
                <w:szCs w:val="20"/>
              </w:rPr>
              <w:br/>
            </w:r>
            <w:r w:rsidRPr="0038322F">
              <w:rPr>
                <w:rFonts w:eastAsia="Aptos" w:cstheme="minorHAnsi"/>
                <w:sz w:val="20"/>
                <w:szCs w:val="20"/>
              </w:rPr>
              <w:t xml:space="preserve"> 4. Operator określa w elastycznej umowie o przyłączenie katalog zdarzeń i parametrów pracy sieci, które mogą skutkować ograniczeniem wprowadzania energii lub poboru, oraz metodykę ich wyznaczania, w tym progi uruchamiania ograniczeń oraz kolejność ich stosowania.</w:t>
            </w:r>
            <w:r w:rsidRPr="0038322F">
              <w:rPr>
                <w:rFonts w:cstheme="minorHAnsi"/>
                <w:sz w:val="20"/>
                <w:szCs w:val="20"/>
              </w:rPr>
              <w:br/>
            </w:r>
            <w:r w:rsidRPr="0038322F">
              <w:rPr>
                <w:rFonts w:eastAsia="Aptos" w:cstheme="minorHAnsi"/>
                <w:sz w:val="20"/>
                <w:szCs w:val="20"/>
              </w:rPr>
              <w:t xml:space="preserve"> 5. Katalog, o którym mowa w ust. 4, oraz metodyka podlegają uprzedniemu zatwierdzeniu przez Prezesa Urzędu Regulacji Energetyki w drodze decyzji, po zasięgnięciu opinii operatorów systemów dystrybucyjnych i systemu przesyłowego.</w:t>
            </w:r>
            <w:r w:rsidRPr="0038322F">
              <w:rPr>
                <w:rFonts w:cstheme="minorHAnsi"/>
                <w:sz w:val="20"/>
                <w:szCs w:val="20"/>
              </w:rPr>
              <w:br/>
            </w:r>
            <w:r w:rsidRPr="0038322F">
              <w:rPr>
                <w:rFonts w:eastAsia="Aptos" w:cstheme="minorHAnsi"/>
                <w:sz w:val="20"/>
                <w:szCs w:val="20"/>
              </w:rPr>
              <w:t xml:space="preserve"> 6. Operator publikuje, nie rzadziej niż raz w miesiącu, informacje o oknach czasowych i obszarach podwyższonego ryzyka wystąpienia ograniczeń wraz z parametrami wyzwalającymi oraz historyczne statystyki ograniczeń dla stacji.</w:t>
            </w:r>
            <w:r w:rsidRPr="0038322F">
              <w:rPr>
                <w:rFonts w:cstheme="minorHAnsi"/>
                <w:sz w:val="20"/>
                <w:szCs w:val="20"/>
              </w:rPr>
              <w:br/>
            </w:r>
            <w:r w:rsidRPr="0038322F">
              <w:rPr>
                <w:rFonts w:eastAsia="Aptos" w:cstheme="minorHAnsi"/>
                <w:sz w:val="20"/>
                <w:szCs w:val="20"/>
              </w:rPr>
              <w:t xml:space="preserve"> 7. Ograniczenia zastosowane na podstawie umowy, o której mowa w ust. 1, do poziomu 5% wolumenu energii możliwej do wprowadzenia w skali roku, obliczanego zgodnie z metodyką operatora, są nieodpłatne. Powyżej tego progu stosuje się wynagrodzenie według stawek określonych w taryfie operatora zatwierdzonej przez Prezesa Urzędu Regulacji Energetyki albo według zasad wskazanych w umowie, z zachowaniem neutralności technologicznej.</w:t>
            </w:r>
            <w:r w:rsidRPr="0038322F">
              <w:rPr>
                <w:rFonts w:cstheme="minorHAnsi"/>
                <w:sz w:val="20"/>
                <w:szCs w:val="20"/>
              </w:rPr>
              <w:br/>
            </w:r>
            <w:r w:rsidRPr="0038322F">
              <w:rPr>
                <w:rFonts w:eastAsia="Aptos" w:cstheme="minorHAnsi"/>
                <w:sz w:val="20"/>
                <w:szCs w:val="20"/>
              </w:rPr>
              <w:t xml:space="preserve"> 8. Ograniczenia są rejestrowane z rozdzielczością nie mniejszą niż 15 minut, a dane pomiarowe są udostępniane użytkownikowi systemu.</w:t>
            </w:r>
            <w:r w:rsidRPr="0038322F">
              <w:rPr>
                <w:rFonts w:cstheme="minorHAnsi"/>
                <w:sz w:val="20"/>
                <w:szCs w:val="20"/>
              </w:rPr>
              <w:br/>
            </w:r>
            <w:r w:rsidRPr="0038322F">
              <w:rPr>
                <w:rFonts w:eastAsia="Aptos" w:cstheme="minorHAnsi"/>
                <w:sz w:val="20"/>
                <w:szCs w:val="20"/>
              </w:rPr>
              <w:t xml:space="preserve"> 9. Przepisy ust. 4–8 stosuje się odpowiednio do instalacji przyłączanych do sieci o napięciu wyższym niż 1 </w:t>
            </w:r>
            <w:proofErr w:type="spellStart"/>
            <w:r w:rsidRPr="0038322F">
              <w:rPr>
                <w:rFonts w:eastAsia="Aptos" w:cstheme="minorHAnsi"/>
                <w:sz w:val="20"/>
                <w:szCs w:val="20"/>
              </w:rPr>
              <w:t>kV</w:t>
            </w:r>
            <w:proofErr w:type="spellEnd"/>
            <w:r w:rsidRPr="0038322F">
              <w:rPr>
                <w:rFonts w:eastAsia="Aptos" w:cstheme="minorHAnsi"/>
                <w:sz w:val="20"/>
                <w:szCs w:val="20"/>
              </w:rPr>
              <w:t xml:space="preserve"> oraz do sieci operatorów niezależnych.</w:t>
            </w:r>
            <w:r w:rsidRPr="0038322F">
              <w:rPr>
                <w:rFonts w:cstheme="minorHAnsi"/>
                <w:sz w:val="20"/>
                <w:szCs w:val="20"/>
              </w:rPr>
              <w:br/>
            </w:r>
            <w:r w:rsidRPr="0038322F">
              <w:rPr>
                <w:rFonts w:eastAsia="Aptos" w:cstheme="minorHAnsi"/>
                <w:sz w:val="20"/>
                <w:szCs w:val="20"/>
              </w:rPr>
              <w:t xml:space="preserve"> Przepis przejściowy: dotychczasowe umowy elastyczne dostosowuje się w terminie 12 miesięcy.</w:t>
            </w:r>
          </w:p>
        </w:tc>
        <w:tc>
          <w:tcPr>
            <w:tcW w:w="1286" w:type="dxa"/>
          </w:tcPr>
          <w:p w14:paraId="7FE1EA87" w14:textId="77777777" w:rsidR="00B76C86" w:rsidRPr="0038322F" w:rsidRDefault="00B76C86" w:rsidP="00B76C86">
            <w:pPr>
              <w:jc w:val="both"/>
              <w:rPr>
                <w:rFonts w:cstheme="minorHAnsi"/>
                <w:sz w:val="20"/>
                <w:szCs w:val="20"/>
              </w:rPr>
            </w:pPr>
          </w:p>
        </w:tc>
      </w:tr>
      <w:tr w:rsidR="00B76C86" w:rsidRPr="0038322F" w14:paraId="41A7D157" w14:textId="77777777" w:rsidTr="00862BFF">
        <w:tc>
          <w:tcPr>
            <w:tcW w:w="846" w:type="dxa"/>
          </w:tcPr>
          <w:p w14:paraId="6FC77FCE" w14:textId="77777777" w:rsidR="00B76C86" w:rsidRPr="0038322F" w:rsidRDefault="00B76C86" w:rsidP="00B74CC0">
            <w:pPr>
              <w:pStyle w:val="Akapitzlist"/>
              <w:numPr>
                <w:ilvl w:val="0"/>
                <w:numId w:val="15"/>
              </w:numPr>
              <w:ind w:left="313"/>
              <w:jc w:val="center"/>
              <w:rPr>
                <w:rFonts w:cstheme="minorHAnsi"/>
                <w:sz w:val="20"/>
                <w:szCs w:val="20"/>
              </w:rPr>
            </w:pPr>
          </w:p>
        </w:tc>
        <w:tc>
          <w:tcPr>
            <w:tcW w:w="1843" w:type="dxa"/>
          </w:tcPr>
          <w:p w14:paraId="5E213E67" w14:textId="59F54A35" w:rsidR="00B76C86" w:rsidRPr="0038322F" w:rsidRDefault="00B76C86" w:rsidP="00B76C86">
            <w:pPr>
              <w:spacing w:after="160"/>
              <w:jc w:val="center"/>
              <w:rPr>
                <w:rFonts w:cstheme="minorHAnsi"/>
                <w:sz w:val="20"/>
                <w:szCs w:val="20"/>
              </w:rPr>
            </w:pPr>
            <w:r w:rsidRPr="0038322F">
              <w:rPr>
                <w:rFonts w:eastAsia="Aptos" w:cstheme="minorHAnsi"/>
                <w:sz w:val="20"/>
                <w:szCs w:val="20"/>
              </w:rPr>
              <w:t xml:space="preserve">art. 72 </w:t>
            </w:r>
            <w:proofErr w:type="spellStart"/>
            <w:r w:rsidRPr="0038322F">
              <w:rPr>
                <w:rFonts w:eastAsia="Aptos" w:cstheme="minorHAnsi"/>
                <w:sz w:val="20"/>
                <w:szCs w:val="20"/>
              </w:rPr>
              <w:t>uPE</w:t>
            </w:r>
            <w:proofErr w:type="spellEnd"/>
            <w:r w:rsidRPr="0038322F">
              <w:rPr>
                <w:rFonts w:eastAsia="Aptos" w:cstheme="minorHAnsi"/>
                <w:sz w:val="20"/>
                <w:szCs w:val="20"/>
              </w:rPr>
              <w:t xml:space="preserve"> (nowy – ust. 3–6)</w:t>
            </w:r>
          </w:p>
        </w:tc>
        <w:tc>
          <w:tcPr>
            <w:tcW w:w="5670" w:type="dxa"/>
          </w:tcPr>
          <w:p w14:paraId="1DAE6768" w14:textId="6B584149" w:rsidR="00B76C86" w:rsidRPr="0038322F" w:rsidRDefault="00B76C86" w:rsidP="00B76C86">
            <w:pPr>
              <w:spacing w:after="160"/>
              <w:jc w:val="both"/>
              <w:rPr>
                <w:rFonts w:cstheme="minorHAnsi"/>
                <w:sz w:val="20"/>
                <w:szCs w:val="20"/>
              </w:rPr>
            </w:pPr>
            <w:r w:rsidRPr="0038322F">
              <w:rPr>
                <w:rFonts w:eastAsia="Aptos" w:cstheme="minorHAnsi"/>
                <w:sz w:val="20"/>
                <w:szCs w:val="20"/>
              </w:rPr>
              <w:t xml:space="preserve">Konfigurowalne umowy przyłączeniowe mogą mieć charakter bezterminowy, lecz projekt nie określa minimalnych standardów przejrzystości i weryfikowalności parametrów sterowania (zdarzeń, progów, zmienności w czasie), co stwarza ryzyko niejednolitej praktyki operatorów oraz ogranicza </w:t>
            </w:r>
            <w:proofErr w:type="spellStart"/>
            <w:r w:rsidRPr="0038322F">
              <w:rPr>
                <w:rFonts w:eastAsia="Aptos" w:cstheme="minorHAnsi"/>
                <w:sz w:val="20"/>
                <w:szCs w:val="20"/>
              </w:rPr>
              <w:t>bankowalność</w:t>
            </w:r>
            <w:proofErr w:type="spellEnd"/>
            <w:r w:rsidRPr="0038322F">
              <w:rPr>
                <w:rFonts w:eastAsia="Aptos" w:cstheme="minorHAnsi"/>
                <w:sz w:val="20"/>
                <w:szCs w:val="20"/>
              </w:rPr>
              <w:t xml:space="preserve"> OZE i magazynów.</w:t>
            </w:r>
            <w:r w:rsidRPr="0038322F">
              <w:rPr>
                <w:rFonts w:cstheme="minorHAnsi"/>
                <w:sz w:val="20"/>
                <w:szCs w:val="20"/>
              </w:rPr>
              <w:br/>
            </w:r>
            <w:r w:rsidRPr="0038322F">
              <w:rPr>
                <w:rFonts w:eastAsia="Aptos" w:cstheme="minorHAnsi"/>
                <w:sz w:val="20"/>
                <w:szCs w:val="20"/>
              </w:rPr>
              <w:t xml:space="preserve"> </w:t>
            </w:r>
            <w:r w:rsidRPr="0038322F">
              <w:rPr>
                <w:rFonts w:cstheme="minorHAnsi"/>
                <w:sz w:val="20"/>
                <w:szCs w:val="20"/>
              </w:rPr>
              <w:br/>
            </w:r>
            <w:r w:rsidRPr="0038322F">
              <w:rPr>
                <w:rFonts w:eastAsia="Aptos" w:cstheme="minorHAnsi"/>
                <w:sz w:val="20"/>
                <w:szCs w:val="20"/>
              </w:rPr>
              <w:t>Uzasadnienie: Wprowadzenie obowiązku publikacji i metod weryfikacji minimalizuje asymetrię informacji i wspiera konkurencję usług elastyczności.</w:t>
            </w:r>
            <w:r w:rsidRPr="0038322F">
              <w:rPr>
                <w:rFonts w:cstheme="minorHAnsi"/>
                <w:sz w:val="20"/>
                <w:szCs w:val="20"/>
              </w:rPr>
              <w:br/>
            </w:r>
            <w:r w:rsidRPr="0038322F">
              <w:rPr>
                <w:rFonts w:eastAsia="Aptos" w:cstheme="minorHAnsi"/>
                <w:sz w:val="20"/>
                <w:szCs w:val="20"/>
              </w:rPr>
              <w:t xml:space="preserve"> </w:t>
            </w:r>
            <w:r w:rsidRPr="0038322F">
              <w:rPr>
                <w:rFonts w:cstheme="minorHAnsi"/>
                <w:sz w:val="20"/>
                <w:szCs w:val="20"/>
              </w:rPr>
              <w:br/>
            </w:r>
            <w:r w:rsidRPr="0038322F">
              <w:rPr>
                <w:rFonts w:eastAsia="Aptos" w:cstheme="minorHAnsi"/>
                <w:sz w:val="20"/>
                <w:szCs w:val="20"/>
              </w:rPr>
              <w:t>Przykład: instalacja PV 20 MW z konfigurowalną umową: operator publikuje progi napięciowe i dopuszczalny roczny limit 8% energii z możliwością maks. 2 godzin nieprzerwanego ograniczenia – inwestor może ustawić algorytmy magazynu.</w:t>
            </w:r>
          </w:p>
        </w:tc>
        <w:tc>
          <w:tcPr>
            <w:tcW w:w="4394" w:type="dxa"/>
          </w:tcPr>
          <w:p w14:paraId="1548D878" w14:textId="77777777" w:rsidR="005C702A" w:rsidRDefault="00B76C86" w:rsidP="005C702A">
            <w:pPr>
              <w:jc w:val="both"/>
              <w:rPr>
                <w:rFonts w:eastAsia="Aptos" w:cstheme="minorHAnsi"/>
                <w:sz w:val="20"/>
                <w:szCs w:val="20"/>
              </w:rPr>
            </w:pPr>
            <w:r w:rsidRPr="0038322F">
              <w:rPr>
                <w:rFonts w:eastAsia="Aptos" w:cstheme="minorHAnsi"/>
                <w:sz w:val="20"/>
                <w:szCs w:val="20"/>
              </w:rPr>
              <w:t>W art. 72 dodaje się ust. 3–6 w brzmieniu:</w:t>
            </w:r>
            <w:r w:rsidRPr="0038322F">
              <w:rPr>
                <w:rFonts w:cstheme="minorHAnsi"/>
                <w:sz w:val="20"/>
                <w:szCs w:val="20"/>
              </w:rPr>
              <w:br/>
            </w:r>
            <w:r w:rsidRPr="0038322F">
              <w:rPr>
                <w:rFonts w:eastAsia="Aptos" w:cstheme="minorHAnsi"/>
                <w:sz w:val="20"/>
                <w:szCs w:val="20"/>
              </w:rPr>
              <w:t xml:space="preserve"> 3. Konfigurowalna umowa o przyłączenie zawiera: 1) listę zdarzeń i parametrów pracy sieci mogących powodować ograniczenia oraz ich progi; 2) dopuszczalny roczny wymiar ograniczeń w energiach oraz maksymalną liczbę godzin ciągiem; 3) zasady zmiany konfiguracji oraz tryb notyfikacji użytkownika z wyprzedzeniem nie krótszym niż 24 godziny w przypadku zmian planowych.</w:t>
            </w:r>
            <w:r w:rsidRPr="0038322F">
              <w:rPr>
                <w:rFonts w:cstheme="minorHAnsi"/>
                <w:sz w:val="20"/>
                <w:szCs w:val="20"/>
              </w:rPr>
              <w:br/>
            </w:r>
            <w:r w:rsidRPr="0038322F">
              <w:rPr>
                <w:rFonts w:eastAsia="Aptos" w:cstheme="minorHAnsi"/>
                <w:sz w:val="20"/>
                <w:szCs w:val="20"/>
              </w:rPr>
              <w:t xml:space="preserve"> 4. Operator publikuje na swojej stronie internetowej i w systemie, o którym mowa w art. 7 ust. 3a2, zbiór zasad, o którym mowa w ust. 3, oraz ich aktualizacje.</w:t>
            </w:r>
          </w:p>
          <w:p w14:paraId="4A3DD943" w14:textId="075CFC54" w:rsidR="00B76C86" w:rsidRPr="005C702A" w:rsidRDefault="00B76C86" w:rsidP="005C702A">
            <w:pPr>
              <w:jc w:val="both"/>
              <w:rPr>
                <w:rFonts w:eastAsia="Aptos" w:cstheme="minorHAnsi"/>
                <w:sz w:val="20"/>
                <w:szCs w:val="20"/>
              </w:rPr>
            </w:pPr>
            <w:r w:rsidRPr="0038322F">
              <w:rPr>
                <w:rFonts w:eastAsia="Aptos" w:cstheme="minorHAnsi"/>
                <w:sz w:val="20"/>
                <w:szCs w:val="20"/>
              </w:rPr>
              <w:t xml:space="preserve"> 5. Postanowienia ust. 3–4 podlegają zatwierdzeniu przez Prezesa Urzędu Regulacji Energetyki.</w:t>
            </w:r>
            <w:r w:rsidRPr="0038322F">
              <w:rPr>
                <w:rFonts w:cstheme="minorHAnsi"/>
                <w:sz w:val="20"/>
                <w:szCs w:val="20"/>
              </w:rPr>
              <w:br/>
            </w:r>
            <w:r w:rsidRPr="0038322F">
              <w:rPr>
                <w:rFonts w:eastAsia="Aptos" w:cstheme="minorHAnsi"/>
                <w:sz w:val="20"/>
                <w:szCs w:val="20"/>
              </w:rPr>
              <w:t xml:space="preserve"> 6. Do rejestracji i udostępniania danych o ograniczeniach stosuje się art. 71 ust. 8.</w:t>
            </w:r>
          </w:p>
        </w:tc>
        <w:tc>
          <w:tcPr>
            <w:tcW w:w="1286" w:type="dxa"/>
          </w:tcPr>
          <w:p w14:paraId="116097AF" w14:textId="77777777" w:rsidR="00B76C86" w:rsidRPr="0038322F" w:rsidRDefault="00B76C86" w:rsidP="00B76C86">
            <w:pPr>
              <w:jc w:val="both"/>
              <w:rPr>
                <w:rFonts w:cstheme="minorHAnsi"/>
                <w:sz w:val="20"/>
                <w:szCs w:val="20"/>
              </w:rPr>
            </w:pPr>
          </w:p>
        </w:tc>
      </w:tr>
      <w:tr w:rsidR="00B76C86" w:rsidRPr="0038322F" w14:paraId="3BAAE5A5" w14:textId="77777777" w:rsidTr="00862BFF">
        <w:tc>
          <w:tcPr>
            <w:tcW w:w="846" w:type="dxa"/>
          </w:tcPr>
          <w:p w14:paraId="1CDFA9A7" w14:textId="77777777" w:rsidR="00B76C86" w:rsidRPr="0038322F" w:rsidRDefault="00B76C86" w:rsidP="00B74CC0">
            <w:pPr>
              <w:pStyle w:val="Akapitzlist"/>
              <w:numPr>
                <w:ilvl w:val="0"/>
                <w:numId w:val="15"/>
              </w:numPr>
              <w:ind w:left="313"/>
              <w:jc w:val="center"/>
              <w:rPr>
                <w:rFonts w:cstheme="minorHAnsi"/>
                <w:sz w:val="20"/>
                <w:szCs w:val="20"/>
              </w:rPr>
            </w:pPr>
          </w:p>
        </w:tc>
        <w:tc>
          <w:tcPr>
            <w:tcW w:w="1843" w:type="dxa"/>
          </w:tcPr>
          <w:p w14:paraId="70CE235C" w14:textId="60C78504" w:rsidR="00B76C86" w:rsidRPr="00717890" w:rsidRDefault="00B76C86" w:rsidP="00717890">
            <w:pPr>
              <w:spacing w:after="160"/>
              <w:jc w:val="center"/>
              <w:rPr>
                <w:rFonts w:eastAsia="Aptos" w:cstheme="minorHAnsi"/>
                <w:sz w:val="20"/>
                <w:szCs w:val="20"/>
              </w:rPr>
            </w:pPr>
            <w:r w:rsidRPr="0038322F">
              <w:rPr>
                <w:rFonts w:eastAsia="Aptos" w:cstheme="minorHAnsi"/>
                <w:sz w:val="20"/>
                <w:szCs w:val="20"/>
              </w:rPr>
              <w:t xml:space="preserve">art. 71 i art. 72 </w:t>
            </w:r>
            <w:proofErr w:type="spellStart"/>
            <w:r w:rsidRPr="0038322F">
              <w:rPr>
                <w:rFonts w:eastAsia="Aptos" w:cstheme="minorHAnsi"/>
                <w:sz w:val="20"/>
                <w:szCs w:val="20"/>
              </w:rPr>
              <w:t>uPE</w:t>
            </w:r>
            <w:proofErr w:type="spellEnd"/>
            <w:r w:rsidR="00717890">
              <w:rPr>
                <w:rFonts w:eastAsia="Aptos" w:cstheme="minorHAnsi"/>
                <w:sz w:val="20"/>
                <w:szCs w:val="20"/>
              </w:rPr>
              <w:t xml:space="preserve"> - nowy</w:t>
            </w:r>
            <w:r w:rsidRPr="0038322F">
              <w:rPr>
                <w:rFonts w:eastAsia="Aptos" w:cstheme="minorHAnsi"/>
                <w:sz w:val="20"/>
                <w:szCs w:val="20"/>
              </w:rPr>
              <w:t xml:space="preserve"> </w:t>
            </w:r>
          </w:p>
        </w:tc>
        <w:tc>
          <w:tcPr>
            <w:tcW w:w="5670" w:type="dxa"/>
          </w:tcPr>
          <w:p w14:paraId="79E00D05" w14:textId="14A4B2DB" w:rsidR="00B76C86" w:rsidRPr="0038322F" w:rsidRDefault="00B76C86" w:rsidP="00B76C86">
            <w:pPr>
              <w:spacing w:after="160"/>
              <w:jc w:val="both"/>
              <w:rPr>
                <w:rFonts w:cstheme="minorHAnsi"/>
                <w:sz w:val="20"/>
                <w:szCs w:val="20"/>
              </w:rPr>
            </w:pPr>
            <w:r w:rsidRPr="0038322F">
              <w:rPr>
                <w:rFonts w:eastAsia="Aptos" w:cstheme="minorHAnsi"/>
                <w:sz w:val="20"/>
                <w:szCs w:val="20"/>
              </w:rPr>
              <w:t>Projekt nie precyzuje stosowania elastycznych i konfigurowalnych umów w sieciach operatorów systemów dystrybucyjnych niepublicznych (OSDn), co może prowadzić do luki regulacyjnej.</w:t>
            </w:r>
            <w:r w:rsidRPr="0038322F">
              <w:rPr>
                <w:rFonts w:cstheme="minorHAnsi"/>
                <w:sz w:val="20"/>
                <w:szCs w:val="20"/>
              </w:rPr>
              <w:br/>
            </w:r>
            <w:r w:rsidRPr="0038322F">
              <w:rPr>
                <w:rFonts w:eastAsia="Aptos" w:cstheme="minorHAnsi"/>
                <w:sz w:val="20"/>
                <w:szCs w:val="20"/>
              </w:rPr>
              <w:t xml:space="preserve"> </w:t>
            </w:r>
            <w:r w:rsidRPr="0038322F">
              <w:rPr>
                <w:rFonts w:cstheme="minorHAnsi"/>
                <w:sz w:val="20"/>
                <w:szCs w:val="20"/>
              </w:rPr>
              <w:br/>
            </w:r>
            <w:r w:rsidRPr="0038322F">
              <w:rPr>
                <w:rFonts w:eastAsia="Aptos" w:cstheme="minorHAnsi"/>
                <w:sz w:val="20"/>
                <w:szCs w:val="20"/>
              </w:rPr>
              <w:t>Uzasadnienie: jednolitość standardów, neutralność technologiczna.</w:t>
            </w:r>
          </w:p>
        </w:tc>
        <w:tc>
          <w:tcPr>
            <w:tcW w:w="4394" w:type="dxa"/>
          </w:tcPr>
          <w:p w14:paraId="16AF684A" w14:textId="7895AB7B" w:rsidR="00B76C86" w:rsidRPr="0038322F" w:rsidRDefault="00B76C86" w:rsidP="00B76C86">
            <w:pPr>
              <w:spacing w:after="160"/>
              <w:jc w:val="both"/>
              <w:rPr>
                <w:rFonts w:cstheme="minorHAnsi"/>
                <w:sz w:val="20"/>
                <w:szCs w:val="20"/>
              </w:rPr>
            </w:pPr>
            <w:r w:rsidRPr="0038322F">
              <w:rPr>
                <w:rFonts w:eastAsia="Aptos" w:cstheme="minorHAnsi"/>
                <w:sz w:val="20"/>
                <w:szCs w:val="20"/>
              </w:rPr>
              <w:t>W art. 71 dodaje się ust. 10, a w art. 72 dodaje się ust. 7 w brzmieniu:</w:t>
            </w:r>
            <w:r w:rsidRPr="0038322F">
              <w:rPr>
                <w:rFonts w:cstheme="minorHAnsi"/>
                <w:sz w:val="20"/>
                <w:szCs w:val="20"/>
              </w:rPr>
              <w:br/>
            </w:r>
            <w:r w:rsidRPr="0038322F">
              <w:rPr>
                <w:rFonts w:eastAsia="Aptos" w:cstheme="minorHAnsi"/>
                <w:sz w:val="20"/>
                <w:szCs w:val="20"/>
              </w:rPr>
              <w:t xml:space="preserve"> Przepisy niniejszego artykułu stosuje się odpowiednio do operatorów systemów dystrybucyjnych.</w:t>
            </w:r>
          </w:p>
        </w:tc>
        <w:tc>
          <w:tcPr>
            <w:tcW w:w="1286" w:type="dxa"/>
          </w:tcPr>
          <w:p w14:paraId="3C2A3E75" w14:textId="77777777" w:rsidR="00B76C86" w:rsidRPr="0038322F" w:rsidRDefault="00B76C86" w:rsidP="00B76C86">
            <w:pPr>
              <w:jc w:val="both"/>
              <w:rPr>
                <w:rFonts w:cstheme="minorHAnsi"/>
                <w:sz w:val="20"/>
                <w:szCs w:val="20"/>
              </w:rPr>
            </w:pPr>
          </w:p>
        </w:tc>
      </w:tr>
      <w:tr w:rsidR="00B76C86" w:rsidRPr="0038322F" w14:paraId="3D44D14B" w14:textId="77777777" w:rsidTr="00862BFF">
        <w:trPr>
          <w:trHeight w:val="300"/>
        </w:trPr>
        <w:tc>
          <w:tcPr>
            <w:tcW w:w="846" w:type="dxa"/>
          </w:tcPr>
          <w:p w14:paraId="030E54D8" w14:textId="2E0934C1" w:rsidR="00B76C86" w:rsidRPr="0038322F" w:rsidRDefault="00B76C86" w:rsidP="00B74CC0">
            <w:pPr>
              <w:pStyle w:val="Akapitzlist"/>
              <w:numPr>
                <w:ilvl w:val="0"/>
                <w:numId w:val="15"/>
              </w:numPr>
              <w:ind w:left="313"/>
              <w:jc w:val="center"/>
              <w:rPr>
                <w:rFonts w:cstheme="minorHAnsi"/>
                <w:sz w:val="20"/>
                <w:szCs w:val="20"/>
              </w:rPr>
            </w:pPr>
          </w:p>
        </w:tc>
        <w:tc>
          <w:tcPr>
            <w:tcW w:w="1843" w:type="dxa"/>
          </w:tcPr>
          <w:p w14:paraId="102662DA" w14:textId="33E772FC" w:rsidR="00B76C86" w:rsidRPr="0038322F" w:rsidRDefault="00B76C86" w:rsidP="00B76C86">
            <w:pPr>
              <w:ind w:left="174" w:right="121"/>
              <w:jc w:val="center"/>
              <w:rPr>
                <w:rFonts w:cstheme="minorHAnsi"/>
                <w:sz w:val="20"/>
                <w:szCs w:val="20"/>
              </w:rPr>
            </w:pPr>
            <w:r w:rsidRPr="0038322F">
              <w:rPr>
                <w:rFonts w:eastAsia="Lato" w:cstheme="minorHAnsi"/>
                <w:sz w:val="20"/>
                <w:szCs w:val="20"/>
              </w:rPr>
              <w:t>Uwaga ogólna</w:t>
            </w:r>
          </w:p>
        </w:tc>
        <w:tc>
          <w:tcPr>
            <w:tcW w:w="5670" w:type="dxa"/>
          </w:tcPr>
          <w:p w14:paraId="1CB27BF1" w14:textId="13A9A6B8" w:rsidR="00B76C86" w:rsidRPr="0038322F" w:rsidRDefault="00B76C86" w:rsidP="004973DF">
            <w:pPr>
              <w:ind w:right="142"/>
              <w:jc w:val="both"/>
              <w:rPr>
                <w:rFonts w:cstheme="minorHAnsi"/>
                <w:sz w:val="20"/>
                <w:szCs w:val="20"/>
              </w:rPr>
            </w:pPr>
            <w:r w:rsidRPr="0038322F">
              <w:rPr>
                <w:rFonts w:eastAsia="Lato" w:cstheme="minorHAnsi"/>
                <w:sz w:val="20"/>
                <w:szCs w:val="20"/>
              </w:rPr>
              <w:t>Wszędzie tam, gdzie występuje obowiązek informacyjny wobec Urzędu Regulacji Energetyki oraz właściwych Ministerstw proponujemy</w:t>
            </w:r>
            <w:r w:rsidR="004973DF">
              <w:rPr>
                <w:rFonts w:eastAsia="Lato" w:cstheme="minorHAnsi"/>
                <w:sz w:val="20"/>
                <w:szCs w:val="20"/>
              </w:rPr>
              <w:t>,</w:t>
            </w:r>
            <w:r w:rsidRPr="0038322F">
              <w:rPr>
                <w:rFonts w:eastAsia="Lato" w:cstheme="minorHAnsi"/>
                <w:sz w:val="20"/>
                <w:szCs w:val="20"/>
              </w:rPr>
              <w:t xml:space="preserve"> aby jakiekolwiek sprawozdania składać do jednego podmiotu, co znacząco ułatwi funkcjonowanie przedsiębiorstw energetycznych.</w:t>
            </w:r>
          </w:p>
        </w:tc>
        <w:tc>
          <w:tcPr>
            <w:tcW w:w="4394" w:type="dxa"/>
          </w:tcPr>
          <w:p w14:paraId="5C901983" w14:textId="7567304F" w:rsidR="00B76C86" w:rsidRPr="0038322F" w:rsidRDefault="00B76C86" w:rsidP="00B76C86">
            <w:pPr>
              <w:ind w:left="141" w:right="141"/>
              <w:jc w:val="both"/>
              <w:rPr>
                <w:rFonts w:eastAsia="Lato" w:cstheme="minorHAnsi"/>
                <w:sz w:val="20"/>
                <w:szCs w:val="20"/>
              </w:rPr>
            </w:pPr>
          </w:p>
        </w:tc>
        <w:tc>
          <w:tcPr>
            <w:tcW w:w="1286" w:type="dxa"/>
          </w:tcPr>
          <w:p w14:paraId="7C9DF826" w14:textId="7BED45BA" w:rsidR="00B76C86" w:rsidRPr="0038322F" w:rsidRDefault="00B76C86" w:rsidP="00B76C86">
            <w:pPr>
              <w:jc w:val="both"/>
              <w:rPr>
                <w:rFonts w:cstheme="minorHAnsi"/>
                <w:sz w:val="20"/>
                <w:szCs w:val="20"/>
              </w:rPr>
            </w:pPr>
          </w:p>
        </w:tc>
      </w:tr>
      <w:tr w:rsidR="00B76C86" w:rsidRPr="0038322F" w14:paraId="4BA7BD9B" w14:textId="77777777" w:rsidTr="00862BFF">
        <w:trPr>
          <w:trHeight w:val="300"/>
        </w:trPr>
        <w:tc>
          <w:tcPr>
            <w:tcW w:w="846" w:type="dxa"/>
          </w:tcPr>
          <w:p w14:paraId="37B7C3CB" w14:textId="77777777" w:rsidR="00B76C86" w:rsidRPr="0038322F" w:rsidRDefault="00B76C86" w:rsidP="00B74CC0">
            <w:pPr>
              <w:pStyle w:val="Akapitzlist"/>
              <w:numPr>
                <w:ilvl w:val="0"/>
                <w:numId w:val="15"/>
              </w:numPr>
              <w:ind w:left="313"/>
              <w:jc w:val="center"/>
              <w:rPr>
                <w:rFonts w:cstheme="minorHAnsi"/>
                <w:sz w:val="20"/>
                <w:szCs w:val="20"/>
              </w:rPr>
            </w:pPr>
          </w:p>
        </w:tc>
        <w:tc>
          <w:tcPr>
            <w:tcW w:w="1843" w:type="dxa"/>
          </w:tcPr>
          <w:p w14:paraId="1FDF1252" w14:textId="0CDA8B79" w:rsidR="00B76C86" w:rsidRPr="0038322F" w:rsidRDefault="00B76C86" w:rsidP="00B76C86">
            <w:pPr>
              <w:jc w:val="center"/>
              <w:rPr>
                <w:rFonts w:cstheme="minorHAnsi"/>
                <w:sz w:val="20"/>
                <w:szCs w:val="20"/>
              </w:rPr>
            </w:pPr>
            <w:r w:rsidRPr="0038322F">
              <w:rPr>
                <w:rFonts w:cstheme="minorHAnsi"/>
                <w:sz w:val="20"/>
                <w:szCs w:val="20"/>
              </w:rPr>
              <w:t>Rozruch technologiczny</w:t>
            </w:r>
          </w:p>
        </w:tc>
        <w:tc>
          <w:tcPr>
            <w:tcW w:w="5670" w:type="dxa"/>
          </w:tcPr>
          <w:p w14:paraId="166EE60B" w14:textId="2C9F97A1" w:rsidR="00B76C86" w:rsidRPr="0038322F" w:rsidRDefault="00B76C86" w:rsidP="00795FA8">
            <w:pPr>
              <w:jc w:val="both"/>
              <w:rPr>
                <w:rFonts w:cstheme="minorHAnsi"/>
                <w:sz w:val="20"/>
                <w:szCs w:val="20"/>
                <w:u w:val="single"/>
              </w:rPr>
            </w:pPr>
            <w:r w:rsidRPr="0038322F">
              <w:rPr>
                <w:rFonts w:cstheme="minorHAnsi"/>
                <w:sz w:val="20"/>
                <w:szCs w:val="20"/>
              </w:rPr>
              <w:t xml:space="preserve">Przepis nadal może budzić wątpliwości czy do rozpoczęcia realizacji umowy mocowej byłoby wystarczające pierwsze wprowadzenie energii do sieci, czy uzyskanie wpisu do rejestru PURE ustanawianego w </w:t>
            </w:r>
            <w:r w:rsidR="00795FA8">
              <w:rPr>
                <w:rFonts w:cstheme="minorHAnsi"/>
                <w:sz w:val="20"/>
                <w:szCs w:val="20"/>
              </w:rPr>
              <w:t>art.</w:t>
            </w:r>
            <w:r w:rsidRPr="0038322F">
              <w:rPr>
                <w:rFonts w:cstheme="minorHAnsi"/>
                <w:sz w:val="20"/>
                <w:szCs w:val="20"/>
              </w:rPr>
              <w:t xml:space="preserve"> 43k ust. 1. </w:t>
            </w:r>
          </w:p>
          <w:p w14:paraId="377BF509" w14:textId="5C90D092" w:rsidR="00B76C86" w:rsidRPr="0038322F" w:rsidRDefault="00B76C86" w:rsidP="00B76C86">
            <w:pPr>
              <w:jc w:val="both"/>
              <w:rPr>
                <w:rFonts w:cstheme="minorHAnsi"/>
                <w:sz w:val="20"/>
                <w:szCs w:val="20"/>
                <w:u w:val="single"/>
              </w:rPr>
            </w:pPr>
            <w:r w:rsidRPr="0038322F">
              <w:rPr>
                <w:rFonts w:cstheme="minorHAnsi"/>
                <w:sz w:val="20"/>
                <w:szCs w:val="20"/>
              </w:rPr>
              <w:t>Celem wyeliminowania wątpliwości proponuj</w:t>
            </w:r>
            <w:r w:rsidR="00795FA8">
              <w:rPr>
                <w:rFonts w:cstheme="minorHAnsi"/>
                <w:sz w:val="20"/>
                <w:szCs w:val="20"/>
              </w:rPr>
              <w:t>emy</w:t>
            </w:r>
            <w:r w:rsidRPr="0038322F">
              <w:rPr>
                <w:rFonts w:cstheme="minorHAnsi"/>
                <w:sz w:val="20"/>
                <w:szCs w:val="20"/>
              </w:rPr>
              <w:t xml:space="preserve"> </w:t>
            </w:r>
            <w:r w:rsidRPr="0038322F">
              <w:rPr>
                <w:rFonts w:cstheme="minorHAnsi"/>
                <w:sz w:val="20"/>
                <w:szCs w:val="20"/>
                <w:u w:val="single"/>
              </w:rPr>
              <w:t xml:space="preserve">wskazać wprost realizację obowiązku </w:t>
            </w:r>
            <w:proofErr w:type="spellStart"/>
            <w:r w:rsidRPr="0038322F">
              <w:rPr>
                <w:rFonts w:cstheme="minorHAnsi"/>
                <w:sz w:val="20"/>
                <w:szCs w:val="20"/>
                <w:u w:val="single"/>
              </w:rPr>
              <w:t>mocowego</w:t>
            </w:r>
            <w:proofErr w:type="spellEnd"/>
            <w:r w:rsidRPr="0038322F">
              <w:rPr>
                <w:rFonts w:cstheme="minorHAnsi"/>
                <w:sz w:val="20"/>
                <w:szCs w:val="20"/>
                <w:u w:val="single"/>
              </w:rPr>
              <w:t xml:space="preserve"> w art 43i.</w:t>
            </w:r>
          </w:p>
          <w:p w14:paraId="29742739" w14:textId="77777777" w:rsidR="00B76C86" w:rsidRPr="0038322F" w:rsidRDefault="00B76C86" w:rsidP="00B76C86">
            <w:pPr>
              <w:jc w:val="both"/>
              <w:rPr>
                <w:rFonts w:cstheme="minorHAnsi"/>
                <w:sz w:val="20"/>
                <w:szCs w:val="20"/>
              </w:rPr>
            </w:pPr>
          </w:p>
          <w:p w14:paraId="3FA954D1" w14:textId="2FCED32E" w:rsidR="00B76C86" w:rsidRPr="0038322F" w:rsidRDefault="00B76C86" w:rsidP="00B76C86">
            <w:pPr>
              <w:jc w:val="both"/>
              <w:rPr>
                <w:rFonts w:cstheme="minorHAnsi"/>
                <w:sz w:val="20"/>
                <w:szCs w:val="20"/>
              </w:rPr>
            </w:pPr>
            <w:r w:rsidRPr="0038322F">
              <w:rPr>
                <w:rFonts w:cstheme="minorHAnsi"/>
                <w:sz w:val="20"/>
                <w:szCs w:val="20"/>
              </w:rPr>
              <w:t>Zwracamy uwagę na brak ochrony prawnej podmiotów które wygrały aukcję OZE nie są w stanie z niezależnych powodów dokonać pierwszej sprzedaży energii w terminie zgodnym ze zobowiązaniem aukcyjnym. Nie ma regulacji które obejmowałoby takie sytuacje, jak brak gotowości operatora sieci do przyłączenia instalacji w terminie zgodnym z umową o przyłączenie, przedłużające się procedury testów, przedłużający się proces koncesyjny w URE. Te procesy są poza kontrolą inwestora, narażając go w sposób nieodwołalny na utratę prawa do całego okresu wsparcia oraz wpłaconej wcześniej kaucji.</w:t>
            </w:r>
          </w:p>
          <w:p w14:paraId="03F00DE3" w14:textId="42332899" w:rsidR="00B76C86" w:rsidRPr="0038322F" w:rsidRDefault="00B76C86" w:rsidP="00B76C86">
            <w:pPr>
              <w:jc w:val="both"/>
              <w:rPr>
                <w:rFonts w:cstheme="minorHAnsi"/>
                <w:sz w:val="20"/>
                <w:szCs w:val="20"/>
              </w:rPr>
            </w:pPr>
            <w:r w:rsidRPr="0038322F">
              <w:rPr>
                <w:rFonts w:cstheme="minorHAnsi"/>
                <w:sz w:val="20"/>
                <w:szCs w:val="20"/>
              </w:rPr>
              <w:t>Proponowana nowelizacja wychodzi naprzeciw wyzwaniom związanym z długotrwałym procesem przyłączeniowym i koncesyjnym, a także stwarza szansę na zaadresowania powyższej kwestii. Dlatego p</w:t>
            </w:r>
            <w:r w:rsidRPr="0038322F">
              <w:rPr>
                <w:rFonts w:cstheme="minorHAnsi"/>
                <w:sz w:val="20"/>
                <w:szCs w:val="20"/>
                <w:u w:val="single"/>
              </w:rPr>
              <w:t xml:space="preserve">ierwsze wprowadzenie energii do sieci powinno przesądzać o uznaniu za spełnione wymagania aukcyjnego w zakresie terminu gotowości do wejścia do aukcyjnego systemu wsparcia (art. 79 ust 3 p. 8a) ustawy z dnia 20 lutego 2015 r. o odnawialnych źródłach energii </w:t>
            </w:r>
            <w:r w:rsidRPr="0038322F">
              <w:rPr>
                <w:rFonts w:cstheme="minorHAnsi"/>
                <w:sz w:val="20"/>
                <w:szCs w:val="20"/>
              </w:rPr>
              <w:t xml:space="preserve">(Dz.U. z. 2024 r. poz. 1361, z </w:t>
            </w:r>
            <w:proofErr w:type="spellStart"/>
            <w:r w:rsidRPr="0038322F">
              <w:rPr>
                <w:rFonts w:cstheme="minorHAnsi"/>
                <w:sz w:val="20"/>
                <w:szCs w:val="20"/>
              </w:rPr>
              <w:t>późn</w:t>
            </w:r>
            <w:proofErr w:type="spellEnd"/>
            <w:r w:rsidRPr="0038322F">
              <w:rPr>
                <w:rFonts w:cstheme="minorHAnsi"/>
                <w:sz w:val="20"/>
                <w:szCs w:val="20"/>
              </w:rPr>
              <w:t xml:space="preserve">. </w:t>
            </w:r>
            <w:proofErr w:type="spellStart"/>
            <w:r w:rsidRPr="0038322F">
              <w:rPr>
                <w:rFonts w:cstheme="minorHAnsi"/>
                <w:sz w:val="20"/>
                <w:szCs w:val="20"/>
              </w:rPr>
              <w:t>zm</w:t>
            </w:r>
            <w:proofErr w:type="spellEnd"/>
            <w:r w:rsidRPr="0038322F">
              <w:rPr>
                <w:rFonts w:cstheme="minorHAnsi"/>
                <w:sz w:val="20"/>
                <w:szCs w:val="20"/>
              </w:rPr>
              <w:t xml:space="preserve">). </w:t>
            </w:r>
          </w:p>
          <w:p w14:paraId="4BCEA9E2" w14:textId="2B517729" w:rsidR="00B76C86" w:rsidRPr="0038322F" w:rsidRDefault="00B76C86" w:rsidP="00B76C86">
            <w:pPr>
              <w:jc w:val="both"/>
              <w:rPr>
                <w:rFonts w:cstheme="minorHAnsi"/>
                <w:sz w:val="20"/>
                <w:szCs w:val="20"/>
              </w:rPr>
            </w:pPr>
            <w:r w:rsidRPr="0038322F">
              <w:rPr>
                <w:rFonts w:cstheme="minorHAnsi"/>
                <w:sz w:val="20"/>
                <w:szCs w:val="20"/>
              </w:rPr>
              <w:t xml:space="preserve">Nie widzimy potrzeby modyfikacji przepisów w zakresie rozpoczęcia okresu wsparcia ani pierwszej sprzedaży energii. Może zostać dodane ograniczenie, by w takiej sytuacji złożenie pierwszego wniosku o rozliczenie ujemnego salda następowało np. nie później niż 24 </w:t>
            </w:r>
            <w:proofErr w:type="spellStart"/>
            <w:r w:rsidRPr="0038322F">
              <w:rPr>
                <w:rFonts w:cstheme="minorHAnsi"/>
                <w:sz w:val="20"/>
                <w:szCs w:val="20"/>
              </w:rPr>
              <w:t>mce</w:t>
            </w:r>
            <w:proofErr w:type="spellEnd"/>
            <w:r w:rsidRPr="0038322F">
              <w:rPr>
                <w:rFonts w:cstheme="minorHAnsi"/>
                <w:sz w:val="20"/>
                <w:szCs w:val="20"/>
              </w:rPr>
              <w:t xml:space="preserve"> po dacie dostarczenia pierwszej energii elektrycznej do sieci (oczywiście po uzyskaniu wymaganej prawem koncesji), bądź w terminie maksymalnym określonym dla takiej sytuacji przez </w:t>
            </w:r>
            <w:proofErr w:type="spellStart"/>
            <w:r w:rsidRPr="0038322F">
              <w:rPr>
                <w:rFonts w:cstheme="minorHAnsi"/>
                <w:sz w:val="20"/>
                <w:szCs w:val="20"/>
              </w:rPr>
              <w:t>przez</w:t>
            </w:r>
            <w:proofErr w:type="spellEnd"/>
            <w:r w:rsidRPr="0038322F">
              <w:rPr>
                <w:rFonts w:cstheme="minorHAnsi"/>
                <w:sz w:val="20"/>
                <w:szCs w:val="20"/>
              </w:rPr>
              <w:t xml:space="preserve"> Prezesa URE.</w:t>
            </w:r>
          </w:p>
        </w:tc>
        <w:tc>
          <w:tcPr>
            <w:tcW w:w="4394" w:type="dxa"/>
          </w:tcPr>
          <w:p w14:paraId="525811A0" w14:textId="77777777" w:rsidR="00B76C86" w:rsidRPr="0038322F" w:rsidRDefault="00B76C86" w:rsidP="00B76C86">
            <w:pPr>
              <w:jc w:val="both"/>
              <w:rPr>
                <w:rFonts w:eastAsia="Lato" w:cstheme="minorHAnsi"/>
                <w:sz w:val="20"/>
                <w:szCs w:val="20"/>
              </w:rPr>
            </w:pPr>
          </w:p>
        </w:tc>
        <w:tc>
          <w:tcPr>
            <w:tcW w:w="1286" w:type="dxa"/>
          </w:tcPr>
          <w:p w14:paraId="17A90EC1" w14:textId="77777777" w:rsidR="00B76C86" w:rsidRPr="0038322F" w:rsidRDefault="00B76C86" w:rsidP="00B76C86">
            <w:pPr>
              <w:jc w:val="both"/>
              <w:rPr>
                <w:rFonts w:cstheme="minorHAnsi"/>
                <w:sz w:val="20"/>
                <w:szCs w:val="20"/>
              </w:rPr>
            </w:pPr>
          </w:p>
        </w:tc>
      </w:tr>
      <w:bookmarkEnd w:id="0"/>
    </w:tbl>
    <w:p w14:paraId="4A485AB3" w14:textId="77777777" w:rsidR="00CA2841" w:rsidRPr="0038322F" w:rsidRDefault="00CA2841" w:rsidP="00C83AC4">
      <w:pPr>
        <w:spacing w:after="0" w:line="240" w:lineRule="auto"/>
        <w:rPr>
          <w:rFonts w:cstheme="minorHAnsi"/>
          <w:sz w:val="20"/>
          <w:szCs w:val="20"/>
        </w:rPr>
      </w:pPr>
    </w:p>
    <w:sectPr w:rsidR="00CA2841" w:rsidRPr="0038322F" w:rsidSect="00B91BB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9C031" w14:textId="77777777" w:rsidR="00A86C50" w:rsidRDefault="00A86C50" w:rsidP="00CA2841">
      <w:pPr>
        <w:spacing w:after="0" w:line="240" w:lineRule="auto"/>
      </w:pPr>
      <w:r>
        <w:separator/>
      </w:r>
    </w:p>
  </w:endnote>
  <w:endnote w:type="continuationSeparator" w:id="0">
    <w:p w14:paraId="61C351B7" w14:textId="77777777" w:rsidR="00A86C50" w:rsidRDefault="00A86C50" w:rsidP="00CA2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9E4B4" w14:textId="77777777" w:rsidR="00A86C50" w:rsidRDefault="00A86C50" w:rsidP="00CA2841">
      <w:pPr>
        <w:spacing w:after="0" w:line="240" w:lineRule="auto"/>
      </w:pPr>
      <w:r>
        <w:separator/>
      </w:r>
    </w:p>
  </w:footnote>
  <w:footnote w:type="continuationSeparator" w:id="0">
    <w:p w14:paraId="77D76068" w14:textId="77777777" w:rsidR="00A86C50" w:rsidRDefault="00A86C50" w:rsidP="00CA2841">
      <w:pPr>
        <w:spacing w:after="0" w:line="240" w:lineRule="auto"/>
      </w:pPr>
      <w:r>
        <w:continuationSeparator/>
      </w:r>
    </w:p>
  </w:footnote>
  <w:footnote w:id="1">
    <w:p w14:paraId="722C9D04" w14:textId="76DFC1E6" w:rsidR="00B156A4" w:rsidRPr="00EF494C" w:rsidRDefault="00B156A4">
      <w:pPr>
        <w:pStyle w:val="Tekstprzypisudolnego"/>
        <w:rPr>
          <w:rFonts w:ascii="Lato" w:hAnsi="Lato" w:cs="Times New Roman"/>
          <w:sz w:val="22"/>
          <w:szCs w:val="22"/>
        </w:rPr>
      </w:pPr>
      <w:r w:rsidRPr="00EF494C">
        <w:rPr>
          <w:rStyle w:val="Odwoanieprzypisudolnego"/>
          <w:rFonts w:ascii="Lato" w:hAnsi="Lato" w:cs="Times New Roman"/>
        </w:rPr>
        <w:t>1)</w:t>
      </w:r>
      <w:r w:rsidRPr="00EF494C">
        <w:rPr>
          <w:rFonts w:ascii="Lato" w:hAnsi="Lato" w:cs="Times New Roman"/>
        </w:rPr>
        <w:t xml:space="preserve"> W przypadku aktu nowelizującego należy wskazać jednostkę redakcyjną projektu oraz jednostkę redakcyjną zmienianego aktu prawnego.</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336AD"/>
    <w:multiLevelType w:val="hybridMultilevel"/>
    <w:tmpl w:val="C0E6C6BA"/>
    <w:lvl w:ilvl="0" w:tplc="FFFFFFFF">
      <w:start w:val="1"/>
      <w:numFmt w:val="decimal"/>
      <w:lvlText w:val="%1."/>
      <w:lvlJc w:val="left"/>
      <w:pPr>
        <w:ind w:left="107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0173DEB"/>
    <w:multiLevelType w:val="hybridMultilevel"/>
    <w:tmpl w:val="75D28DB0"/>
    <w:lvl w:ilvl="0" w:tplc="2C32EA16">
      <w:start w:val="1"/>
      <w:numFmt w:val="bullet"/>
      <w:lvlText w:val=""/>
      <w:lvlJc w:val="left"/>
      <w:pPr>
        <w:ind w:left="720" w:hanging="360"/>
      </w:pPr>
      <w:rPr>
        <w:rFonts w:ascii="Symbol" w:hAnsi="Symbol" w:hint="default"/>
      </w:rPr>
    </w:lvl>
    <w:lvl w:ilvl="1" w:tplc="DDC43E86">
      <w:start w:val="1"/>
      <w:numFmt w:val="bullet"/>
      <w:lvlText w:val="o"/>
      <w:lvlJc w:val="left"/>
      <w:pPr>
        <w:ind w:left="1440" w:hanging="360"/>
      </w:pPr>
      <w:rPr>
        <w:rFonts w:ascii="Courier New" w:hAnsi="Courier New" w:hint="default"/>
      </w:rPr>
    </w:lvl>
    <w:lvl w:ilvl="2" w:tplc="11ECD708">
      <w:start w:val="1"/>
      <w:numFmt w:val="bullet"/>
      <w:lvlText w:val=""/>
      <w:lvlJc w:val="left"/>
      <w:pPr>
        <w:ind w:left="2160" w:hanging="360"/>
      </w:pPr>
      <w:rPr>
        <w:rFonts w:ascii="Wingdings" w:hAnsi="Wingdings" w:hint="default"/>
      </w:rPr>
    </w:lvl>
    <w:lvl w:ilvl="3" w:tplc="0B60C912">
      <w:start w:val="1"/>
      <w:numFmt w:val="bullet"/>
      <w:lvlText w:val=""/>
      <w:lvlJc w:val="left"/>
      <w:pPr>
        <w:ind w:left="2880" w:hanging="360"/>
      </w:pPr>
      <w:rPr>
        <w:rFonts w:ascii="Symbol" w:hAnsi="Symbol" w:hint="default"/>
      </w:rPr>
    </w:lvl>
    <w:lvl w:ilvl="4" w:tplc="35964532">
      <w:start w:val="1"/>
      <w:numFmt w:val="bullet"/>
      <w:lvlText w:val="o"/>
      <w:lvlJc w:val="left"/>
      <w:pPr>
        <w:ind w:left="3600" w:hanging="360"/>
      </w:pPr>
      <w:rPr>
        <w:rFonts w:ascii="Courier New" w:hAnsi="Courier New" w:hint="default"/>
      </w:rPr>
    </w:lvl>
    <w:lvl w:ilvl="5" w:tplc="0B90D558">
      <w:start w:val="1"/>
      <w:numFmt w:val="bullet"/>
      <w:lvlText w:val=""/>
      <w:lvlJc w:val="left"/>
      <w:pPr>
        <w:ind w:left="4320" w:hanging="360"/>
      </w:pPr>
      <w:rPr>
        <w:rFonts w:ascii="Wingdings" w:hAnsi="Wingdings" w:hint="default"/>
      </w:rPr>
    </w:lvl>
    <w:lvl w:ilvl="6" w:tplc="375AC05E">
      <w:start w:val="1"/>
      <w:numFmt w:val="bullet"/>
      <w:lvlText w:val=""/>
      <w:lvlJc w:val="left"/>
      <w:pPr>
        <w:ind w:left="5040" w:hanging="360"/>
      </w:pPr>
      <w:rPr>
        <w:rFonts w:ascii="Symbol" w:hAnsi="Symbol" w:hint="default"/>
      </w:rPr>
    </w:lvl>
    <w:lvl w:ilvl="7" w:tplc="8456449E">
      <w:start w:val="1"/>
      <w:numFmt w:val="bullet"/>
      <w:lvlText w:val="o"/>
      <w:lvlJc w:val="left"/>
      <w:pPr>
        <w:ind w:left="5760" w:hanging="360"/>
      </w:pPr>
      <w:rPr>
        <w:rFonts w:ascii="Courier New" w:hAnsi="Courier New" w:hint="default"/>
      </w:rPr>
    </w:lvl>
    <w:lvl w:ilvl="8" w:tplc="F51E1CCC">
      <w:start w:val="1"/>
      <w:numFmt w:val="bullet"/>
      <w:lvlText w:val=""/>
      <w:lvlJc w:val="left"/>
      <w:pPr>
        <w:ind w:left="6480" w:hanging="360"/>
      </w:pPr>
      <w:rPr>
        <w:rFonts w:ascii="Wingdings" w:hAnsi="Wingdings" w:hint="default"/>
      </w:rPr>
    </w:lvl>
  </w:abstractNum>
  <w:abstractNum w:abstractNumId="2" w15:restartNumberingAfterBreak="0">
    <w:nsid w:val="23A7079B"/>
    <w:multiLevelType w:val="hybridMultilevel"/>
    <w:tmpl w:val="405A4FF0"/>
    <w:lvl w:ilvl="0" w:tplc="2F24C31C">
      <w:start w:val="1"/>
      <w:numFmt w:val="decimal"/>
      <w:lvlText w:val="%1."/>
      <w:lvlJc w:val="left"/>
      <w:pPr>
        <w:ind w:left="720" w:hanging="360"/>
      </w:pPr>
    </w:lvl>
    <w:lvl w:ilvl="1" w:tplc="8F88F34A">
      <w:start w:val="1"/>
      <w:numFmt w:val="lowerLetter"/>
      <w:lvlText w:val="%2."/>
      <w:lvlJc w:val="left"/>
      <w:pPr>
        <w:ind w:left="1440" w:hanging="360"/>
      </w:pPr>
    </w:lvl>
    <w:lvl w:ilvl="2" w:tplc="F266EAC8">
      <w:start w:val="1"/>
      <w:numFmt w:val="lowerRoman"/>
      <w:lvlText w:val="%3."/>
      <w:lvlJc w:val="right"/>
      <w:pPr>
        <w:ind w:left="2160" w:hanging="180"/>
      </w:pPr>
    </w:lvl>
    <w:lvl w:ilvl="3" w:tplc="7736ED82">
      <w:start w:val="1"/>
      <w:numFmt w:val="decimal"/>
      <w:lvlText w:val="%4."/>
      <w:lvlJc w:val="left"/>
      <w:pPr>
        <w:ind w:left="2880" w:hanging="360"/>
      </w:pPr>
    </w:lvl>
    <w:lvl w:ilvl="4" w:tplc="55F4C6E8">
      <w:start w:val="1"/>
      <w:numFmt w:val="lowerLetter"/>
      <w:lvlText w:val="%5."/>
      <w:lvlJc w:val="left"/>
      <w:pPr>
        <w:ind w:left="3600" w:hanging="360"/>
      </w:pPr>
    </w:lvl>
    <w:lvl w:ilvl="5" w:tplc="5F383F86">
      <w:start w:val="1"/>
      <w:numFmt w:val="lowerRoman"/>
      <w:lvlText w:val="%6."/>
      <w:lvlJc w:val="right"/>
      <w:pPr>
        <w:ind w:left="4320" w:hanging="180"/>
      </w:pPr>
    </w:lvl>
    <w:lvl w:ilvl="6" w:tplc="6F7C4BA8">
      <w:start w:val="1"/>
      <w:numFmt w:val="decimal"/>
      <w:lvlText w:val="%7."/>
      <w:lvlJc w:val="left"/>
      <w:pPr>
        <w:ind w:left="5040" w:hanging="360"/>
      </w:pPr>
    </w:lvl>
    <w:lvl w:ilvl="7" w:tplc="E2D6C08C">
      <w:start w:val="1"/>
      <w:numFmt w:val="lowerLetter"/>
      <w:lvlText w:val="%8."/>
      <w:lvlJc w:val="left"/>
      <w:pPr>
        <w:ind w:left="5760" w:hanging="360"/>
      </w:pPr>
    </w:lvl>
    <w:lvl w:ilvl="8" w:tplc="5D74807C">
      <w:start w:val="1"/>
      <w:numFmt w:val="lowerRoman"/>
      <w:lvlText w:val="%9."/>
      <w:lvlJc w:val="right"/>
      <w:pPr>
        <w:ind w:left="6480" w:hanging="180"/>
      </w:pPr>
    </w:lvl>
  </w:abstractNum>
  <w:abstractNum w:abstractNumId="3" w15:restartNumberingAfterBreak="0">
    <w:nsid w:val="24505A38"/>
    <w:multiLevelType w:val="hybridMultilevel"/>
    <w:tmpl w:val="1E805B8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B701F06"/>
    <w:multiLevelType w:val="hybridMultilevel"/>
    <w:tmpl w:val="C0E6C6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562595"/>
    <w:multiLevelType w:val="multilevel"/>
    <w:tmpl w:val="DD04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B00D66"/>
    <w:multiLevelType w:val="hybridMultilevel"/>
    <w:tmpl w:val="42FE6B08"/>
    <w:lvl w:ilvl="0" w:tplc="AE20AB46">
      <w:start w:val="1"/>
      <w:numFmt w:val="decimal"/>
      <w:lvlText w:val="%1)"/>
      <w:lvlJc w:val="left"/>
      <w:pPr>
        <w:ind w:left="360" w:hanging="360"/>
      </w:pPr>
    </w:lvl>
    <w:lvl w:ilvl="1" w:tplc="0E46FD2A">
      <w:start w:val="1"/>
      <w:numFmt w:val="lowerLetter"/>
      <w:lvlText w:val="%2."/>
      <w:lvlJc w:val="left"/>
      <w:pPr>
        <w:ind w:left="1080" w:hanging="360"/>
      </w:pPr>
    </w:lvl>
    <w:lvl w:ilvl="2" w:tplc="F1C475D4">
      <w:start w:val="1"/>
      <w:numFmt w:val="lowerRoman"/>
      <w:lvlText w:val="%3."/>
      <w:lvlJc w:val="right"/>
      <w:pPr>
        <w:ind w:left="1800" w:hanging="180"/>
      </w:pPr>
    </w:lvl>
    <w:lvl w:ilvl="3" w:tplc="A508BFCA">
      <w:start w:val="1"/>
      <w:numFmt w:val="decimal"/>
      <w:lvlText w:val="%4."/>
      <w:lvlJc w:val="left"/>
      <w:pPr>
        <w:ind w:left="2520" w:hanging="360"/>
      </w:pPr>
    </w:lvl>
    <w:lvl w:ilvl="4" w:tplc="2DF0CDE6">
      <w:start w:val="1"/>
      <w:numFmt w:val="lowerLetter"/>
      <w:lvlText w:val="%5."/>
      <w:lvlJc w:val="left"/>
      <w:pPr>
        <w:ind w:left="3240" w:hanging="360"/>
      </w:pPr>
    </w:lvl>
    <w:lvl w:ilvl="5" w:tplc="7D4EB45A">
      <w:start w:val="1"/>
      <w:numFmt w:val="lowerRoman"/>
      <w:lvlText w:val="%6."/>
      <w:lvlJc w:val="right"/>
      <w:pPr>
        <w:ind w:left="3960" w:hanging="180"/>
      </w:pPr>
    </w:lvl>
    <w:lvl w:ilvl="6" w:tplc="8FE6F3AA">
      <w:start w:val="1"/>
      <w:numFmt w:val="decimal"/>
      <w:lvlText w:val="%7."/>
      <w:lvlJc w:val="left"/>
      <w:pPr>
        <w:ind w:left="4680" w:hanging="360"/>
      </w:pPr>
    </w:lvl>
    <w:lvl w:ilvl="7" w:tplc="4AA4DDC2">
      <w:start w:val="1"/>
      <w:numFmt w:val="lowerLetter"/>
      <w:lvlText w:val="%8."/>
      <w:lvlJc w:val="left"/>
      <w:pPr>
        <w:ind w:left="5400" w:hanging="360"/>
      </w:pPr>
    </w:lvl>
    <w:lvl w:ilvl="8" w:tplc="1124E40A">
      <w:start w:val="1"/>
      <w:numFmt w:val="lowerRoman"/>
      <w:lvlText w:val="%9."/>
      <w:lvlJc w:val="right"/>
      <w:pPr>
        <w:ind w:left="6120" w:hanging="180"/>
      </w:pPr>
    </w:lvl>
  </w:abstractNum>
  <w:abstractNum w:abstractNumId="7" w15:restartNumberingAfterBreak="0">
    <w:nsid w:val="4A027AE0"/>
    <w:multiLevelType w:val="hybridMultilevel"/>
    <w:tmpl w:val="5A3AE140"/>
    <w:lvl w:ilvl="0" w:tplc="D7E868A6">
      <w:start w:val="1"/>
      <w:numFmt w:val="bullet"/>
      <w:lvlText w:val=""/>
      <w:lvlJc w:val="left"/>
      <w:pPr>
        <w:ind w:left="720" w:hanging="360"/>
      </w:pPr>
      <w:rPr>
        <w:rFonts w:ascii="Symbol" w:hAnsi="Symbol" w:hint="default"/>
      </w:rPr>
    </w:lvl>
    <w:lvl w:ilvl="1" w:tplc="10FABBA0">
      <w:start w:val="1"/>
      <w:numFmt w:val="bullet"/>
      <w:lvlText w:val="o"/>
      <w:lvlJc w:val="left"/>
      <w:pPr>
        <w:ind w:left="1440" w:hanging="360"/>
      </w:pPr>
      <w:rPr>
        <w:rFonts w:ascii="Courier New" w:hAnsi="Courier New" w:hint="default"/>
      </w:rPr>
    </w:lvl>
    <w:lvl w:ilvl="2" w:tplc="859C1584">
      <w:start w:val="1"/>
      <w:numFmt w:val="bullet"/>
      <w:lvlText w:val=""/>
      <w:lvlJc w:val="left"/>
      <w:pPr>
        <w:ind w:left="2160" w:hanging="360"/>
      </w:pPr>
      <w:rPr>
        <w:rFonts w:ascii="Wingdings" w:hAnsi="Wingdings" w:hint="default"/>
      </w:rPr>
    </w:lvl>
    <w:lvl w:ilvl="3" w:tplc="D214FCFA">
      <w:start w:val="1"/>
      <w:numFmt w:val="bullet"/>
      <w:lvlText w:val=""/>
      <w:lvlJc w:val="left"/>
      <w:pPr>
        <w:ind w:left="2880" w:hanging="360"/>
      </w:pPr>
      <w:rPr>
        <w:rFonts w:ascii="Symbol" w:hAnsi="Symbol" w:hint="default"/>
      </w:rPr>
    </w:lvl>
    <w:lvl w:ilvl="4" w:tplc="9D8CA702">
      <w:start w:val="1"/>
      <w:numFmt w:val="bullet"/>
      <w:lvlText w:val="o"/>
      <w:lvlJc w:val="left"/>
      <w:pPr>
        <w:ind w:left="3600" w:hanging="360"/>
      </w:pPr>
      <w:rPr>
        <w:rFonts w:ascii="Courier New" w:hAnsi="Courier New" w:hint="default"/>
      </w:rPr>
    </w:lvl>
    <w:lvl w:ilvl="5" w:tplc="817A84BA">
      <w:start w:val="1"/>
      <w:numFmt w:val="bullet"/>
      <w:lvlText w:val=""/>
      <w:lvlJc w:val="left"/>
      <w:pPr>
        <w:ind w:left="4320" w:hanging="360"/>
      </w:pPr>
      <w:rPr>
        <w:rFonts w:ascii="Wingdings" w:hAnsi="Wingdings" w:hint="default"/>
      </w:rPr>
    </w:lvl>
    <w:lvl w:ilvl="6" w:tplc="6F7436E2">
      <w:start w:val="1"/>
      <w:numFmt w:val="bullet"/>
      <w:lvlText w:val=""/>
      <w:lvlJc w:val="left"/>
      <w:pPr>
        <w:ind w:left="5040" w:hanging="360"/>
      </w:pPr>
      <w:rPr>
        <w:rFonts w:ascii="Symbol" w:hAnsi="Symbol" w:hint="default"/>
      </w:rPr>
    </w:lvl>
    <w:lvl w:ilvl="7" w:tplc="C6DC5A46">
      <w:start w:val="1"/>
      <w:numFmt w:val="bullet"/>
      <w:lvlText w:val="o"/>
      <w:lvlJc w:val="left"/>
      <w:pPr>
        <w:ind w:left="5760" w:hanging="360"/>
      </w:pPr>
      <w:rPr>
        <w:rFonts w:ascii="Courier New" w:hAnsi="Courier New" w:hint="default"/>
      </w:rPr>
    </w:lvl>
    <w:lvl w:ilvl="8" w:tplc="B686E076">
      <w:start w:val="1"/>
      <w:numFmt w:val="bullet"/>
      <w:lvlText w:val=""/>
      <w:lvlJc w:val="left"/>
      <w:pPr>
        <w:ind w:left="6480" w:hanging="360"/>
      </w:pPr>
      <w:rPr>
        <w:rFonts w:ascii="Wingdings" w:hAnsi="Wingdings" w:hint="default"/>
      </w:rPr>
    </w:lvl>
  </w:abstractNum>
  <w:abstractNum w:abstractNumId="8" w15:restartNumberingAfterBreak="0">
    <w:nsid w:val="4CA44291"/>
    <w:multiLevelType w:val="hybridMultilevel"/>
    <w:tmpl w:val="56740444"/>
    <w:lvl w:ilvl="0" w:tplc="0AA2548A">
      <w:start w:val="1"/>
      <w:numFmt w:val="decimal"/>
      <w:lvlText w:val="%1)"/>
      <w:lvlJc w:val="left"/>
      <w:pPr>
        <w:ind w:left="360" w:hanging="360"/>
      </w:pPr>
    </w:lvl>
    <w:lvl w:ilvl="1" w:tplc="8DC08216">
      <w:start w:val="1"/>
      <w:numFmt w:val="lowerLetter"/>
      <w:lvlText w:val="%2."/>
      <w:lvlJc w:val="left"/>
      <w:pPr>
        <w:ind w:left="1080" w:hanging="360"/>
      </w:pPr>
    </w:lvl>
    <w:lvl w:ilvl="2" w:tplc="1ECA9C36">
      <w:start w:val="1"/>
      <w:numFmt w:val="lowerRoman"/>
      <w:lvlText w:val="%3."/>
      <w:lvlJc w:val="right"/>
      <w:pPr>
        <w:ind w:left="1800" w:hanging="180"/>
      </w:pPr>
    </w:lvl>
    <w:lvl w:ilvl="3" w:tplc="535096D0">
      <w:start w:val="1"/>
      <w:numFmt w:val="decimal"/>
      <w:lvlText w:val="%4."/>
      <w:lvlJc w:val="left"/>
      <w:pPr>
        <w:ind w:left="2520" w:hanging="360"/>
      </w:pPr>
    </w:lvl>
    <w:lvl w:ilvl="4" w:tplc="123CFD12">
      <w:start w:val="1"/>
      <w:numFmt w:val="lowerLetter"/>
      <w:lvlText w:val="%5."/>
      <w:lvlJc w:val="left"/>
      <w:pPr>
        <w:ind w:left="3240" w:hanging="360"/>
      </w:pPr>
    </w:lvl>
    <w:lvl w:ilvl="5" w:tplc="53FA3654">
      <w:start w:val="1"/>
      <w:numFmt w:val="lowerRoman"/>
      <w:lvlText w:val="%6."/>
      <w:lvlJc w:val="right"/>
      <w:pPr>
        <w:ind w:left="3960" w:hanging="180"/>
      </w:pPr>
    </w:lvl>
    <w:lvl w:ilvl="6" w:tplc="7D6638F6">
      <w:start w:val="1"/>
      <w:numFmt w:val="decimal"/>
      <w:lvlText w:val="%7."/>
      <w:lvlJc w:val="left"/>
      <w:pPr>
        <w:ind w:left="4680" w:hanging="360"/>
      </w:pPr>
    </w:lvl>
    <w:lvl w:ilvl="7" w:tplc="9B988A82">
      <w:start w:val="1"/>
      <w:numFmt w:val="lowerLetter"/>
      <w:lvlText w:val="%8."/>
      <w:lvlJc w:val="left"/>
      <w:pPr>
        <w:ind w:left="5400" w:hanging="360"/>
      </w:pPr>
    </w:lvl>
    <w:lvl w:ilvl="8" w:tplc="1CCC43CA">
      <w:start w:val="1"/>
      <w:numFmt w:val="lowerRoman"/>
      <w:lvlText w:val="%9."/>
      <w:lvlJc w:val="right"/>
      <w:pPr>
        <w:ind w:left="6120" w:hanging="180"/>
      </w:pPr>
    </w:lvl>
  </w:abstractNum>
  <w:abstractNum w:abstractNumId="9" w15:restartNumberingAfterBreak="0">
    <w:nsid w:val="4FB197F5"/>
    <w:multiLevelType w:val="hybridMultilevel"/>
    <w:tmpl w:val="56B24EAE"/>
    <w:lvl w:ilvl="0" w:tplc="E56CFEC0">
      <w:start w:val="1"/>
      <w:numFmt w:val="decimal"/>
      <w:lvlText w:val="%1."/>
      <w:lvlJc w:val="left"/>
      <w:pPr>
        <w:ind w:left="720" w:hanging="360"/>
      </w:pPr>
    </w:lvl>
    <w:lvl w:ilvl="1" w:tplc="CC78B2C2">
      <w:start w:val="1"/>
      <w:numFmt w:val="lowerLetter"/>
      <w:lvlText w:val="%2."/>
      <w:lvlJc w:val="left"/>
      <w:pPr>
        <w:ind w:left="1440" w:hanging="360"/>
      </w:pPr>
    </w:lvl>
    <w:lvl w:ilvl="2" w:tplc="52D6493C">
      <w:start w:val="1"/>
      <w:numFmt w:val="lowerRoman"/>
      <w:lvlText w:val="%3."/>
      <w:lvlJc w:val="right"/>
      <w:pPr>
        <w:ind w:left="2160" w:hanging="180"/>
      </w:pPr>
    </w:lvl>
    <w:lvl w:ilvl="3" w:tplc="F2B24048">
      <w:start w:val="1"/>
      <w:numFmt w:val="decimal"/>
      <w:lvlText w:val="%4."/>
      <w:lvlJc w:val="left"/>
      <w:pPr>
        <w:ind w:left="2880" w:hanging="360"/>
      </w:pPr>
    </w:lvl>
    <w:lvl w:ilvl="4" w:tplc="9E4C5A4E">
      <w:start w:val="1"/>
      <w:numFmt w:val="lowerLetter"/>
      <w:lvlText w:val="%5."/>
      <w:lvlJc w:val="left"/>
      <w:pPr>
        <w:ind w:left="3600" w:hanging="360"/>
      </w:pPr>
    </w:lvl>
    <w:lvl w:ilvl="5" w:tplc="C044960C">
      <w:start w:val="1"/>
      <w:numFmt w:val="lowerRoman"/>
      <w:lvlText w:val="%6."/>
      <w:lvlJc w:val="right"/>
      <w:pPr>
        <w:ind w:left="4320" w:hanging="180"/>
      </w:pPr>
    </w:lvl>
    <w:lvl w:ilvl="6" w:tplc="F278A016">
      <w:start w:val="1"/>
      <w:numFmt w:val="decimal"/>
      <w:lvlText w:val="%7."/>
      <w:lvlJc w:val="left"/>
      <w:pPr>
        <w:ind w:left="5040" w:hanging="360"/>
      </w:pPr>
    </w:lvl>
    <w:lvl w:ilvl="7" w:tplc="102E016E">
      <w:start w:val="1"/>
      <w:numFmt w:val="lowerLetter"/>
      <w:lvlText w:val="%8."/>
      <w:lvlJc w:val="left"/>
      <w:pPr>
        <w:ind w:left="5760" w:hanging="360"/>
      </w:pPr>
    </w:lvl>
    <w:lvl w:ilvl="8" w:tplc="170C749C">
      <w:start w:val="1"/>
      <w:numFmt w:val="lowerRoman"/>
      <w:lvlText w:val="%9."/>
      <w:lvlJc w:val="right"/>
      <w:pPr>
        <w:ind w:left="6480" w:hanging="180"/>
      </w:pPr>
    </w:lvl>
  </w:abstractNum>
  <w:abstractNum w:abstractNumId="10" w15:restartNumberingAfterBreak="0">
    <w:nsid w:val="612324CD"/>
    <w:multiLevelType w:val="hybridMultilevel"/>
    <w:tmpl w:val="7F14C7BE"/>
    <w:lvl w:ilvl="0" w:tplc="62DC1240">
      <w:start w:val="1"/>
      <w:numFmt w:val="bullet"/>
      <w:lvlText w:val=""/>
      <w:lvlJc w:val="left"/>
      <w:pPr>
        <w:ind w:left="720" w:hanging="360"/>
      </w:pPr>
      <w:rPr>
        <w:rFonts w:ascii="Symbol" w:hAnsi="Symbol" w:hint="default"/>
      </w:rPr>
    </w:lvl>
    <w:lvl w:ilvl="1" w:tplc="741CB544">
      <w:start w:val="1"/>
      <w:numFmt w:val="bullet"/>
      <w:lvlText w:val="o"/>
      <w:lvlJc w:val="left"/>
      <w:pPr>
        <w:ind w:left="1440" w:hanging="360"/>
      </w:pPr>
      <w:rPr>
        <w:rFonts w:ascii="Courier New" w:hAnsi="Courier New" w:hint="default"/>
      </w:rPr>
    </w:lvl>
    <w:lvl w:ilvl="2" w:tplc="82161EA2">
      <w:start w:val="1"/>
      <w:numFmt w:val="bullet"/>
      <w:lvlText w:val=""/>
      <w:lvlJc w:val="left"/>
      <w:pPr>
        <w:ind w:left="2160" w:hanging="360"/>
      </w:pPr>
      <w:rPr>
        <w:rFonts w:ascii="Wingdings" w:hAnsi="Wingdings" w:hint="default"/>
      </w:rPr>
    </w:lvl>
    <w:lvl w:ilvl="3" w:tplc="831E7EA8">
      <w:start w:val="1"/>
      <w:numFmt w:val="bullet"/>
      <w:lvlText w:val=""/>
      <w:lvlJc w:val="left"/>
      <w:pPr>
        <w:ind w:left="2880" w:hanging="360"/>
      </w:pPr>
      <w:rPr>
        <w:rFonts w:ascii="Symbol" w:hAnsi="Symbol" w:hint="default"/>
      </w:rPr>
    </w:lvl>
    <w:lvl w:ilvl="4" w:tplc="70225798">
      <w:start w:val="1"/>
      <w:numFmt w:val="bullet"/>
      <w:lvlText w:val="o"/>
      <w:lvlJc w:val="left"/>
      <w:pPr>
        <w:ind w:left="3600" w:hanging="360"/>
      </w:pPr>
      <w:rPr>
        <w:rFonts w:ascii="Courier New" w:hAnsi="Courier New" w:hint="default"/>
      </w:rPr>
    </w:lvl>
    <w:lvl w:ilvl="5" w:tplc="DC5EBC9E">
      <w:start w:val="1"/>
      <w:numFmt w:val="bullet"/>
      <w:lvlText w:val=""/>
      <w:lvlJc w:val="left"/>
      <w:pPr>
        <w:ind w:left="4320" w:hanging="360"/>
      </w:pPr>
      <w:rPr>
        <w:rFonts w:ascii="Wingdings" w:hAnsi="Wingdings" w:hint="default"/>
      </w:rPr>
    </w:lvl>
    <w:lvl w:ilvl="6" w:tplc="833059F8">
      <w:start w:val="1"/>
      <w:numFmt w:val="bullet"/>
      <w:lvlText w:val=""/>
      <w:lvlJc w:val="left"/>
      <w:pPr>
        <w:ind w:left="5040" w:hanging="360"/>
      </w:pPr>
      <w:rPr>
        <w:rFonts w:ascii="Symbol" w:hAnsi="Symbol" w:hint="default"/>
      </w:rPr>
    </w:lvl>
    <w:lvl w:ilvl="7" w:tplc="10D04CCC">
      <w:start w:val="1"/>
      <w:numFmt w:val="bullet"/>
      <w:lvlText w:val="o"/>
      <w:lvlJc w:val="left"/>
      <w:pPr>
        <w:ind w:left="5760" w:hanging="360"/>
      </w:pPr>
      <w:rPr>
        <w:rFonts w:ascii="Courier New" w:hAnsi="Courier New" w:hint="default"/>
      </w:rPr>
    </w:lvl>
    <w:lvl w:ilvl="8" w:tplc="8AFA2D96">
      <w:start w:val="1"/>
      <w:numFmt w:val="bullet"/>
      <w:lvlText w:val=""/>
      <w:lvlJc w:val="left"/>
      <w:pPr>
        <w:ind w:left="6480" w:hanging="360"/>
      </w:pPr>
      <w:rPr>
        <w:rFonts w:ascii="Wingdings" w:hAnsi="Wingdings" w:hint="default"/>
      </w:rPr>
    </w:lvl>
  </w:abstractNum>
  <w:abstractNum w:abstractNumId="11" w15:restartNumberingAfterBreak="0">
    <w:nsid w:val="66084A89"/>
    <w:multiLevelType w:val="hybridMultilevel"/>
    <w:tmpl w:val="3830E18A"/>
    <w:lvl w:ilvl="0" w:tplc="01987074">
      <w:start w:val="1"/>
      <w:numFmt w:val="bullet"/>
      <w:lvlText w:val=""/>
      <w:lvlJc w:val="left"/>
      <w:pPr>
        <w:ind w:left="720" w:hanging="360"/>
      </w:pPr>
      <w:rPr>
        <w:rFonts w:ascii="Symbol" w:hAnsi="Symbol" w:hint="default"/>
      </w:rPr>
    </w:lvl>
    <w:lvl w:ilvl="1" w:tplc="A3740DDC">
      <w:start w:val="1"/>
      <w:numFmt w:val="bullet"/>
      <w:lvlText w:val="o"/>
      <w:lvlJc w:val="left"/>
      <w:pPr>
        <w:ind w:left="1440" w:hanging="360"/>
      </w:pPr>
      <w:rPr>
        <w:rFonts w:ascii="Courier New" w:hAnsi="Courier New" w:hint="default"/>
      </w:rPr>
    </w:lvl>
    <w:lvl w:ilvl="2" w:tplc="2A6E36BA">
      <w:start w:val="1"/>
      <w:numFmt w:val="bullet"/>
      <w:lvlText w:val=""/>
      <w:lvlJc w:val="left"/>
      <w:pPr>
        <w:ind w:left="2160" w:hanging="360"/>
      </w:pPr>
      <w:rPr>
        <w:rFonts w:ascii="Wingdings" w:hAnsi="Wingdings" w:hint="default"/>
      </w:rPr>
    </w:lvl>
    <w:lvl w:ilvl="3" w:tplc="FE8261AE">
      <w:start w:val="1"/>
      <w:numFmt w:val="bullet"/>
      <w:lvlText w:val=""/>
      <w:lvlJc w:val="left"/>
      <w:pPr>
        <w:ind w:left="2880" w:hanging="360"/>
      </w:pPr>
      <w:rPr>
        <w:rFonts w:ascii="Symbol" w:hAnsi="Symbol" w:hint="default"/>
      </w:rPr>
    </w:lvl>
    <w:lvl w:ilvl="4" w:tplc="A5DC6FEA">
      <w:start w:val="1"/>
      <w:numFmt w:val="bullet"/>
      <w:lvlText w:val="o"/>
      <w:lvlJc w:val="left"/>
      <w:pPr>
        <w:ind w:left="3600" w:hanging="360"/>
      </w:pPr>
      <w:rPr>
        <w:rFonts w:ascii="Courier New" w:hAnsi="Courier New" w:hint="default"/>
      </w:rPr>
    </w:lvl>
    <w:lvl w:ilvl="5" w:tplc="F802F494">
      <w:start w:val="1"/>
      <w:numFmt w:val="bullet"/>
      <w:lvlText w:val=""/>
      <w:lvlJc w:val="left"/>
      <w:pPr>
        <w:ind w:left="4320" w:hanging="360"/>
      </w:pPr>
      <w:rPr>
        <w:rFonts w:ascii="Wingdings" w:hAnsi="Wingdings" w:hint="default"/>
      </w:rPr>
    </w:lvl>
    <w:lvl w:ilvl="6" w:tplc="831417B2">
      <w:start w:val="1"/>
      <w:numFmt w:val="bullet"/>
      <w:lvlText w:val=""/>
      <w:lvlJc w:val="left"/>
      <w:pPr>
        <w:ind w:left="5040" w:hanging="360"/>
      </w:pPr>
      <w:rPr>
        <w:rFonts w:ascii="Symbol" w:hAnsi="Symbol" w:hint="default"/>
      </w:rPr>
    </w:lvl>
    <w:lvl w:ilvl="7" w:tplc="7706B950">
      <w:start w:val="1"/>
      <w:numFmt w:val="bullet"/>
      <w:lvlText w:val="o"/>
      <w:lvlJc w:val="left"/>
      <w:pPr>
        <w:ind w:left="5760" w:hanging="360"/>
      </w:pPr>
      <w:rPr>
        <w:rFonts w:ascii="Courier New" w:hAnsi="Courier New" w:hint="default"/>
      </w:rPr>
    </w:lvl>
    <w:lvl w:ilvl="8" w:tplc="C5340394">
      <w:start w:val="1"/>
      <w:numFmt w:val="bullet"/>
      <w:lvlText w:val=""/>
      <w:lvlJc w:val="left"/>
      <w:pPr>
        <w:ind w:left="6480" w:hanging="360"/>
      </w:pPr>
      <w:rPr>
        <w:rFonts w:ascii="Wingdings" w:hAnsi="Wingdings" w:hint="default"/>
      </w:rPr>
    </w:lvl>
  </w:abstractNum>
  <w:abstractNum w:abstractNumId="12" w15:restartNumberingAfterBreak="0">
    <w:nsid w:val="7A9C4E27"/>
    <w:multiLevelType w:val="hybridMultilevel"/>
    <w:tmpl w:val="6C4C2734"/>
    <w:lvl w:ilvl="0" w:tplc="62061942">
      <w:start w:val="1"/>
      <w:numFmt w:val="decimal"/>
      <w:lvlText w:val="1)"/>
      <w:lvlJc w:val="left"/>
      <w:pPr>
        <w:ind w:left="720" w:hanging="360"/>
      </w:pPr>
    </w:lvl>
    <w:lvl w:ilvl="1" w:tplc="6ABC3B8E">
      <w:start w:val="1"/>
      <w:numFmt w:val="lowerLetter"/>
      <w:lvlText w:val="%2."/>
      <w:lvlJc w:val="left"/>
      <w:pPr>
        <w:ind w:left="1440" w:hanging="360"/>
      </w:pPr>
    </w:lvl>
    <w:lvl w:ilvl="2" w:tplc="3F4E06DA">
      <w:start w:val="1"/>
      <w:numFmt w:val="lowerRoman"/>
      <w:lvlText w:val="%3."/>
      <w:lvlJc w:val="right"/>
      <w:pPr>
        <w:ind w:left="2160" w:hanging="180"/>
      </w:pPr>
    </w:lvl>
    <w:lvl w:ilvl="3" w:tplc="45727706">
      <w:start w:val="1"/>
      <w:numFmt w:val="decimal"/>
      <w:lvlText w:val="%4."/>
      <w:lvlJc w:val="left"/>
      <w:pPr>
        <w:ind w:left="2880" w:hanging="360"/>
      </w:pPr>
    </w:lvl>
    <w:lvl w:ilvl="4" w:tplc="9232F6AE">
      <w:start w:val="1"/>
      <w:numFmt w:val="lowerLetter"/>
      <w:lvlText w:val="%5."/>
      <w:lvlJc w:val="left"/>
      <w:pPr>
        <w:ind w:left="3600" w:hanging="360"/>
      </w:pPr>
    </w:lvl>
    <w:lvl w:ilvl="5" w:tplc="F31CFBA4">
      <w:start w:val="1"/>
      <w:numFmt w:val="lowerRoman"/>
      <w:lvlText w:val="%6."/>
      <w:lvlJc w:val="right"/>
      <w:pPr>
        <w:ind w:left="4320" w:hanging="180"/>
      </w:pPr>
    </w:lvl>
    <w:lvl w:ilvl="6" w:tplc="6526C48A">
      <w:start w:val="1"/>
      <w:numFmt w:val="decimal"/>
      <w:lvlText w:val="%7."/>
      <w:lvlJc w:val="left"/>
      <w:pPr>
        <w:ind w:left="5040" w:hanging="360"/>
      </w:pPr>
    </w:lvl>
    <w:lvl w:ilvl="7" w:tplc="849863BA">
      <w:start w:val="1"/>
      <w:numFmt w:val="lowerLetter"/>
      <w:lvlText w:val="%8."/>
      <w:lvlJc w:val="left"/>
      <w:pPr>
        <w:ind w:left="5760" w:hanging="360"/>
      </w:pPr>
    </w:lvl>
    <w:lvl w:ilvl="8" w:tplc="61C2D03E">
      <w:start w:val="1"/>
      <w:numFmt w:val="lowerRoman"/>
      <w:lvlText w:val="%9."/>
      <w:lvlJc w:val="right"/>
      <w:pPr>
        <w:ind w:left="6480" w:hanging="180"/>
      </w:pPr>
    </w:lvl>
  </w:abstractNum>
  <w:abstractNum w:abstractNumId="13" w15:restartNumberingAfterBreak="0">
    <w:nsid w:val="7D0D293E"/>
    <w:multiLevelType w:val="multilevel"/>
    <w:tmpl w:val="CE52A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8205128">
    <w:abstractNumId w:val="10"/>
  </w:num>
  <w:num w:numId="2" w16cid:durableId="1028872429">
    <w:abstractNumId w:val="6"/>
  </w:num>
  <w:num w:numId="3" w16cid:durableId="1449549827">
    <w:abstractNumId w:val="8"/>
  </w:num>
  <w:num w:numId="4" w16cid:durableId="1638412888">
    <w:abstractNumId w:val="7"/>
  </w:num>
  <w:num w:numId="5" w16cid:durableId="308094604">
    <w:abstractNumId w:val="12"/>
  </w:num>
  <w:num w:numId="6" w16cid:durableId="368265364">
    <w:abstractNumId w:val="1"/>
  </w:num>
  <w:num w:numId="7" w16cid:durableId="1798645646">
    <w:abstractNumId w:val="2"/>
  </w:num>
  <w:num w:numId="8" w16cid:durableId="1055083298">
    <w:abstractNumId w:val="11"/>
  </w:num>
  <w:num w:numId="9" w16cid:durableId="750127208">
    <w:abstractNumId w:val="9"/>
  </w:num>
  <w:num w:numId="10" w16cid:durableId="18674774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7113040">
    <w:abstractNumId w:val="13"/>
  </w:num>
  <w:num w:numId="12" w16cid:durableId="1512185593">
    <w:abstractNumId w:val="5"/>
  </w:num>
  <w:num w:numId="13" w16cid:durableId="1304504706">
    <w:abstractNumId w:val="3"/>
  </w:num>
  <w:num w:numId="14" w16cid:durableId="526715791">
    <w:abstractNumId w:val="4"/>
  </w:num>
  <w:num w:numId="15" w16cid:durableId="1364940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41"/>
    <w:rsid w:val="00013133"/>
    <w:rsid w:val="00014C1A"/>
    <w:rsid w:val="00017EE9"/>
    <w:rsid w:val="00021CDE"/>
    <w:rsid w:val="00023271"/>
    <w:rsid w:val="000253E2"/>
    <w:rsid w:val="00026EF9"/>
    <w:rsid w:val="00027B49"/>
    <w:rsid w:val="000420AE"/>
    <w:rsid w:val="00042827"/>
    <w:rsid w:val="00053ABD"/>
    <w:rsid w:val="00075CCA"/>
    <w:rsid w:val="00076494"/>
    <w:rsid w:val="00077A76"/>
    <w:rsid w:val="00080950"/>
    <w:rsid w:val="00080CFB"/>
    <w:rsid w:val="00083278"/>
    <w:rsid w:val="0009295C"/>
    <w:rsid w:val="00092B07"/>
    <w:rsid w:val="00094805"/>
    <w:rsid w:val="00094E1D"/>
    <w:rsid w:val="000965C3"/>
    <w:rsid w:val="000A13D6"/>
    <w:rsid w:val="000A6BB4"/>
    <w:rsid w:val="000B1855"/>
    <w:rsid w:val="000B6A47"/>
    <w:rsid w:val="000C139A"/>
    <w:rsid w:val="000D289A"/>
    <w:rsid w:val="000D5A8C"/>
    <w:rsid w:val="000E0C9E"/>
    <w:rsid w:val="000E763F"/>
    <w:rsid w:val="000F2897"/>
    <w:rsid w:val="000F58A1"/>
    <w:rsid w:val="000F725F"/>
    <w:rsid w:val="00100019"/>
    <w:rsid w:val="001023A8"/>
    <w:rsid w:val="00102A67"/>
    <w:rsid w:val="00115250"/>
    <w:rsid w:val="00133553"/>
    <w:rsid w:val="001463C0"/>
    <w:rsid w:val="00150A09"/>
    <w:rsid w:val="00151651"/>
    <w:rsid w:val="00156A6F"/>
    <w:rsid w:val="001576F7"/>
    <w:rsid w:val="00165F3D"/>
    <w:rsid w:val="001678FB"/>
    <w:rsid w:val="00170061"/>
    <w:rsid w:val="00173E53"/>
    <w:rsid w:val="00174999"/>
    <w:rsid w:val="001770A9"/>
    <w:rsid w:val="00177527"/>
    <w:rsid w:val="00181523"/>
    <w:rsid w:val="00182DC2"/>
    <w:rsid w:val="00183166"/>
    <w:rsid w:val="00183C3A"/>
    <w:rsid w:val="0018446B"/>
    <w:rsid w:val="00186DF3"/>
    <w:rsid w:val="0019568F"/>
    <w:rsid w:val="0019571C"/>
    <w:rsid w:val="00195ACA"/>
    <w:rsid w:val="001A1BAA"/>
    <w:rsid w:val="001A6186"/>
    <w:rsid w:val="001A65AF"/>
    <w:rsid w:val="001A71A9"/>
    <w:rsid w:val="001B734F"/>
    <w:rsid w:val="001C20E0"/>
    <w:rsid w:val="001D01BF"/>
    <w:rsid w:val="001D2AEE"/>
    <w:rsid w:val="001D307B"/>
    <w:rsid w:val="001D61DD"/>
    <w:rsid w:val="001E2A9B"/>
    <w:rsid w:val="001E4824"/>
    <w:rsid w:val="001F1033"/>
    <w:rsid w:val="001F6727"/>
    <w:rsid w:val="001F79E5"/>
    <w:rsid w:val="00200016"/>
    <w:rsid w:val="0020084A"/>
    <w:rsid w:val="0020330B"/>
    <w:rsid w:val="00203584"/>
    <w:rsid w:val="00204386"/>
    <w:rsid w:val="002043E0"/>
    <w:rsid w:val="002102CE"/>
    <w:rsid w:val="002122D4"/>
    <w:rsid w:val="00213A41"/>
    <w:rsid w:val="00217D2E"/>
    <w:rsid w:val="002311CD"/>
    <w:rsid w:val="00232B67"/>
    <w:rsid w:val="00235CFE"/>
    <w:rsid w:val="002363AD"/>
    <w:rsid w:val="00236AF4"/>
    <w:rsid w:val="002374BE"/>
    <w:rsid w:val="0024761A"/>
    <w:rsid w:val="00251BB9"/>
    <w:rsid w:val="002533D1"/>
    <w:rsid w:val="00265C0A"/>
    <w:rsid w:val="00284787"/>
    <w:rsid w:val="0028532D"/>
    <w:rsid w:val="002907A6"/>
    <w:rsid w:val="0029150A"/>
    <w:rsid w:val="00292526"/>
    <w:rsid w:val="00297541"/>
    <w:rsid w:val="002A3A3F"/>
    <w:rsid w:val="002A421A"/>
    <w:rsid w:val="002A5B5D"/>
    <w:rsid w:val="002A6E01"/>
    <w:rsid w:val="002A6E24"/>
    <w:rsid w:val="002B0FEC"/>
    <w:rsid w:val="002B35CC"/>
    <w:rsid w:val="002B754C"/>
    <w:rsid w:val="002C0B9D"/>
    <w:rsid w:val="002C1AE8"/>
    <w:rsid w:val="002C62AA"/>
    <w:rsid w:val="002D2C50"/>
    <w:rsid w:val="002D7DD7"/>
    <w:rsid w:val="002E7387"/>
    <w:rsid w:val="002F1A06"/>
    <w:rsid w:val="002F40E7"/>
    <w:rsid w:val="002F4687"/>
    <w:rsid w:val="0030264B"/>
    <w:rsid w:val="003027F7"/>
    <w:rsid w:val="00303465"/>
    <w:rsid w:val="003046A8"/>
    <w:rsid w:val="0031083F"/>
    <w:rsid w:val="00313037"/>
    <w:rsid w:val="00316CE7"/>
    <w:rsid w:val="003178B5"/>
    <w:rsid w:val="00321E82"/>
    <w:rsid w:val="00322293"/>
    <w:rsid w:val="003231B8"/>
    <w:rsid w:val="00323CAF"/>
    <w:rsid w:val="00325026"/>
    <w:rsid w:val="0032603A"/>
    <w:rsid w:val="00331258"/>
    <w:rsid w:val="003314CE"/>
    <w:rsid w:val="003362D8"/>
    <w:rsid w:val="003369A3"/>
    <w:rsid w:val="00344B78"/>
    <w:rsid w:val="00344F7F"/>
    <w:rsid w:val="00346EAD"/>
    <w:rsid w:val="00347B41"/>
    <w:rsid w:val="003554A8"/>
    <w:rsid w:val="00361D04"/>
    <w:rsid w:val="00366B83"/>
    <w:rsid w:val="003727F0"/>
    <w:rsid w:val="00373B6C"/>
    <w:rsid w:val="00374EB1"/>
    <w:rsid w:val="00376190"/>
    <w:rsid w:val="0038226C"/>
    <w:rsid w:val="0038322F"/>
    <w:rsid w:val="003915B3"/>
    <w:rsid w:val="003A0D2E"/>
    <w:rsid w:val="003A17F9"/>
    <w:rsid w:val="003A315D"/>
    <w:rsid w:val="003A5BAE"/>
    <w:rsid w:val="003A6E3A"/>
    <w:rsid w:val="003A71DF"/>
    <w:rsid w:val="003B27E1"/>
    <w:rsid w:val="003C02C1"/>
    <w:rsid w:val="003C31F3"/>
    <w:rsid w:val="003C7B87"/>
    <w:rsid w:val="003E1F5D"/>
    <w:rsid w:val="003F52E4"/>
    <w:rsid w:val="003F5317"/>
    <w:rsid w:val="003F6105"/>
    <w:rsid w:val="0041028E"/>
    <w:rsid w:val="00411DAF"/>
    <w:rsid w:val="004149EE"/>
    <w:rsid w:val="00414AEA"/>
    <w:rsid w:val="004242AA"/>
    <w:rsid w:val="0042624F"/>
    <w:rsid w:val="004316E0"/>
    <w:rsid w:val="00432812"/>
    <w:rsid w:val="00432A18"/>
    <w:rsid w:val="00433E79"/>
    <w:rsid w:val="00435D45"/>
    <w:rsid w:val="00436EF3"/>
    <w:rsid w:val="004370A5"/>
    <w:rsid w:val="00440A81"/>
    <w:rsid w:val="004567C7"/>
    <w:rsid w:val="00461DBE"/>
    <w:rsid w:val="00462E80"/>
    <w:rsid w:val="00466697"/>
    <w:rsid w:val="004668EA"/>
    <w:rsid w:val="0047110F"/>
    <w:rsid w:val="00480112"/>
    <w:rsid w:val="00481470"/>
    <w:rsid w:val="00486CA4"/>
    <w:rsid w:val="00487FAE"/>
    <w:rsid w:val="00493F7E"/>
    <w:rsid w:val="004973DF"/>
    <w:rsid w:val="004A129B"/>
    <w:rsid w:val="004B796B"/>
    <w:rsid w:val="004C33F1"/>
    <w:rsid w:val="004C5F0A"/>
    <w:rsid w:val="004C6D82"/>
    <w:rsid w:val="004C7D45"/>
    <w:rsid w:val="004D3E10"/>
    <w:rsid w:val="004D64AA"/>
    <w:rsid w:val="004D7290"/>
    <w:rsid w:val="004F0202"/>
    <w:rsid w:val="004F2D1D"/>
    <w:rsid w:val="004F3F98"/>
    <w:rsid w:val="00500CED"/>
    <w:rsid w:val="005015D0"/>
    <w:rsid w:val="00501CA3"/>
    <w:rsid w:val="005038F4"/>
    <w:rsid w:val="00513BF6"/>
    <w:rsid w:val="0052317F"/>
    <w:rsid w:val="00525084"/>
    <w:rsid w:val="00525426"/>
    <w:rsid w:val="00530915"/>
    <w:rsid w:val="00544333"/>
    <w:rsid w:val="00545FCA"/>
    <w:rsid w:val="0056531D"/>
    <w:rsid w:val="005715A7"/>
    <w:rsid w:val="005734FE"/>
    <w:rsid w:val="0058366C"/>
    <w:rsid w:val="0058592F"/>
    <w:rsid w:val="00585E69"/>
    <w:rsid w:val="00592448"/>
    <w:rsid w:val="005A383A"/>
    <w:rsid w:val="005B1895"/>
    <w:rsid w:val="005B2B19"/>
    <w:rsid w:val="005B35E9"/>
    <w:rsid w:val="005B700D"/>
    <w:rsid w:val="005C508A"/>
    <w:rsid w:val="005C702A"/>
    <w:rsid w:val="005E0147"/>
    <w:rsid w:val="005E6D9D"/>
    <w:rsid w:val="005F17C0"/>
    <w:rsid w:val="0060613D"/>
    <w:rsid w:val="00614D19"/>
    <w:rsid w:val="00615118"/>
    <w:rsid w:val="00615959"/>
    <w:rsid w:val="00617237"/>
    <w:rsid w:val="00617B76"/>
    <w:rsid w:val="00620C48"/>
    <w:rsid w:val="00623AD2"/>
    <w:rsid w:val="00624357"/>
    <w:rsid w:val="00624DC0"/>
    <w:rsid w:val="00627045"/>
    <w:rsid w:val="0063378B"/>
    <w:rsid w:val="0063715D"/>
    <w:rsid w:val="00640D62"/>
    <w:rsid w:val="00647CF5"/>
    <w:rsid w:val="0065338E"/>
    <w:rsid w:val="0065784C"/>
    <w:rsid w:val="0066027E"/>
    <w:rsid w:val="00660DCF"/>
    <w:rsid w:val="006644A2"/>
    <w:rsid w:val="006715B2"/>
    <w:rsid w:val="006759A6"/>
    <w:rsid w:val="00675E99"/>
    <w:rsid w:val="0068053E"/>
    <w:rsid w:val="00682021"/>
    <w:rsid w:val="00683140"/>
    <w:rsid w:val="00684865"/>
    <w:rsid w:val="00686CC0"/>
    <w:rsid w:val="00686EE6"/>
    <w:rsid w:val="00692227"/>
    <w:rsid w:val="0069246C"/>
    <w:rsid w:val="00695903"/>
    <w:rsid w:val="006A4319"/>
    <w:rsid w:val="006A4F07"/>
    <w:rsid w:val="006A5C1D"/>
    <w:rsid w:val="006A6D2E"/>
    <w:rsid w:val="006B0531"/>
    <w:rsid w:val="006B0EE4"/>
    <w:rsid w:val="006B484A"/>
    <w:rsid w:val="006B4D29"/>
    <w:rsid w:val="006C0F71"/>
    <w:rsid w:val="006C18B2"/>
    <w:rsid w:val="006C33E3"/>
    <w:rsid w:val="006C5B76"/>
    <w:rsid w:val="006D0F9F"/>
    <w:rsid w:val="006D2B7D"/>
    <w:rsid w:val="006D354D"/>
    <w:rsid w:val="006D3D85"/>
    <w:rsid w:val="006D5970"/>
    <w:rsid w:val="006D5CA3"/>
    <w:rsid w:val="006E2E0F"/>
    <w:rsid w:val="006F01C1"/>
    <w:rsid w:val="006F0ECE"/>
    <w:rsid w:val="006F500F"/>
    <w:rsid w:val="006F71DE"/>
    <w:rsid w:val="00705345"/>
    <w:rsid w:val="007159F8"/>
    <w:rsid w:val="00717890"/>
    <w:rsid w:val="00724E19"/>
    <w:rsid w:val="00732696"/>
    <w:rsid w:val="007347F5"/>
    <w:rsid w:val="0073778B"/>
    <w:rsid w:val="0074047E"/>
    <w:rsid w:val="00742405"/>
    <w:rsid w:val="0074527C"/>
    <w:rsid w:val="00746FF9"/>
    <w:rsid w:val="00747EB3"/>
    <w:rsid w:val="00753D7B"/>
    <w:rsid w:val="00755401"/>
    <w:rsid w:val="0075623F"/>
    <w:rsid w:val="00756DB3"/>
    <w:rsid w:val="00763850"/>
    <w:rsid w:val="00763DCB"/>
    <w:rsid w:val="007644A0"/>
    <w:rsid w:val="007650F4"/>
    <w:rsid w:val="007651C9"/>
    <w:rsid w:val="00765FDA"/>
    <w:rsid w:val="00765FDD"/>
    <w:rsid w:val="00770871"/>
    <w:rsid w:val="00770E49"/>
    <w:rsid w:val="00773DAD"/>
    <w:rsid w:val="00776DC2"/>
    <w:rsid w:val="00777098"/>
    <w:rsid w:val="00783533"/>
    <w:rsid w:val="00790355"/>
    <w:rsid w:val="00795FA8"/>
    <w:rsid w:val="007A060F"/>
    <w:rsid w:val="007A0DCF"/>
    <w:rsid w:val="007A2A67"/>
    <w:rsid w:val="007B50BB"/>
    <w:rsid w:val="007C00B3"/>
    <w:rsid w:val="007C06D8"/>
    <w:rsid w:val="007C0F4E"/>
    <w:rsid w:val="007C3C1A"/>
    <w:rsid w:val="007C4C5E"/>
    <w:rsid w:val="007C5FB6"/>
    <w:rsid w:val="007D4238"/>
    <w:rsid w:val="007E07A6"/>
    <w:rsid w:val="007E2FEC"/>
    <w:rsid w:val="007E5559"/>
    <w:rsid w:val="007E6D0A"/>
    <w:rsid w:val="007E7446"/>
    <w:rsid w:val="007F43B9"/>
    <w:rsid w:val="007F522A"/>
    <w:rsid w:val="007F798D"/>
    <w:rsid w:val="00800EB4"/>
    <w:rsid w:val="008016E4"/>
    <w:rsid w:val="00807203"/>
    <w:rsid w:val="008077AB"/>
    <w:rsid w:val="00811C8B"/>
    <w:rsid w:val="00815F0B"/>
    <w:rsid w:val="008160F7"/>
    <w:rsid w:val="008227D8"/>
    <w:rsid w:val="008301D7"/>
    <w:rsid w:val="00831791"/>
    <w:rsid w:val="0083427B"/>
    <w:rsid w:val="00835977"/>
    <w:rsid w:val="008370E2"/>
    <w:rsid w:val="0084042C"/>
    <w:rsid w:val="00840646"/>
    <w:rsid w:val="0084165A"/>
    <w:rsid w:val="008446D7"/>
    <w:rsid w:val="0084542E"/>
    <w:rsid w:val="008508B7"/>
    <w:rsid w:val="00851F64"/>
    <w:rsid w:val="00862BFF"/>
    <w:rsid w:val="00865D82"/>
    <w:rsid w:val="0086793F"/>
    <w:rsid w:val="00873482"/>
    <w:rsid w:val="00874AE3"/>
    <w:rsid w:val="00875BBA"/>
    <w:rsid w:val="008803A1"/>
    <w:rsid w:val="00880D6F"/>
    <w:rsid w:val="00881419"/>
    <w:rsid w:val="00886351"/>
    <w:rsid w:val="00892B39"/>
    <w:rsid w:val="00894636"/>
    <w:rsid w:val="00894E5C"/>
    <w:rsid w:val="00895FC4"/>
    <w:rsid w:val="00895FC7"/>
    <w:rsid w:val="008A29DA"/>
    <w:rsid w:val="008A4F90"/>
    <w:rsid w:val="008A62C4"/>
    <w:rsid w:val="008A6570"/>
    <w:rsid w:val="008A7A4E"/>
    <w:rsid w:val="008B13BC"/>
    <w:rsid w:val="008B1756"/>
    <w:rsid w:val="008B4346"/>
    <w:rsid w:val="008B5370"/>
    <w:rsid w:val="008B766F"/>
    <w:rsid w:val="008C18A8"/>
    <w:rsid w:val="008C66A3"/>
    <w:rsid w:val="008F6234"/>
    <w:rsid w:val="009052B3"/>
    <w:rsid w:val="0090574C"/>
    <w:rsid w:val="00911BB4"/>
    <w:rsid w:val="00921183"/>
    <w:rsid w:val="00922827"/>
    <w:rsid w:val="00924A18"/>
    <w:rsid w:val="009276E7"/>
    <w:rsid w:val="00930730"/>
    <w:rsid w:val="00931334"/>
    <w:rsid w:val="00934B37"/>
    <w:rsid w:val="00934D98"/>
    <w:rsid w:val="009449BD"/>
    <w:rsid w:val="0095239B"/>
    <w:rsid w:val="00953BED"/>
    <w:rsid w:val="0095715C"/>
    <w:rsid w:val="00957CF2"/>
    <w:rsid w:val="00962F7F"/>
    <w:rsid w:val="00965422"/>
    <w:rsid w:val="009657F6"/>
    <w:rsid w:val="0096727E"/>
    <w:rsid w:val="00971525"/>
    <w:rsid w:val="009738CC"/>
    <w:rsid w:val="009811DC"/>
    <w:rsid w:val="00983226"/>
    <w:rsid w:val="00983CBB"/>
    <w:rsid w:val="009840DB"/>
    <w:rsid w:val="009A29B3"/>
    <w:rsid w:val="009A35C1"/>
    <w:rsid w:val="009A76AE"/>
    <w:rsid w:val="009B08D6"/>
    <w:rsid w:val="009B0912"/>
    <w:rsid w:val="009B0DB3"/>
    <w:rsid w:val="009B31FC"/>
    <w:rsid w:val="009B5AD6"/>
    <w:rsid w:val="009B6B84"/>
    <w:rsid w:val="009C74EE"/>
    <w:rsid w:val="009D05A3"/>
    <w:rsid w:val="009D4467"/>
    <w:rsid w:val="009E0EAD"/>
    <w:rsid w:val="009E4CB2"/>
    <w:rsid w:val="009E504D"/>
    <w:rsid w:val="009E5462"/>
    <w:rsid w:val="009E54BB"/>
    <w:rsid w:val="009E60ED"/>
    <w:rsid w:val="009E67A0"/>
    <w:rsid w:val="009F0615"/>
    <w:rsid w:val="009F58DB"/>
    <w:rsid w:val="009F5C60"/>
    <w:rsid w:val="00A01497"/>
    <w:rsid w:val="00A04617"/>
    <w:rsid w:val="00A23456"/>
    <w:rsid w:val="00A24C71"/>
    <w:rsid w:val="00A3540A"/>
    <w:rsid w:val="00A41317"/>
    <w:rsid w:val="00A50B84"/>
    <w:rsid w:val="00A51F7B"/>
    <w:rsid w:val="00A53F81"/>
    <w:rsid w:val="00A71420"/>
    <w:rsid w:val="00A7296C"/>
    <w:rsid w:val="00A72DAD"/>
    <w:rsid w:val="00A749F8"/>
    <w:rsid w:val="00A77949"/>
    <w:rsid w:val="00A834D9"/>
    <w:rsid w:val="00A85BFC"/>
    <w:rsid w:val="00A85D25"/>
    <w:rsid w:val="00A86C50"/>
    <w:rsid w:val="00A90874"/>
    <w:rsid w:val="00A95A58"/>
    <w:rsid w:val="00AA72E6"/>
    <w:rsid w:val="00AA774A"/>
    <w:rsid w:val="00AB67FB"/>
    <w:rsid w:val="00AC1216"/>
    <w:rsid w:val="00AC1CDA"/>
    <w:rsid w:val="00AD1D03"/>
    <w:rsid w:val="00AD4B76"/>
    <w:rsid w:val="00AD66CB"/>
    <w:rsid w:val="00AD6E7C"/>
    <w:rsid w:val="00AD7FAF"/>
    <w:rsid w:val="00AE0396"/>
    <w:rsid w:val="00AE5AA1"/>
    <w:rsid w:val="00AF0A1D"/>
    <w:rsid w:val="00AF22A3"/>
    <w:rsid w:val="00AF40F6"/>
    <w:rsid w:val="00AF45AD"/>
    <w:rsid w:val="00AF5565"/>
    <w:rsid w:val="00AF69BA"/>
    <w:rsid w:val="00B04715"/>
    <w:rsid w:val="00B10323"/>
    <w:rsid w:val="00B11223"/>
    <w:rsid w:val="00B156A4"/>
    <w:rsid w:val="00B175CE"/>
    <w:rsid w:val="00B25D36"/>
    <w:rsid w:val="00B362AA"/>
    <w:rsid w:val="00B45B78"/>
    <w:rsid w:val="00B50A1C"/>
    <w:rsid w:val="00B51EDA"/>
    <w:rsid w:val="00B53EB6"/>
    <w:rsid w:val="00B53F3D"/>
    <w:rsid w:val="00B5585E"/>
    <w:rsid w:val="00B605C5"/>
    <w:rsid w:val="00B62718"/>
    <w:rsid w:val="00B65B0D"/>
    <w:rsid w:val="00B70407"/>
    <w:rsid w:val="00B7057D"/>
    <w:rsid w:val="00B70660"/>
    <w:rsid w:val="00B71E35"/>
    <w:rsid w:val="00B74CC0"/>
    <w:rsid w:val="00B76C86"/>
    <w:rsid w:val="00B771C2"/>
    <w:rsid w:val="00B81EB9"/>
    <w:rsid w:val="00B829F8"/>
    <w:rsid w:val="00B83801"/>
    <w:rsid w:val="00B85C16"/>
    <w:rsid w:val="00B86274"/>
    <w:rsid w:val="00B91BB7"/>
    <w:rsid w:val="00B91D91"/>
    <w:rsid w:val="00B91FA0"/>
    <w:rsid w:val="00B9365D"/>
    <w:rsid w:val="00B93F9D"/>
    <w:rsid w:val="00B951E5"/>
    <w:rsid w:val="00BA65C6"/>
    <w:rsid w:val="00BB0222"/>
    <w:rsid w:val="00BB0853"/>
    <w:rsid w:val="00BB32F2"/>
    <w:rsid w:val="00BB7C08"/>
    <w:rsid w:val="00BC3D8A"/>
    <w:rsid w:val="00BC7DE9"/>
    <w:rsid w:val="00BD188C"/>
    <w:rsid w:val="00BD260D"/>
    <w:rsid w:val="00BD4717"/>
    <w:rsid w:val="00BE2B03"/>
    <w:rsid w:val="00BE68F7"/>
    <w:rsid w:val="00BF0D5E"/>
    <w:rsid w:val="00BF3639"/>
    <w:rsid w:val="00BF7F5F"/>
    <w:rsid w:val="00C00E2B"/>
    <w:rsid w:val="00C0400B"/>
    <w:rsid w:val="00C06077"/>
    <w:rsid w:val="00C22520"/>
    <w:rsid w:val="00C25889"/>
    <w:rsid w:val="00C25FA8"/>
    <w:rsid w:val="00C26284"/>
    <w:rsid w:val="00C36D9C"/>
    <w:rsid w:val="00C4170C"/>
    <w:rsid w:val="00C46315"/>
    <w:rsid w:val="00C53941"/>
    <w:rsid w:val="00C5505C"/>
    <w:rsid w:val="00C57E73"/>
    <w:rsid w:val="00C60915"/>
    <w:rsid w:val="00C6608C"/>
    <w:rsid w:val="00C83AC4"/>
    <w:rsid w:val="00C85984"/>
    <w:rsid w:val="00C9152B"/>
    <w:rsid w:val="00C92584"/>
    <w:rsid w:val="00C93278"/>
    <w:rsid w:val="00C939BF"/>
    <w:rsid w:val="00C95E4E"/>
    <w:rsid w:val="00C97D85"/>
    <w:rsid w:val="00CA2841"/>
    <w:rsid w:val="00CA64AA"/>
    <w:rsid w:val="00CA7D62"/>
    <w:rsid w:val="00CA7FAA"/>
    <w:rsid w:val="00CB3412"/>
    <w:rsid w:val="00CB3BBB"/>
    <w:rsid w:val="00CB5B17"/>
    <w:rsid w:val="00CB5FE2"/>
    <w:rsid w:val="00CC1885"/>
    <w:rsid w:val="00CC2B51"/>
    <w:rsid w:val="00CC5325"/>
    <w:rsid w:val="00CC5D2C"/>
    <w:rsid w:val="00CD3075"/>
    <w:rsid w:val="00CD3AD8"/>
    <w:rsid w:val="00CD4623"/>
    <w:rsid w:val="00CD5E96"/>
    <w:rsid w:val="00CD7356"/>
    <w:rsid w:val="00CE4CF9"/>
    <w:rsid w:val="00CE5570"/>
    <w:rsid w:val="00CE7AFD"/>
    <w:rsid w:val="00CF3A31"/>
    <w:rsid w:val="00CF3FB2"/>
    <w:rsid w:val="00CF513D"/>
    <w:rsid w:val="00CF7F0D"/>
    <w:rsid w:val="00D003AE"/>
    <w:rsid w:val="00D03658"/>
    <w:rsid w:val="00D04C27"/>
    <w:rsid w:val="00D04CF0"/>
    <w:rsid w:val="00D07B03"/>
    <w:rsid w:val="00D1147A"/>
    <w:rsid w:val="00D116B4"/>
    <w:rsid w:val="00D12A30"/>
    <w:rsid w:val="00D24072"/>
    <w:rsid w:val="00D24CE7"/>
    <w:rsid w:val="00D27E6C"/>
    <w:rsid w:val="00D329AA"/>
    <w:rsid w:val="00D35962"/>
    <w:rsid w:val="00D410EC"/>
    <w:rsid w:val="00D47889"/>
    <w:rsid w:val="00D50025"/>
    <w:rsid w:val="00D51B26"/>
    <w:rsid w:val="00D5350C"/>
    <w:rsid w:val="00D6446C"/>
    <w:rsid w:val="00D767CC"/>
    <w:rsid w:val="00D77CC4"/>
    <w:rsid w:val="00D807D5"/>
    <w:rsid w:val="00D837E7"/>
    <w:rsid w:val="00D84B48"/>
    <w:rsid w:val="00D85D38"/>
    <w:rsid w:val="00D86E63"/>
    <w:rsid w:val="00D92292"/>
    <w:rsid w:val="00D956A5"/>
    <w:rsid w:val="00D976B5"/>
    <w:rsid w:val="00DA04A7"/>
    <w:rsid w:val="00DB16F2"/>
    <w:rsid w:val="00DB1804"/>
    <w:rsid w:val="00DB7D4E"/>
    <w:rsid w:val="00DC0010"/>
    <w:rsid w:val="00DC1066"/>
    <w:rsid w:val="00DC154E"/>
    <w:rsid w:val="00DC66EB"/>
    <w:rsid w:val="00DD033D"/>
    <w:rsid w:val="00DD2BF7"/>
    <w:rsid w:val="00DD49FE"/>
    <w:rsid w:val="00DD4C96"/>
    <w:rsid w:val="00DE4AE2"/>
    <w:rsid w:val="00DE50B1"/>
    <w:rsid w:val="00DE70F1"/>
    <w:rsid w:val="00DF0AA6"/>
    <w:rsid w:val="00DF389F"/>
    <w:rsid w:val="00DF4093"/>
    <w:rsid w:val="00DF5079"/>
    <w:rsid w:val="00DF52FA"/>
    <w:rsid w:val="00E010D3"/>
    <w:rsid w:val="00E05ADF"/>
    <w:rsid w:val="00E07991"/>
    <w:rsid w:val="00E15F48"/>
    <w:rsid w:val="00E172CF"/>
    <w:rsid w:val="00E21C84"/>
    <w:rsid w:val="00E24698"/>
    <w:rsid w:val="00E30985"/>
    <w:rsid w:val="00E30D19"/>
    <w:rsid w:val="00E31285"/>
    <w:rsid w:val="00E33BCA"/>
    <w:rsid w:val="00E341C6"/>
    <w:rsid w:val="00E34AC9"/>
    <w:rsid w:val="00E36B52"/>
    <w:rsid w:val="00E36C75"/>
    <w:rsid w:val="00E37218"/>
    <w:rsid w:val="00E40E3D"/>
    <w:rsid w:val="00E42B72"/>
    <w:rsid w:val="00E448F5"/>
    <w:rsid w:val="00E51EB7"/>
    <w:rsid w:val="00E5211B"/>
    <w:rsid w:val="00E6133C"/>
    <w:rsid w:val="00E725ED"/>
    <w:rsid w:val="00E73691"/>
    <w:rsid w:val="00E74FE3"/>
    <w:rsid w:val="00E75842"/>
    <w:rsid w:val="00E8105B"/>
    <w:rsid w:val="00E83C88"/>
    <w:rsid w:val="00E83D1E"/>
    <w:rsid w:val="00E83D60"/>
    <w:rsid w:val="00E8497D"/>
    <w:rsid w:val="00E9284A"/>
    <w:rsid w:val="00EA382E"/>
    <w:rsid w:val="00EA568B"/>
    <w:rsid w:val="00EA6E14"/>
    <w:rsid w:val="00EB16B8"/>
    <w:rsid w:val="00EB31B4"/>
    <w:rsid w:val="00EB49EC"/>
    <w:rsid w:val="00EB5E9F"/>
    <w:rsid w:val="00EC0AEF"/>
    <w:rsid w:val="00EC3C7B"/>
    <w:rsid w:val="00EC4C43"/>
    <w:rsid w:val="00EC4E36"/>
    <w:rsid w:val="00EC5622"/>
    <w:rsid w:val="00EC79D2"/>
    <w:rsid w:val="00ED3881"/>
    <w:rsid w:val="00ED4076"/>
    <w:rsid w:val="00ED50A7"/>
    <w:rsid w:val="00EE4D41"/>
    <w:rsid w:val="00EE4D6A"/>
    <w:rsid w:val="00EF08E8"/>
    <w:rsid w:val="00EF2B09"/>
    <w:rsid w:val="00EF494C"/>
    <w:rsid w:val="00EF7864"/>
    <w:rsid w:val="00F07BD8"/>
    <w:rsid w:val="00F2123E"/>
    <w:rsid w:val="00F246B6"/>
    <w:rsid w:val="00F269B3"/>
    <w:rsid w:val="00F30E6F"/>
    <w:rsid w:val="00F36A73"/>
    <w:rsid w:val="00F52256"/>
    <w:rsid w:val="00F53162"/>
    <w:rsid w:val="00F60B48"/>
    <w:rsid w:val="00F619D9"/>
    <w:rsid w:val="00F62E3D"/>
    <w:rsid w:val="00F64DD0"/>
    <w:rsid w:val="00F70122"/>
    <w:rsid w:val="00F701B5"/>
    <w:rsid w:val="00F75B10"/>
    <w:rsid w:val="00F76B87"/>
    <w:rsid w:val="00F80045"/>
    <w:rsid w:val="00F86D4A"/>
    <w:rsid w:val="00FA25CC"/>
    <w:rsid w:val="00FA7013"/>
    <w:rsid w:val="00FB1AE3"/>
    <w:rsid w:val="00FB2C8F"/>
    <w:rsid w:val="00FB510E"/>
    <w:rsid w:val="00FB6DB3"/>
    <w:rsid w:val="00FE25C2"/>
    <w:rsid w:val="00FE31EF"/>
    <w:rsid w:val="00FE33E0"/>
    <w:rsid w:val="00FE37CC"/>
    <w:rsid w:val="00FE5156"/>
    <w:rsid w:val="00FF1C4B"/>
    <w:rsid w:val="00FF35F0"/>
    <w:rsid w:val="00FF618D"/>
    <w:rsid w:val="4C96DA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43F60"/>
  <w15:chartTrackingRefBased/>
  <w15:docId w15:val="{6BE2EF6E-7A57-45BA-8729-04A92DBED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CA284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A2841"/>
    <w:rPr>
      <w:sz w:val="20"/>
      <w:szCs w:val="20"/>
    </w:rPr>
  </w:style>
  <w:style w:type="character" w:styleId="Odwoanieprzypisudolnego">
    <w:name w:val="footnote reference"/>
    <w:basedOn w:val="Domylnaczcionkaakapitu"/>
    <w:uiPriority w:val="99"/>
    <w:semiHidden/>
    <w:unhideWhenUsed/>
    <w:rsid w:val="00CA2841"/>
    <w:rPr>
      <w:vertAlign w:val="superscript"/>
    </w:rPr>
  </w:style>
  <w:style w:type="table" w:styleId="Tabela-Siatka">
    <w:name w:val="Table Grid"/>
    <w:basedOn w:val="Standardowy"/>
    <w:uiPriority w:val="39"/>
    <w:rsid w:val="00CA2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4F2D1D"/>
    <w:rPr>
      <w:sz w:val="16"/>
      <w:szCs w:val="16"/>
    </w:rPr>
  </w:style>
  <w:style w:type="paragraph" w:styleId="Tekstkomentarza">
    <w:name w:val="annotation text"/>
    <w:basedOn w:val="Normalny"/>
    <w:link w:val="TekstkomentarzaZnak"/>
    <w:uiPriority w:val="99"/>
    <w:unhideWhenUsed/>
    <w:rsid w:val="004F2D1D"/>
    <w:pPr>
      <w:spacing w:line="240" w:lineRule="auto"/>
    </w:pPr>
    <w:rPr>
      <w:sz w:val="20"/>
      <w:szCs w:val="20"/>
    </w:rPr>
  </w:style>
  <w:style w:type="character" w:customStyle="1" w:styleId="TekstkomentarzaZnak">
    <w:name w:val="Tekst komentarza Znak"/>
    <w:basedOn w:val="Domylnaczcionkaakapitu"/>
    <w:link w:val="Tekstkomentarza"/>
    <w:uiPriority w:val="99"/>
    <w:rsid w:val="004F2D1D"/>
    <w:rPr>
      <w:sz w:val="20"/>
      <w:szCs w:val="20"/>
    </w:rPr>
  </w:style>
  <w:style w:type="paragraph" w:styleId="Tematkomentarza">
    <w:name w:val="annotation subject"/>
    <w:basedOn w:val="Tekstkomentarza"/>
    <w:next w:val="Tekstkomentarza"/>
    <w:link w:val="TematkomentarzaZnak"/>
    <w:uiPriority w:val="99"/>
    <w:semiHidden/>
    <w:unhideWhenUsed/>
    <w:rsid w:val="004F2D1D"/>
    <w:rPr>
      <w:b/>
      <w:bCs/>
    </w:rPr>
  </w:style>
  <w:style w:type="character" w:customStyle="1" w:styleId="TematkomentarzaZnak">
    <w:name w:val="Temat komentarza Znak"/>
    <w:basedOn w:val="TekstkomentarzaZnak"/>
    <w:link w:val="Tematkomentarza"/>
    <w:uiPriority w:val="99"/>
    <w:semiHidden/>
    <w:rsid w:val="004F2D1D"/>
    <w:rPr>
      <w:b/>
      <w:bCs/>
      <w:sz w:val="20"/>
      <w:szCs w:val="20"/>
    </w:rPr>
  </w:style>
  <w:style w:type="paragraph" w:styleId="Akapitzlist">
    <w:name w:val="List Paragraph"/>
    <w:basedOn w:val="Normalny"/>
    <w:uiPriority w:val="34"/>
    <w:qFormat/>
    <w:rsid w:val="4C96DAD4"/>
    <w:pPr>
      <w:ind w:left="720"/>
      <w:contextualSpacing/>
    </w:pPr>
  </w:style>
  <w:style w:type="character" w:styleId="Hipercze">
    <w:name w:val="Hyperlink"/>
    <w:basedOn w:val="Domylnaczcionkaakapitu"/>
    <w:uiPriority w:val="99"/>
    <w:unhideWhenUsed/>
    <w:rsid w:val="4C96DAD4"/>
    <w:rPr>
      <w:color w:val="0563C1"/>
      <w:u w:val="single"/>
    </w:rPr>
  </w:style>
  <w:style w:type="paragraph" w:styleId="Nagwek">
    <w:name w:val="header"/>
    <w:basedOn w:val="Normalny"/>
    <w:link w:val="NagwekZnak"/>
    <w:uiPriority w:val="99"/>
    <w:unhideWhenUsed/>
    <w:rsid w:val="00D644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446C"/>
  </w:style>
  <w:style w:type="paragraph" w:styleId="Stopka">
    <w:name w:val="footer"/>
    <w:basedOn w:val="Normalny"/>
    <w:link w:val="StopkaZnak"/>
    <w:uiPriority w:val="99"/>
    <w:unhideWhenUsed/>
    <w:rsid w:val="00D644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446C"/>
  </w:style>
  <w:style w:type="paragraph" w:styleId="Poprawka">
    <w:name w:val="Revision"/>
    <w:hidden/>
    <w:uiPriority w:val="99"/>
    <w:semiHidden/>
    <w:rsid w:val="008A4F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68A9B-02CF-49B8-B19D-07AFA93A7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2540</TotalTime>
  <Pages>39</Pages>
  <Words>13704</Words>
  <Characters>82226</Characters>
  <Application>Microsoft Office Word</Application>
  <DocSecurity>0</DocSecurity>
  <Lines>685</Lines>
  <Paragraphs>191</Paragraphs>
  <ScaleCrop>false</ScaleCrop>
  <Company/>
  <LinksUpToDate>false</LinksUpToDate>
  <CharactersWithSpaces>95739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Wójcikiewicz-Kawa Agata</dc:creator>
  <cp:keywords/>
  <dc:description/>
  <cp:lastModifiedBy>Paulina Grądzik</cp:lastModifiedBy>
  <cp:revision>663</cp:revision>
  <dcterms:created xsi:type="dcterms:W3CDTF">2025-03-20T12:30:00Z</dcterms:created>
  <dcterms:modified xsi:type="dcterms:W3CDTF">2025-11-05T23:48:00Z</dcterms:modified>
</cp:coreProperties>
</file>