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0" w:type="auto"/>
        <w:jc w:val="center"/>
        <w:tblLook w:val="04A0" w:firstRow="1" w:lastRow="0" w:firstColumn="1" w:lastColumn="0" w:noHBand="0" w:noVBand="1"/>
      </w:tblPr>
      <w:tblGrid>
        <w:gridCol w:w="562"/>
        <w:gridCol w:w="1843"/>
        <w:gridCol w:w="1843"/>
        <w:gridCol w:w="5670"/>
        <w:gridCol w:w="4076"/>
      </w:tblGrid>
      <w:tr w:rsidR="001C4E87" w:rsidRPr="008A1F3C" w14:paraId="56E089F6" w14:textId="77777777" w:rsidTr="5915656F">
        <w:trPr>
          <w:trHeight w:val="592"/>
          <w:jc w:val="center"/>
        </w:trPr>
        <w:tc>
          <w:tcPr>
            <w:tcW w:w="13994" w:type="dxa"/>
            <w:gridSpan w:val="5"/>
            <w:shd w:val="clear" w:color="auto" w:fill="A6A6A6" w:themeFill="background1" w:themeFillShade="A6"/>
            <w:vAlign w:val="center"/>
          </w:tcPr>
          <w:p w14:paraId="262AE6AF" w14:textId="324E2F69" w:rsidR="00E35677" w:rsidRPr="008A1F3C" w:rsidRDefault="003514BB" w:rsidP="005B1B05">
            <w:pPr>
              <w:pStyle w:val="TYTDZPRZEDMprzedmiotregulacjitytuulubdziau"/>
              <w:spacing w:line="276" w:lineRule="auto"/>
              <w:rPr>
                <w:rFonts w:ascii="Times New Roman" w:hAnsi="Times New Roman"/>
                <w:b w:val="0"/>
                <w:sz w:val="20"/>
                <w:szCs w:val="20"/>
              </w:rPr>
            </w:pPr>
            <w:r w:rsidRPr="008A1F3C">
              <w:rPr>
                <w:rFonts w:ascii="Times New Roman" w:hAnsi="Times New Roman"/>
                <w:sz w:val="20"/>
                <w:szCs w:val="20"/>
              </w:rPr>
              <w:t>U</w:t>
            </w:r>
            <w:r w:rsidR="00E35677" w:rsidRPr="008A1F3C">
              <w:rPr>
                <w:rFonts w:ascii="Times New Roman" w:hAnsi="Times New Roman"/>
                <w:sz w:val="20"/>
                <w:szCs w:val="20"/>
              </w:rPr>
              <w:t xml:space="preserve">wagi do projektu </w:t>
            </w:r>
            <w:r w:rsidR="00741A58" w:rsidRPr="008A1F3C">
              <w:rPr>
                <w:rFonts w:ascii="Times New Roman" w:hAnsi="Times New Roman"/>
                <w:sz w:val="20"/>
                <w:szCs w:val="20"/>
              </w:rPr>
              <w:t xml:space="preserve">ustawy </w:t>
            </w:r>
            <w:r w:rsidR="006B61AD" w:rsidRPr="008A1F3C">
              <w:rPr>
                <w:rFonts w:ascii="Times New Roman" w:hAnsi="Times New Roman"/>
                <w:sz w:val="20"/>
                <w:szCs w:val="20"/>
              </w:rPr>
              <w:t xml:space="preserve">o zmianie ustawy </w:t>
            </w:r>
            <w:r w:rsidR="00946936" w:rsidRPr="008A1F3C">
              <w:rPr>
                <w:rFonts w:ascii="Times New Roman" w:hAnsi="Times New Roman"/>
                <w:sz w:val="20"/>
                <w:szCs w:val="20"/>
              </w:rPr>
              <w:t>– Kodeks postępowania cywilnego</w:t>
            </w:r>
            <w:r w:rsidR="00B95FAD" w:rsidRPr="008A1F3C">
              <w:rPr>
                <w:rFonts w:ascii="Times New Roman" w:hAnsi="Times New Roman"/>
                <w:sz w:val="20"/>
                <w:szCs w:val="20"/>
              </w:rPr>
              <w:t xml:space="preserve"> oraz niektórych innych ustaw</w:t>
            </w:r>
            <w:r w:rsidR="006B61AD" w:rsidRPr="008A1F3C">
              <w:rPr>
                <w:rFonts w:ascii="Times New Roman" w:hAnsi="Times New Roman"/>
                <w:sz w:val="20"/>
                <w:szCs w:val="20"/>
              </w:rPr>
              <w:t xml:space="preserve"> </w:t>
            </w:r>
            <w:r w:rsidRPr="008A1F3C">
              <w:rPr>
                <w:rFonts w:ascii="Times New Roman" w:hAnsi="Times New Roman"/>
                <w:sz w:val="20"/>
                <w:szCs w:val="20"/>
              </w:rPr>
              <w:t>(</w:t>
            </w:r>
            <w:r w:rsidR="00B95FAD" w:rsidRPr="008A1F3C">
              <w:rPr>
                <w:rFonts w:ascii="Times New Roman" w:hAnsi="Times New Roman"/>
                <w:sz w:val="20"/>
                <w:szCs w:val="20"/>
              </w:rPr>
              <w:t>U261</w:t>
            </w:r>
            <w:r w:rsidRPr="008A1F3C">
              <w:rPr>
                <w:rFonts w:ascii="Times New Roman" w:hAnsi="Times New Roman"/>
                <w:sz w:val="20"/>
                <w:szCs w:val="20"/>
              </w:rPr>
              <w:t>)</w:t>
            </w:r>
            <w:r w:rsidR="00E35677" w:rsidRPr="008A1F3C">
              <w:rPr>
                <w:rFonts w:ascii="Times New Roman" w:hAnsi="Times New Roman"/>
                <w:sz w:val="20"/>
                <w:szCs w:val="20"/>
              </w:rPr>
              <w:br/>
              <w:t xml:space="preserve">(projekt z dnia </w:t>
            </w:r>
            <w:r w:rsidR="00C00F2F" w:rsidRPr="008A1F3C">
              <w:rPr>
                <w:rFonts w:ascii="Times New Roman" w:hAnsi="Times New Roman"/>
                <w:sz w:val="20"/>
                <w:szCs w:val="20"/>
              </w:rPr>
              <w:t>10.10</w:t>
            </w:r>
            <w:r w:rsidR="00A879DF" w:rsidRPr="008A1F3C">
              <w:rPr>
                <w:rFonts w:ascii="Times New Roman" w:hAnsi="Times New Roman"/>
                <w:sz w:val="20"/>
                <w:szCs w:val="20"/>
              </w:rPr>
              <w:t>.2025</w:t>
            </w:r>
            <w:r w:rsidR="00E35677" w:rsidRPr="008A1F3C">
              <w:rPr>
                <w:rFonts w:ascii="Times New Roman" w:hAnsi="Times New Roman"/>
                <w:sz w:val="20"/>
                <w:szCs w:val="20"/>
              </w:rPr>
              <w:t xml:space="preserve"> r.)</w:t>
            </w:r>
          </w:p>
        </w:tc>
      </w:tr>
      <w:tr w:rsidR="001C4E87" w:rsidRPr="008A1F3C" w14:paraId="0F5D1353" w14:textId="77777777" w:rsidTr="5915656F">
        <w:trPr>
          <w:jc w:val="center"/>
        </w:trPr>
        <w:tc>
          <w:tcPr>
            <w:tcW w:w="13994" w:type="dxa"/>
            <w:gridSpan w:val="5"/>
            <w:shd w:val="clear" w:color="auto" w:fill="A6A6A6" w:themeFill="background1" w:themeFillShade="A6"/>
          </w:tcPr>
          <w:p w14:paraId="7F1979A8" w14:textId="0F22EA6E" w:rsidR="008842F2" w:rsidRPr="00DC4045" w:rsidRDefault="00D60847" w:rsidP="005B1B05">
            <w:pPr>
              <w:spacing w:before="120" w:after="120" w:line="276" w:lineRule="auto"/>
              <w:jc w:val="center"/>
              <w:rPr>
                <w:rFonts w:ascii="Times New Roman" w:hAnsi="Times New Roman" w:cs="Times New Roman"/>
                <w:b/>
                <w:sz w:val="20"/>
                <w:szCs w:val="20"/>
              </w:rPr>
            </w:pPr>
            <w:r>
              <w:rPr>
                <w:rFonts w:ascii="Times New Roman" w:hAnsi="Times New Roman" w:cs="Times New Roman"/>
                <w:b/>
                <w:sz w:val="20"/>
                <w:szCs w:val="20"/>
              </w:rPr>
              <w:t>Uwagi ogólne</w:t>
            </w:r>
          </w:p>
        </w:tc>
      </w:tr>
      <w:tr w:rsidR="00D60847" w:rsidRPr="008A1F3C" w14:paraId="1C73A2FF" w14:textId="77777777" w:rsidTr="5915656F">
        <w:trPr>
          <w:jc w:val="center"/>
        </w:trPr>
        <w:tc>
          <w:tcPr>
            <w:tcW w:w="562" w:type="dxa"/>
          </w:tcPr>
          <w:p w14:paraId="56CF0E0A" w14:textId="47C9824C" w:rsidR="00D60847" w:rsidRPr="008A1F3C" w:rsidRDefault="00D60847" w:rsidP="005B1B05">
            <w:pPr>
              <w:spacing w:before="120" w:line="276" w:lineRule="auto"/>
              <w:ind w:right="-534"/>
              <w:jc w:val="both"/>
              <w:rPr>
                <w:rFonts w:ascii="Times New Roman" w:hAnsi="Times New Roman" w:cs="Times New Roman"/>
                <w:bCs/>
              </w:rPr>
            </w:pPr>
            <w:r>
              <w:rPr>
                <w:rFonts w:ascii="Times New Roman" w:hAnsi="Times New Roman" w:cs="Times New Roman"/>
                <w:bCs/>
              </w:rPr>
              <w:t>1.</w:t>
            </w:r>
          </w:p>
        </w:tc>
        <w:tc>
          <w:tcPr>
            <w:tcW w:w="1843" w:type="dxa"/>
            <w:vAlign w:val="center"/>
          </w:tcPr>
          <w:p w14:paraId="605A820D" w14:textId="77777777" w:rsidR="00D60847" w:rsidRPr="008A1F3C" w:rsidRDefault="00D60847" w:rsidP="005B1B05">
            <w:pPr>
              <w:spacing w:before="120" w:after="120" w:line="276" w:lineRule="auto"/>
              <w:jc w:val="both"/>
              <w:rPr>
                <w:rFonts w:ascii="Times New Roman" w:hAnsi="Times New Roman" w:cs="Times New Roman"/>
                <w:bCs/>
              </w:rPr>
            </w:pPr>
          </w:p>
        </w:tc>
        <w:tc>
          <w:tcPr>
            <w:tcW w:w="1843" w:type="dxa"/>
            <w:vAlign w:val="center"/>
          </w:tcPr>
          <w:p w14:paraId="0B3C268F" w14:textId="77777777" w:rsidR="00D60847" w:rsidRPr="00693EAB" w:rsidRDefault="00D60847" w:rsidP="005B1B05">
            <w:pPr>
              <w:spacing w:before="120" w:after="120" w:line="276" w:lineRule="auto"/>
              <w:jc w:val="both"/>
              <w:rPr>
                <w:rFonts w:ascii="Times New Roman" w:hAnsi="Times New Roman" w:cs="Times New Roman"/>
                <w:bCs/>
              </w:rPr>
            </w:pPr>
          </w:p>
        </w:tc>
        <w:tc>
          <w:tcPr>
            <w:tcW w:w="5670" w:type="dxa"/>
            <w:vAlign w:val="center"/>
          </w:tcPr>
          <w:p w14:paraId="1D9FFCC4" w14:textId="5FDC8055" w:rsidR="00D60847" w:rsidRPr="00693EAB" w:rsidRDefault="00D60847" w:rsidP="005B1B05">
            <w:pPr>
              <w:spacing w:line="276" w:lineRule="auto"/>
              <w:jc w:val="both"/>
              <w:rPr>
                <w:rFonts w:ascii="Times New Roman" w:hAnsi="Times New Roman" w:cs="Times New Roman"/>
              </w:rPr>
            </w:pPr>
          </w:p>
        </w:tc>
        <w:tc>
          <w:tcPr>
            <w:tcW w:w="4076" w:type="dxa"/>
          </w:tcPr>
          <w:p w14:paraId="1DB0A340" w14:textId="77777777" w:rsidR="00D60847" w:rsidRPr="008A1F3C" w:rsidRDefault="00D60847" w:rsidP="005B1B05">
            <w:pPr>
              <w:spacing w:before="240" w:after="120" w:line="276" w:lineRule="auto"/>
              <w:jc w:val="center"/>
              <w:rPr>
                <w:rFonts w:ascii="Times New Roman" w:hAnsi="Times New Roman" w:cs="Times New Roman"/>
                <w:b/>
              </w:rPr>
            </w:pPr>
          </w:p>
        </w:tc>
      </w:tr>
      <w:tr w:rsidR="00D60847" w:rsidRPr="008A1F3C" w14:paraId="278316D7" w14:textId="77777777" w:rsidTr="5915656F">
        <w:trPr>
          <w:jc w:val="center"/>
        </w:trPr>
        <w:tc>
          <w:tcPr>
            <w:tcW w:w="13994" w:type="dxa"/>
            <w:gridSpan w:val="5"/>
            <w:shd w:val="clear" w:color="auto" w:fill="A6A6A6" w:themeFill="background1" w:themeFillShade="A6"/>
            <w:vAlign w:val="center"/>
          </w:tcPr>
          <w:p w14:paraId="787B268E" w14:textId="5906FCC0" w:rsidR="00D60847" w:rsidRPr="008A1F3C" w:rsidRDefault="00D60847" w:rsidP="005B1B05">
            <w:pPr>
              <w:spacing w:before="240" w:after="120" w:line="276" w:lineRule="auto"/>
              <w:jc w:val="center"/>
              <w:rPr>
                <w:rFonts w:ascii="Times New Roman" w:hAnsi="Times New Roman" w:cs="Times New Roman"/>
                <w:b/>
              </w:rPr>
            </w:pPr>
            <w:r w:rsidRPr="00DC4045">
              <w:rPr>
                <w:rFonts w:ascii="Times New Roman" w:hAnsi="Times New Roman" w:cs="Times New Roman"/>
                <w:b/>
                <w:sz w:val="20"/>
                <w:szCs w:val="20"/>
              </w:rPr>
              <w:t>Uwagi do projektu ustawy</w:t>
            </w:r>
          </w:p>
        </w:tc>
      </w:tr>
      <w:tr w:rsidR="003A5DB8" w:rsidRPr="008A1F3C" w14:paraId="72D53DDB" w14:textId="77777777" w:rsidTr="5915656F">
        <w:trPr>
          <w:jc w:val="center"/>
        </w:trPr>
        <w:tc>
          <w:tcPr>
            <w:tcW w:w="562" w:type="dxa"/>
          </w:tcPr>
          <w:p w14:paraId="061921D2" w14:textId="77777777" w:rsidR="003A5DB8" w:rsidRPr="008A1F3C" w:rsidRDefault="003A5DB8" w:rsidP="003A5DB8">
            <w:pPr>
              <w:spacing w:before="120"/>
              <w:ind w:right="-534"/>
              <w:jc w:val="both"/>
              <w:rPr>
                <w:rFonts w:ascii="Times New Roman" w:hAnsi="Times New Roman" w:cs="Times New Roman"/>
                <w:bCs/>
              </w:rPr>
            </w:pPr>
          </w:p>
        </w:tc>
        <w:tc>
          <w:tcPr>
            <w:tcW w:w="1843" w:type="dxa"/>
            <w:vAlign w:val="center"/>
          </w:tcPr>
          <w:p w14:paraId="0D33361B" w14:textId="5A205273" w:rsidR="003A5DB8" w:rsidRPr="005166F6" w:rsidRDefault="003A5DB8" w:rsidP="003A5DB8">
            <w:pPr>
              <w:spacing w:before="120" w:after="120"/>
              <w:jc w:val="both"/>
              <w:rPr>
                <w:rFonts w:ascii="Times New Roman" w:hAnsi="Times New Roman" w:cs="Times New Roman"/>
                <w:bCs/>
              </w:rPr>
            </w:pPr>
            <w:r w:rsidRPr="005166F6">
              <w:rPr>
                <w:rFonts w:ascii="Times New Roman" w:hAnsi="Times New Roman" w:cs="Times New Roman"/>
                <w:bCs/>
              </w:rPr>
              <w:t>Konfederacja Lewiatan</w:t>
            </w:r>
          </w:p>
        </w:tc>
        <w:tc>
          <w:tcPr>
            <w:tcW w:w="1843" w:type="dxa"/>
            <w:vAlign w:val="center"/>
          </w:tcPr>
          <w:p w14:paraId="00AF61DC" w14:textId="5AE83CB3" w:rsidR="003A5DB8" w:rsidRPr="005166F6" w:rsidRDefault="003A5DB8" w:rsidP="003A5DB8">
            <w:pPr>
              <w:spacing w:before="120" w:after="120"/>
              <w:jc w:val="both"/>
              <w:rPr>
                <w:rFonts w:ascii="Times New Roman" w:hAnsi="Times New Roman" w:cs="Times New Roman"/>
                <w:bCs/>
              </w:rPr>
            </w:pPr>
            <w:r w:rsidRPr="005166F6">
              <w:rPr>
                <w:rFonts w:ascii="Times New Roman" w:hAnsi="Times New Roman" w:cs="Times New Roman"/>
                <w:bCs/>
              </w:rPr>
              <w:t>Art. 1 pkt 27</w:t>
            </w:r>
          </w:p>
        </w:tc>
        <w:tc>
          <w:tcPr>
            <w:tcW w:w="5670" w:type="dxa"/>
            <w:vAlign w:val="center"/>
          </w:tcPr>
          <w:p w14:paraId="6349E34D" w14:textId="2A238DC8" w:rsidR="003A5DB8" w:rsidRPr="005166F6" w:rsidRDefault="003A5DB8" w:rsidP="003A5DB8">
            <w:pPr>
              <w:pStyle w:val="NormalnyWeb"/>
              <w:spacing w:before="0" w:beforeAutospacing="0" w:after="0" w:afterAutospacing="0"/>
              <w:jc w:val="both"/>
              <w:rPr>
                <w:b/>
                <w:sz w:val="22"/>
                <w:szCs w:val="22"/>
              </w:rPr>
            </w:pPr>
            <w:r w:rsidRPr="005166F6">
              <w:rPr>
                <w:sz w:val="22"/>
                <w:szCs w:val="22"/>
              </w:rPr>
              <w:t>Proponowany przepis ogranicza możliwość orzekania na posiedzeniu niejawnym do określonych, enumeratywnie wymienionych przypadków. Proponowane rozwiązanie należy ocenić negatywnie, jako mogące wpłynąć na wydłużenie postępowania, zwłaszcza w sytuacji pozbawienia sądu możliwości uznania że przeprowadzenie rozprawy nie jest konieczne.</w:t>
            </w:r>
          </w:p>
        </w:tc>
        <w:tc>
          <w:tcPr>
            <w:tcW w:w="4076" w:type="dxa"/>
          </w:tcPr>
          <w:p w14:paraId="24A1EB86" w14:textId="77777777" w:rsidR="003A5DB8" w:rsidRPr="008A1F3C" w:rsidRDefault="003A5DB8" w:rsidP="003A5DB8">
            <w:pPr>
              <w:spacing w:before="240" w:after="120"/>
              <w:jc w:val="center"/>
              <w:rPr>
                <w:rFonts w:ascii="Times New Roman" w:hAnsi="Times New Roman" w:cs="Times New Roman"/>
                <w:b/>
              </w:rPr>
            </w:pPr>
          </w:p>
        </w:tc>
      </w:tr>
      <w:tr w:rsidR="005344E1" w:rsidRPr="008A1F3C" w14:paraId="24FEFE5F" w14:textId="77777777" w:rsidTr="5915656F">
        <w:trPr>
          <w:jc w:val="center"/>
        </w:trPr>
        <w:tc>
          <w:tcPr>
            <w:tcW w:w="562" w:type="dxa"/>
          </w:tcPr>
          <w:p w14:paraId="39B8BDB4" w14:textId="77777777" w:rsidR="005344E1" w:rsidRPr="008A1F3C" w:rsidRDefault="005344E1" w:rsidP="003A5DB8">
            <w:pPr>
              <w:spacing w:before="120"/>
              <w:ind w:right="-534"/>
              <w:jc w:val="both"/>
              <w:rPr>
                <w:rFonts w:ascii="Times New Roman" w:hAnsi="Times New Roman" w:cs="Times New Roman"/>
                <w:bCs/>
              </w:rPr>
            </w:pPr>
          </w:p>
        </w:tc>
        <w:tc>
          <w:tcPr>
            <w:tcW w:w="1843" w:type="dxa"/>
            <w:vAlign w:val="center"/>
          </w:tcPr>
          <w:p w14:paraId="7F52812C" w14:textId="193AA089" w:rsidR="005344E1" w:rsidRPr="005166F6" w:rsidRDefault="005344E1" w:rsidP="003A5DB8">
            <w:pPr>
              <w:spacing w:before="120" w:after="120"/>
              <w:jc w:val="both"/>
              <w:rPr>
                <w:rFonts w:ascii="Times New Roman" w:hAnsi="Times New Roman" w:cs="Times New Roman"/>
                <w:bCs/>
              </w:rPr>
            </w:pPr>
            <w:r w:rsidRPr="005166F6">
              <w:rPr>
                <w:rFonts w:ascii="Times New Roman" w:hAnsi="Times New Roman" w:cs="Times New Roman"/>
                <w:bCs/>
              </w:rPr>
              <w:t>Konfederacja Lewiatan</w:t>
            </w:r>
          </w:p>
        </w:tc>
        <w:tc>
          <w:tcPr>
            <w:tcW w:w="1843" w:type="dxa"/>
            <w:vAlign w:val="center"/>
          </w:tcPr>
          <w:p w14:paraId="1B326C93" w14:textId="0BC3E7BC" w:rsidR="005344E1" w:rsidRPr="005166F6" w:rsidRDefault="005344E1" w:rsidP="003A5DB8">
            <w:pPr>
              <w:spacing w:before="120" w:after="120"/>
              <w:jc w:val="both"/>
              <w:rPr>
                <w:rFonts w:ascii="Times New Roman" w:hAnsi="Times New Roman" w:cs="Times New Roman"/>
                <w:bCs/>
              </w:rPr>
            </w:pPr>
            <w:r w:rsidRPr="005166F6">
              <w:rPr>
                <w:rFonts w:ascii="Times New Roman" w:hAnsi="Times New Roman" w:cs="Times New Roman"/>
                <w:bCs/>
              </w:rPr>
              <w:t>Art. 1 pkt. 34</w:t>
            </w:r>
          </w:p>
        </w:tc>
        <w:tc>
          <w:tcPr>
            <w:tcW w:w="5670" w:type="dxa"/>
            <w:vAlign w:val="center"/>
          </w:tcPr>
          <w:p w14:paraId="4F3F3A93" w14:textId="77777777" w:rsidR="00C84EEF" w:rsidRPr="005166F6" w:rsidRDefault="00C84EEF" w:rsidP="00C84EEF">
            <w:pPr>
              <w:jc w:val="both"/>
              <w:rPr>
                <w:rFonts w:ascii="Times New Roman" w:eastAsia="Aptos" w:hAnsi="Times New Roman" w:cs="Times New Roman"/>
                <w:kern w:val="2"/>
                <w14:ligatures w14:val="standardContextual"/>
              </w:rPr>
            </w:pPr>
            <w:r w:rsidRPr="005166F6">
              <w:rPr>
                <w:rFonts w:ascii="Times New Roman" w:eastAsia="Times New Roman" w:hAnsi="Times New Roman" w:cs="Times New Roman"/>
                <w:kern w:val="2"/>
                <w14:ligatures w14:val="standardContextual"/>
              </w:rPr>
              <w:t>Proponowaną zmianę należy ocenić jako niekorzystną</w:t>
            </w:r>
            <w:r w:rsidRPr="005166F6">
              <w:rPr>
                <w:rFonts w:ascii="Times New Roman" w:eastAsia="Aptos" w:hAnsi="Times New Roman" w:cs="Times New Roman"/>
                <w:kern w:val="2"/>
                <w14:ligatures w14:val="standardContextual"/>
              </w:rPr>
              <w:t xml:space="preserve">, bowiem wyłącza jedną z możliwości wstąpienia nabywcy wierzytelności w trwającej postępowania sądowe. W praktyce przepis ten przewiduje możliwości wezwanie nabywcy wierzytelności do udziału w sprawie na wniosek strony powodowej (będącej zbywcą wierzytelności) wraz z wyznaczeniem dwutygodniowego terminu do wstąpienia do postępowania. </w:t>
            </w:r>
          </w:p>
          <w:p w14:paraId="787BF2FB" w14:textId="77777777" w:rsidR="005344E1" w:rsidRPr="005166F6" w:rsidRDefault="005344E1" w:rsidP="003A5DB8">
            <w:pPr>
              <w:pStyle w:val="NormalnyWeb"/>
              <w:spacing w:before="0" w:beforeAutospacing="0" w:after="0" w:afterAutospacing="0"/>
              <w:jc w:val="both"/>
              <w:rPr>
                <w:sz w:val="22"/>
                <w:szCs w:val="22"/>
              </w:rPr>
            </w:pPr>
          </w:p>
        </w:tc>
        <w:tc>
          <w:tcPr>
            <w:tcW w:w="4076" w:type="dxa"/>
          </w:tcPr>
          <w:p w14:paraId="46256E23" w14:textId="77777777" w:rsidR="005344E1" w:rsidRPr="008A1F3C" w:rsidRDefault="005344E1" w:rsidP="003A5DB8">
            <w:pPr>
              <w:spacing w:before="240" w:after="120"/>
              <w:jc w:val="center"/>
              <w:rPr>
                <w:rFonts w:ascii="Times New Roman" w:hAnsi="Times New Roman" w:cs="Times New Roman"/>
                <w:b/>
              </w:rPr>
            </w:pPr>
          </w:p>
        </w:tc>
      </w:tr>
      <w:tr w:rsidR="008405E1" w:rsidRPr="008A1F3C" w14:paraId="4C232EE7" w14:textId="77777777" w:rsidTr="5915656F">
        <w:trPr>
          <w:jc w:val="center"/>
        </w:trPr>
        <w:tc>
          <w:tcPr>
            <w:tcW w:w="562" w:type="dxa"/>
          </w:tcPr>
          <w:p w14:paraId="6986FB53" w14:textId="77777777" w:rsidR="008405E1" w:rsidRPr="008A1F3C" w:rsidRDefault="008405E1" w:rsidP="003A5DB8">
            <w:pPr>
              <w:spacing w:before="120"/>
              <w:ind w:right="-534"/>
              <w:jc w:val="both"/>
              <w:rPr>
                <w:rFonts w:ascii="Times New Roman" w:hAnsi="Times New Roman" w:cs="Times New Roman"/>
                <w:bCs/>
              </w:rPr>
            </w:pPr>
          </w:p>
        </w:tc>
        <w:tc>
          <w:tcPr>
            <w:tcW w:w="1843" w:type="dxa"/>
            <w:vAlign w:val="center"/>
          </w:tcPr>
          <w:p w14:paraId="7A649ED4" w14:textId="13BEDFD7" w:rsidR="008405E1" w:rsidRPr="005166F6" w:rsidRDefault="008405E1" w:rsidP="003A5DB8">
            <w:pPr>
              <w:spacing w:before="120" w:after="120"/>
              <w:jc w:val="both"/>
              <w:rPr>
                <w:rFonts w:ascii="Times New Roman" w:hAnsi="Times New Roman" w:cs="Times New Roman"/>
                <w:bCs/>
              </w:rPr>
            </w:pPr>
            <w:r w:rsidRPr="005166F6">
              <w:rPr>
                <w:rFonts w:ascii="Times New Roman" w:hAnsi="Times New Roman" w:cs="Times New Roman"/>
                <w:bCs/>
              </w:rPr>
              <w:t>Konfederacja Lewiatan</w:t>
            </w:r>
          </w:p>
        </w:tc>
        <w:tc>
          <w:tcPr>
            <w:tcW w:w="1843" w:type="dxa"/>
            <w:vAlign w:val="center"/>
          </w:tcPr>
          <w:p w14:paraId="012E2FA5" w14:textId="7A7EB156" w:rsidR="008405E1" w:rsidRPr="005166F6" w:rsidRDefault="008405E1" w:rsidP="003A5DB8">
            <w:pPr>
              <w:spacing w:before="120" w:after="120"/>
              <w:jc w:val="both"/>
              <w:rPr>
                <w:rFonts w:ascii="Times New Roman" w:hAnsi="Times New Roman" w:cs="Times New Roman"/>
                <w:bCs/>
              </w:rPr>
            </w:pPr>
            <w:r w:rsidRPr="005166F6">
              <w:rPr>
                <w:rFonts w:ascii="Times New Roman" w:hAnsi="Times New Roman" w:cs="Times New Roman"/>
                <w:bCs/>
              </w:rPr>
              <w:t xml:space="preserve">Art. 1 pkt. </w:t>
            </w:r>
            <w:r w:rsidR="00AD68AF" w:rsidRPr="005166F6">
              <w:rPr>
                <w:rFonts w:ascii="Times New Roman" w:hAnsi="Times New Roman" w:cs="Times New Roman"/>
                <w:bCs/>
              </w:rPr>
              <w:t>57, 58, 60</w:t>
            </w:r>
          </w:p>
        </w:tc>
        <w:tc>
          <w:tcPr>
            <w:tcW w:w="5670" w:type="dxa"/>
            <w:vAlign w:val="center"/>
          </w:tcPr>
          <w:p w14:paraId="63E66D89" w14:textId="2F3EAE55" w:rsidR="008405E1" w:rsidRPr="005166F6" w:rsidRDefault="001A47AE" w:rsidP="00C84EEF">
            <w:pPr>
              <w:jc w:val="both"/>
              <w:rPr>
                <w:rFonts w:ascii="Times New Roman" w:eastAsia="Times New Roman" w:hAnsi="Times New Roman" w:cs="Times New Roman"/>
                <w:kern w:val="2"/>
                <w14:ligatures w14:val="standardContextual"/>
              </w:rPr>
            </w:pPr>
            <w:r w:rsidRPr="005166F6">
              <w:rPr>
                <w:rFonts w:ascii="Times New Roman" w:eastAsia="Times New Roman" w:hAnsi="Times New Roman" w:cs="Times New Roman"/>
                <w:kern w:val="2"/>
                <w14:ligatures w14:val="standardContextual"/>
              </w:rPr>
              <w:t>Negatywnie oceniamy grupę przepisów, której celem jest wydłużenie terminów do podjęcia przez sąd określonych czynności procesowych – proponowane zmiany wydłużą i tak przedłużający się proces sądowy</w:t>
            </w:r>
            <w:r w:rsidR="00984B82" w:rsidRPr="005166F6">
              <w:rPr>
                <w:rFonts w:ascii="Times New Roman" w:eastAsia="Times New Roman" w:hAnsi="Times New Roman" w:cs="Times New Roman"/>
                <w:kern w:val="2"/>
                <w14:ligatures w14:val="standardContextual"/>
              </w:rPr>
              <w:t xml:space="preserve">, a trudno dostrzec realną wartość dodaną czy konieczność takiego wydłużenia po stronie sądu. </w:t>
            </w:r>
          </w:p>
        </w:tc>
        <w:tc>
          <w:tcPr>
            <w:tcW w:w="4076" w:type="dxa"/>
          </w:tcPr>
          <w:p w14:paraId="1A04FB23" w14:textId="77777777" w:rsidR="008405E1" w:rsidRPr="008A1F3C" w:rsidRDefault="008405E1" w:rsidP="003A5DB8">
            <w:pPr>
              <w:spacing w:before="240" w:after="120"/>
              <w:jc w:val="center"/>
              <w:rPr>
                <w:rFonts w:ascii="Times New Roman" w:hAnsi="Times New Roman" w:cs="Times New Roman"/>
                <w:b/>
              </w:rPr>
            </w:pPr>
          </w:p>
        </w:tc>
      </w:tr>
      <w:tr w:rsidR="003A5DB8" w:rsidRPr="008A1F3C" w14:paraId="26E6EE5A" w14:textId="77777777" w:rsidTr="5915656F">
        <w:trPr>
          <w:jc w:val="center"/>
        </w:trPr>
        <w:tc>
          <w:tcPr>
            <w:tcW w:w="562" w:type="dxa"/>
          </w:tcPr>
          <w:p w14:paraId="321D5DB5" w14:textId="7C19D98E" w:rsidR="003A5DB8" w:rsidRPr="008A1F3C" w:rsidRDefault="003A5DB8" w:rsidP="003A5DB8">
            <w:pPr>
              <w:spacing w:before="120"/>
              <w:ind w:right="-534"/>
              <w:jc w:val="both"/>
              <w:rPr>
                <w:rFonts w:ascii="Times New Roman" w:hAnsi="Times New Roman" w:cs="Times New Roman"/>
                <w:bCs/>
              </w:rPr>
            </w:pPr>
          </w:p>
        </w:tc>
        <w:tc>
          <w:tcPr>
            <w:tcW w:w="1843" w:type="dxa"/>
            <w:vAlign w:val="center"/>
          </w:tcPr>
          <w:p w14:paraId="2BA0B243" w14:textId="62CCCF1D" w:rsidR="003A5DB8" w:rsidRPr="008A1F3C" w:rsidRDefault="003A5DB8" w:rsidP="003A5DB8">
            <w:pPr>
              <w:spacing w:before="120" w:after="120"/>
              <w:jc w:val="both"/>
              <w:rPr>
                <w:rFonts w:ascii="Times New Roman" w:hAnsi="Times New Roman" w:cs="Times New Roman"/>
                <w:bCs/>
              </w:rPr>
            </w:pPr>
            <w:r>
              <w:rPr>
                <w:rFonts w:ascii="Times New Roman" w:hAnsi="Times New Roman" w:cs="Times New Roman"/>
                <w:bCs/>
              </w:rPr>
              <w:t xml:space="preserve">Konfederacja Lewiatan </w:t>
            </w:r>
          </w:p>
        </w:tc>
        <w:tc>
          <w:tcPr>
            <w:tcW w:w="1843" w:type="dxa"/>
            <w:vAlign w:val="center"/>
          </w:tcPr>
          <w:p w14:paraId="4EE36F15" w14:textId="2E68E896" w:rsidR="003A5DB8" w:rsidRDefault="003A5DB8" w:rsidP="003A5DB8">
            <w:pPr>
              <w:spacing w:before="120" w:after="120"/>
              <w:jc w:val="both"/>
              <w:rPr>
                <w:rFonts w:ascii="Times New Roman" w:hAnsi="Times New Roman" w:cs="Times New Roman"/>
                <w:bCs/>
              </w:rPr>
            </w:pPr>
            <w:r>
              <w:rPr>
                <w:rFonts w:ascii="Times New Roman" w:hAnsi="Times New Roman" w:cs="Times New Roman"/>
                <w:bCs/>
              </w:rPr>
              <w:t>Art. 1 pkt 66</w:t>
            </w:r>
          </w:p>
        </w:tc>
        <w:tc>
          <w:tcPr>
            <w:tcW w:w="5670" w:type="dxa"/>
            <w:vAlign w:val="center"/>
          </w:tcPr>
          <w:p w14:paraId="7DE13E6B" w14:textId="16A6EEDD" w:rsidR="003A5DB8" w:rsidRPr="00F21B77" w:rsidRDefault="003A5DB8" w:rsidP="003A5DB8">
            <w:pPr>
              <w:pStyle w:val="NormalnyWeb"/>
              <w:spacing w:before="0" w:beforeAutospacing="0" w:after="0" w:afterAutospacing="0"/>
              <w:rPr>
                <w:sz w:val="22"/>
                <w:szCs w:val="22"/>
              </w:rPr>
            </w:pPr>
            <w:r w:rsidRPr="00F21B77">
              <w:rPr>
                <w:b/>
                <w:sz w:val="22"/>
                <w:szCs w:val="22"/>
              </w:rPr>
              <w:t> </w:t>
            </w:r>
            <w:r w:rsidRPr="00F21B77">
              <w:rPr>
                <w:bCs/>
                <w:sz w:val="22"/>
                <w:szCs w:val="22"/>
              </w:rPr>
              <w:t xml:space="preserve">Poddajemy pod rozwagę modyfikację projektowanego </w:t>
            </w:r>
            <w:r w:rsidRPr="00F21B77">
              <w:rPr>
                <w:b/>
                <w:sz w:val="22"/>
                <w:szCs w:val="22"/>
              </w:rPr>
              <w:t>art. 371</w:t>
            </w:r>
            <w:r w:rsidRPr="00F21B77">
              <w:rPr>
                <w:b/>
                <w:sz w:val="22"/>
                <w:szCs w:val="22"/>
                <w:vertAlign w:val="superscript"/>
              </w:rPr>
              <w:t xml:space="preserve">1 </w:t>
            </w:r>
            <w:proofErr w:type="spellStart"/>
            <w:r w:rsidRPr="00F21B77">
              <w:rPr>
                <w:b/>
                <w:sz w:val="22"/>
                <w:szCs w:val="22"/>
              </w:rPr>
              <w:t>kpc</w:t>
            </w:r>
            <w:proofErr w:type="spellEnd"/>
            <w:r w:rsidRPr="00F21B77">
              <w:rPr>
                <w:b/>
                <w:sz w:val="22"/>
                <w:szCs w:val="22"/>
              </w:rPr>
              <w:t xml:space="preserve"> </w:t>
            </w:r>
            <w:r w:rsidRPr="00F21B77">
              <w:rPr>
                <w:bCs/>
                <w:sz w:val="22"/>
                <w:szCs w:val="22"/>
              </w:rPr>
              <w:t xml:space="preserve">tak aby skreślić fragment </w:t>
            </w:r>
            <w:r w:rsidRPr="00F21B77">
              <w:rPr>
                <w:bCs/>
                <w:i/>
                <w:iCs/>
                <w:sz w:val="22"/>
                <w:szCs w:val="22"/>
              </w:rPr>
              <w:t xml:space="preserve">,,[…] </w:t>
            </w:r>
            <w:r w:rsidRPr="00F21B77">
              <w:rPr>
                <w:i/>
                <w:iCs/>
                <w:sz w:val="22"/>
                <w:szCs w:val="22"/>
              </w:rPr>
              <w:t>jak również dalsze pisma przygotowawcze, jeżeli zostały złożone bez zarządzenia albo z uchybieniem terminu”</w:t>
            </w:r>
            <w:r>
              <w:rPr>
                <w:sz w:val="22"/>
                <w:szCs w:val="22"/>
              </w:rPr>
              <w:t xml:space="preserve"> – być może </w:t>
            </w:r>
            <w:r w:rsidRPr="00F21B77">
              <w:rPr>
                <w:sz w:val="22"/>
                <w:szCs w:val="22"/>
              </w:rPr>
              <w:t>wystarczyłoby w takim przypadku pozbawienie strony prawa żądania zasądzenia kosztów postępowania apelacyjnego przy składaniu takiego „spóźnionego” pisma przygotowawczego.</w:t>
            </w:r>
            <w:r>
              <w:rPr>
                <w:sz w:val="22"/>
                <w:szCs w:val="22"/>
              </w:rPr>
              <w:t xml:space="preserve"> Ponadto </w:t>
            </w:r>
            <w:r w:rsidRPr="00F21B77">
              <w:rPr>
                <w:sz w:val="22"/>
                <w:szCs w:val="22"/>
              </w:rPr>
              <w:t xml:space="preserve">oczekiwanie na wydanie przez </w:t>
            </w:r>
            <w:r>
              <w:rPr>
                <w:sz w:val="22"/>
                <w:szCs w:val="22"/>
              </w:rPr>
              <w:t>s</w:t>
            </w:r>
            <w:r w:rsidRPr="00F21B77">
              <w:rPr>
                <w:sz w:val="22"/>
                <w:szCs w:val="22"/>
              </w:rPr>
              <w:t>ąd zarządzenia w przedmiocie złożenia pisma przygotowawczego przedłuży postępowanie apelacyjne.</w:t>
            </w:r>
            <w:r>
              <w:rPr>
                <w:sz w:val="22"/>
                <w:szCs w:val="22"/>
              </w:rPr>
              <w:t xml:space="preserve"> </w:t>
            </w:r>
          </w:p>
          <w:p w14:paraId="0629620F" w14:textId="77777777" w:rsidR="003A5DB8" w:rsidRDefault="003A5DB8" w:rsidP="003A5DB8">
            <w:pPr>
              <w:jc w:val="both"/>
              <w:rPr>
                <w:rFonts w:ascii="Times New Roman" w:hAnsi="Times New Roman" w:cs="Times New Roman"/>
                <w:b/>
              </w:rPr>
            </w:pPr>
          </w:p>
        </w:tc>
        <w:tc>
          <w:tcPr>
            <w:tcW w:w="4076" w:type="dxa"/>
          </w:tcPr>
          <w:p w14:paraId="7CA37C5D" w14:textId="77777777" w:rsidR="003A5DB8" w:rsidRPr="008A1F3C" w:rsidRDefault="003A5DB8" w:rsidP="003A5DB8">
            <w:pPr>
              <w:spacing w:before="240" w:after="120"/>
              <w:jc w:val="center"/>
              <w:rPr>
                <w:rFonts w:ascii="Times New Roman" w:hAnsi="Times New Roman" w:cs="Times New Roman"/>
                <w:b/>
              </w:rPr>
            </w:pPr>
          </w:p>
        </w:tc>
      </w:tr>
      <w:tr w:rsidR="003A5DB8" w:rsidRPr="008A1F3C" w14:paraId="2746B0BC" w14:textId="77777777" w:rsidTr="5915656F">
        <w:trPr>
          <w:jc w:val="center"/>
        </w:trPr>
        <w:tc>
          <w:tcPr>
            <w:tcW w:w="562" w:type="dxa"/>
          </w:tcPr>
          <w:p w14:paraId="65537CAC" w14:textId="617C44A3" w:rsidR="003A5DB8" w:rsidRPr="008A1F3C" w:rsidRDefault="003A5DB8" w:rsidP="003A5DB8">
            <w:pPr>
              <w:spacing w:before="120" w:line="276" w:lineRule="auto"/>
              <w:ind w:right="-534"/>
              <w:jc w:val="both"/>
              <w:rPr>
                <w:rFonts w:ascii="Times New Roman" w:hAnsi="Times New Roman" w:cs="Times New Roman"/>
                <w:bCs/>
              </w:rPr>
            </w:pPr>
          </w:p>
        </w:tc>
        <w:tc>
          <w:tcPr>
            <w:tcW w:w="1843" w:type="dxa"/>
            <w:vAlign w:val="center"/>
          </w:tcPr>
          <w:p w14:paraId="4EE2AD99" w14:textId="55C828B5" w:rsidR="003A5DB8" w:rsidRPr="008A1F3C" w:rsidRDefault="003A5DB8" w:rsidP="003A5DB8">
            <w:pPr>
              <w:spacing w:before="120" w:after="120" w:line="276" w:lineRule="auto"/>
              <w:jc w:val="both"/>
              <w:rPr>
                <w:rFonts w:ascii="Times New Roman" w:hAnsi="Times New Roman" w:cs="Times New Roman"/>
                <w:bCs/>
              </w:rPr>
            </w:pPr>
            <w:r w:rsidRPr="00B508A5">
              <w:rPr>
                <w:rFonts w:ascii="Times New Roman" w:hAnsi="Times New Roman" w:cs="Times New Roman"/>
                <w:bCs/>
              </w:rPr>
              <w:t>Konfederacja Lewiatan</w:t>
            </w:r>
          </w:p>
        </w:tc>
        <w:tc>
          <w:tcPr>
            <w:tcW w:w="1843" w:type="dxa"/>
            <w:vAlign w:val="center"/>
          </w:tcPr>
          <w:p w14:paraId="4E4117EC" w14:textId="6A0FC2FF" w:rsidR="003A5DB8" w:rsidRPr="008A1F3C" w:rsidRDefault="003A5DB8" w:rsidP="003A5DB8">
            <w:pPr>
              <w:spacing w:before="120" w:after="120" w:line="276" w:lineRule="auto"/>
              <w:jc w:val="both"/>
              <w:rPr>
                <w:rFonts w:ascii="Times New Roman" w:hAnsi="Times New Roman" w:cs="Times New Roman"/>
                <w:bCs/>
              </w:rPr>
            </w:pPr>
            <w:r>
              <w:rPr>
                <w:rFonts w:ascii="Times New Roman" w:hAnsi="Times New Roman" w:cs="Times New Roman"/>
                <w:bCs/>
              </w:rPr>
              <w:t>Uchylenie a</w:t>
            </w:r>
            <w:r w:rsidRPr="008A1F3C">
              <w:rPr>
                <w:rFonts w:ascii="Times New Roman" w:hAnsi="Times New Roman" w:cs="Times New Roman"/>
                <w:bCs/>
              </w:rPr>
              <w:t>rt. 1 pkt 144 i 147</w:t>
            </w:r>
          </w:p>
          <w:p w14:paraId="692A9BA0" w14:textId="71093E75" w:rsidR="003A5DB8" w:rsidRPr="008A1F3C" w:rsidRDefault="003A5DB8" w:rsidP="003A5DB8">
            <w:pPr>
              <w:spacing w:before="120" w:after="120" w:line="276" w:lineRule="auto"/>
              <w:jc w:val="both"/>
              <w:rPr>
                <w:rFonts w:ascii="Times New Roman" w:hAnsi="Times New Roman" w:cs="Times New Roman"/>
                <w:bCs/>
              </w:rPr>
            </w:pPr>
          </w:p>
        </w:tc>
        <w:tc>
          <w:tcPr>
            <w:tcW w:w="5670" w:type="dxa"/>
            <w:vAlign w:val="center"/>
          </w:tcPr>
          <w:p w14:paraId="08C7C1D5" w14:textId="77777777" w:rsidR="003A5DB8" w:rsidRDefault="003A5DB8" w:rsidP="003A5DB8">
            <w:pPr>
              <w:spacing w:line="276" w:lineRule="auto"/>
              <w:jc w:val="both"/>
              <w:rPr>
                <w:rFonts w:ascii="Times New Roman" w:hAnsi="Times New Roman" w:cs="Times New Roman"/>
                <w:b/>
              </w:rPr>
            </w:pPr>
          </w:p>
          <w:p w14:paraId="78866294" w14:textId="77777777" w:rsidR="003A5DB8" w:rsidRDefault="003A5DB8" w:rsidP="003A5DB8">
            <w:pPr>
              <w:spacing w:line="276" w:lineRule="auto"/>
              <w:jc w:val="both"/>
              <w:rPr>
                <w:rFonts w:ascii="Times New Roman" w:hAnsi="Times New Roman" w:cs="Times New Roman"/>
                <w:b/>
              </w:rPr>
            </w:pPr>
          </w:p>
          <w:p w14:paraId="2578C75C" w14:textId="77777777" w:rsidR="003A5DB8" w:rsidRDefault="003A5DB8" w:rsidP="003A5DB8">
            <w:pPr>
              <w:spacing w:line="276" w:lineRule="auto"/>
              <w:jc w:val="both"/>
              <w:rPr>
                <w:rFonts w:ascii="Times New Roman" w:hAnsi="Times New Roman" w:cs="Times New Roman"/>
                <w:b/>
              </w:rPr>
            </w:pPr>
          </w:p>
          <w:p w14:paraId="44623A51" w14:textId="5680C7AB" w:rsidR="003A5DB8" w:rsidRPr="003248FE" w:rsidRDefault="003A5DB8" w:rsidP="003A5DB8">
            <w:pPr>
              <w:spacing w:line="276" w:lineRule="auto"/>
              <w:jc w:val="both"/>
              <w:rPr>
                <w:rFonts w:ascii="Times New Roman" w:hAnsi="Times New Roman" w:cs="Times New Roman"/>
              </w:rPr>
            </w:pPr>
            <w:r w:rsidRPr="003248FE">
              <w:rPr>
                <w:rFonts w:ascii="Times New Roman" w:hAnsi="Times New Roman" w:cs="Times New Roman"/>
                <w:b/>
              </w:rPr>
              <w:t>Art. 1.</w:t>
            </w:r>
            <w:r w:rsidRPr="003248FE">
              <w:rPr>
                <w:rFonts w:ascii="Times New Roman" w:hAnsi="Times New Roman" w:cs="Times New Roman"/>
              </w:rPr>
              <w:t xml:space="preserve"> W ustawie z dnia 17 listopada 1964 r. – Kodeks postępowania cywilnego (Dz. U. z 2024 r. poz. 1568 i 1841 oraz z 2025 r. poz. 620, 1172 i 1302) wprowadza się następujące zmiany:</w:t>
            </w:r>
          </w:p>
          <w:p w14:paraId="6CD0D210" w14:textId="77777777" w:rsidR="003A5DB8" w:rsidRPr="001D7B92" w:rsidRDefault="003A5DB8" w:rsidP="003A5DB8">
            <w:pPr>
              <w:spacing w:line="276" w:lineRule="auto"/>
              <w:jc w:val="both"/>
              <w:rPr>
                <w:rFonts w:ascii="Times New Roman" w:hAnsi="Times New Roman" w:cs="Times New Roman"/>
                <w:bCs/>
                <w:strike/>
                <w:color w:val="EE0000"/>
                <w:lang w:bidi="pl-PL"/>
              </w:rPr>
            </w:pPr>
            <w:r w:rsidRPr="001D7B92">
              <w:rPr>
                <w:rFonts w:ascii="Times New Roman" w:hAnsi="Times New Roman" w:cs="Times New Roman"/>
                <w:bCs/>
                <w:strike/>
                <w:color w:val="EE0000"/>
                <w:lang w:bidi="pl-PL"/>
              </w:rPr>
              <w:t>1</w:t>
            </w:r>
            <w:r w:rsidRPr="001D7B92">
              <w:rPr>
                <w:rFonts w:ascii="Times New Roman" w:hAnsi="Times New Roman" w:cs="Times New Roman"/>
                <w:bCs/>
                <w:strike/>
                <w:color w:val="EE0000"/>
              </w:rPr>
              <w:t>44)</w:t>
            </w:r>
            <w:r w:rsidRPr="001D7B92">
              <w:rPr>
                <w:rFonts w:ascii="Times New Roman" w:hAnsi="Times New Roman" w:cs="Times New Roman"/>
                <w:bCs/>
                <w:strike/>
                <w:color w:val="EE0000"/>
              </w:rPr>
              <w:tab/>
            </w:r>
            <w:r w:rsidRPr="001D7B92">
              <w:rPr>
                <w:rFonts w:ascii="Times New Roman" w:hAnsi="Times New Roman" w:cs="Times New Roman"/>
                <w:bCs/>
                <w:strike/>
                <w:color w:val="EE0000"/>
                <w:lang w:bidi="pl-PL"/>
              </w:rPr>
              <w:t>w art. 730</w:t>
            </w:r>
            <w:r w:rsidRPr="001D7B92">
              <w:rPr>
                <w:rFonts w:ascii="Times New Roman" w:hAnsi="Times New Roman" w:cs="Times New Roman"/>
                <w:strike/>
                <w:color w:val="EE0000"/>
                <w:vertAlign w:val="superscript"/>
              </w:rPr>
              <w:t>1</w:t>
            </w:r>
            <w:r w:rsidRPr="001D7B92">
              <w:rPr>
                <w:rFonts w:ascii="Times New Roman" w:hAnsi="Times New Roman" w:cs="Times New Roman"/>
                <w:bCs/>
                <w:strike/>
                <w:color w:val="EE0000"/>
                <w:lang w:bidi="pl-PL"/>
              </w:rPr>
              <w:t xml:space="preserve"> uchyla się § 1</w:t>
            </w:r>
            <w:r w:rsidRPr="001D7B92">
              <w:rPr>
                <w:rFonts w:ascii="Times New Roman" w:hAnsi="Times New Roman" w:cs="Times New Roman"/>
                <w:strike/>
                <w:color w:val="EE0000"/>
                <w:vertAlign w:val="superscript"/>
              </w:rPr>
              <w:t>1</w:t>
            </w:r>
            <w:r w:rsidRPr="001D7B92">
              <w:rPr>
                <w:rFonts w:ascii="Times New Roman" w:hAnsi="Times New Roman" w:cs="Times New Roman"/>
                <w:bCs/>
                <w:strike/>
                <w:color w:val="EE0000"/>
                <w:lang w:bidi="pl-PL"/>
              </w:rPr>
              <w:t xml:space="preserve"> i 2</w:t>
            </w:r>
            <w:r w:rsidRPr="001D7B92">
              <w:rPr>
                <w:rFonts w:ascii="Times New Roman" w:hAnsi="Times New Roman" w:cs="Times New Roman"/>
                <w:strike/>
                <w:color w:val="EE0000"/>
                <w:vertAlign w:val="superscript"/>
              </w:rPr>
              <w:t>1</w:t>
            </w:r>
            <w:r w:rsidRPr="001D7B92">
              <w:rPr>
                <w:rFonts w:ascii="Times New Roman" w:hAnsi="Times New Roman" w:cs="Times New Roman"/>
                <w:bCs/>
                <w:strike/>
                <w:color w:val="EE0000"/>
                <w:lang w:bidi="pl-PL"/>
              </w:rPr>
              <w:t>;</w:t>
            </w:r>
          </w:p>
          <w:p w14:paraId="0E1F42AB" w14:textId="3425CA48" w:rsidR="003A5DB8" w:rsidRPr="00491A60" w:rsidRDefault="003A5DB8" w:rsidP="003A5DB8">
            <w:pPr>
              <w:spacing w:line="276" w:lineRule="auto"/>
              <w:jc w:val="both"/>
              <w:rPr>
                <w:rFonts w:ascii="Times New Roman" w:hAnsi="Times New Roman" w:cs="Times New Roman"/>
                <w:bCs/>
                <w:strike/>
                <w:color w:val="EE0000"/>
                <w:lang w:bidi="pl-PL"/>
              </w:rPr>
            </w:pPr>
            <w:r w:rsidRPr="00E70849">
              <w:rPr>
                <w:rFonts w:ascii="Times New Roman" w:hAnsi="Times New Roman" w:cs="Times New Roman"/>
                <w:bCs/>
                <w:strike/>
                <w:color w:val="EE0000"/>
                <w:lang w:bidi="pl-PL"/>
              </w:rPr>
              <w:t>1</w:t>
            </w:r>
            <w:r w:rsidRPr="00E70849">
              <w:rPr>
                <w:rFonts w:ascii="Times New Roman" w:hAnsi="Times New Roman" w:cs="Times New Roman"/>
                <w:bCs/>
                <w:strike/>
                <w:color w:val="EE0000"/>
              </w:rPr>
              <w:t>47</w:t>
            </w:r>
            <w:r w:rsidRPr="00E70849">
              <w:rPr>
                <w:rFonts w:ascii="Times New Roman" w:hAnsi="Times New Roman" w:cs="Times New Roman"/>
                <w:bCs/>
                <w:strike/>
                <w:color w:val="EE0000"/>
              </w:rPr>
              <w:tab/>
            </w:r>
            <w:r w:rsidRPr="00E70849">
              <w:rPr>
                <w:rFonts w:ascii="Times New Roman" w:hAnsi="Times New Roman" w:cs="Times New Roman"/>
                <w:bCs/>
                <w:strike/>
                <w:color w:val="EE0000"/>
                <w:lang w:bidi="pl-PL"/>
              </w:rPr>
              <w:t>w art. 736 uchyla się § 5;</w:t>
            </w:r>
          </w:p>
          <w:p w14:paraId="1C3F60B8" w14:textId="77777777" w:rsidR="003A5DB8" w:rsidRDefault="003A5DB8" w:rsidP="003A5DB8">
            <w:pPr>
              <w:spacing w:line="276" w:lineRule="auto"/>
              <w:jc w:val="both"/>
              <w:rPr>
                <w:rFonts w:ascii="Times New Roman" w:hAnsi="Times New Roman" w:cs="Times New Roman"/>
              </w:rPr>
            </w:pPr>
          </w:p>
          <w:p w14:paraId="1034B97D" w14:textId="2836C4F7" w:rsidR="003A5DB8" w:rsidRDefault="003A5DB8" w:rsidP="003A5DB8">
            <w:pPr>
              <w:spacing w:line="276" w:lineRule="auto"/>
              <w:jc w:val="both"/>
              <w:rPr>
                <w:rFonts w:ascii="Times New Roman" w:hAnsi="Times New Roman" w:cs="Times New Roman"/>
              </w:rPr>
            </w:pPr>
            <w:r>
              <w:rPr>
                <w:rFonts w:ascii="Times New Roman" w:hAnsi="Times New Roman" w:cs="Times New Roman"/>
              </w:rPr>
              <w:t xml:space="preserve">Proponujemy zachowanie </w:t>
            </w:r>
            <w:r w:rsidRPr="008A1F3C">
              <w:rPr>
                <w:rFonts w:ascii="Times New Roman" w:hAnsi="Times New Roman" w:cs="Times New Roman"/>
              </w:rPr>
              <w:t>przepisów, które zostały wprowadzone do KPC nowelizacją z dnia 9 marca 2023 r. i weszły w życie z dniem 1 lipca 2023 r.</w:t>
            </w:r>
          </w:p>
          <w:p w14:paraId="58EC7DED" w14:textId="77777777" w:rsidR="003A5DB8" w:rsidRDefault="003A5DB8" w:rsidP="003A5DB8">
            <w:pPr>
              <w:spacing w:line="276" w:lineRule="auto"/>
              <w:jc w:val="both"/>
              <w:rPr>
                <w:rFonts w:ascii="Times New Roman" w:hAnsi="Times New Roman" w:cs="Times New Roman"/>
              </w:rPr>
            </w:pPr>
          </w:p>
          <w:p w14:paraId="78A13EB3" w14:textId="77777777" w:rsidR="003A5DB8" w:rsidRPr="006F5932" w:rsidRDefault="003A5DB8" w:rsidP="003A5DB8">
            <w:pPr>
              <w:spacing w:line="276" w:lineRule="auto"/>
              <w:jc w:val="both"/>
              <w:rPr>
                <w:rFonts w:ascii="Times New Roman" w:hAnsi="Times New Roman" w:cs="Times New Roman"/>
              </w:rPr>
            </w:pPr>
            <w:r w:rsidRPr="006F5932">
              <w:rPr>
                <w:rFonts w:ascii="Times New Roman" w:hAnsi="Times New Roman" w:cs="Times New Roman"/>
              </w:rPr>
              <w:t xml:space="preserve">W praktyce sądowej </w:t>
            </w:r>
            <w:r>
              <w:rPr>
                <w:rFonts w:ascii="Times New Roman" w:hAnsi="Times New Roman" w:cs="Times New Roman"/>
              </w:rPr>
              <w:t xml:space="preserve">sprzed ww. nowelizacji </w:t>
            </w:r>
            <w:r w:rsidRPr="006F5932">
              <w:rPr>
                <w:rFonts w:ascii="Times New Roman" w:hAnsi="Times New Roman" w:cs="Times New Roman"/>
              </w:rPr>
              <w:t xml:space="preserve">dochodziło do przypadków ubiegania się o zabezpieczenie w oparciu o patenty, który były wątpliwe prawnie, jednak ze względu na długotrwałą procedurę jego unieważnienia przed Urzędem Patentowym RP korzystały z domniemania ważności. </w:t>
            </w:r>
            <w:r w:rsidRPr="006F5932">
              <w:rPr>
                <w:rFonts w:ascii="Times New Roman" w:hAnsi="Times New Roman" w:cs="Times New Roman"/>
              </w:rPr>
              <w:lastRenderedPageBreak/>
              <w:t xml:space="preserve">Dotyczyło to także sytuacji, w których patent tej samej firmy na ten sam wynalazek był już unieważniony w innych krajach; mimo to polski sąd nie mógł wziąć tych okoliczności pod uwagę, po pierwsze, ponieważ powód o nich nie informował, po drugie zaś, ponieważ sąd uważał się za związany formalnie ważnym polskim patentem. </w:t>
            </w:r>
          </w:p>
          <w:p w14:paraId="5CEF460C" w14:textId="77777777" w:rsidR="003A5DB8" w:rsidRPr="006F5932" w:rsidRDefault="003A5DB8" w:rsidP="003A5DB8">
            <w:pPr>
              <w:spacing w:line="276" w:lineRule="auto"/>
              <w:jc w:val="both"/>
              <w:rPr>
                <w:rFonts w:ascii="Times New Roman" w:hAnsi="Times New Roman" w:cs="Times New Roman"/>
              </w:rPr>
            </w:pPr>
          </w:p>
          <w:p w14:paraId="625F1F49" w14:textId="77777777" w:rsidR="003A5DB8" w:rsidRDefault="003A5DB8" w:rsidP="003A5DB8">
            <w:pPr>
              <w:spacing w:line="276" w:lineRule="auto"/>
              <w:jc w:val="both"/>
              <w:rPr>
                <w:rFonts w:ascii="Times New Roman" w:hAnsi="Times New Roman" w:cs="Times New Roman"/>
              </w:rPr>
            </w:pPr>
            <w:r>
              <w:rPr>
                <w:rFonts w:ascii="Times New Roman" w:hAnsi="Times New Roman" w:cs="Times New Roman"/>
              </w:rPr>
              <w:t>Dzięki</w:t>
            </w:r>
            <w:r w:rsidRPr="006F5932">
              <w:rPr>
                <w:rFonts w:ascii="Times New Roman" w:hAnsi="Times New Roman" w:cs="Times New Roman"/>
              </w:rPr>
              <w:t xml:space="preserve"> </w:t>
            </w:r>
            <w:r>
              <w:rPr>
                <w:rFonts w:ascii="Times New Roman" w:hAnsi="Times New Roman" w:cs="Times New Roman"/>
              </w:rPr>
              <w:t>przepisom</w:t>
            </w:r>
            <w:r w:rsidRPr="006F5932">
              <w:rPr>
                <w:rFonts w:ascii="Times New Roman" w:hAnsi="Times New Roman" w:cs="Times New Roman"/>
              </w:rPr>
              <w:t xml:space="preserve"> wprowadzonym</w:t>
            </w:r>
            <w:r>
              <w:rPr>
                <w:rFonts w:ascii="Times New Roman" w:hAnsi="Times New Roman" w:cs="Times New Roman"/>
              </w:rPr>
              <w:t xml:space="preserve"> nowelizacją z dnia 9 marca 2023 r.</w:t>
            </w:r>
            <w:r w:rsidRPr="006F5932">
              <w:rPr>
                <w:rFonts w:ascii="Times New Roman" w:hAnsi="Times New Roman" w:cs="Times New Roman"/>
              </w:rPr>
              <w:t xml:space="preserve"> posiadacz patentu, ubiegający się o zabezpieczenie, </w:t>
            </w:r>
            <w:r>
              <w:rPr>
                <w:rFonts w:ascii="Times New Roman" w:hAnsi="Times New Roman" w:cs="Times New Roman"/>
              </w:rPr>
              <w:t>musi</w:t>
            </w:r>
            <w:r w:rsidRPr="006F5932">
              <w:rPr>
                <w:rFonts w:ascii="Times New Roman" w:hAnsi="Times New Roman" w:cs="Times New Roman"/>
              </w:rPr>
              <w:t xml:space="preserve"> informować sąd o toczących się sprawach o unieważnienie jego patentu, zaś sąd </w:t>
            </w:r>
            <w:r>
              <w:rPr>
                <w:rFonts w:ascii="Times New Roman" w:hAnsi="Times New Roman" w:cs="Times New Roman"/>
              </w:rPr>
              <w:t xml:space="preserve">może </w:t>
            </w:r>
            <w:r w:rsidRPr="006F5932">
              <w:rPr>
                <w:rFonts w:ascii="Times New Roman" w:hAnsi="Times New Roman" w:cs="Times New Roman"/>
              </w:rPr>
              <w:t>w takim przypadku odmówić zabezpieczenia.</w:t>
            </w:r>
          </w:p>
          <w:p w14:paraId="7640270E" w14:textId="77777777" w:rsidR="003A5DB8" w:rsidRDefault="003A5DB8" w:rsidP="003A5DB8">
            <w:pPr>
              <w:spacing w:line="276" w:lineRule="auto"/>
              <w:jc w:val="both"/>
              <w:rPr>
                <w:rFonts w:ascii="Times New Roman" w:hAnsi="Times New Roman" w:cs="Times New Roman"/>
              </w:rPr>
            </w:pPr>
          </w:p>
          <w:p w14:paraId="22A1292F" w14:textId="1F8CB9D0" w:rsidR="003A5DB8" w:rsidRPr="008A1F3C" w:rsidRDefault="003A5DB8" w:rsidP="003A5DB8">
            <w:pPr>
              <w:spacing w:line="276" w:lineRule="auto"/>
              <w:jc w:val="both"/>
              <w:rPr>
                <w:rFonts w:ascii="Times New Roman" w:hAnsi="Times New Roman" w:cs="Times New Roman"/>
              </w:rPr>
            </w:pPr>
            <w:r>
              <w:rPr>
                <w:rFonts w:ascii="Times New Roman" w:hAnsi="Times New Roman" w:cs="Times New Roman"/>
              </w:rPr>
              <w:t xml:space="preserve">Uchylenie powyższych przepisów znacząco </w:t>
            </w:r>
            <w:r w:rsidRPr="00FB0FE7">
              <w:rPr>
                <w:rFonts w:ascii="Times New Roman" w:hAnsi="Times New Roman" w:cs="Times New Roman"/>
                <w:b/>
                <w:bCs/>
              </w:rPr>
              <w:t>zwiększy ryzyko nieuzasadnionego udzielania zabezpieczeń</w:t>
            </w:r>
            <w:r>
              <w:rPr>
                <w:rFonts w:ascii="Times New Roman" w:hAnsi="Times New Roman" w:cs="Times New Roman"/>
              </w:rPr>
              <w:t xml:space="preserve">, co bezpośrednio przełoży się na wydłużenie czasu oczekiwania na </w:t>
            </w:r>
            <w:proofErr w:type="spellStart"/>
            <w:r>
              <w:rPr>
                <w:rFonts w:ascii="Times New Roman" w:hAnsi="Times New Roman" w:cs="Times New Roman"/>
              </w:rPr>
              <w:t>generyzację</w:t>
            </w:r>
            <w:proofErr w:type="spellEnd"/>
            <w:r>
              <w:rPr>
                <w:rFonts w:ascii="Times New Roman" w:hAnsi="Times New Roman" w:cs="Times New Roman"/>
              </w:rPr>
              <w:t xml:space="preserve"> niektórych cząsteczek, a co za tym idzie doprowadzi do ogromnego wzrostu koniecznych wydatków dla budżetu NFZ.</w:t>
            </w:r>
          </w:p>
        </w:tc>
        <w:tc>
          <w:tcPr>
            <w:tcW w:w="4076" w:type="dxa"/>
          </w:tcPr>
          <w:p w14:paraId="1BB5C4AC" w14:textId="431FD2E4" w:rsidR="003A5DB8" w:rsidRPr="008A1F3C" w:rsidRDefault="003A5DB8" w:rsidP="003A5DB8">
            <w:pPr>
              <w:spacing w:before="240" w:after="120" w:line="276" w:lineRule="auto"/>
              <w:jc w:val="center"/>
              <w:rPr>
                <w:rFonts w:ascii="Times New Roman" w:hAnsi="Times New Roman" w:cs="Times New Roman"/>
                <w:b/>
              </w:rPr>
            </w:pPr>
          </w:p>
        </w:tc>
      </w:tr>
      <w:tr w:rsidR="003A5DB8" w:rsidRPr="008A1F3C" w14:paraId="6577374E" w14:textId="77777777" w:rsidTr="5915656F">
        <w:trPr>
          <w:jc w:val="center"/>
        </w:trPr>
        <w:tc>
          <w:tcPr>
            <w:tcW w:w="562" w:type="dxa"/>
          </w:tcPr>
          <w:p w14:paraId="7B28EA58" w14:textId="06BC09C3" w:rsidR="003A5DB8" w:rsidRPr="008A1F3C" w:rsidRDefault="003A5DB8" w:rsidP="003A5DB8">
            <w:pPr>
              <w:spacing w:before="120" w:line="276" w:lineRule="auto"/>
              <w:ind w:right="-534"/>
              <w:jc w:val="both"/>
              <w:rPr>
                <w:rFonts w:ascii="Times New Roman" w:hAnsi="Times New Roman" w:cs="Times New Roman"/>
                <w:bCs/>
              </w:rPr>
            </w:pPr>
          </w:p>
        </w:tc>
        <w:tc>
          <w:tcPr>
            <w:tcW w:w="1843" w:type="dxa"/>
            <w:vAlign w:val="center"/>
          </w:tcPr>
          <w:p w14:paraId="6BB32342" w14:textId="2F1BF978" w:rsidR="003A5DB8" w:rsidRPr="008A1F3C" w:rsidRDefault="003A5DB8" w:rsidP="003A5DB8">
            <w:pPr>
              <w:spacing w:before="120" w:after="120" w:line="276" w:lineRule="auto"/>
              <w:jc w:val="both"/>
              <w:rPr>
                <w:rFonts w:ascii="Times New Roman" w:hAnsi="Times New Roman" w:cs="Times New Roman"/>
                <w:bCs/>
              </w:rPr>
            </w:pPr>
            <w:r w:rsidRPr="00B508A5">
              <w:rPr>
                <w:rFonts w:ascii="Times New Roman" w:hAnsi="Times New Roman" w:cs="Times New Roman"/>
                <w:bCs/>
              </w:rPr>
              <w:t>Konfederacja Lewiatan</w:t>
            </w:r>
          </w:p>
        </w:tc>
        <w:tc>
          <w:tcPr>
            <w:tcW w:w="1843" w:type="dxa"/>
            <w:vAlign w:val="center"/>
          </w:tcPr>
          <w:p w14:paraId="525C98EE" w14:textId="744BB23C" w:rsidR="003A5DB8" w:rsidRPr="008A1F3C" w:rsidRDefault="003A5DB8" w:rsidP="003A5DB8">
            <w:pPr>
              <w:spacing w:before="120" w:after="120" w:line="276" w:lineRule="auto"/>
              <w:jc w:val="both"/>
              <w:rPr>
                <w:rFonts w:ascii="Times New Roman" w:hAnsi="Times New Roman" w:cs="Times New Roman"/>
                <w:bCs/>
              </w:rPr>
            </w:pPr>
            <w:r>
              <w:rPr>
                <w:rFonts w:ascii="Times New Roman" w:hAnsi="Times New Roman" w:cs="Times New Roman"/>
                <w:bCs/>
              </w:rPr>
              <w:t>Uchylenie a</w:t>
            </w:r>
            <w:r w:rsidRPr="008A1F3C">
              <w:rPr>
                <w:rFonts w:ascii="Times New Roman" w:hAnsi="Times New Roman" w:cs="Times New Roman"/>
                <w:bCs/>
              </w:rPr>
              <w:t>rt. 1 pkt 15</w:t>
            </w:r>
            <w:r>
              <w:rPr>
                <w:rFonts w:ascii="Times New Roman" w:hAnsi="Times New Roman" w:cs="Times New Roman"/>
                <w:bCs/>
              </w:rPr>
              <w:t>1</w:t>
            </w:r>
          </w:p>
        </w:tc>
        <w:tc>
          <w:tcPr>
            <w:tcW w:w="5670" w:type="dxa"/>
            <w:vAlign w:val="center"/>
          </w:tcPr>
          <w:p w14:paraId="75E67996" w14:textId="77777777" w:rsidR="003A5DB8" w:rsidRPr="009F0B3F" w:rsidRDefault="003A5DB8" w:rsidP="003A5DB8">
            <w:pPr>
              <w:spacing w:line="276" w:lineRule="auto"/>
              <w:jc w:val="both"/>
              <w:rPr>
                <w:rFonts w:ascii="Times New Roman" w:hAnsi="Times New Roman" w:cs="Times New Roman"/>
                <w:i/>
                <w:iCs/>
              </w:rPr>
            </w:pPr>
            <w:r w:rsidRPr="003248FE">
              <w:rPr>
                <w:rFonts w:ascii="Times New Roman" w:hAnsi="Times New Roman" w:cs="Times New Roman"/>
                <w:b/>
                <w:i/>
                <w:iCs/>
              </w:rPr>
              <w:t>Art. 1.</w:t>
            </w:r>
            <w:r w:rsidRPr="003248FE">
              <w:rPr>
                <w:rFonts w:ascii="Times New Roman" w:hAnsi="Times New Roman" w:cs="Times New Roman"/>
                <w:i/>
                <w:iCs/>
              </w:rPr>
              <w:t xml:space="preserve"> W ustawie z dnia 17 listopada 1964 r. – Kodeks postępowania cywilnego (Dz. U. z 2024 r. poz. 1568 i 1841 oraz z 2025 r. poz. 620, 1172 i 1302) wprowadza się następujące zmiany:</w:t>
            </w:r>
          </w:p>
          <w:p w14:paraId="1C254C21" w14:textId="7596C37A" w:rsidR="003A5DB8" w:rsidRPr="003248FE" w:rsidRDefault="003A5DB8" w:rsidP="003A5DB8">
            <w:pPr>
              <w:spacing w:line="276" w:lineRule="auto"/>
              <w:jc w:val="both"/>
              <w:rPr>
                <w:rFonts w:ascii="Times New Roman" w:hAnsi="Times New Roman" w:cs="Times New Roman"/>
                <w:i/>
                <w:iCs/>
              </w:rPr>
            </w:pPr>
            <w:r w:rsidRPr="009F0B3F">
              <w:rPr>
                <w:rFonts w:ascii="Times New Roman" w:hAnsi="Times New Roman" w:cs="Times New Roman"/>
                <w:i/>
                <w:iCs/>
              </w:rPr>
              <w:t>(…)</w:t>
            </w:r>
          </w:p>
          <w:p w14:paraId="52C8A172" w14:textId="76FCD367" w:rsidR="003A5DB8" w:rsidRPr="00491A60" w:rsidRDefault="003A5DB8" w:rsidP="003A5DB8">
            <w:pPr>
              <w:spacing w:line="276" w:lineRule="auto"/>
              <w:jc w:val="both"/>
              <w:rPr>
                <w:rFonts w:ascii="Times New Roman" w:hAnsi="Times New Roman" w:cs="Times New Roman"/>
                <w:bCs/>
                <w:i/>
                <w:iCs/>
                <w:strike/>
                <w:color w:val="EE0000"/>
                <w:lang w:bidi="pl-PL"/>
              </w:rPr>
            </w:pPr>
            <w:r w:rsidRPr="00491A60">
              <w:rPr>
                <w:rFonts w:ascii="Times New Roman" w:hAnsi="Times New Roman" w:cs="Times New Roman"/>
                <w:bCs/>
                <w:i/>
                <w:iCs/>
                <w:strike/>
                <w:color w:val="EE0000"/>
                <w:lang w:bidi="pl-PL"/>
              </w:rPr>
              <w:t>151) w art. 755 uchyla się § 23;</w:t>
            </w:r>
          </w:p>
          <w:p w14:paraId="06AC09FD" w14:textId="77777777" w:rsidR="003A5DB8" w:rsidRDefault="003A5DB8" w:rsidP="003A5DB8">
            <w:pPr>
              <w:spacing w:line="276" w:lineRule="auto"/>
              <w:jc w:val="both"/>
              <w:rPr>
                <w:rFonts w:ascii="Times New Roman" w:hAnsi="Times New Roman" w:cs="Times New Roman"/>
              </w:rPr>
            </w:pPr>
          </w:p>
          <w:p w14:paraId="3D9E88FD" w14:textId="6A981755" w:rsidR="003A5DB8" w:rsidRPr="008A1F3C" w:rsidRDefault="003A5DB8" w:rsidP="003A5DB8">
            <w:pPr>
              <w:spacing w:line="276" w:lineRule="auto"/>
              <w:jc w:val="both"/>
              <w:rPr>
                <w:rFonts w:ascii="Times New Roman" w:hAnsi="Times New Roman" w:cs="Times New Roman"/>
              </w:rPr>
            </w:pPr>
            <w:r>
              <w:rPr>
                <w:rFonts w:ascii="Times New Roman" w:hAnsi="Times New Roman" w:cs="Times New Roman"/>
              </w:rPr>
              <w:t xml:space="preserve">Negatywnie odnosimy </w:t>
            </w:r>
            <w:r w:rsidRPr="008A1F3C">
              <w:rPr>
                <w:rFonts w:ascii="Times New Roman" w:hAnsi="Times New Roman" w:cs="Times New Roman"/>
              </w:rPr>
              <w:t xml:space="preserve">się </w:t>
            </w:r>
            <w:r>
              <w:rPr>
                <w:rFonts w:ascii="Times New Roman" w:hAnsi="Times New Roman" w:cs="Times New Roman"/>
              </w:rPr>
              <w:t xml:space="preserve">do </w:t>
            </w:r>
            <w:r w:rsidRPr="008A1F3C">
              <w:rPr>
                <w:rFonts w:ascii="Times New Roman" w:hAnsi="Times New Roman" w:cs="Times New Roman"/>
              </w:rPr>
              <w:t xml:space="preserve">propozycji uchyleniu wskazanego przepisu, również wprowadzonym </w:t>
            </w:r>
            <w:r w:rsidRPr="001B7C64">
              <w:rPr>
                <w:rFonts w:ascii="Times New Roman" w:hAnsi="Times New Roman" w:cs="Times New Roman"/>
              </w:rPr>
              <w:t>w życie z dniem 1 lipca 2023 r</w:t>
            </w:r>
            <w:r w:rsidRPr="008A1F3C">
              <w:rPr>
                <w:rFonts w:ascii="Times New Roman" w:hAnsi="Times New Roman" w:cs="Times New Roman"/>
              </w:rPr>
              <w:t xml:space="preserve">. </w:t>
            </w:r>
            <w:r>
              <w:rPr>
                <w:rFonts w:ascii="Times New Roman" w:hAnsi="Times New Roman" w:cs="Times New Roman"/>
              </w:rPr>
              <w:t xml:space="preserve">– należy ją zachować lub poddać modyfikacji. </w:t>
            </w:r>
          </w:p>
          <w:p w14:paraId="13782489" w14:textId="77777777" w:rsidR="003A5DB8" w:rsidRPr="008A1F3C" w:rsidRDefault="003A5DB8" w:rsidP="003A5DB8">
            <w:pPr>
              <w:spacing w:line="276" w:lineRule="auto"/>
              <w:jc w:val="both"/>
              <w:rPr>
                <w:rFonts w:ascii="Times New Roman" w:hAnsi="Times New Roman" w:cs="Times New Roman"/>
              </w:rPr>
            </w:pPr>
          </w:p>
          <w:p w14:paraId="76741169" w14:textId="77777777" w:rsidR="003A5DB8" w:rsidRPr="008A1F3C" w:rsidRDefault="003A5DB8" w:rsidP="003A5DB8">
            <w:pPr>
              <w:spacing w:line="276" w:lineRule="auto"/>
              <w:jc w:val="both"/>
              <w:rPr>
                <w:rFonts w:ascii="Times New Roman" w:hAnsi="Times New Roman" w:cs="Times New Roman"/>
              </w:rPr>
            </w:pPr>
            <w:r w:rsidRPr="008A1F3C">
              <w:rPr>
                <w:rFonts w:ascii="Times New Roman" w:hAnsi="Times New Roman" w:cs="Times New Roman"/>
              </w:rPr>
              <w:t>Skutkiem wprowadzenia przepisu jest wyłączenie możliwości ubiegania się przez podmioty uprawnione z praw wyłącznych o udzielenie zabezpieczenia roszczeń w terminie późniejszym niż bezpośrednio po powzięciu informacji o ich naruszeniu (w okresie do 6 miesięcy), zgodnie z zasadą pilności postępowania zabezpieczającego. Dzięki temu eliminuje się przypadki instrumentalnego korzystania z zabezpieczeń jako formy nacisku, szantażu biznesowego, np. by zablokować produkt konkurencyjny po latach od jego wprowadzenia na rynek, gdy zdobył już zaufanie klientów.</w:t>
            </w:r>
          </w:p>
          <w:p w14:paraId="5693AA55" w14:textId="77777777" w:rsidR="003A5DB8" w:rsidRPr="008A1F3C" w:rsidRDefault="003A5DB8" w:rsidP="003A5DB8">
            <w:pPr>
              <w:spacing w:line="276" w:lineRule="auto"/>
              <w:jc w:val="both"/>
              <w:rPr>
                <w:rFonts w:ascii="Times New Roman" w:hAnsi="Times New Roman" w:cs="Times New Roman"/>
              </w:rPr>
            </w:pPr>
          </w:p>
          <w:p w14:paraId="5DCCD6EA" w14:textId="6612C770" w:rsidR="003A5DB8" w:rsidRPr="001B7C64" w:rsidRDefault="003A5DB8" w:rsidP="003A5DB8">
            <w:pPr>
              <w:spacing w:after="160" w:line="276" w:lineRule="auto"/>
              <w:jc w:val="both"/>
              <w:rPr>
                <w:rFonts w:ascii="Times New Roman" w:hAnsi="Times New Roman" w:cs="Times New Roman"/>
              </w:rPr>
            </w:pPr>
            <w:r w:rsidRPr="001B7C64">
              <w:rPr>
                <w:rFonts w:ascii="Times New Roman" w:hAnsi="Times New Roman" w:cs="Times New Roman"/>
              </w:rPr>
              <w:t>Upływ czasu od zaistnienia naruszenia jest w sprawach własności intelektualnej powszechnie uważany za istotny przy ocenie interesu prawnego w udzieleniu zabezpieczenia.</w:t>
            </w:r>
            <w:r>
              <w:rPr>
                <w:rFonts w:ascii="Times New Roman" w:hAnsi="Times New Roman" w:cs="Times New Roman"/>
              </w:rPr>
              <w:t xml:space="preserve"> </w:t>
            </w:r>
            <w:r w:rsidRPr="009D2616">
              <w:rPr>
                <w:rFonts w:ascii="Times New Roman" w:hAnsi="Times New Roman" w:cs="Times New Roman"/>
              </w:rPr>
              <w:t xml:space="preserve">Standard ten obowiązuje w większości jurysdykcji Unii Europejskiej – zarówno w postępowaniach przed sądami krajowych członkowskich, jak i przed </w:t>
            </w:r>
            <w:r>
              <w:rPr>
                <w:rFonts w:ascii="Times New Roman" w:hAnsi="Times New Roman" w:cs="Times New Roman"/>
              </w:rPr>
              <w:t>Jednolitym</w:t>
            </w:r>
            <w:r w:rsidRPr="009D2616">
              <w:rPr>
                <w:rFonts w:ascii="Times New Roman" w:hAnsi="Times New Roman" w:cs="Times New Roman"/>
              </w:rPr>
              <w:t xml:space="preserve"> Sądem Patentowym. Choć poszczególne jurysdykcje przyjmują różne okresy czasowe (od kilku tygodni w Niemczech</w:t>
            </w:r>
            <w:r>
              <w:rPr>
                <w:rStyle w:val="Odwoanieprzypisudolnego"/>
                <w:rFonts w:ascii="Times New Roman" w:hAnsi="Times New Roman" w:cs="Times New Roman"/>
              </w:rPr>
              <w:footnoteReference w:id="1"/>
            </w:r>
            <w:r w:rsidRPr="009D2616">
              <w:rPr>
                <w:rFonts w:ascii="Times New Roman" w:hAnsi="Times New Roman" w:cs="Times New Roman"/>
              </w:rPr>
              <w:t xml:space="preserve"> do sześciu miesięcy w Polsce), podkreślają, że znaczące opóźnienie we złożeniu wniosku o zabezpieczenie może świadczyć o braku pilności .</w:t>
            </w:r>
            <w:r w:rsidRPr="001B7C64">
              <w:rPr>
                <w:rFonts w:ascii="Times New Roman" w:hAnsi="Times New Roman" w:cs="Times New Roman"/>
              </w:rPr>
              <w:t xml:space="preserve"> </w:t>
            </w:r>
          </w:p>
          <w:p w14:paraId="165DACE5" w14:textId="77777777" w:rsidR="003A5DB8" w:rsidRPr="001B7C64" w:rsidRDefault="003A5DB8" w:rsidP="003A5DB8">
            <w:pPr>
              <w:spacing w:after="160" w:line="276" w:lineRule="auto"/>
              <w:jc w:val="both"/>
              <w:rPr>
                <w:rFonts w:ascii="Times New Roman" w:hAnsi="Times New Roman" w:cs="Times New Roman"/>
              </w:rPr>
            </w:pPr>
            <w:r w:rsidRPr="001B7C64">
              <w:rPr>
                <w:rFonts w:ascii="Times New Roman" w:hAnsi="Times New Roman" w:cs="Times New Roman"/>
              </w:rPr>
              <w:t xml:space="preserve">Co istotne, upływ terminu na złożenie wniosku o udzielenie zabezpieczenia nie pozbawia uprawnionego z prawa wyłącznego możliwości dochodzenia swoich praw w związku </w:t>
            </w:r>
            <w:r w:rsidRPr="001B7C64">
              <w:rPr>
                <w:rFonts w:ascii="Times New Roman" w:hAnsi="Times New Roman" w:cs="Times New Roman"/>
              </w:rPr>
              <w:lastRenderedPageBreak/>
              <w:t xml:space="preserve">ze spodziewanym naruszeniem. W takim przypadku możliwe jest prowadzenie postępowania o naruszenie na zasadach ogólnych. </w:t>
            </w:r>
          </w:p>
          <w:p w14:paraId="4563C956" w14:textId="56892C40" w:rsidR="003A5DB8" w:rsidRPr="008A1F3C" w:rsidRDefault="003A5DB8" w:rsidP="003A5DB8">
            <w:pPr>
              <w:spacing w:line="276" w:lineRule="auto"/>
              <w:jc w:val="both"/>
              <w:rPr>
                <w:rFonts w:ascii="Times New Roman" w:hAnsi="Times New Roman" w:cs="Times New Roman"/>
              </w:rPr>
            </w:pPr>
            <w:r w:rsidRPr="008A1F3C">
              <w:rPr>
                <w:rFonts w:ascii="Times New Roman" w:hAnsi="Times New Roman" w:cs="Times New Roman"/>
              </w:rPr>
              <w:t>Nawet gdyby przyjąć za projektodawcą, iż wymagana jest większa elastyczność w podejściu do oceny przesłanki pilności zabezpieczenia, należałoby rozważyć odpowiednią modyfikację przepisu, np. poprzez wprowadzenie ogólnej formuły odwołującej się do „</w:t>
            </w:r>
            <w:r w:rsidRPr="008A1F3C">
              <w:rPr>
                <w:rFonts w:ascii="Times New Roman" w:hAnsi="Times New Roman" w:cs="Times New Roman"/>
                <w:i/>
                <w:iCs/>
              </w:rPr>
              <w:t>szczególnych</w:t>
            </w:r>
            <w:r w:rsidRPr="008A1F3C">
              <w:rPr>
                <w:rFonts w:ascii="Times New Roman" w:hAnsi="Times New Roman" w:cs="Times New Roman"/>
              </w:rPr>
              <w:t>” lub „</w:t>
            </w:r>
            <w:r w:rsidRPr="008A1F3C">
              <w:rPr>
                <w:rFonts w:ascii="Times New Roman" w:hAnsi="Times New Roman" w:cs="Times New Roman"/>
                <w:i/>
                <w:iCs/>
              </w:rPr>
              <w:t>uzasadnionych</w:t>
            </w:r>
            <w:r w:rsidRPr="008A1F3C">
              <w:rPr>
                <w:rFonts w:ascii="Times New Roman" w:hAnsi="Times New Roman" w:cs="Times New Roman"/>
              </w:rPr>
              <w:t>” okoliczności, które pozwolą na udzielenie zabezpieczenia mimo upływu terminu. Całkowite usunięcie przepisu jest w tej sytuacji rozwiązaniem nieproporcjonalnym, zbyt daleko idącym.</w:t>
            </w:r>
          </w:p>
        </w:tc>
        <w:tc>
          <w:tcPr>
            <w:tcW w:w="4076" w:type="dxa"/>
          </w:tcPr>
          <w:p w14:paraId="202FD125" w14:textId="77777777" w:rsidR="003A5DB8" w:rsidRPr="008A1F3C" w:rsidRDefault="003A5DB8" w:rsidP="003A5DB8">
            <w:pPr>
              <w:spacing w:before="240" w:after="120" w:line="276" w:lineRule="auto"/>
              <w:jc w:val="center"/>
              <w:rPr>
                <w:rFonts w:ascii="Times New Roman" w:hAnsi="Times New Roman" w:cs="Times New Roman"/>
                <w:b/>
              </w:rPr>
            </w:pPr>
          </w:p>
        </w:tc>
      </w:tr>
      <w:tr w:rsidR="003A5DB8" w:rsidRPr="008A1F3C" w14:paraId="06CB91F2" w14:textId="77777777" w:rsidTr="5915656F">
        <w:trPr>
          <w:jc w:val="center"/>
        </w:trPr>
        <w:tc>
          <w:tcPr>
            <w:tcW w:w="562" w:type="dxa"/>
          </w:tcPr>
          <w:p w14:paraId="179FC81E" w14:textId="4C3BF1FD" w:rsidR="003A5DB8" w:rsidRPr="008A1F3C" w:rsidRDefault="003A5DB8" w:rsidP="003A5DB8">
            <w:pPr>
              <w:spacing w:before="120" w:line="276" w:lineRule="auto"/>
              <w:ind w:right="-534"/>
              <w:jc w:val="both"/>
              <w:rPr>
                <w:rFonts w:ascii="Times New Roman" w:hAnsi="Times New Roman" w:cs="Times New Roman"/>
                <w:bCs/>
              </w:rPr>
            </w:pPr>
          </w:p>
        </w:tc>
        <w:tc>
          <w:tcPr>
            <w:tcW w:w="1843" w:type="dxa"/>
            <w:vAlign w:val="center"/>
          </w:tcPr>
          <w:p w14:paraId="67CCF3B3" w14:textId="56C2221C" w:rsidR="003A5DB8" w:rsidRPr="008A1F3C" w:rsidRDefault="003A5DB8" w:rsidP="003A5DB8">
            <w:pPr>
              <w:spacing w:before="120" w:after="120" w:line="276" w:lineRule="auto"/>
              <w:jc w:val="both"/>
              <w:rPr>
                <w:rFonts w:ascii="Times New Roman" w:hAnsi="Times New Roman" w:cs="Times New Roman"/>
                <w:bCs/>
              </w:rPr>
            </w:pPr>
            <w:r w:rsidRPr="00B508A5">
              <w:rPr>
                <w:rFonts w:ascii="Times New Roman" w:hAnsi="Times New Roman" w:cs="Times New Roman"/>
                <w:bCs/>
              </w:rPr>
              <w:t>Konfederacja Lewiatan</w:t>
            </w:r>
          </w:p>
        </w:tc>
        <w:tc>
          <w:tcPr>
            <w:tcW w:w="1843" w:type="dxa"/>
            <w:vAlign w:val="center"/>
          </w:tcPr>
          <w:p w14:paraId="3CADFAD6" w14:textId="21448C17" w:rsidR="003A5DB8" w:rsidRPr="008A1F3C" w:rsidRDefault="003A5DB8" w:rsidP="003A5DB8">
            <w:pPr>
              <w:spacing w:before="120" w:after="120" w:line="276" w:lineRule="auto"/>
              <w:jc w:val="both"/>
              <w:rPr>
                <w:rFonts w:ascii="Times New Roman" w:hAnsi="Times New Roman" w:cs="Times New Roman"/>
                <w:bCs/>
              </w:rPr>
            </w:pPr>
            <w:r w:rsidRPr="008A1F3C">
              <w:rPr>
                <w:rFonts w:ascii="Times New Roman" w:hAnsi="Times New Roman" w:cs="Times New Roman"/>
                <w:bCs/>
              </w:rPr>
              <w:t xml:space="preserve">Dodanie art. 22a </w:t>
            </w:r>
          </w:p>
        </w:tc>
        <w:tc>
          <w:tcPr>
            <w:tcW w:w="5670" w:type="dxa"/>
            <w:vAlign w:val="center"/>
          </w:tcPr>
          <w:p w14:paraId="63CC7F5A" w14:textId="628CEB3C" w:rsidR="003A5DB8" w:rsidRPr="008A1F3C" w:rsidRDefault="003A5DB8" w:rsidP="003A5DB8">
            <w:pPr>
              <w:spacing w:after="120" w:line="276" w:lineRule="auto"/>
              <w:ind w:left="-5"/>
              <w:jc w:val="both"/>
              <w:rPr>
                <w:rFonts w:ascii="Times New Roman" w:hAnsi="Times New Roman" w:cs="Times New Roman"/>
                <w:b/>
              </w:rPr>
            </w:pPr>
            <w:r w:rsidRPr="008A1F3C">
              <w:rPr>
                <w:rFonts w:ascii="Times New Roman" w:hAnsi="Times New Roman" w:cs="Times New Roman"/>
                <w:b/>
              </w:rPr>
              <w:t xml:space="preserve">Art. 22a. W ustawie z dnia 17 listopada 1964 r. Kodeks postępowania cywilnego: </w:t>
            </w:r>
          </w:p>
          <w:p w14:paraId="373E8A8B" w14:textId="77777777" w:rsidR="003A5DB8" w:rsidRPr="008A1F3C" w:rsidRDefault="003A5DB8" w:rsidP="003A5DB8">
            <w:pPr>
              <w:spacing w:after="120" w:line="276" w:lineRule="auto"/>
              <w:ind w:left="370"/>
              <w:jc w:val="both"/>
              <w:rPr>
                <w:rFonts w:ascii="Times New Roman" w:hAnsi="Times New Roman" w:cs="Times New Roman"/>
                <w:b/>
              </w:rPr>
            </w:pPr>
            <w:r w:rsidRPr="008A1F3C">
              <w:rPr>
                <w:rFonts w:ascii="Times New Roman" w:eastAsia="Segoe UI Symbol" w:hAnsi="Times New Roman" w:cs="Times New Roman"/>
                <w:b/>
              </w:rPr>
              <w:t>−</w:t>
            </w:r>
            <w:r w:rsidRPr="008A1F3C">
              <w:rPr>
                <w:rFonts w:ascii="Times New Roman" w:eastAsia="Arial" w:hAnsi="Times New Roman" w:cs="Times New Roman"/>
                <w:b/>
              </w:rPr>
              <w:t xml:space="preserve"> </w:t>
            </w:r>
            <w:r w:rsidRPr="008A1F3C">
              <w:rPr>
                <w:rFonts w:ascii="Times New Roman" w:hAnsi="Times New Roman" w:cs="Times New Roman"/>
                <w:b/>
              </w:rPr>
              <w:t>w art. 755 § 2</w:t>
            </w:r>
            <w:r w:rsidRPr="008A1F3C">
              <w:rPr>
                <w:rFonts w:ascii="Times New Roman" w:hAnsi="Times New Roman" w:cs="Times New Roman"/>
                <w:b/>
                <w:vertAlign w:val="superscript"/>
              </w:rPr>
              <w:t>2</w:t>
            </w:r>
            <w:r w:rsidRPr="008A1F3C">
              <w:rPr>
                <w:rFonts w:ascii="Times New Roman" w:hAnsi="Times New Roman" w:cs="Times New Roman"/>
                <w:b/>
              </w:rPr>
              <w:t xml:space="preserve"> otrzymuje brzmienie: </w:t>
            </w:r>
          </w:p>
          <w:p w14:paraId="731E4EF9" w14:textId="77777777" w:rsidR="003A5DB8" w:rsidRPr="008A1F3C" w:rsidRDefault="003A5DB8" w:rsidP="003A5DB8">
            <w:pPr>
              <w:spacing w:line="276" w:lineRule="auto"/>
              <w:jc w:val="both"/>
              <w:rPr>
                <w:rFonts w:ascii="Times New Roman" w:hAnsi="Times New Roman" w:cs="Times New Roman"/>
              </w:rPr>
            </w:pPr>
            <w:r w:rsidRPr="008A1F3C">
              <w:rPr>
                <w:rFonts w:ascii="Times New Roman" w:hAnsi="Times New Roman" w:cs="Times New Roman"/>
              </w:rPr>
              <w:t>„</w:t>
            </w:r>
            <w:r w:rsidRPr="008A1F3C">
              <w:rPr>
                <w:rFonts w:ascii="Times New Roman" w:hAnsi="Times New Roman" w:cs="Times New Roman"/>
                <w:i/>
              </w:rPr>
              <w:t>W sprawach wymienionych w art. 479</w:t>
            </w:r>
            <w:r w:rsidRPr="008A1F3C">
              <w:rPr>
                <w:rFonts w:ascii="Times New Roman" w:hAnsi="Times New Roman" w:cs="Times New Roman"/>
                <w:i/>
                <w:vertAlign w:val="superscript"/>
              </w:rPr>
              <w:t>89</w:t>
            </w:r>
            <w:r w:rsidRPr="008A1F3C">
              <w:rPr>
                <w:rFonts w:ascii="Times New Roman" w:hAnsi="Times New Roman" w:cs="Times New Roman"/>
                <w:i/>
              </w:rPr>
              <w:t xml:space="preserve"> sąd udziela zabezpieczenia po wysłuchaniu obowiązanego, chyba że konieczne jest natychmiastowe rozstrzygnięcie wniosku.</w:t>
            </w:r>
            <w:r w:rsidRPr="008A1F3C">
              <w:rPr>
                <w:rFonts w:ascii="Times New Roman" w:hAnsi="Times New Roman" w:cs="Times New Roman"/>
              </w:rPr>
              <w:t>”</w:t>
            </w:r>
          </w:p>
          <w:p w14:paraId="67D6DCC4" w14:textId="77777777" w:rsidR="003A5DB8" w:rsidRPr="008A1F3C" w:rsidRDefault="003A5DB8" w:rsidP="003A5DB8">
            <w:pPr>
              <w:spacing w:line="276" w:lineRule="auto"/>
              <w:jc w:val="both"/>
              <w:rPr>
                <w:rFonts w:ascii="Times New Roman" w:hAnsi="Times New Roman" w:cs="Times New Roman"/>
              </w:rPr>
            </w:pPr>
          </w:p>
          <w:p w14:paraId="3CA7852C" w14:textId="77777777" w:rsidR="003A5DB8" w:rsidRPr="008A1F3C" w:rsidRDefault="003A5DB8" w:rsidP="003A5DB8">
            <w:pPr>
              <w:spacing w:after="120" w:line="276" w:lineRule="auto"/>
              <w:ind w:left="-5" w:right="-7"/>
              <w:jc w:val="both"/>
              <w:rPr>
                <w:rFonts w:ascii="Times New Roman" w:hAnsi="Times New Roman" w:cs="Times New Roman"/>
              </w:rPr>
            </w:pPr>
            <w:r w:rsidRPr="008A1F3C">
              <w:rPr>
                <w:rFonts w:ascii="Times New Roman" w:hAnsi="Times New Roman" w:cs="Times New Roman"/>
              </w:rPr>
              <w:t xml:space="preserve">Przepis powyższy, wprowadzony nowelizacją z dnia 9 marca 2023 r., służy zapewnieniu realizacji wysłuchania obu stron sporu przed udzieleniem zabezpieczenia. Ma to na celu obniżenie ryzyka wydania i wykonania nieuzasadnionego zabezpieczenia w oparciu o stan faktyczny przedstawiony wyłącznie przez stronę zainteresowaną uzyskaniem zabezpieczenia.  </w:t>
            </w:r>
          </w:p>
          <w:p w14:paraId="01ACB6FD" w14:textId="35A66984" w:rsidR="003A5DB8" w:rsidRPr="008A1F3C" w:rsidRDefault="003A5DB8" w:rsidP="003A5DB8">
            <w:pPr>
              <w:spacing w:after="120" w:line="276" w:lineRule="auto"/>
              <w:ind w:left="-5" w:right="-7"/>
              <w:jc w:val="both"/>
              <w:rPr>
                <w:rFonts w:ascii="Times New Roman" w:hAnsi="Times New Roman" w:cs="Times New Roman"/>
              </w:rPr>
            </w:pPr>
            <w:r w:rsidRPr="008A1F3C">
              <w:rPr>
                <w:rFonts w:ascii="Times New Roman" w:hAnsi="Times New Roman" w:cs="Times New Roman"/>
              </w:rPr>
              <w:lastRenderedPageBreak/>
              <w:t>Proponuje się rozciągnięcie powyższej zasady na wszystkie formy zabezpieczenia, także tych podlegających wykonaniu w całości przez komornika oraz polegających na ustanowieniu zarządu przymusowego nad przedsiębiorstwem lub gospodarstwem rolnym albo zakładem wchodzącym w skład przedsiębiorstwa lub jego częścią albo częścią gospodarstwa rolnego. Praktyka stosowania przepisu pokazała, że pełnomocnicy uprawnionych świadomie ograniczają zakres zabezpieczenia do ww. jego form</w:t>
            </w:r>
            <w:r>
              <w:rPr>
                <w:rFonts w:ascii="Times New Roman" w:hAnsi="Times New Roman" w:cs="Times New Roman"/>
              </w:rPr>
              <w:t xml:space="preserve"> (tzw. wyjątek komorniczy)</w:t>
            </w:r>
            <w:r w:rsidRPr="008A1F3C">
              <w:rPr>
                <w:rFonts w:ascii="Times New Roman" w:hAnsi="Times New Roman" w:cs="Times New Roman"/>
              </w:rPr>
              <w:t xml:space="preserve">, aby ominąć wymóg wysłuchania strony przeciwnej.  </w:t>
            </w:r>
          </w:p>
          <w:p w14:paraId="797CB14A" w14:textId="0CF05346" w:rsidR="003A5DB8" w:rsidRPr="008A1F3C" w:rsidRDefault="003A5DB8" w:rsidP="003A5DB8">
            <w:pPr>
              <w:spacing w:after="120" w:line="276" w:lineRule="auto"/>
              <w:ind w:left="-5" w:right="-7"/>
              <w:jc w:val="both"/>
              <w:rPr>
                <w:rFonts w:ascii="Times New Roman" w:hAnsi="Times New Roman" w:cs="Times New Roman"/>
              </w:rPr>
            </w:pPr>
            <w:r w:rsidRPr="008A1F3C">
              <w:rPr>
                <w:rFonts w:ascii="Times New Roman" w:hAnsi="Times New Roman" w:cs="Times New Roman"/>
              </w:rPr>
              <w:t xml:space="preserve">Wydanie postanowienia w sprawie zabezpieczenia bez udziału obowiązanego może być konieczne w wyjątkowych przypadkach, gdy rzeczywiście konieczne jest natychmiastowe rozstrzygnięcie wniosku (np. gdy zachodzi obawa ukrycia lub utraty przedmiotu zabezpieczenia). Te przypadki obejmuje pierwsze zdanie </w:t>
            </w:r>
            <w:r w:rsidRPr="008A1F3C">
              <w:rPr>
                <w:rFonts w:ascii="Times New Roman" w:hAnsi="Times New Roman" w:cs="Times New Roman"/>
                <w:i/>
              </w:rPr>
              <w:t>in fine</w:t>
            </w:r>
            <w:r w:rsidRPr="008A1F3C">
              <w:rPr>
                <w:rFonts w:ascii="Times New Roman" w:hAnsi="Times New Roman" w:cs="Times New Roman"/>
              </w:rPr>
              <w:t xml:space="preserve"> przedmiotowego przepisu. </w:t>
            </w:r>
          </w:p>
        </w:tc>
        <w:tc>
          <w:tcPr>
            <w:tcW w:w="4076" w:type="dxa"/>
          </w:tcPr>
          <w:p w14:paraId="3FAA6403" w14:textId="77777777" w:rsidR="003A5DB8" w:rsidRPr="008A1F3C" w:rsidRDefault="003A5DB8" w:rsidP="003A5DB8">
            <w:pPr>
              <w:spacing w:before="240" w:after="120" w:line="276" w:lineRule="auto"/>
              <w:jc w:val="center"/>
              <w:rPr>
                <w:rFonts w:ascii="Times New Roman" w:hAnsi="Times New Roman" w:cs="Times New Roman"/>
                <w:b/>
              </w:rPr>
            </w:pPr>
          </w:p>
        </w:tc>
      </w:tr>
      <w:tr w:rsidR="003A5DB8" w:rsidRPr="008A1F3C" w14:paraId="5A18CDF3" w14:textId="77777777" w:rsidTr="5915656F">
        <w:trPr>
          <w:jc w:val="center"/>
        </w:trPr>
        <w:tc>
          <w:tcPr>
            <w:tcW w:w="562" w:type="dxa"/>
          </w:tcPr>
          <w:p w14:paraId="6DEC3944" w14:textId="7152DE5E" w:rsidR="003A5DB8" w:rsidRPr="008A1F3C" w:rsidRDefault="003A5DB8" w:rsidP="003A5DB8">
            <w:pPr>
              <w:spacing w:before="120" w:line="276" w:lineRule="auto"/>
              <w:ind w:right="-534"/>
              <w:jc w:val="both"/>
              <w:rPr>
                <w:rFonts w:ascii="Times New Roman" w:hAnsi="Times New Roman" w:cs="Times New Roman"/>
                <w:bCs/>
              </w:rPr>
            </w:pPr>
          </w:p>
        </w:tc>
        <w:tc>
          <w:tcPr>
            <w:tcW w:w="1843" w:type="dxa"/>
            <w:vAlign w:val="center"/>
          </w:tcPr>
          <w:p w14:paraId="1A5DE742" w14:textId="0D55FAF4" w:rsidR="003A5DB8" w:rsidRPr="008A1F3C" w:rsidRDefault="003A5DB8" w:rsidP="003A5DB8">
            <w:pPr>
              <w:spacing w:before="120" w:after="120" w:line="276" w:lineRule="auto"/>
              <w:jc w:val="both"/>
              <w:rPr>
                <w:rFonts w:ascii="Times New Roman" w:hAnsi="Times New Roman" w:cs="Times New Roman"/>
                <w:bCs/>
              </w:rPr>
            </w:pPr>
            <w:r w:rsidRPr="00B508A5">
              <w:rPr>
                <w:rFonts w:ascii="Times New Roman" w:hAnsi="Times New Roman" w:cs="Times New Roman"/>
                <w:bCs/>
              </w:rPr>
              <w:t>Konfederacja Lewiatan</w:t>
            </w:r>
          </w:p>
        </w:tc>
        <w:tc>
          <w:tcPr>
            <w:tcW w:w="1843" w:type="dxa"/>
            <w:vAlign w:val="center"/>
          </w:tcPr>
          <w:p w14:paraId="1F7D84B4" w14:textId="42B2C4C6" w:rsidR="003A5DB8" w:rsidRPr="008A1F3C" w:rsidRDefault="003A5DB8" w:rsidP="003A5DB8">
            <w:pPr>
              <w:spacing w:before="120" w:after="120" w:line="276" w:lineRule="auto"/>
              <w:jc w:val="both"/>
              <w:rPr>
                <w:rFonts w:ascii="Times New Roman" w:hAnsi="Times New Roman" w:cs="Times New Roman"/>
                <w:bCs/>
              </w:rPr>
            </w:pPr>
            <w:r w:rsidRPr="008A1F3C">
              <w:rPr>
                <w:rFonts w:ascii="Times New Roman" w:hAnsi="Times New Roman" w:cs="Times New Roman"/>
                <w:bCs/>
              </w:rPr>
              <w:t>Dodanie art. 22b i 22c</w:t>
            </w:r>
          </w:p>
        </w:tc>
        <w:tc>
          <w:tcPr>
            <w:tcW w:w="5670" w:type="dxa"/>
            <w:vAlign w:val="center"/>
          </w:tcPr>
          <w:p w14:paraId="6202C1F9" w14:textId="6AC1D995" w:rsidR="003A5DB8" w:rsidRPr="008A1F3C" w:rsidRDefault="003A5DB8" w:rsidP="003A5DB8">
            <w:pPr>
              <w:spacing w:after="120" w:line="276" w:lineRule="auto"/>
              <w:ind w:left="-5"/>
              <w:jc w:val="both"/>
              <w:rPr>
                <w:rFonts w:ascii="Times New Roman" w:hAnsi="Times New Roman" w:cs="Times New Roman"/>
              </w:rPr>
            </w:pPr>
            <w:r w:rsidRPr="008A1F3C">
              <w:rPr>
                <w:rFonts w:ascii="Times New Roman" w:hAnsi="Times New Roman" w:cs="Times New Roman"/>
                <w:b/>
              </w:rPr>
              <w:t xml:space="preserve">Art. 22b. W ustawie z dnia 17 listopada 1964 r. Kodeks postępowania cywilnego: </w:t>
            </w:r>
          </w:p>
          <w:p w14:paraId="1ED86160" w14:textId="77777777" w:rsidR="003A5DB8" w:rsidRPr="008A1F3C" w:rsidRDefault="003A5DB8" w:rsidP="003A5DB8">
            <w:pPr>
              <w:spacing w:after="120" w:line="276" w:lineRule="auto"/>
              <w:ind w:left="355"/>
              <w:jc w:val="both"/>
              <w:rPr>
                <w:rFonts w:ascii="Times New Roman" w:hAnsi="Times New Roman" w:cs="Times New Roman"/>
              </w:rPr>
            </w:pPr>
            <w:r w:rsidRPr="008A1F3C">
              <w:rPr>
                <w:rFonts w:ascii="Times New Roman" w:eastAsia="Segoe UI Symbol" w:hAnsi="Times New Roman" w:cs="Times New Roman"/>
              </w:rPr>
              <w:t>−</w:t>
            </w:r>
            <w:r w:rsidRPr="008A1F3C">
              <w:rPr>
                <w:rFonts w:ascii="Times New Roman" w:eastAsia="Arial" w:hAnsi="Times New Roman" w:cs="Times New Roman"/>
              </w:rPr>
              <w:t xml:space="preserve"> </w:t>
            </w:r>
            <w:r w:rsidRPr="008A1F3C">
              <w:rPr>
                <w:rFonts w:ascii="Times New Roman" w:hAnsi="Times New Roman" w:cs="Times New Roman"/>
                <w:b/>
              </w:rPr>
              <w:t>po art. 755</w:t>
            </w:r>
            <w:r w:rsidRPr="008A1F3C">
              <w:rPr>
                <w:rFonts w:ascii="Times New Roman" w:hAnsi="Times New Roman" w:cs="Times New Roman"/>
                <w:b/>
                <w:vertAlign w:val="superscript"/>
              </w:rPr>
              <w:t>1</w:t>
            </w:r>
            <w:r w:rsidRPr="008A1F3C">
              <w:rPr>
                <w:rFonts w:ascii="Times New Roman" w:hAnsi="Times New Roman" w:cs="Times New Roman"/>
                <w:b/>
              </w:rPr>
              <w:t xml:space="preserve"> dodaje się art. 755</w:t>
            </w:r>
            <w:r w:rsidRPr="008A1F3C">
              <w:rPr>
                <w:rFonts w:ascii="Times New Roman" w:hAnsi="Times New Roman" w:cs="Times New Roman"/>
                <w:b/>
                <w:vertAlign w:val="superscript"/>
              </w:rPr>
              <w:t>1a</w:t>
            </w:r>
            <w:r w:rsidRPr="008A1F3C">
              <w:rPr>
                <w:rFonts w:ascii="Times New Roman" w:hAnsi="Times New Roman" w:cs="Times New Roman"/>
                <w:b/>
              </w:rPr>
              <w:t xml:space="preserve"> o następującym brzmieniu:</w:t>
            </w:r>
            <w:r w:rsidRPr="008A1F3C">
              <w:rPr>
                <w:rFonts w:ascii="Times New Roman" w:hAnsi="Times New Roman" w:cs="Times New Roman"/>
              </w:rPr>
              <w:t xml:space="preserve"> </w:t>
            </w:r>
          </w:p>
          <w:p w14:paraId="6E1C5346" w14:textId="77777777" w:rsidR="003A5DB8" w:rsidRPr="008A1F3C" w:rsidRDefault="003A5DB8" w:rsidP="003A5DB8">
            <w:pPr>
              <w:spacing w:after="120" w:line="276" w:lineRule="auto"/>
              <w:jc w:val="both"/>
              <w:rPr>
                <w:rFonts w:ascii="Times New Roman" w:hAnsi="Times New Roman" w:cs="Times New Roman"/>
              </w:rPr>
            </w:pPr>
            <w:r w:rsidRPr="008A1F3C">
              <w:rPr>
                <w:rFonts w:ascii="Times New Roman" w:hAnsi="Times New Roman" w:cs="Times New Roman"/>
                <w:b/>
                <w:i/>
                <w:color w:val="333333"/>
              </w:rPr>
              <w:t>Art. 755</w:t>
            </w:r>
            <w:r w:rsidRPr="008A1F3C">
              <w:rPr>
                <w:rFonts w:ascii="Times New Roman" w:hAnsi="Times New Roman" w:cs="Times New Roman"/>
                <w:b/>
                <w:i/>
                <w:color w:val="333333"/>
                <w:vertAlign w:val="superscript"/>
              </w:rPr>
              <w:t>1a</w:t>
            </w:r>
            <w:r w:rsidRPr="008A1F3C">
              <w:rPr>
                <w:rFonts w:ascii="Times New Roman" w:hAnsi="Times New Roman" w:cs="Times New Roman"/>
                <w:b/>
                <w:i/>
                <w:color w:val="333333"/>
              </w:rPr>
              <w:t xml:space="preserve">. </w:t>
            </w:r>
          </w:p>
          <w:p w14:paraId="4FB3957F" w14:textId="77777777" w:rsidR="003A5DB8" w:rsidRPr="008A1F3C" w:rsidRDefault="003A5DB8" w:rsidP="003A5DB8">
            <w:pPr>
              <w:spacing w:after="120" w:line="276" w:lineRule="auto"/>
              <w:ind w:left="-5"/>
              <w:jc w:val="both"/>
              <w:rPr>
                <w:rFonts w:ascii="Times New Roman" w:hAnsi="Times New Roman" w:cs="Times New Roman"/>
              </w:rPr>
            </w:pPr>
            <w:r w:rsidRPr="008A1F3C">
              <w:rPr>
                <w:rFonts w:ascii="Times New Roman" w:hAnsi="Times New Roman" w:cs="Times New Roman"/>
                <w:b/>
                <w:i/>
              </w:rPr>
              <w:t>§ 1.</w:t>
            </w:r>
            <w:r w:rsidRPr="008A1F3C">
              <w:rPr>
                <w:rFonts w:ascii="Times New Roman" w:hAnsi="Times New Roman" w:cs="Times New Roman"/>
                <w:i/>
              </w:rPr>
              <w:t xml:space="preserve"> W sprawach własności intelektualnej każdy kto spodziewa się złożenia wniosku o udzielenie zabezpieczenia (wnioskodawca), może złożyć do sądu pismo zawierające jego stanowisko w sprawie (list ochronny). </w:t>
            </w:r>
          </w:p>
          <w:p w14:paraId="377B06B9" w14:textId="77777777" w:rsidR="003A5DB8" w:rsidRPr="008A1F3C" w:rsidRDefault="003A5DB8" w:rsidP="003A5DB8">
            <w:pPr>
              <w:spacing w:after="120" w:line="276" w:lineRule="auto"/>
              <w:ind w:left="-5"/>
              <w:jc w:val="both"/>
              <w:rPr>
                <w:rFonts w:ascii="Times New Roman" w:hAnsi="Times New Roman" w:cs="Times New Roman"/>
              </w:rPr>
            </w:pPr>
            <w:r w:rsidRPr="008A1F3C">
              <w:rPr>
                <w:rFonts w:ascii="Times New Roman" w:hAnsi="Times New Roman" w:cs="Times New Roman"/>
                <w:b/>
                <w:i/>
              </w:rPr>
              <w:lastRenderedPageBreak/>
              <w:t>§ 2.</w:t>
            </w:r>
            <w:r w:rsidRPr="008A1F3C">
              <w:rPr>
                <w:rFonts w:ascii="Times New Roman" w:hAnsi="Times New Roman" w:cs="Times New Roman"/>
                <w:i/>
              </w:rPr>
              <w:t xml:space="preserve"> Wnioskodawca może złożyć list ochronny do jednego lub kilku sądów. Art. 734 stosuje się odpowiednio. </w:t>
            </w:r>
          </w:p>
          <w:p w14:paraId="05BDBC08" w14:textId="77777777" w:rsidR="003A5DB8" w:rsidRPr="008A1F3C" w:rsidRDefault="003A5DB8" w:rsidP="003A5DB8">
            <w:pPr>
              <w:spacing w:after="120" w:line="276" w:lineRule="auto"/>
              <w:ind w:left="-5"/>
              <w:jc w:val="both"/>
              <w:rPr>
                <w:rFonts w:ascii="Times New Roman" w:hAnsi="Times New Roman" w:cs="Times New Roman"/>
              </w:rPr>
            </w:pPr>
            <w:r w:rsidRPr="008A1F3C">
              <w:rPr>
                <w:rFonts w:ascii="Times New Roman" w:hAnsi="Times New Roman" w:cs="Times New Roman"/>
                <w:b/>
                <w:i/>
              </w:rPr>
              <w:t>§ 3.</w:t>
            </w:r>
            <w:r w:rsidRPr="008A1F3C">
              <w:rPr>
                <w:rFonts w:ascii="Times New Roman" w:hAnsi="Times New Roman" w:cs="Times New Roman"/>
                <w:i/>
              </w:rPr>
              <w:t xml:space="preserve"> List ochronny powinien wskazywać osobę lub osoby, które mogą wystąpić z wnioskiem o udzielenie zabezpieczenia, przedmiot spodziewanego wniosku o udzielenie zabezpieczenia oraz zawierać uprawdopodobnienie okoliczności przedstawionych w liście ochronnym. Jeżeli oznaczenie osoby lub wszystkich osób, które mogą wystąpić z wnioskiem o udzielenie zabezpieczenia, jest niemożliwe lub nadmiernie utrudnione, list ochronny zawiera informację o braku oznaczenia takiej osoby lub osób oraz wyjaśnienie przyczyn braku ich oznaczenia. </w:t>
            </w:r>
          </w:p>
          <w:p w14:paraId="5AE323B2" w14:textId="77777777" w:rsidR="003A5DB8" w:rsidRPr="008A1F3C" w:rsidRDefault="003A5DB8" w:rsidP="003A5DB8">
            <w:pPr>
              <w:spacing w:after="120" w:line="276" w:lineRule="auto"/>
              <w:ind w:left="-5"/>
              <w:jc w:val="both"/>
              <w:rPr>
                <w:rFonts w:ascii="Times New Roman" w:hAnsi="Times New Roman" w:cs="Times New Roman"/>
              </w:rPr>
            </w:pPr>
            <w:r w:rsidRPr="008A1F3C">
              <w:rPr>
                <w:rFonts w:ascii="Times New Roman" w:hAnsi="Times New Roman" w:cs="Times New Roman"/>
                <w:b/>
                <w:i/>
              </w:rPr>
              <w:t>§ 4.</w:t>
            </w:r>
            <w:r w:rsidRPr="008A1F3C">
              <w:rPr>
                <w:rFonts w:ascii="Times New Roman" w:hAnsi="Times New Roman" w:cs="Times New Roman"/>
                <w:i/>
              </w:rPr>
              <w:t xml:space="preserve"> List ochronny obowiązuje przez okres 6 miesięcy od dnia jego złożenia. </w:t>
            </w:r>
          </w:p>
          <w:p w14:paraId="56DD449F" w14:textId="77777777" w:rsidR="003A5DB8" w:rsidRPr="008A1F3C" w:rsidRDefault="003A5DB8" w:rsidP="003A5DB8">
            <w:pPr>
              <w:spacing w:after="120" w:line="276" w:lineRule="auto"/>
              <w:ind w:left="-5"/>
              <w:jc w:val="both"/>
              <w:rPr>
                <w:rFonts w:ascii="Times New Roman" w:hAnsi="Times New Roman" w:cs="Times New Roman"/>
              </w:rPr>
            </w:pPr>
            <w:r w:rsidRPr="008A1F3C">
              <w:rPr>
                <w:rFonts w:ascii="Times New Roman" w:hAnsi="Times New Roman" w:cs="Times New Roman"/>
                <w:b/>
                <w:i/>
              </w:rPr>
              <w:t xml:space="preserve">§ 5. </w:t>
            </w:r>
            <w:r w:rsidRPr="008A1F3C">
              <w:rPr>
                <w:rFonts w:ascii="Times New Roman" w:hAnsi="Times New Roman" w:cs="Times New Roman"/>
                <w:i/>
              </w:rPr>
              <w:t xml:space="preserve">Na wniosek wnioskodawcy złożony przed upływem okresu, o którym mowa w mowa w § 4, okres obowiązywania listu ochronnego ulega przedłużeniu o kolejne 6 miesięcy. </w:t>
            </w:r>
          </w:p>
          <w:p w14:paraId="019E6341" w14:textId="77777777" w:rsidR="003A5DB8" w:rsidRPr="008A1F3C" w:rsidRDefault="003A5DB8" w:rsidP="003A5DB8">
            <w:pPr>
              <w:spacing w:after="120" w:line="276" w:lineRule="auto"/>
              <w:ind w:left="-5"/>
              <w:jc w:val="both"/>
              <w:rPr>
                <w:rFonts w:ascii="Times New Roman" w:hAnsi="Times New Roman" w:cs="Times New Roman"/>
              </w:rPr>
            </w:pPr>
            <w:r w:rsidRPr="008A1F3C">
              <w:rPr>
                <w:rFonts w:ascii="Times New Roman" w:hAnsi="Times New Roman" w:cs="Times New Roman"/>
                <w:b/>
                <w:i/>
              </w:rPr>
              <w:t xml:space="preserve">§ 6. </w:t>
            </w:r>
            <w:r w:rsidRPr="008A1F3C">
              <w:rPr>
                <w:rFonts w:ascii="Times New Roman" w:hAnsi="Times New Roman" w:cs="Times New Roman"/>
                <w:i/>
              </w:rPr>
              <w:t>Po upływie okresu obowiązywania list ochronny zwraca się wnioskodawcy.</w:t>
            </w:r>
            <w:r w:rsidRPr="008A1F3C">
              <w:rPr>
                <w:rFonts w:ascii="Times New Roman" w:hAnsi="Times New Roman" w:cs="Times New Roman"/>
                <w:b/>
                <w:i/>
              </w:rPr>
              <w:t xml:space="preserve"> </w:t>
            </w:r>
          </w:p>
          <w:p w14:paraId="34525FC6" w14:textId="77777777" w:rsidR="003A5DB8" w:rsidRPr="008A1F3C" w:rsidRDefault="003A5DB8" w:rsidP="003A5DB8">
            <w:pPr>
              <w:spacing w:after="120" w:line="276" w:lineRule="auto"/>
              <w:ind w:left="-5"/>
              <w:jc w:val="both"/>
              <w:rPr>
                <w:rFonts w:ascii="Times New Roman" w:hAnsi="Times New Roman" w:cs="Times New Roman"/>
              </w:rPr>
            </w:pPr>
            <w:r w:rsidRPr="008A1F3C">
              <w:rPr>
                <w:rFonts w:ascii="Times New Roman" w:hAnsi="Times New Roman" w:cs="Times New Roman"/>
                <w:b/>
                <w:i/>
              </w:rPr>
              <w:t>§ 7.</w:t>
            </w:r>
            <w:r w:rsidRPr="008A1F3C">
              <w:rPr>
                <w:rFonts w:ascii="Times New Roman" w:hAnsi="Times New Roman" w:cs="Times New Roman"/>
                <w:i/>
              </w:rPr>
              <w:t xml:space="preserve"> W razie złożenia wniosku o udzielenie zabezpieczenia w okresie obowiązywania listu ochronnego, po stwierdzeniu przez sąd, że wnioskodawca złożył uprzednio list ochronny dotyczący przedmiotu wniosku, list ten niezwłocznie dołącza się do akt sprawy, a jego odpis doręcza się uprawnionemu. </w:t>
            </w:r>
          </w:p>
          <w:p w14:paraId="02197718" w14:textId="77777777" w:rsidR="003A5DB8" w:rsidRPr="008A1F3C" w:rsidRDefault="003A5DB8" w:rsidP="003A5DB8">
            <w:pPr>
              <w:spacing w:after="120" w:line="276" w:lineRule="auto"/>
              <w:ind w:left="-5"/>
              <w:jc w:val="both"/>
              <w:rPr>
                <w:rFonts w:ascii="Times New Roman" w:hAnsi="Times New Roman" w:cs="Times New Roman"/>
                <w:i/>
              </w:rPr>
            </w:pPr>
            <w:r w:rsidRPr="008A1F3C">
              <w:rPr>
                <w:rFonts w:ascii="Times New Roman" w:hAnsi="Times New Roman" w:cs="Times New Roman"/>
                <w:b/>
                <w:i/>
              </w:rPr>
              <w:lastRenderedPageBreak/>
              <w:t>§ 8.</w:t>
            </w:r>
            <w:r w:rsidRPr="008A1F3C">
              <w:rPr>
                <w:rFonts w:ascii="Times New Roman" w:hAnsi="Times New Roman" w:cs="Times New Roman"/>
                <w:i/>
              </w:rPr>
              <w:t xml:space="preserve"> W razie złożenia listu ochronnego po złożeniu wniosku o udzielenie zabezpieczenia, a przed jego rozpoznaniem, przepis § 7 stosuje się odpowiednio.</w:t>
            </w:r>
          </w:p>
          <w:p w14:paraId="255A6E65" w14:textId="77777777" w:rsidR="003A5DB8" w:rsidRPr="008A1F3C" w:rsidRDefault="003A5DB8" w:rsidP="003A5DB8">
            <w:pPr>
              <w:spacing w:after="120" w:line="276" w:lineRule="auto"/>
              <w:jc w:val="both"/>
              <w:rPr>
                <w:rFonts w:ascii="Times New Roman" w:hAnsi="Times New Roman" w:cs="Times New Roman"/>
              </w:rPr>
            </w:pPr>
            <w:r w:rsidRPr="008A1F3C">
              <w:rPr>
                <w:rFonts w:ascii="Times New Roman" w:hAnsi="Times New Roman" w:cs="Times New Roman"/>
                <w:b/>
              </w:rPr>
              <w:t xml:space="preserve">Art. 22c. W ustawie z dnia 28 lipca 2005 r. o kosztach sądowych w sprawach cywilnych po art. 69 dodaje się art. 69a w brzmieniu: </w:t>
            </w:r>
          </w:p>
          <w:p w14:paraId="1949DB4E" w14:textId="77777777" w:rsidR="003A5DB8" w:rsidRPr="008A1F3C" w:rsidRDefault="003A5DB8" w:rsidP="003A5DB8">
            <w:pPr>
              <w:spacing w:after="120" w:line="276" w:lineRule="auto"/>
              <w:ind w:left="-5"/>
              <w:jc w:val="both"/>
              <w:rPr>
                <w:rFonts w:ascii="Times New Roman" w:hAnsi="Times New Roman" w:cs="Times New Roman"/>
              </w:rPr>
            </w:pPr>
            <w:r w:rsidRPr="008A1F3C">
              <w:rPr>
                <w:rFonts w:ascii="Times New Roman" w:hAnsi="Times New Roman" w:cs="Times New Roman"/>
                <w:b/>
                <w:i/>
              </w:rPr>
              <w:t xml:space="preserve">Art. 69a. </w:t>
            </w:r>
          </w:p>
          <w:p w14:paraId="416F052B" w14:textId="77777777" w:rsidR="003A5DB8" w:rsidRPr="008A1F3C" w:rsidRDefault="003A5DB8" w:rsidP="003A5DB8">
            <w:pPr>
              <w:numPr>
                <w:ilvl w:val="0"/>
                <w:numId w:val="24"/>
              </w:numPr>
              <w:spacing w:after="120" w:line="276" w:lineRule="auto"/>
              <w:ind w:hanging="223"/>
              <w:jc w:val="both"/>
              <w:rPr>
                <w:rFonts w:ascii="Times New Roman" w:hAnsi="Times New Roman" w:cs="Times New Roman"/>
              </w:rPr>
            </w:pPr>
            <w:r w:rsidRPr="008A1F3C">
              <w:rPr>
                <w:rFonts w:ascii="Times New Roman" w:hAnsi="Times New Roman" w:cs="Times New Roman"/>
                <w:i/>
              </w:rPr>
              <w:t xml:space="preserve">Od listu ochronnego pobiera się opłatę stałą w kwocie 1000 zł. </w:t>
            </w:r>
          </w:p>
          <w:p w14:paraId="164124EE" w14:textId="5B26278C" w:rsidR="003A5DB8" w:rsidRPr="008A1F3C" w:rsidRDefault="003A5DB8" w:rsidP="003A5DB8">
            <w:pPr>
              <w:spacing w:after="120" w:line="276" w:lineRule="auto"/>
              <w:ind w:left="-5"/>
              <w:jc w:val="both"/>
              <w:rPr>
                <w:rFonts w:ascii="Times New Roman" w:hAnsi="Times New Roman" w:cs="Times New Roman"/>
                <w:b/>
              </w:rPr>
            </w:pPr>
            <w:r w:rsidRPr="008A1F3C">
              <w:rPr>
                <w:rFonts w:ascii="Times New Roman" w:hAnsi="Times New Roman" w:cs="Times New Roman"/>
                <w:i/>
              </w:rPr>
              <w:t>Połowę opłaty pobiera się od wniosku o przedłużenie obowiązywania listu ochronnego.</w:t>
            </w:r>
          </w:p>
          <w:p w14:paraId="41BE366D" w14:textId="2AF77E8B" w:rsidR="003A5DB8" w:rsidRPr="008A1F3C" w:rsidRDefault="003A5DB8" w:rsidP="003A5DB8">
            <w:pPr>
              <w:spacing w:after="120" w:line="276" w:lineRule="auto"/>
              <w:ind w:left="-5" w:right="-7"/>
              <w:jc w:val="both"/>
              <w:rPr>
                <w:rFonts w:ascii="Times New Roman" w:hAnsi="Times New Roman" w:cs="Times New Roman"/>
              </w:rPr>
            </w:pPr>
            <w:r>
              <w:rPr>
                <w:rFonts w:ascii="Times New Roman" w:hAnsi="Times New Roman" w:cs="Times New Roman"/>
              </w:rPr>
              <w:t>Powyższa</w:t>
            </w:r>
            <w:r w:rsidRPr="005B06DC">
              <w:rPr>
                <w:rFonts w:ascii="Times New Roman" w:hAnsi="Times New Roman" w:cs="Times New Roman"/>
              </w:rPr>
              <w:t xml:space="preserve"> propozycj</w:t>
            </w:r>
            <w:r>
              <w:rPr>
                <w:rFonts w:ascii="Times New Roman" w:hAnsi="Times New Roman" w:cs="Times New Roman"/>
              </w:rPr>
              <w:t>a</w:t>
            </w:r>
            <w:r w:rsidRPr="005B06DC">
              <w:rPr>
                <w:rFonts w:ascii="Times New Roman" w:hAnsi="Times New Roman" w:cs="Times New Roman"/>
              </w:rPr>
              <w:t xml:space="preserve"> legislacyjną przedstawion</w:t>
            </w:r>
            <w:r>
              <w:rPr>
                <w:rFonts w:ascii="Times New Roman" w:hAnsi="Times New Roman" w:cs="Times New Roman"/>
              </w:rPr>
              <w:t>a</w:t>
            </w:r>
            <w:r w:rsidRPr="005B06DC">
              <w:rPr>
                <w:rFonts w:ascii="Times New Roman" w:hAnsi="Times New Roman" w:cs="Times New Roman"/>
              </w:rPr>
              <w:t xml:space="preserve"> przez Urząd Patentowy RP na spotkaniu w siedzibie Ministerstwa Sprawiedliwości z dnia 14 kwietnia 2023 r. </w:t>
            </w:r>
            <w:r>
              <w:rPr>
                <w:rFonts w:ascii="Times New Roman" w:hAnsi="Times New Roman" w:cs="Times New Roman"/>
              </w:rPr>
              <w:t>ma</w:t>
            </w:r>
            <w:r w:rsidRPr="008A1F3C">
              <w:rPr>
                <w:rFonts w:ascii="Times New Roman" w:hAnsi="Times New Roman" w:cs="Times New Roman"/>
              </w:rPr>
              <w:t xml:space="preserve"> na celu uregulowanie instytucji listów ochronnych, która pomaga zapobiegać nadużywaniu instytucji zabezpieczenia roszczeń. Znane są z praktyki sądowej przypadki uzyskiwania zabezpieczeń w sprawach z zakresu własności intelektualnej na podstawie jednostronnych</w:t>
            </w:r>
            <w:r>
              <w:rPr>
                <w:rFonts w:ascii="Times New Roman" w:hAnsi="Times New Roman" w:cs="Times New Roman"/>
              </w:rPr>
              <w:t xml:space="preserve"> </w:t>
            </w:r>
            <w:r w:rsidRPr="008A1F3C">
              <w:rPr>
                <w:rFonts w:ascii="Times New Roman" w:hAnsi="Times New Roman" w:cs="Times New Roman"/>
              </w:rPr>
              <w:t xml:space="preserve">lub opartych na przemilczeniu istotnych okoliczności wniosków. Konsekwencje takich sytuacji są szczególnie dotkliwe, gdy w oparciu o nierzetelnie lub jednostronnie przedstawiony stan faktyczny dochodzi do udzielenia zabezpieczenia polegającego na zakazie prowadzenia obrotu towarem na czas postępowania. W takich przypadkach uprawniony osiąga skutek w postaci opóźnienia </w:t>
            </w:r>
            <w:r w:rsidRPr="008A1F3C">
              <w:rPr>
                <w:rFonts w:ascii="Times New Roman" w:hAnsi="Times New Roman" w:cs="Times New Roman"/>
              </w:rPr>
              <w:lastRenderedPageBreak/>
              <w:t xml:space="preserve">lub zniweczenia konkurencji już przez samo uzyskanie zabezpieczenia, bez względu na ostateczny wynik sprawy. </w:t>
            </w:r>
          </w:p>
          <w:p w14:paraId="393ACC77" w14:textId="50D6EA50" w:rsidR="003A5DB8" w:rsidRPr="008A1F3C" w:rsidRDefault="003A5DB8" w:rsidP="003A5DB8">
            <w:pPr>
              <w:spacing w:after="120" w:line="276" w:lineRule="auto"/>
              <w:ind w:left="-5" w:right="-7"/>
              <w:jc w:val="both"/>
              <w:rPr>
                <w:rFonts w:ascii="Times New Roman" w:hAnsi="Times New Roman" w:cs="Times New Roman"/>
              </w:rPr>
            </w:pPr>
            <w:r w:rsidRPr="008A1F3C">
              <w:rPr>
                <w:rFonts w:ascii="Times New Roman" w:hAnsi="Times New Roman" w:cs="Times New Roman"/>
              </w:rPr>
              <w:t>Dla przeciwdziałania opisanemu zjawisku proponuje się uregulowanie instytucji listu ochronnego. Instytucja ta znana jest w innych europejskich systemach prawnych, m. in. Niemczech</w:t>
            </w:r>
            <w:r>
              <w:rPr>
                <w:rStyle w:val="Odwoanieprzypisudolnego"/>
                <w:rFonts w:ascii="Times New Roman" w:hAnsi="Times New Roman" w:cs="Times New Roman"/>
              </w:rPr>
              <w:footnoteReference w:id="2"/>
            </w:r>
            <w:r w:rsidRPr="008A1F3C">
              <w:rPr>
                <w:rFonts w:ascii="Times New Roman" w:hAnsi="Times New Roman" w:cs="Times New Roman"/>
              </w:rPr>
              <w:t>, Holandii</w:t>
            </w:r>
            <w:r>
              <w:rPr>
                <w:rStyle w:val="Odwoanieprzypisudolnego"/>
                <w:rFonts w:ascii="Times New Roman" w:hAnsi="Times New Roman" w:cs="Times New Roman"/>
              </w:rPr>
              <w:footnoteReference w:id="3"/>
            </w:r>
            <w:r w:rsidRPr="008A1F3C">
              <w:rPr>
                <w:rFonts w:ascii="Times New Roman" w:hAnsi="Times New Roman" w:cs="Times New Roman"/>
              </w:rPr>
              <w:t>, Belgii</w:t>
            </w:r>
            <w:r>
              <w:rPr>
                <w:rStyle w:val="Odwoanieprzypisudolnego"/>
                <w:rFonts w:ascii="Times New Roman" w:hAnsi="Times New Roman" w:cs="Times New Roman"/>
              </w:rPr>
              <w:footnoteReference w:id="4"/>
            </w:r>
            <w:r w:rsidRPr="008A1F3C">
              <w:rPr>
                <w:rFonts w:ascii="Times New Roman" w:hAnsi="Times New Roman" w:cs="Times New Roman"/>
              </w:rPr>
              <w:t>, Szwajcarii</w:t>
            </w:r>
            <w:r>
              <w:rPr>
                <w:rStyle w:val="Odwoanieprzypisudolnego"/>
                <w:rFonts w:ascii="Times New Roman" w:hAnsi="Times New Roman" w:cs="Times New Roman"/>
              </w:rPr>
              <w:footnoteReference w:id="5"/>
            </w:r>
            <w:r w:rsidRPr="008A1F3C">
              <w:rPr>
                <w:rFonts w:ascii="Times New Roman" w:hAnsi="Times New Roman" w:cs="Times New Roman"/>
              </w:rPr>
              <w:t xml:space="preserve"> i Hiszpanii</w:t>
            </w:r>
            <w:r>
              <w:rPr>
                <w:rStyle w:val="Odwoanieprzypisudolnego"/>
                <w:rFonts w:ascii="Times New Roman" w:hAnsi="Times New Roman" w:cs="Times New Roman"/>
              </w:rPr>
              <w:footnoteReference w:id="6"/>
            </w:r>
            <w:r w:rsidRPr="008A1F3C">
              <w:rPr>
                <w:rFonts w:ascii="Times New Roman" w:hAnsi="Times New Roman" w:cs="Times New Roman"/>
              </w:rPr>
              <w:t>. Instytucja ta jest również przewidziana w projekcie Regulaminu Jednolitego Sądu Patentowego</w:t>
            </w:r>
            <w:r>
              <w:rPr>
                <w:rFonts w:ascii="Times New Roman" w:hAnsi="Times New Roman" w:cs="Times New Roman"/>
              </w:rPr>
              <w:t xml:space="preserve"> (par. 207)</w:t>
            </w:r>
            <w:r w:rsidRPr="008A1F3C">
              <w:rPr>
                <w:rFonts w:ascii="Times New Roman" w:hAnsi="Times New Roman" w:cs="Times New Roman"/>
              </w:rPr>
              <w:t xml:space="preserve">. Również w Polsce, pomimo braku ustawowej regulacji, pisma ochronne występują już w praktyce, przy czym podejście sędziów jest zróżnicowane – od akceptacji takich listów poprzez włączanie ich do akt sprawy po ich zwrot.  </w:t>
            </w:r>
          </w:p>
          <w:p w14:paraId="1FC2B50B" w14:textId="03475BB2" w:rsidR="003A5DB8" w:rsidRPr="008A1F3C" w:rsidRDefault="003A5DB8" w:rsidP="003A5DB8">
            <w:pPr>
              <w:spacing w:after="120" w:line="276" w:lineRule="auto"/>
              <w:ind w:left="-5" w:right="-7"/>
              <w:jc w:val="both"/>
              <w:rPr>
                <w:rFonts w:ascii="Times New Roman" w:hAnsi="Times New Roman" w:cs="Times New Roman"/>
              </w:rPr>
            </w:pPr>
            <w:r w:rsidRPr="5915656F">
              <w:rPr>
                <w:rFonts w:ascii="Times New Roman" w:hAnsi="Times New Roman" w:cs="Times New Roman"/>
              </w:rPr>
              <w:t xml:space="preserve">Istotą listu ochronnego jest przedstawienie przez potencjalnego obowiązanego okoliczności dotyczących spodziewanego wniosku o zabezpieczenie roszczeń, aby umożliwić sądowi uwzględnienie stanowiska drugiej strony sporu, także wówczas, gdy wysłuchanie obowiązanego nie jest możliwe. Złożenie listu ochronnego zmniejsza ryzyko wydania nieuzasadnionego i powodującego szkody </w:t>
            </w:r>
            <w:r w:rsidRPr="5915656F">
              <w:rPr>
                <w:rFonts w:ascii="Times New Roman" w:hAnsi="Times New Roman" w:cs="Times New Roman"/>
              </w:rPr>
              <w:lastRenderedPageBreak/>
              <w:t xml:space="preserve">zabezpieczenia, a jednocześnie gwarantuje utrzymanie zasady szybkości w postępowaniu zabezpieczającym.  </w:t>
            </w:r>
          </w:p>
          <w:p w14:paraId="0BA8293C" w14:textId="54BF97BC" w:rsidR="003A5DB8" w:rsidRPr="008A1F3C" w:rsidRDefault="003A5DB8" w:rsidP="003A5DB8">
            <w:pPr>
              <w:spacing w:after="120" w:line="276" w:lineRule="auto"/>
              <w:ind w:left="-5" w:right="-7"/>
              <w:jc w:val="both"/>
              <w:rPr>
                <w:rFonts w:ascii="Times New Roman" w:hAnsi="Times New Roman" w:cs="Times New Roman"/>
              </w:rPr>
            </w:pPr>
            <w:r w:rsidRPr="008A1F3C">
              <w:rPr>
                <w:rFonts w:ascii="Times New Roman" w:hAnsi="Times New Roman" w:cs="Times New Roman"/>
              </w:rPr>
              <w:t xml:space="preserve">W ślad za </w:t>
            </w:r>
            <w:r>
              <w:rPr>
                <w:rFonts w:ascii="Times New Roman" w:hAnsi="Times New Roman" w:cs="Times New Roman"/>
              </w:rPr>
              <w:t xml:space="preserve">częścią </w:t>
            </w:r>
            <w:r w:rsidRPr="008A1F3C">
              <w:rPr>
                <w:rFonts w:ascii="Times New Roman" w:hAnsi="Times New Roman" w:cs="Times New Roman"/>
              </w:rPr>
              <w:t>rozwiąza</w:t>
            </w:r>
            <w:r>
              <w:rPr>
                <w:rFonts w:ascii="Times New Roman" w:hAnsi="Times New Roman" w:cs="Times New Roman"/>
              </w:rPr>
              <w:t>ń</w:t>
            </w:r>
            <w:r w:rsidRPr="008A1F3C">
              <w:rPr>
                <w:rFonts w:ascii="Times New Roman" w:hAnsi="Times New Roman" w:cs="Times New Roman"/>
              </w:rPr>
              <w:t xml:space="preserve"> europejski</w:t>
            </w:r>
            <w:r>
              <w:rPr>
                <w:rFonts w:ascii="Times New Roman" w:hAnsi="Times New Roman" w:cs="Times New Roman"/>
              </w:rPr>
              <w:t>ch</w:t>
            </w:r>
            <w:r w:rsidRPr="008A1F3C">
              <w:rPr>
                <w:rFonts w:ascii="Times New Roman" w:hAnsi="Times New Roman" w:cs="Times New Roman"/>
              </w:rPr>
              <w:t xml:space="preserve"> postuluje się wprowadzenie ograniczonego czasu obowiązywania listu ochronnego (6 miesięcy, z możliwością jednokrotnego przedłużenia o kolejne 6 miesięcy).   </w:t>
            </w:r>
          </w:p>
          <w:p w14:paraId="4D42AC27" w14:textId="77777777" w:rsidR="003A5DB8" w:rsidRPr="008A1F3C" w:rsidRDefault="003A5DB8" w:rsidP="003A5DB8">
            <w:pPr>
              <w:spacing w:after="120" w:line="276" w:lineRule="auto"/>
              <w:ind w:left="-5" w:right="-7"/>
              <w:jc w:val="both"/>
              <w:rPr>
                <w:rFonts w:ascii="Times New Roman" w:hAnsi="Times New Roman" w:cs="Times New Roman"/>
              </w:rPr>
            </w:pPr>
            <w:r w:rsidRPr="008A1F3C">
              <w:rPr>
                <w:rFonts w:ascii="Times New Roman" w:hAnsi="Times New Roman" w:cs="Times New Roman"/>
              </w:rPr>
              <w:t xml:space="preserve">Wprowadzenie nowelizacji nie wpłynie na pogorszenie pozycji prawnej powodów (uprawnionych). Złożenie listu ochronnego nie będzie w żaden sposób opóźniać rozpoznania wniosku o zabezpieczenie. Jednocześnie projekt przewiduje udostępnienie uprawnionemu odpisu listu ochronnego przed rozpoznaniem wniosku, tak aby zachować zasadę równości stron i kontradyktoryjności postępowania.  </w:t>
            </w:r>
          </w:p>
          <w:p w14:paraId="2D58A9EF" w14:textId="7E3C7B56" w:rsidR="003A5DB8" w:rsidRPr="008A1F3C" w:rsidRDefault="003A5DB8" w:rsidP="003A5DB8">
            <w:pPr>
              <w:spacing w:after="120" w:line="276" w:lineRule="auto"/>
              <w:ind w:left="-5" w:right="-7"/>
              <w:jc w:val="both"/>
              <w:rPr>
                <w:rFonts w:ascii="Times New Roman" w:hAnsi="Times New Roman" w:cs="Times New Roman"/>
              </w:rPr>
            </w:pPr>
            <w:r w:rsidRPr="008A1F3C">
              <w:rPr>
                <w:rFonts w:ascii="Times New Roman" w:hAnsi="Times New Roman" w:cs="Times New Roman"/>
              </w:rPr>
              <w:t xml:space="preserve">Dodatkowe obowiązki przewodniczącego wydziału i sędziego referenta, związane z uwzględnieniem faktu złożenia listu ochronnego i prowadzenia wykazu listów ochronnych, zostaną zrekompensowane przez opłatę, z którą będzie wiązać się złożenie (1000 zł) i przedłużenie obowiązywania (500 zł) listu ochronnego.  </w:t>
            </w:r>
          </w:p>
        </w:tc>
        <w:tc>
          <w:tcPr>
            <w:tcW w:w="4076" w:type="dxa"/>
          </w:tcPr>
          <w:p w14:paraId="3D7C06AC" w14:textId="77777777" w:rsidR="003A5DB8" w:rsidRPr="008A1F3C" w:rsidRDefault="003A5DB8" w:rsidP="003A5DB8">
            <w:pPr>
              <w:spacing w:before="240" w:after="120" w:line="276" w:lineRule="auto"/>
              <w:jc w:val="center"/>
              <w:rPr>
                <w:rFonts w:ascii="Times New Roman" w:hAnsi="Times New Roman" w:cs="Times New Roman"/>
                <w:b/>
              </w:rPr>
            </w:pPr>
          </w:p>
        </w:tc>
      </w:tr>
      <w:tr w:rsidR="003A5DB8" w:rsidRPr="008A1F3C" w14:paraId="0773582D" w14:textId="77777777" w:rsidTr="5915656F">
        <w:trPr>
          <w:jc w:val="center"/>
        </w:trPr>
        <w:tc>
          <w:tcPr>
            <w:tcW w:w="562" w:type="dxa"/>
          </w:tcPr>
          <w:p w14:paraId="48A823F1" w14:textId="401DBD9E" w:rsidR="003A5DB8" w:rsidRPr="008A1F3C" w:rsidRDefault="003A5DB8" w:rsidP="003A5DB8">
            <w:pPr>
              <w:spacing w:before="120" w:line="276" w:lineRule="auto"/>
              <w:ind w:right="-534"/>
              <w:jc w:val="both"/>
              <w:rPr>
                <w:rFonts w:ascii="Times New Roman" w:hAnsi="Times New Roman" w:cs="Times New Roman"/>
                <w:bCs/>
              </w:rPr>
            </w:pPr>
          </w:p>
        </w:tc>
        <w:tc>
          <w:tcPr>
            <w:tcW w:w="1843" w:type="dxa"/>
            <w:vAlign w:val="center"/>
          </w:tcPr>
          <w:p w14:paraId="7577A77E" w14:textId="3033E4D6" w:rsidR="003A5DB8" w:rsidRPr="008A1F3C" w:rsidRDefault="003A5DB8" w:rsidP="003A5DB8">
            <w:pPr>
              <w:spacing w:before="120" w:after="120" w:line="276" w:lineRule="auto"/>
              <w:jc w:val="both"/>
              <w:rPr>
                <w:rFonts w:ascii="Times New Roman" w:hAnsi="Times New Roman" w:cs="Times New Roman"/>
                <w:bCs/>
              </w:rPr>
            </w:pPr>
            <w:r w:rsidRPr="00B508A5">
              <w:rPr>
                <w:rFonts w:ascii="Times New Roman" w:hAnsi="Times New Roman" w:cs="Times New Roman"/>
                <w:bCs/>
              </w:rPr>
              <w:t>Konfederacja Lewiatan</w:t>
            </w:r>
          </w:p>
        </w:tc>
        <w:tc>
          <w:tcPr>
            <w:tcW w:w="1843" w:type="dxa"/>
            <w:vAlign w:val="center"/>
          </w:tcPr>
          <w:p w14:paraId="0A618FE7" w14:textId="088A166F" w:rsidR="003A5DB8" w:rsidRPr="008A1F3C" w:rsidRDefault="003A5DB8" w:rsidP="003A5DB8">
            <w:pPr>
              <w:spacing w:before="120" w:after="120" w:line="276" w:lineRule="auto"/>
              <w:jc w:val="both"/>
              <w:rPr>
                <w:rFonts w:ascii="Times New Roman" w:hAnsi="Times New Roman" w:cs="Times New Roman"/>
                <w:bCs/>
              </w:rPr>
            </w:pPr>
            <w:r w:rsidRPr="008A1F3C">
              <w:rPr>
                <w:rFonts w:ascii="Times New Roman" w:hAnsi="Times New Roman" w:cs="Times New Roman"/>
                <w:bCs/>
              </w:rPr>
              <w:t xml:space="preserve">Dodanie art. 22d </w:t>
            </w:r>
          </w:p>
        </w:tc>
        <w:tc>
          <w:tcPr>
            <w:tcW w:w="5670" w:type="dxa"/>
            <w:vAlign w:val="center"/>
          </w:tcPr>
          <w:p w14:paraId="71D7757C" w14:textId="373993B7" w:rsidR="003A5DB8" w:rsidRPr="008A1F3C" w:rsidRDefault="003A5DB8" w:rsidP="003A5DB8">
            <w:pPr>
              <w:spacing w:after="120" w:line="276" w:lineRule="auto"/>
              <w:ind w:left="-5"/>
              <w:jc w:val="both"/>
              <w:rPr>
                <w:rFonts w:ascii="Times New Roman" w:hAnsi="Times New Roman" w:cs="Times New Roman"/>
                <w:b/>
              </w:rPr>
            </w:pPr>
            <w:r w:rsidRPr="008A1F3C">
              <w:rPr>
                <w:rFonts w:ascii="Times New Roman" w:hAnsi="Times New Roman" w:cs="Times New Roman"/>
                <w:b/>
              </w:rPr>
              <w:t xml:space="preserve">Art. 22d. W ustawie z dnia 27 sierpnia 2004 r. o świadczeniach opieki zdrowotnej finansowanych ze środków publicznych: </w:t>
            </w:r>
          </w:p>
          <w:p w14:paraId="71C304DD" w14:textId="77777777" w:rsidR="003A5DB8" w:rsidRPr="008A1F3C" w:rsidRDefault="003A5DB8" w:rsidP="003A5DB8">
            <w:pPr>
              <w:spacing w:after="120" w:line="276" w:lineRule="auto"/>
              <w:ind w:left="355"/>
              <w:rPr>
                <w:rFonts w:ascii="Times New Roman" w:hAnsi="Times New Roman" w:cs="Times New Roman"/>
              </w:rPr>
            </w:pPr>
            <w:r w:rsidRPr="008A1F3C">
              <w:rPr>
                <w:rFonts w:ascii="Times New Roman" w:eastAsia="Segoe UI Symbol" w:hAnsi="Times New Roman" w:cs="Times New Roman"/>
              </w:rPr>
              <w:t>−</w:t>
            </w:r>
            <w:r w:rsidRPr="008A1F3C">
              <w:rPr>
                <w:rFonts w:ascii="Times New Roman" w:eastAsia="Arial" w:hAnsi="Times New Roman" w:cs="Times New Roman"/>
              </w:rPr>
              <w:t xml:space="preserve"> </w:t>
            </w:r>
            <w:r w:rsidRPr="008A1F3C">
              <w:rPr>
                <w:rFonts w:ascii="Times New Roman" w:hAnsi="Times New Roman" w:cs="Times New Roman"/>
                <w:b/>
              </w:rPr>
              <w:t xml:space="preserve">w art. 102 ust 5 dodaje się pkt 45 i 46 w brzmieniu: </w:t>
            </w:r>
          </w:p>
          <w:p w14:paraId="619E8500" w14:textId="77777777" w:rsidR="003A5DB8" w:rsidRPr="008A1F3C" w:rsidRDefault="003A5DB8" w:rsidP="003A5DB8">
            <w:pPr>
              <w:spacing w:after="120" w:line="276" w:lineRule="auto"/>
              <w:ind w:left="-5"/>
              <w:rPr>
                <w:rFonts w:ascii="Times New Roman" w:hAnsi="Times New Roman" w:cs="Times New Roman"/>
              </w:rPr>
            </w:pPr>
            <w:r w:rsidRPr="008A1F3C">
              <w:rPr>
                <w:rFonts w:ascii="Times New Roman" w:hAnsi="Times New Roman" w:cs="Times New Roman"/>
              </w:rPr>
              <w:t>„</w:t>
            </w:r>
            <w:r w:rsidRPr="008A1F3C">
              <w:rPr>
                <w:rFonts w:ascii="Times New Roman" w:hAnsi="Times New Roman" w:cs="Times New Roman"/>
                <w:i/>
              </w:rPr>
              <w:t xml:space="preserve">45) monitorowanie przypadków wykonania zabezpieczeń roszczeń odnoszących się do obrotu lekami, środkami spożywczymi specjalnego przeznaczenia żywieniowego lub </w:t>
            </w:r>
            <w:r w:rsidRPr="008A1F3C">
              <w:rPr>
                <w:rFonts w:ascii="Times New Roman" w:hAnsi="Times New Roman" w:cs="Times New Roman"/>
                <w:i/>
              </w:rPr>
              <w:lastRenderedPageBreak/>
              <w:t xml:space="preserve">wyrobami medycznymi, w celu oceny zasadności dochodzenia naprawienia szkody wyrządzonej Funduszowi wykonaniem zabezpieczenia, o którym mowa w art. 110a ust. 1. </w:t>
            </w:r>
          </w:p>
          <w:p w14:paraId="19612E70" w14:textId="77777777" w:rsidR="003A5DB8" w:rsidRPr="008A1F3C" w:rsidRDefault="003A5DB8" w:rsidP="003A5DB8">
            <w:pPr>
              <w:spacing w:after="120" w:line="276" w:lineRule="auto"/>
              <w:ind w:left="-5"/>
              <w:rPr>
                <w:rFonts w:ascii="Times New Roman" w:hAnsi="Times New Roman" w:cs="Times New Roman"/>
              </w:rPr>
            </w:pPr>
            <w:r w:rsidRPr="008A1F3C">
              <w:rPr>
                <w:rFonts w:ascii="Times New Roman" w:hAnsi="Times New Roman" w:cs="Times New Roman"/>
                <w:i/>
              </w:rPr>
              <w:t>46) dochodzenie roszczeń, o których mowa w art. 110a ust. 1.</w:t>
            </w:r>
            <w:r w:rsidRPr="008A1F3C">
              <w:rPr>
                <w:rFonts w:ascii="Times New Roman" w:hAnsi="Times New Roman" w:cs="Times New Roman"/>
              </w:rPr>
              <w:t xml:space="preserve">” </w:t>
            </w:r>
          </w:p>
          <w:p w14:paraId="403F4592" w14:textId="77777777" w:rsidR="003A5DB8" w:rsidRPr="008A1F3C" w:rsidRDefault="003A5DB8" w:rsidP="003A5DB8">
            <w:pPr>
              <w:spacing w:after="120" w:line="276" w:lineRule="auto"/>
              <w:ind w:left="355"/>
              <w:rPr>
                <w:rFonts w:ascii="Times New Roman" w:hAnsi="Times New Roman" w:cs="Times New Roman"/>
              </w:rPr>
            </w:pPr>
            <w:r w:rsidRPr="008A1F3C">
              <w:rPr>
                <w:rFonts w:ascii="Times New Roman" w:eastAsia="Segoe UI Symbol" w:hAnsi="Times New Roman" w:cs="Times New Roman"/>
              </w:rPr>
              <w:t>−</w:t>
            </w:r>
            <w:r w:rsidRPr="008A1F3C">
              <w:rPr>
                <w:rFonts w:ascii="Times New Roman" w:eastAsia="Arial" w:hAnsi="Times New Roman" w:cs="Times New Roman"/>
              </w:rPr>
              <w:t xml:space="preserve"> </w:t>
            </w:r>
            <w:r w:rsidRPr="008A1F3C">
              <w:rPr>
                <w:rFonts w:ascii="Times New Roman" w:hAnsi="Times New Roman" w:cs="Times New Roman"/>
                <w:b/>
              </w:rPr>
              <w:t xml:space="preserve">po art. 110 dodaje się art. 110a w brzmieniu:  </w:t>
            </w:r>
          </w:p>
          <w:p w14:paraId="565CC56F" w14:textId="77777777" w:rsidR="003A5DB8" w:rsidRPr="008A1F3C" w:rsidRDefault="003A5DB8" w:rsidP="003A5DB8">
            <w:pPr>
              <w:spacing w:after="120" w:line="276" w:lineRule="auto"/>
              <w:ind w:left="-5"/>
              <w:rPr>
                <w:rFonts w:ascii="Times New Roman" w:hAnsi="Times New Roman" w:cs="Times New Roman"/>
              </w:rPr>
            </w:pPr>
            <w:r w:rsidRPr="008A1F3C">
              <w:rPr>
                <w:rFonts w:ascii="Times New Roman" w:hAnsi="Times New Roman" w:cs="Times New Roman"/>
              </w:rPr>
              <w:t>„</w:t>
            </w:r>
            <w:r w:rsidRPr="008A1F3C">
              <w:rPr>
                <w:rFonts w:ascii="Times New Roman" w:hAnsi="Times New Roman" w:cs="Times New Roman"/>
                <w:b/>
                <w:i/>
              </w:rPr>
              <w:t xml:space="preserve">Art. 110a.  </w:t>
            </w:r>
          </w:p>
          <w:p w14:paraId="400F1388" w14:textId="77777777" w:rsidR="003A5DB8" w:rsidRPr="008A1F3C" w:rsidRDefault="003A5DB8" w:rsidP="003A5DB8">
            <w:pPr>
              <w:numPr>
                <w:ilvl w:val="0"/>
                <w:numId w:val="25"/>
              </w:numPr>
              <w:spacing w:after="120" w:line="276" w:lineRule="auto"/>
              <w:ind w:hanging="216"/>
              <w:jc w:val="both"/>
              <w:rPr>
                <w:rFonts w:ascii="Times New Roman" w:hAnsi="Times New Roman" w:cs="Times New Roman"/>
              </w:rPr>
            </w:pPr>
            <w:r w:rsidRPr="008A1F3C">
              <w:rPr>
                <w:rFonts w:ascii="Times New Roman" w:hAnsi="Times New Roman" w:cs="Times New Roman"/>
                <w:i/>
              </w:rPr>
              <w:t xml:space="preserve">W przypadku, o którym mowa w art. 746 § 1 ustawy z dnia 17 listopada 1964 r. – Kodeks postępowania cywilnego, Funduszowi przysługuje roszczenie przeciwko uprawnionemu o naprawienie szkody wyrządzonej Funduszowi wykonaniem zabezpieczenia odnoszącego się do obrotu lekami, środkami spożywczymi specjalnego przeznaczenia żywieniowego lub wyrobami medycznymi, które spowodowało wzrost wydatków Funduszu na finansowanie świadczeń opieki zdrowotnej lub uniemożliwiło obniżenie takich wydatków. </w:t>
            </w:r>
          </w:p>
          <w:p w14:paraId="1D6D2AF0" w14:textId="77777777" w:rsidR="003A5DB8" w:rsidRPr="008A1F3C" w:rsidRDefault="003A5DB8" w:rsidP="003A5DB8">
            <w:pPr>
              <w:numPr>
                <w:ilvl w:val="0"/>
                <w:numId w:val="25"/>
              </w:numPr>
              <w:spacing w:after="120" w:line="276" w:lineRule="auto"/>
              <w:ind w:hanging="216"/>
              <w:jc w:val="both"/>
              <w:rPr>
                <w:rFonts w:ascii="Times New Roman" w:hAnsi="Times New Roman" w:cs="Times New Roman"/>
              </w:rPr>
            </w:pPr>
            <w:r w:rsidRPr="008A1F3C">
              <w:rPr>
                <w:rFonts w:ascii="Times New Roman" w:hAnsi="Times New Roman" w:cs="Times New Roman"/>
                <w:i/>
              </w:rPr>
              <w:t xml:space="preserve">Przepis ust. 1 stosuje się odpowiednio do Skarbu Państwa oraz jednostek samorządu terytorialnego. </w:t>
            </w:r>
          </w:p>
          <w:p w14:paraId="00150D90" w14:textId="77777777" w:rsidR="003A5DB8" w:rsidRPr="008A1F3C" w:rsidRDefault="003A5DB8" w:rsidP="003A5DB8">
            <w:pPr>
              <w:numPr>
                <w:ilvl w:val="0"/>
                <w:numId w:val="25"/>
              </w:numPr>
              <w:spacing w:after="120" w:line="276" w:lineRule="auto"/>
              <w:ind w:hanging="216"/>
              <w:jc w:val="both"/>
              <w:rPr>
                <w:rFonts w:ascii="Times New Roman" w:hAnsi="Times New Roman" w:cs="Times New Roman"/>
              </w:rPr>
            </w:pPr>
            <w:r w:rsidRPr="008A1F3C">
              <w:rPr>
                <w:rFonts w:ascii="Times New Roman" w:hAnsi="Times New Roman" w:cs="Times New Roman"/>
                <w:i/>
              </w:rPr>
              <w:t xml:space="preserve">Do roszczeń, o których mowa w ust. 1 i 2, stosuje się odpowiednio art. 746 ustawy z dnia 17 listopada 1964 r. – Kodeks postępowania cywilnego. </w:t>
            </w:r>
          </w:p>
          <w:p w14:paraId="7D52DA89" w14:textId="77777777" w:rsidR="003A5DB8" w:rsidRDefault="003A5DB8" w:rsidP="003A5DB8">
            <w:pPr>
              <w:spacing w:after="120" w:line="276" w:lineRule="auto"/>
              <w:ind w:left="-5"/>
              <w:jc w:val="both"/>
              <w:rPr>
                <w:rFonts w:ascii="Times New Roman" w:hAnsi="Times New Roman" w:cs="Times New Roman"/>
              </w:rPr>
            </w:pPr>
            <w:r w:rsidRPr="008A1F3C">
              <w:rPr>
                <w:rFonts w:ascii="Times New Roman" w:hAnsi="Times New Roman" w:cs="Times New Roman"/>
                <w:i/>
              </w:rPr>
              <w:t>Przepisy ust.1-3 nie uchybiają uprawnieniom obowiązanego opisanym w art. w art. 746 § 1 ustawy z dnia 17 listopada 1964 r. – Kodeks postępowania cywilnego.</w:t>
            </w:r>
            <w:r w:rsidRPr="008A1F3C">
              <w:rPr>
                <w:rFonts w:ascii="Times New Roman" w:hAnsi="Times New Roman" w:cs="Times New Roman"/>
              </w:rPr>
              <w:t>”</w:t>
            </w:r>
          </w:p>
          <w:p w14:paraId="2A53099D" w14:textId="77777777" w:rsidR="003A5DB8" w:rsidRPr="00B86648" w:rsidRDefault="003A5DB8" w:rsidP="003A5DB8">
            <w:pPr>
              <w:spacing w:after="120" w:line="276" w:lineRule="auto"/>
              <w:jc w:val="both"/>
              <w:rPr>
                <w:rFonts w:ascii="Times New Roman" w:hAnsi="Times New Roman" w:cs="Times New Roman"/>
                <w:bCs/>
              </w:rPr>
            </w:pPr>
            <w:r w:rsidRPr="00B86648">
              <w:rPr>
                <w:rFonts w:ascii="Times New Roman" w:hAnsi="Times New Roman" w:cs="Times New Roman"/>
                <w:bCs/>
              </w:rPr>
              <w:lastRenderedPageBreak/>
              <w:t xml:space="preserve">Aby przeciwdziałać wykorzystywaniu instytucji zabezpieczenia roszczeń, przepisy Kodeksu postępowania cywilnego uprawniają pozwanego, który wygrał proces, do dochodzenia od powoda naprawienia szkody, jaką pozwany poniósł w wyniku wykonania zabezpieczenia, np. zysków, jakie utracił, nie mogąc sprzedawać produktu. </w:t>
            </w:r>
          </w:p>
          <w:p w14:paraId="4EA4A0EE" w14:textId="77777777" w:rsidR="003A5DB8" w:rsidRPr="00B86648" w:rsidRDefault="003A5DB8" w:rsidP="003A5DB8">
            <w:pPr>
              <w:spacing w:after="120" w:line="276" w:lineRule="auto"/>
              <w:jc w:val="both"/>
              <w:rPr>
                <w:rFonts w:ascii="Times New Roman" w:hAnsi="Times New Roman" w:cs="Times New Roman"/>
                <w:bCs/>
              </w:rPr>
            </w:pPr>
            <w:r w:rsidRPr="00B86648">
              <w:rPr>
                <w:rFonts w:ascii="Times New Roman" w:hAnsi="Times New Roman" w:cs="Times New Roman"/>
                <w:bCs/>
              </w:rPr>
              <w:t xml:space="preserve">Przepisy te (art. 746 KPC) ograniczają jednak odpowiedzialność do stron sporu. Tymczasem szkodliwe skutki nieuzasadnionych zabezpieczeń wykraczają poza relację powód-pozwany. Szkody ponoszą także pacjenci, pozbawieni dostępu do tańszej terapii, oraz płatnik publiczny, zmuszony do wydatkowania większych kwot na pokrycie kosztów droższych, bo pozbawionych konkurencji, terapii lekowych. W tym ostatnim przypadku szkody są równie dotkliwe i równie wymierne jak straty pozwanego. </w:t>
            </w:r>
          </w:p>
          <w:p w14:paraId="1CBE9C96" w14:textId="77777777" w:rsidR="003A5DB8" w:rsidRPr="00B86648" w:rsidRDefault="003A5DB8" w:rsidP="003A5DB8">
            <w:pPr>
              <w:spacing w:after="120" w:line="276" w:lineRule="auto"/>
              <w:jc w:val="both"/>
              <w:rPr>
                <w:rFonts w:ascii="Times New Roman" w:hAnsi="Times New Roman" w:cs="Times New Roman"/>
                <w:bCs/>
              </w:rPr>
            </w:pPr>
            <w:r w:rsidRPr="00B86648">
              <w:rPr>
                <w:rFonts w:ascii="Times New Roman" w:hAnsi="Times New Roman" w:cs="Times New Roman"/>
                <w:bCs/>
              </w:rPr>
              <w:t xml:space="preserve">Obowiązujące przepisy prawa nie dają NFZ, a także innym podmiotom finansującym świadczenia gwarantowane, wystarczającej podstawy dla dochodzenia naprawienia szkody wyrządzonej wskutek wykonania zabezpieczenia w sporze między dwoma przedsiębiorcami. Proponowana poprawka zmierza do stworzenia takiej podstawy, a także do wyposażenia Prezesa NFZ w kompetencje niezbędne dla efektywnego wykonywania nowych uprawnień. </w:t>
            </w:r>
          </w:p>
          <w:p w14:paraId="297D212D" w14:textId="77777777" w:rsidR="003A5DB8" w:rsidRDefault="003A5DB8" w:rsidP="003A5DB8">
            <w:pPr>
              <w:spacing w:after="120" w:line="276" w:lineRule="auto"/>
              <w:jc w:val="both"/>
              <w:rPr>
                <w:rFonts w:ascii="Times New Roman" w:hAnsi="Times New Roman" w:cs="Times New Roman"/>
                <w:bCs/>
              </w:rPr>
            </w:pPr>
            <w:r w:rsidRPr="00B86648">
              <w:rPr>
                <w:rFonts w:ascii="Times New Roman" w:hAnsi="Times New Roman" w:cs="Times New Roman"/>
                <w:bCs/>
              </w:rPr>
              <w:t xml:space="preserve">Argumentem na rzecz rozszerzenia odpowiedzialności odszkodowawczej za wykonanie nieuzasadnionego zabezpieczenia jest również konstrukcja tej odpowiedzialności na gruncie KPC. Skoro powód odpowiada wobec pozwanego za wykonanie nieuzasadnionego zabezpieczenia na zasadzie </w:t>
            </w:r>
            <w:r w:rsidRPr="00B86648">
              <w:rPr>
                <w:rFonts w:ascii="Times New Roman" w:hAnsi="Times New Roman" w:cs="Times New Roman"/>
                <w:bCs/>
              </w:rPr>
              <w:lastRenderedPageBreak/>
              <w:t>ryzyka, na tej samej zasadzie należy oprzeć odpowiedzialność wobec płatnika publicznego.</w:t>
            </w:r>
          </w:p>
          <w:p w14:paraId="696A51A1" w14:textId="77777777" w:rsidR="003A5DB8" w:rsidRDefault="003A5DB8" w:rsidP="003A5DB8">
            <w:pPr>
              <w:spacing w:after="120" w:line="276" w:lineRule="auto"/>
              <w:jc w:val="both"/>
              <w:rPr>
                <w:rFonts w:ascii="Times New Roman" w:hAnsi="Times New Roman" w:cs="Times New Roman"/>
                <w:bCs/>
              </w:rPr>
            </w:pPr>
          </w:p>
          <w:p w14:paraId="5BDA3F99" w14:textId="5789DCF7" w:rsidR="003A5DB8" w:rsidRPr="008A1F3C" w:rsidRDefault="003A5DB8" w:rsidP="003A5DB8">
            <w:pPr>
              <w:spacing w:after="120" w:line="276" w:lineRule="auto"/>
              <w:jc w:val="both"/>
              <w:rPr>
                <w:rFonts w:ascii="Times New Roman" w:hAnsi="Times New Roman" w:cs="Times New Roman"/>
                <w:b/>
              </w:rPr>
            </w:pPr>
          </w:p>
        </w:tc>
        <w:tc>
          <w:tcPr>
            <w:tcW w:w="4076" w:type="dxa"/>
          </w:tcPr>
          <w:p w14:paraId="5EC6B0A3" w14:textId="77777777" w:rsidR="003A5DB8" w:rsidRPr="008A1F3C" w:rsidRDefault="003A5DB8" w:rsidP="003A5DB8">
            <w:pPr>
              <w:spacing w:before="240" w:after="120" w:line="276" w:lineRule="auto"/>
              <w:jc w:val="center"/>
              <w:rPr>
                <w:rFonts w:ascii="Times New Roman" w:hAnsi="Times New Roman" w:cs="Times New Roman"/>
                <w:b/>
              </w:rPr>
            </w:pPr>
          </w:p>
        </w:tc>
      </w:tr>
      <w:tr w:rsidR="003A5DB8" w:rsidRPr="008A1F3C" w14:paraId="446D13A3" w14:textId="77777777" w:rsidTr="5915656F">
        <w:trPr>
          <w:jc w:val="center"/>
        </w:trPr>
        <w:tc>
          <w:tcPr>
            <w:tcW w:w="562" w:type="dxa"/>
          </w:tcPr>
          <w:p w14:paraId="39733FB0" w14:textId="77777777" w:rsidR="003A5DB8" w:rsidRDefault="003A5DB8" w:rsidP="003A5DB8">
            <w:pPr>
              <w:spacing w:before="120" w:line="276" w:lineRule="auto"/>
              <w:ind w:right="-534"/>
              <w:jc w:val="both"/>
              <w:rPr>
                <w:rFonts w:ascii="Times New Roman" w:hAnsi="Times New Roman" w:cs="Times New Roman"/>
                <w:bCs/>
              </w:rPr>
            </w:pPr>
          </w:p>
        </w:tc>
        <w:tc>
          <w:tcPr>
            <w:tcW w:w="1843" w:type="dxa"/>
            <w:vAlign w:val="center"/>
          </w:tcPr>
          <w:p w14:paraId="155F1942" w14:textId="45A0A7C7" w:rsidR="003A5DB8" w:rsidRPr="008A1F3C" w:rsidRDefault="003A5DB8" w:rsidP="003A5DB8">
            <w:pPr>
              <w:spacing w:before="120" w:after="120" w:line="276" w:lineRule="auto"/>
              <w:jc w:val="both"/>
              <w:rPr>
                <w:rFonts w:ascii="Times New Roman" w:hAnsi="Times New Roman" w:cs="Times New Roman"/>
                <w:bCs/>
              </w:rPr>
            </w:pPr>
            <w:r w:rsidRPr="00B508A5">
              <w:rPr>
                <w:rFonts w:ascii="Times New Roman" w:hAnsi="Times New Roman" w:cs="Times New Roman"/>
                <w:bCs/>
              </w:rPr>
              <w:t>Konfederacja Lewiatan</w:t>
            </w:r>
          </w:p>
        </w:tc>
        <w:tc>
          <w:tcPr>
            <w:tcW w:w="1843" w:type="dxa"/>
            <w:vAlign w:val="center"/>
          </w:tcPr>
          <w:p w14:paraId="7C58B60A" w14:textId="713C9AFB" w:rsidR="003A5DB8" w:rsidRPr="008A1F3C" w:rsidRDefault="003A5DB8" w:rsidP="003A5DB8">
            <w:pPr>
              <w:spacing w:before="120" w:after="120" w:line="276" w:lineRule="auto"/>
              <w:jc w:val="both"/>
              <w:rPr>
                <w:rFonts w:ascii="Times New Roman" w:hAnsi="Times New Roman" w:cs="Times New Roman"/>
                <w:bCs/>
              </w:rPr>
            </w:pPr>
            <w:r>
              <w:rPr>
                <w:rFonts w:ascii="Times New Roman" w:hAnsi="Times New Roman" w:cs="Times New Roman"/>
                <w:bCs/>
              </w:rPr>
              <w:t>Dodanie art. 22e</w:t>
            </w:r>
          </w:p>
        </w:tc>
        <w:tc>
          <w:tcPr>
            <w:tcW w:w="5670" w:type="dxa"/>
            <w:vAlign w:val="center"/>
          </w:tcPr>
          <w:p w14:paraId="122E5E95" w14:textId="509E4BF9" w:rsidR="003A5DB8" w:rsidRPr="00226774" w:rsidRDefault="003A5DB8" w:rsidP="003A5DB8">
            <w:pPr>
              <w:spacing w:after="120" w:line="276" w:lineRule="auto"/>
              <w:ind w:left="-5"/>
              <w:jc w:val="both"/>
              <w:rPr>
                <w:rFonts w:ascii="Times New Roman" w:hAnsi="Times New Roman" w:cs="Times New Roman"/>
                <w:b/>
              </w:rPr>
            </w:pPr>
            <w:r w:rsidRPr="00226774">
              <w:rPr>
                <w:rFonts w:ascii="Times New Roman" w:hAnsi="Times New Roman" w:cs="Times New Roman"/>
                <w:b/>
                <w:bCs/>
              </w:rPr>
              <w:t xml:space="preserve">Art. </w:t>
            </w:r>
            <w:r>
              <w:rPr>
                <w:rFonts w:ascii="Times New Roman" w:hAnsi="Times New Roman" w:cs="Times New Roman"/>
                <w:b/>
                <w:bCs/>
              </w:rPr>
              <w:t>22e</w:t>
            </w:r>
            <w:r w:rsidRPr="00226774">
              <w:rPr>
                <w:rFonts w:ascii="Times New Roman" w:hAnsi="Times New Roman" w:cs="Times New Roman"/>
                <w:b/>
                <w:bCs/>
              </w:rPr>
              <w:t>.</w:t>
            </w:r>
            <w:r w:rsidRPr="00226774">
              <w:rPr>
                <w:rFonts w:ascii="Times New Roman" w:hAnsi="Times New Roman" w:cs="Times New Roman"/>
                <w:b/>
              </w:rPr>
              <w:t xml:space="preserve"> W ustawie z dnia 28 lipca 2005 r. o kosztach sądowych w sprawach cywilnych (</w:t>
            </w:r>
            <w:proofErr w:type="spellStart"/>
            <w:r w:rsidRPr="00226774">
              <w:rPr>
                <w:rFonts w:ascii="Times New Roman" w:hAnsi="Times New Roman" w:cs="Times New Roman"/>
                <w:b/>
              </w:rPr>
              <w:t>t.j</w:t>
            </w:r>
            <w:proofErr w:type="spellEnd"/>
            <w:r w:rsidRPr="00226774">
              <w:rPr>
                <w:rFonts w:ascii="Times New Roman" w:hAnsi="Times New Roman" w:cs="Times New Roman"/>
                <w:b/>
              </w:rPr>
              <w:t xml:space="preserve">. Dz. U. z 2025 r. poz. 1228 z </w:t>
            </w:r>
            <w:proofErr w:type="spellStart"/>
            <w:r w:rsidRPr="00226774">
              <w:rPr>
                <w:rFonts w:ascii="Times New Roman" w:hAnsi="Times New Roman" w:cs="Times New Roman"/>
                <w:b/>
              </w:rPr>
              <w:t>późn</w:t>
            </w:r>
            <w:proofErr w:type="spellEnd"/>
            <w:r w:rsidRPr="00226774">
              <w:rPr>
                <w:rFonts w:ascii="Times New Roman" w:hAnsi="Times New Roman" w:cs="Times New Roman"/>
                <w:b/>
              </w:rPr>
              <w:t>. zm.):  </w:t>
            </w:r>
          </w:p>
          <w:p w14:paraId="17EF2B49" w14:textId="77777777" w:rsidR="003A5DB8" w:rsidRPr="00226774" w:rsidRDefault="003A5DB8" w:rsidP="003A5DB8">
            <w:pPr>
              <w:spacing w:after="120" w:line="276" w:lineRule="auto"/>
              <w:ind w:left="-5"/>
              <w:jc w:val="both"/>
              <w:rPr>
                <w:rFonts w:ascii="Times New Roman" w:hAnsi="Times New Roman" w:cs="Times New Roman"/>
                <w:b/>
              </w:rPr>
            </w:pPr>
            <w:r w:rsidRPr="00226774">
              <w:rPr>
                <w:rFonts w:ascii="Times New Roman" w:hAnsi="Times New Roman" w:cs="Times New Roman"/>
                <w:b/>
              </w:rPr>
              <w:t>w art. 69 dodaje się ustęp 1a w brzmieniu:  </w:t>
            </w:r>
          </w:p>
          <w:p w14:paraId="4D5C48FD" w14:textId="77777777" w:rsidR="003A5DB8" w:rsidRDefault="003A5DB8" w:rsidP="003A5DB8">
            <w:pPr>
              <w:spacing w:after="120" w:line="276" w:lineRule="auto"/>
              <w:ind w:left="-5"/>
              <w:jc w:val="both"/>
              <w:rPr>
                <w:rFonts w:ascii="Times New Roman" w:hAnsi="Times New Roman" w:cs="Times New Roman"/>
                <w:b/>
              </w:rPr>
            </w:pPr>
            <w:r w:rsidRPr="00226774">
              <w:rPr>
                <w:rFonts w:ascii="Times New Roman" w:hAnsi="Times New Roman" w:cs="Times New Roman"/>
                <w:b/>
                <w:i/>
                <w:iCs/>
              </w:rPr>
              <w:t>„1a. Od wniosku o udzielenie zabezpieczenia roszczenia w sprawach wymienionych w art. 479</w:t>
            </w:r>
            <w:r w:rsidRPr="00226774">
              <w:rPr>
                <w:rFonts w:ascii="Times New Roman" w:hAnsi="Times New Roman" w:cs="Times New Roman"/>
                <w:b/>
                <w:i/>
                <w:iCs/>
                <w:vertAlign w:val="superscript"/>
              </w:rPr>
              <w:t>89</w:t>
            </w:r>
            <w:r w:rsidRPr="00226774">
              <w:rPr>
                <w:rFonts w:ascii="Times New Roman" w:hAnsi="Times New Roman" w:cs="Times New Roman"/>
                <w:b/>
                <w:i/>
                <w:iCs/>
              </w:rPr>
              <w:t xml:space="preserve"> pobiera się czwartą część opłaty stosunkowej określonej w art. 13.”</w:t>
            </w:r>
            <w:r w:rsidRPr="00226774">
              <w:rPr>
                <w:rFonts w:ascii="Times New Roman" w:hAnsi="Times New Roman" w:cs="Times New Roman"/>
                <w:b/>
              </w:rPr>
              <w:t> </w:t>
            </w:r>
          </w:p>
          <w:p w14:paraId="0CB9BFD8" w14:textId="77777777" w:rsidR="003A5DB8" w:rsidRPr="002010B4" w:rsidRDefault="003A5DB8" w:rsidP="003A5DB8">
            <w:pPr>
              <w:spacing w:after="120" w:line="276" w:lineRule="auto"/>
              <w:ind w:left="-5"/>
              <w:jc w:val="both"/>
              <w:rPr>
                <w:rFonts w:ascii="Times New Roman" w:hAnsi="Times New Roman" w:cs="Times New Roman"/>
                <w:bCs/>
              </w:rPr>
            </w:pPr>
          </w:p>
          <w:p w14:paraId="724C9F42" w14:textId="552CF4D7" w:rsidR="003A5DB8" w:rsidRPr="002010B4" w:rsidRDefault="003A5DB8" w:rsidP="003A5DB8">
            <w:pPr>
              <w:spacing w:after="120" w:line="276" w:lineRule="auto"/>
              <w:ind w:left="-5"/>
              <w:jc w:val="both"/>
              <w:rPr>
                <w:rFonts w:ascii="Times New Roman" w:hAnsi="Times New Roman" w:cs="Times New Roman"/>
                <w:bCs/>
              </w:rPr>
            </w:pPr>
            <w:r w:rsidRPr="002010B4">
              <w:rPr>
                <w:rFonts w:ascii="Times New Roman" w:hAnsi="Times New Roman" w:cs="Times New Roman"/>
                <w:bCs/>
              </w:rPr>
              <w:t>Postulujemy zastąpienie opłaty stałej w wysokości 100 zł, opłatą stosunkową, której wysokość stanowi każdorazowo ułamkową część opłaty od pozwu – wnoszonej od wniosku o udzielenie zabezpieczenia roszczenia w postępowaniach w sprawach wymienionych w art. 479</w:t>
            </w:r>
            <w:r w:rsidRPr="005B1B05">
              <w:rPr>
                <w:rFonts w:ascii="Times New Roman" w:hAnsi="Times New Roman" w:cs="Times New Roman"/>
                <w:bCs/>
                <w:vertAlign w:val="superscript"/>
              </w:rPr>
              <w:t>89</w:t>
            </w:r>
            <w:r w:rsidRPr="002010B4">
              <w:rPr>
                <w:rFonts w:ascii="Times New Roman" w:hAnsi="Times New Roman" w:cs="Times New Roman"/>
                <w:bCs/>
              </w:rPr>
              <w:t xml:space="preserve">, czyli w sprawach o ochronę praw autorskich i pokrewnych, o ochronę praw własności przemysłowej oraz o ochronę innych praw na dobrach niematerialnych (sprawy własności intelektualnej). Proponowane rozwiązanie ma przyczynić się do racjonalizacji wysokości opłaty sądowej od wniosku o zabezpieczenie w sprawach własności intelektualnej, a zatem sporach toczących się na ogół między przedsiębiorcami (w praktyce przedsiębiorcami farmaceutycznymi lub technologicznymi), których wartość przedmiotu sporu jest wysoka lub bardzo </w:t>
            </w:r>
            <w:r w:rsidRPr="002010B4">
              <w:rPr>
                <w:rFonts w:ascii="Times New Roman" w:hAnsi="Times New Roman" w:cs="Times New Roman"/>
                <w:bCs/>
              </w:rPr>
              <w:lastRenderedPageBreak/>
              <w:t>wysoka, a obowiązująca obecnie opłata stała w wysokości zaledwie 100 zł jest całkowicie nieadekwatna, niewspółmierna zarówno do wysokości dochodzonych roszczeń, potencjalnych skutków społeczno-gospodarczych rozstrzygnięcia, a także kosztów generowanych po stronie władzy sądowniczej na skutek wniosku. Ponadto proponowane podniesienie opłaty przyczyni się do ograniczania nadużyć prawa procesowego w celu nieuzasadnionego i bezpodstawnego wydłużenia okresu ochrony patentowej.</w:t>
            </w:r>
          </w:p>
        </w:tc>
        <w:tc>
          <w:tcPr>
            <w:tcW w:w="4076" w:type="dxa"/>
          </w:tcPr>
          <w:p w14:paraId="00868A1C" w14:textId="77777777" w:rsidR="003A5DB8" w:rsidRPr="008A1F3C" w:rsidRDefault="003A5DB8" w:rsidP="003A5DB8">
            <w:pPr>
              <w:spacing w:before="240" w:after="120" w:line="276" w:lineRule="auto"/>
              <w:jc w:val="center"/>
              <w:rPr>
                <w:rFonts w:ascii="Times New Roman" w:hAnsi="Times New Roman" w:cs="Times New Roman"/>
                <w:b/>
              </w:rPr>
            </w:pPr>
          </w:p>
        </w:tc>
      </w:tr>
      <w:tr w:rsidR="003A5DB8" w:rsidRPr="008A1F3C" w14:paraId="48164E95" w14:textId="77777777" w:rsidTr="5915656F">
        <w:trPr>
          <w:jc w:val="center"/>
        </w:trPr>
        <w:tc>
          <w:tcPr>
            <w:tcW w:w="562" w:type="dxa"/>
          </w:tcPr>
          <w:p w14:paraId="2DB21584" w14:textId="77777777" w:rsidR="003A5DB8" w:rsidRDefault="003A5DB8" w:rsidP="003A5DB8">
            <w:pPr>
              <w:spacing w:before="120"/>
              <w:ind w:right="-534"/>
              <w:jc w:val="both"/>
              <w:rPr>
                <w:rFonts w:ascii="Times New Roman" w:hAnsi="Times New Roman" w:cs="Times New Roman"/>
                <w:bCs/>
              </w:rPr>
            </w:pPr>
          </w:p>
        </w:tc>
        <w:tc>
          <w:tcPr>
            <w:tcW w:w="1843" w:type="dxa"/>
            <w:vAlign w:val="center"/>
          </w:tcPr>
          <w:p w14:paraId="23F0426B" w14:textId="595DF66B" w:rsidR="003A5DB8" w:rsidRPr="00B508A5" w:rsidRDefault="003A5DB8" w:rsidP="003A5DB8">
            <w:pPr>
              <w:spacing w:before="120" w:after="120"/>
              <w:jc w:val="both"/>
              <w:rPr>
                <w:rFonts w:ascii="Times New Roman" w:hAnsi="Times New Roman" w:cs="Times New Roman"/>
                <w:bCs/>
              </w:rPr>
            </w:pPr>
            <w:r>
              <w:rPr>
                <w:rFonts w:ascii="Times New Roman" w:hAnsi="Times New Roman" w:cs="Times New Roman"/>
                <w:bCs/>
              </w:rPr>
              <w:t xml:space="preserve">Konfederacja Lewiatan </w:t>
            </w:r>
          </w:p>
        </w:tc>
        <w:tc>
          <w:tcPr>
            <w:tcW w:w="1843" w:type="dxa"/>
            <w:vAlign w:val="center"/>
          </w:tcPr>
          <w:p w14:paraId="5330D810" w14:textId="48C5B853" w:rsidR="003A5DB8" w:rsidRPr="005166F6" w:rsidRDefault="0049593A" w:rsidP="003A5DB8">
            <w:pPr>
              <w:spacing w:before="120" w:after="120"/>
              <w:jc w:val="both"/>
              <w:rPr>
                <w:rFonts w:ascii="Times New Roman" w:hAnsi="Times New Roman" w:cs="Times New Roman"/>
                <w:bCs/>
              </w:rPr>
            </w:pPr>
            <w:r w:rsidRPr="005166F6">
              <w:rPr>
                <w:rFonts w:ascii="Times New Roman" w:hAnsi="Times New Roman" w:cs="Times New Roman"/>
                <w:bCs/>
              </w:rPr>
              <w:t xml:space="preserve">Z uwagi na cel projektu, jakim jest usunięcie wadliwych bądź nie spełniających wyznaczonego im celu rozwiązań prawnych wprowadzonych do Kodeksu postępowania cywilnego ustawą z 4 lipca 2019 r. o zmianie ustawy – Kodeks postępowania cywilnego oraz niektórych innych ustaw (Dz. U. poz. 1469, dalej – „ustawa nowelizująca z </w:t>
            </w:r>
            <w:r w:rsidRPr="005166F6">
              <w:rPr>
                <w:rFonts w:ascii="Times New Roman" w:hAnsi="Times New Roman" w:cs="Times New Roman"/>
                <w:bCs/>
              </w:rPr>
              <w:lastRenderedPageBreak/>
              <w:t xml:space="preserve">2019”) oraz ustawą z dnia 9 marca 2023 r. o zmianie ustawy – Kodeks postępowania cywilnego oraz niektórych innych ustaw (Dz. U. poz. 614, dalej – „ustawa nowelizująca z 2023 r.”) proponujemy modyfikację </w:t>
            </w:r>
            <w:r w:rsidR="000770E3" w:rsidRPr="005166F6">
              <w:rPr>
                <w:rFonts w:ascii="Times New Roman" w:hAnsi="Times New Roman" w:cs="Times New Roman"/>
              </w:rPr>
              <w:t>art. 824 § 1(1) kodeksu postepowania cywilnego</w:t>
            </w:r>
            <w:r w:rsidR="000770E3" w:rsidRPr="005166F6">
              <w:rPr>
                <w:b/>
                <w:bCs/>
                <w:i/>
                <w:iCs/>
              </w:rPr>
              <w:t xml:space="preserve"> </w:t>
            </w:r>
            <w:r w:rsidR="000770E3" w:rsidRPr="005166F6">
              <w:rPr>
                <w:rFonts w:cs="Open Sans"/>
                <w:b/>
                <w:bCs/>
                <w:i/>
                <w:iCs/>
                <w:shd w:val="clear" w:color="auto" w:fill="FFFFFF"/>
              </w:rPr>
              <w:t> </w:t>
            </w:r>
          </w:p>
        </w:tc>
        <w:tc>
          <w:tcPr>
            <w:tcW w:w="5670" w:type="dxa"/>
            <w:vAlign w:val="center"/>
          </w:tcPr>
          <w:p w14:paraId="3B15D14E" w14:textId="77777777" w:rsidR="000A6778" w:rsidRPr="005166F6" w:rsidRDefault="000A6778" w:rsidP="000A6778">
            <w:pPr>
              <w:spacing w:after="120"/>
              <w:ind w:left="-5"/>
              <w:jc w:val="both"/>
              <w:rPr>
                <w:rFonts w:ascii="Times New Roman" w:hAnsi="Times New Roman" w:cs="Times New Roman"/>
              </w:rPr>
            </w:pPr>
            <w:r w:rsidRPr="005166F6">
              <w:rPr>
                <w:rFonts w:ascii="Times New Roman" w:hAnsi="Times New Roman" w:cs="Times New Roman"/>
              </w:rPr>
              <w:lastRenderedPageBreak/>
              <w:t>W odniesieniu do przyczyny umorzenia postępowania egzekucyjnego z uwagi na śmierć dłużnika doprecyzowano regulację dotyczącą biegu terminu do umorzenia postępowania zawieszonego z uwagi na śmierć dłużnika albo utratę przez niego zdolności procesowej i przyjęto, że sześciomiesięczny termin na zażądanie podjęcia zawieszonego postępowania biegnie od daty wydania postanowienia o zawieszeniu postępowania, a nie jak w pozostałych</w:t>
            </w:r>
            <w:r w:rsidRPr="005166F6">
              <w:rPr>
                <w:rFonts w:ascii="Times New Roman" w:hAnsi="Times New Roman" w:cs="Times New Roman"/>
                <w:b/>
                <w:bCs/>
              </w:rPr>
              <w:t xml:space="preserve"> </w:t>
            </w:r>
            <w:r w:rsidRPr="005166F6">
              <w:rPr>
                <w:rFonts w:ascii="Times New Roman" w:hAnsi="Times New Roman" w:cs="Times New Roman"/>
              </w:rPr>
              <w:t xml:space="preserve">przypadkach,                                        z chwilą upływu terminu liczonego od dnia ustania przyczyny zawieszenia. </w:t>
            </w:r>
          </w:p>
          <w:p w14:paraId="4F0B681D" w14:textId="77777777" w:rsidR="000A6778" w:rsidRPr="005166F6" w:rsidRDefault="000A6778" w:rsidP="000A6778">
            <w:pPr>
              <w:spacing w:after="120"/>
              <w:ind w:left="-5"/>
              <w:jc w:val="both"/>
              <w:rPr>
                <w:rFonts w:ascii="Times New Roman" w:hAnsi="Times New Roman" w:cs="Times New Roman"/>
              </w:rPr>
            </w:pPr>
            <w:r w:rsidRPr="005166F6">
              <w:rPr>
                <w:rFonts w:ascii="Times New Roman" w:hAnsi="Times New Roman" w:cs="Times New Roman"/>
              </w:rPr>
              <w:t xml:space="preserve">W konsekwencji, aby nie doszło do umorzenia postępowania egzekucyjnego z urzędu, wierzyciel musi w ciągu sześciu miesięcy od wydania postanowienia o zawieszeniu postępowania złożyć wniosek o jego podjęcie z udziałem spadkodawców dłużnika. </w:t>
            </w:r>
          </w:p>
          <w:p w14:paraId="03A60505" w14:textId="536D03C6" w:rsidR="000A6778" w:rsidRPr="005166F6" w:rsidRDefault="000A6778" w:rsidP="000A6778">
            <w:pPr>
              <w:spacing w:after="120"/>
              <w:ind w:left="-5"/>
              <w:jc w:val="both"/>
              <w:rPr>
                <w:rFonts w:ascii="Times New Roman" w:hAnsi="Times New Roman" w:cs="Times New Roman"/>
              </w:rPr>
            </w:pPr>
            <w:r w:rsidRPr="005166F6">
              <w:rPr>
                <w:rFonts w:ascii="Times New Roman" w:hAnsi="Times New Roman" w:cs="Times New Roman"/>
              </w:rPr>
              <w:t xml:space="preserve">W praktyce tak liczony termin okazuje się nierealny  – zwłaszcza, że wierzyciel w tym czasie musi podjąć czynności związane z poszukiwaniem spadkobierców zmarłego dłużnika oraz uzyskaniem prawomocnego postanowienia o stwierdzeniu nabycia spadku po dłużniku. W tym kontekście </w:t>
            </w:r>
            <w:r w:rsidRPr="005166F6">
              <w:rPr>
                <w:rFonts w:ascii="Times New Roman" w:hAnsi="Times New Roman" w:cs="Times New Roman"/>
              </w:rPr>
              <w:lastRenderedPageBreak/>
              <w:t>warto wspomnieć że w 2023 r. średni czas trwania postępowania cywilnego nieprocesowego w                    I instancji przed sądem rejonowym wyniósł w 10,5 miesiąca</w:t>
            </w:r>
            <w:r w:rsidR="00C84406" w:rsidRPr="005166F6">
              <w:rPr>
                <w:rStyle w:val="Odwoanieprzypisudolnego"/>
                <w:rFonts w:ascii="Times New Roman" w:hAnsi="Times New Roman" w:cs="Times New Roman"/>
              </w:rPr>
              <w:footnoteReference w:id="7"/>
            </w:r>
            <w:r w:rsidR="003F34CF" w:rsidRPr="005166F6">
              <w:rPr>
                <w:rFonts w:ascii="Times New Roman" w:hAnsi="Times New Roman" w:cs="Times New Roman"/>
              </w:rPr>
              <w:t>.</w:t>
            </w:r>
          </w:p>
          <w:p w14:paraId="131B3430" w14:textId="77777777" w:rsidR="000A6778" w:rsidRPr="005166F6" w:rsidRDefault="000A6778" w:rsidP="000A6778">
            <w:pPr>
              <w:spacing w:after="120"/>
              <w:ind w:left="-5"/>
              <w:jc w:val="both"/>
              <w:rPr>
                <w:rFonts w:ascii="Times New Roman" w:hAnsi="Times New Roman" w:cs="Times New Roman"/>
              </w:rPr>
            </w:pPr>
            <w:r w:rsidRPr="005166F6">
              <w:rPr>
                <w:rFonts w:ascii="Times New Roman" w:hAnsi="Times New Roman" w:cs="Times New Roman"/>
              </w:rPr>
              <w:t xml:space="preserve">Wobec powyższego w tym zakresie proponujemy odstąpienie od wyjątku w zakresie liczenia terminu do podjęci postępowania w przypadku zgonu dłużnika (tj. wykreślenie zdania drugiego  §1(1) art. 824). </w:t>
            </w:r>
          </w:p>
          <w:p w14:paraId="15ADBEBA" w14:textId="77777777" w:rsidR="000A6778" w:rsidRPr="005166F6" w:rsidRDefault="000A6778" w:rsidP="000A6778">
            <w:pPr>
              <w:spacing w:after="120"/>
              <w:ind w:left="-5"/>
              <w:jc w:val="both"/>
              <w:rPr>
                <w:rFonts w:ascii="Times New Roman" w:hAnsi="Times New Roman" w:cs="Times New Roman"/>
                <w:i/>
                <w:iCs/>
              </w:rPr>
            </w:pPr>
          </w:p>
          <w:p w14:paraId="13DDCBCF" w14:textId="2D73B617" w:rsidR="003A5DB8" w:rsidRPr="005166F6" w:rsidRDefault="003A5DB8" w:rsidP="003A5DB8">
            <w:pPr>
              <w:spacing w:after="120"/>
              <w:ind w:left="-5"/>
              <w:jc w:val="both"/>
              <w:rPr>
                <w:rFonts w:ascii="Times New Roman" w:hAnsi="Times New Roman" w:cs="Times New Roman"/>
              </w:rPr>
            </w:pPr>
          </w:p>
        </w:tc>
        <w:tc>
          <w:tcPr>
            <w:tcW w:w="4076" w:type="dxa"/>
          </w:tcPr>
          <w:p w14:paraId="3EE0908D" w14:textId="77777777" w:rsidR="003A5DB8" w:rsidRPr="008A1F3C" w:rsidRDefault="003A5DB8" w:rsidP="003A5DB8">
            <w:pPr>
              <w:spacing w:before="240" w:after="120"/>
              <w:jc w:val="center"/>
              <w:rPr>
                <w:rFonts w:ascii="Times New Roman" w:hAnsi="Times New Roman" w:cs="Times New Roman"/>
                <w:b/>
              </w:rPr>
            </w:pPr>
          </w:p>
        </w:tc>
      </w:tr>
      <w:tr w:rsidR="003A5DB8" w:rsidRPr="008A1F3C" w14:paraId="1CA5AB4D" w14:textId="77777777" w:rsidTr="5915656F">
        <w:trPr>
          <w:jc w:val="center"/>
        </w:trPr>
        <w:tc>
          <w:tcPr>
            <w:tcW w:w="13994" w:type="dxa"/>
            <w:gridSpan w:val="5"/>
            <w:shd w:val="clear" w:color="auto" w:fill="A6A6A6" w:themeFill="background1" w:themeFillShade="A6"/>
          </w:tcPr>
          <w:p w14:paraId="24A9AEDA" w14:textId="5134C805" w:rsidR="003A5DB8" w:rsidRPr="008A1F3C" w:rsidRDefault="003A5DB8" w:rsidP="003A5DB8">
            <w:pPr>
              <w:spacing w:before="120" w:after="120" w:line="276" w:lineRule="auto"/>
              <w:jc w:val="center"/>
              <w:rPr>
                <w:rFonts w:ascii="Times New Roman" w:hAnsi="Times New Roman" w:cs="Times New Roman"/>
                <w:b/>
              </w:rPr>
            </w:pPr>
            <w:r w:rsidRPr="008A1F3C">
              <w:rPr>
                <w:rFonts w:ascii="Times New Roman" w:hAnsi="Times New Roman" w:cs="Times New Roman"/>
                <w:b/>
              </w:rPr>
              <w:t>Uwagi do uzasadnienia projektu</w:t>
            </w:r>
          </w:p>
        </w:tc>
      </w:tr>
      <w:tr w:rsidR="003A5DB8" w:rsidRPr="008A1F3C" w14:paraId="2156F658" w14:textId="77777777" w:rsidTr="5915656F">
        <w:trPr>
          <w:jc w:val="center"/>
        </w:trPr>
        <w:tc>
          <w:tcPr>
            <w:tcW w:w="562" w:type="dxa"/>
          </w:tcPr>
          <w:p w14:paraId="79AAA3D9" w14:textId="3DE50848" w:rsidR="003A5DB8" w:rsidRPr="008A1F3C" w:rsidRDefault="003A5DB8" w:rsidP="003A5DB8">
            <w:pPr>
              <w:spacing w:before="120" w:line="276" w:lineRule="auto"/>
              <w:ind w:right="-534"/>
              <w:jc w:val="both"/>
              <w:rPr>
                <w:rFonts w:ascii="Times New Roman" w:hAnsi="Times New Roman" w:cs="Times New Roman"/>
                <w:bCs/>
              </w:rPr>
            </w:pPr>
            <w:r w:rsidRPr="008A1F3C">
              <w:rPr>
                <w:rFonts w:ascii="Times New Roman" w:hAnsi="Times New Roman" w:cs="Times New Roman"/>
                <w:bCs/>
              </w:rPr>
              <w:t>1.</w:t>
            </w:r>
          </w:p>
        </w:tc>
        <w:tc>
          <w:tcPr>
            <w:tcW w:w="1843" w:type="dxa"/>
            <w:vAlign w:val="center"/>
          </w:tcPr>
          <w:p w14:paraId="225CC122" w14:textId="783706BC" w:rsidR="003A5DB8" w:rsidRPr="008A1F3C" w:rsidRDefault="003A5DB8" w:rsidP="003A5DB8">
            <w:pPr>
              <w:spacing w:before="120" w:after="120" w:line="276" w:lineRule="auto"/>
              <w:jc w:val="both"/>
              <w:rPr>
                <w:rFonts w:ascii="Times New Roman" w:hAnsi="Times New Roman" w:cs="Times New Roman"/>
                <w:bCs/>
              </w:rPr>
            </w:pPr>
            <w:r w:rsidRPr="00B508A5">
              <w:rPr>
                <w:rFonts w:ascii="Times New Roman" w:hAnsi="Times New Roman" w:cs="Times New Roman"/>
                <w:bCs/>
              </w:rPr>
              <w:t>Konfederacja Lewiatan</w:t>
            </w:r>
          </w:p>
        </w:tc>
        <w:tc>
          <w:tcPr>
            <w:tcW w:w="1843" w:type="dxa"/>
            <w:vAlign w:val="center"/>
          </w:tcPr>
          <w:p w14:paraId="5B69EE39" w14:textId="3D7353F3" w:rsidR="003A5DB8" w:rsidRPr="008A1F3C" w:rsidRDefault="003A5DB8" w:rsidP="003A5DB8">
            <w:pPr>
              <w:spacing w:before="120" w:after="120" w:line="276" w:lineRule="auto"/>
              <w:jc w:val="center"/>
              <w:rPr>
                <w:rFonts w:ascii="Times New Roman" w:hAnsi="Times New Roman" w:cs="Times New Roman"/>
                <w:bCs/>
              </w:rPr>
            </w:pPr>
            <w:r w:rsidRPr="008A1F3C">
              <w:rPr>
                <w:rFonts w:ascii="Times New Roman" w:hAnsi="Times New Roman" w:cs="Times New Roman"/>
                <w:bCs/>
              </w:rPr>
              <w:t>str. 78 uzasadnienia</w:t>
            </w:r>
          </w:p>
        </w:tc>
        <w:tc>
          <w:tcPr>
            <w:tcW w:w="5670" w:type="dxa"/>
            <w:vAlign w:val="center"/>
          </w:tcPr>
          <w:p w14:paraId="09E4D561" w14:textId="0C68789B" w:rsidR="003A5DB8" w:rsidRPr="008A1F3C" w:rsidRDefault="003A5DB8" w:rsidP="003A5DB8">
            <w:pPr>
              <w:spacing w:line="276" w:lineRule="auto"/>
              <w:jc w:val="both"/>
              <w:rPr>
                <w:rFonts w:ascii="Times New Roman" w:eastAsia="Times New Roman" w:hAnsi="Times New Roman" w:cs="Times New Roman"/>
                <w:bCs/>
                <w:lang w:eastAsia="pl-PL"/>
              </w:rPr>
            </w:pPr>
            <w:r w:rsidRPr="008A1F3C">
              <w:rPr>
                <w:rFonts w:ascii="Times New Roman" w:hAnsi="Times New Roman" w:cs="Times New Roman"/>
              </w:rPr>
              <w:t>Błędnie sugeruje się, jakoby wskazane przepisy stanowiły „</w:t>
            </w:r>
            <w:r w:rsidRPr="008A1F3C">
              <w:rPr>
                <w:rFonts w:ascii="Times New Roman" w:hAnsi="Times New Roman" w:cs="Times New Roman"/>
                <w:i/>
                <w:iCs/>
              </w:rPr>
              <w:t>kazuistyczne unormowania dotyczące wąskiej grupy roszczeń</w:t>
            </w:r>
            <w:r w:rsidRPr="008A1F3C">
              <w:rPr>
                <w:rFonts w:ascii="Times New Roman" w:hAnsi="Times New Roman" w:cs="Times New Roman"/>
              </w:rPr>
              <w:t xml:space="preserve">”. W rzeczywistości przepisy te dotyczą całej szerokiej kategorii spraw własności intelektualnej, którą ustawodawca nazwał i wyodrębnił wiele lat temu, uznając ich specyfikę. Specyfika ta istnieje nie tylko na gruncie postępowania rozpoznawczego (stąd ustanowienie postępowania odrębnego w sprawach własności intelektualnej </w:t>
            </w:r>
            <w:r w:rsidRPr="008A1F3C">
              <w:rPr>
                <w:rFonts w:ascii="Times New Roman" w:hAnsi="Times New Roman" w:cs="Times New Roman"/>
              </w:rPr>
              <w:lastRenderedPageBreak/>
              <w:t xml:space="preserve">– Księga I, Tytuł VII, Dział </w:t>
            </w:r>
            <w:proofErr w:type="spellStart"/>
            <w:r w:rsidRPr="008A1F3C">
              <w:rPr>
                <w:rFonts w:ascii="Times New Roman" w:hAnsi="Times New Roman" w:cs="Times New Roman"/>
              </w:rPr>
              <w:t>IVg</w:t>
            </w:r>
            <w:proofErr w:type="spellEnd"/>
            <w:r w:rsidRPr="008A1F3C">
              <w:rPr>
                <w:rFonts w:ascii="Times New Roman" w:hAnsi="Times New Roman" w:cs="Times New Roman"/>
              </w:rPr>
              <w:t xml:space="preserve"> KPC), ale także na gruncie postępowania zabezpieczającego. Otóż zabezpieczenia w sprawach własności intelektualnej mają charakter zakazowy, co prowadzi do faktycznego zaspokojenia roszczenia powoda jeszcze przed wyrokiem. Dlatego tak istotnym jest, aby sąd dysponował informacją o ewentualnej nieważności prawa wyłącznego, na gruncie którego złożony został wniosek o udzielenie zabezpieczenia, zanim udzieli tak brzemiennego w skutkach zabezpieczenia.</w:t>
            </w:r>
          </w:p>
        </w:tc>
        <w:tc>
          <w:tcPr>
            <w:tcW w:w="4076" w:type="dxa"/>
          </w:tcPr>
          <w:p w14:paraId="2ADAA775" w14:textId="20495DBF" w:rsidR="003A5DB8" w:rsidRPr="008A1F3C" w:rsidRDefault="003A5DB8" w:rsidP="003A5DB8">
            <w:pPr>
              <w:spacing w:before="120" w:after="120" w:line="276" w:lineRule="auto"/>
              <w:jc w:val="both"/>
              <w:rPr>
                <w:rFonts w:ascii="Times New Roman" w:eastAsia="Times New Roman" w:hAnsi="Times New Roman" w:cs="Times New Roman"/>
                <w:bCs/>
                <w:lang w:eastAsia="pl-PL"/>
              </w:rPr>
            </w:pPr>
          </w:p>
        </w:tc>
      </w:tr>
      <w:tr w:rsidR="003A5DB8" w:rsidRPr="008A1F3C" w14:paraId="10F7784F" w14:textId="77777777" w:rsidTr="5915656F">
        <w:trPr>
          <w:jc w:val="center"/>
        </w:trPr>
        <w:tc>
          <w:tcPr>
            <w:tcW w:w="562" w:type="dxa"/>
          </w:tcPr>
          <w:p w14:paraId="689E329E" w14:textId="27F9CC05" w:rsidR="003A5DB8" w:rsidRPr="008A1F3C" w:rsidRDefault="003A5DB8" w:rsidP="003A5DB8">
            <w:pPr>
              <w:spacing w:before="120" w:line="276" w:lineRule="auto"/>
              <w:ind w:right="-534"/>
              <w:jc w:val="both"/>
              <w:rPr>
                <w:rFonts w:ascii="Times New Roman" w:hAnsi="Times New Roman" w:cs="Times New Roman"/>
                <w:bCs/>
              </w:rPr>
            </w:pPr>
            <w:r w:rsidRPr="008A1F3C">
              <w:rPr>
                <w:rFonts w:ascii="Times New Roman" w:hAnsi="Times New Roman" w:cs="Times New Roman"/>
                <w:bCs/>
              </w:rPr>
              <w:t>2.</w:t>
            </w:r>
          </w:p>
        </w:tc>
        <w:tc>
          <w:tcPr>
            <w:tcW w:w="1843" w:type="dxa"/>
            <w:vAlign w:val="center"/>
          </w:tcPr>
          <w:p w14:paraId="1808B3A3" w14:textId="2FBF180B" w:rsidR="003A5DB8" w:rsidRPr="008A1F3C" w:rsidRDefault="003A5DB8" w:rsidP="003A5DB8">
            <w:pPr>
              <w:spacing w:before="120" w:after="120" w:line="276" w:lineRule="auto"/>
              <w:jc w:val="both"/>
              <w:rPr>
                <w:rFonts w:ascii="Times New Roman" w:hAnsi="Times New Roman" w:cs="Times New Roman"/>
                <w:bCs/>
              </w:rPr>
            </w:pPr>
            <w:r w:rsidRPr="00B508A5">
              <w:rPr>
                <w:rFonts w:ascii="Times New Roman" w:hAnsi="Times New Roman" w:cs="Times New Roman"/>
                <w:bCs/>
              </w:rPr>
              <w:t>Konfederacja Lewiatan</w:t>
            </w:r>
          </w:p>
        </w:tc>
        <w:tc>
          <w:tcPr>
            <w:tcW w:w="1843" w:type="dxa"/>
            <w:vAlign w:val="center"/>
          </w:tcPr>
          <w:p w14:paraId="20E03EB2" w14:textId="1EE7984B" w:rsidR="003A5DB8" w:rsidRPr="008A1F3C" w:rsidRDefault="003A5DB8" w:rsidP="003A5DB8">
            <w:pPr>
              <w:spacing w:before="120" w:after="120" w:line="276" w:lineRule="auto"/>
              <w:jc w:val="center"/>
              <w:rPr>
                <w:rFonts w:ascii="Times New Roman" w:hAnsi="Times New Roman" w:cs="Times New Roman"/>
                <w:bCs/>
              </w:rPr>
            </w:pPr>
            <w:r w:rsidRPr="008A1F3C">
              <w:rPr>
                <w:rFonts w:ascii="Times New Roman" w:hAnsi="Times New Roman" w:cs="Times New Roman"/>
                <w:bCs/>
              </w:rPr>
              <w:t>str. 78 uzasadnienia</w:t>
            </w:r>
          </w:p>
        </w:tc>
        <w:tc>
          <w:tcPr>
            <w:tcW w:w="5670" w:type="dxa"/>
            <w:vAlign w:val="center"/>
          </w:tcPr>
          <w:p w14:paraId="35CA41C0" w14:textId="77777777" w:rsidR="003A5DB8" w:rsidRPr="0081535E" w:rsidRDefault="003A5DB8" w:rsidP="003A5DB8">
            <w:pPr>
              <w:spacing w:after="160" w:line="276" w:lineRule="auto"/>
              <w:jc w:val="both"/>
              <w:rPr>
                <w:rFonts w:ascii="Times New Roman" w:hAnsi="Times New Roman" w:cs="Times New Roman"/>
              </w:rPr>
            </w:pPr>
            <w:r w:rsidRPr="008A1F3C">
              <w:rPr>
                <w:rFonts w:ascii="Times New Roman" w:hAnsi="Times New Roman" w:cs="Times New Roman"/>
              </w:rPr>
              <w:t>W</w:t>
            </w:r>
            <w:r w:rsidRPr="0081535E">
              <w:rPr>
                <w:rFonts w:ascii="Times New Roman" w:hAnsi="Times New Roman" w:cs="Times New Roman"/>
              </w:rPr>
              <w:t xml:space="preserve"> uzasadnieniu sugeruje się, że </w:t>
            </w:r>
            <w:r w:rsidRPr="008A1F3C">
              <w:rPr>
                <w:rFonts w:ascii="Times New Roman" w:hAnsi="Times New Roman" w:cs="Times New Roman"/>
              </w:rPr>
              <w:t>wskazane</w:t>
            </w:r>
            <w:r w:rsidRPr="0081535E">
              <w:rPr>
                <w:rFonts w:ascii="Times New Roman" w:hAnsi="Times New Roman" w:cs="Times New Roman"/>
              </w:rPr>
              <w:t xml:space="preserve"> przepisy są nieprzydatne: „</w:t>
            </w:r>
            <w:r w:rsidRPr="0081535E">
              <w:rPr>
                <w:rFonts w:ascii="Times New Roman" w:hAnsi="Times New Roman" w:cs="Times New Roman"/>
                <w:i/>
                <w:iCs/>
              </w:rPr>
              <w:t xml:space="preserve">sam fakt, iż wszczęte zostało postępowanie o unieważnienie prawa wyłącznego nie oznacza bynajmniej, że </w:t>
            </w:r>
            <w:proofErr w:type="spellStart"/>
            <w:r w:rsidRPr="0081535E">
              <w:rPr>
                <w:rFonts w:ascii="Times New Roman" w:hAnsi="Times New Roman" w:cs="Times New Roman"/>
                <w:i/>
                <w:iCs/>
              </w:rPr>
              <w:t>eo</w:t>
            </w:r>
            <w:proofErr w:type="spellEnd"/>
            <w:r w:rsidRPr="0081535E">
              <w:rPr>
                <w:rFonts w:ascii="Times New Roman" w:hAnsi="Times New Roman" w:cs="Times New Roman"/>
                <w:i/>
                <w:iCs/>
              </w:rPr>
              <w:t xml:space="preserve"> ipso maleje wiarygodność roszczenia o ochronę prawa wyłącznego. Kwestii tej nie da się zresztą ustalić w postępowaniu zabezpieczającym jedynie w oparciu o informacje pochodzące od stron, jak to przewiduje się w art. 730 § 1(1) zdanie 2. Przepis art. 730 § 1(1) należy więc uchylić jako zbędny i wadliwy, pozostawiając sądowi pełną ocenę wiarygodności zabezpieczanego roszczenia</w:t>
            </w:r>
            <w:r w:rsidRPr="0081535E">
              <w:rPr>
                <w:rFonts w:ascii="Times New Roman" w:hAnsi="Times New Roman" w:cs="Times New Roman"/>
              </w:rPr>
              <w:t xml:space="preserve">”. </w:t>
            </w:r>
          </w:p>
          <w:p w14:paraId="55D1FB45" w14:textId="2B4927B0" w:rsidR="003A5DB8" w:rsidRPr="008A1F3C" w:rsidRDefault="003A5DB8" w:rsidP="003A5DB8">
            <w:pPr>
              <w:spacing w:line="276" w:lineRule="auto"/>
              <w:jc w:val="both"/>
              <w:rPr>
                <w:rFonts w:ascii="Times New Roman" w:hAnsi="Times New Roman" w:cs="Times New Roman"/>
                <w:bCs/>
                <w:noProof/>
              </w:rPr>
            </w:pPr>
            <w:r w:rsidRPr="008A1F3C">
              <w:rPr>
                <w:rFonts w:ascii="Times New Roman" w:hAnsi="Times New Roman" w:cs="Times New Roman"/>
              </w:rPr>
              <w:t>W rzeczywistości przedmiotowy przepis pozostawia sądowi pełną ocenę wiarygodności roszczenia. Nie narzuca sądowi obowiązku oddalenia wniosku w przypadku wykazania prawdopodobieństwa nieważności prawa, ani w żaden inny sposób nie wiąże rąk sądowi. Przepis ten jedynie gwarantuje</w:t>
            </w:r>
            <w:r w:rsidRPr="008A1F3C">
              <w:rPr>
                <w:rFonts w:ascii="Times New Roman" w:hAnsi="Times New Roman" w:cs="Times New Roman"/>
                <w:color w:val="001F5F"/>
              </w:rPr>
              <w:t xml:space="preserve"> </w:t>
            </w:r>
            <w:r w:rsidRPr="008A1F3C">
              <w:rPr>
                <w:rFonts w:ascii="Times New Roman" w:hAnsi="Times New Roman" w:cs="Times New Roman"/>
              </w:rPr>
              <w:t xml:space="preserve">dostęp do informacji. Informacji kluczowej, której mimo to sądy w poprzednich latach nie otrzymywały, co owocowało nieuzasadnionymi zakazami obrotu. </w:t>
            </w:r>
          </w:p>
        </w:tc>
        <w:tc>
          <w:tcPr>
            <w:tcW w:w="4076" w:type="dxa"/>
          </w:tcPr>
          <w:p w14:paraId="73A16047" w14:textId="399E2F92" w:rsidR="003A5DB8" w:rsidRPr="008A1F3C" w:rsidRDefault="003A5DB8" w:rsidP="003A5DB8">
            <w:pPr>
              <w:spacing w:before="120" w:after="120" w:line="276" w:lineRule="auto"/>
              <w:jc w:val="both"/>
              <w:rPr>
                <w:rFonts w:ascii="Times New Roman" w:eastAsia="Times New Roman" w:hAnsi="Times New Roman" w:cs="Times New Roman"/>
                <w:bCs/>
                <w:lang w:eastAsia="pl-PL"/>
              </w:rPr>
            </w:pPr>
          </w:p>
        </w:tc>
      </w:tr>
      <w:tr w:rsidR="003A5DB8" w:rsidRPr="008A1F3C" w14:paraId="30C00EA8" w14:textId="77777777" w:rsidTr="5915656F">
        <w:trPr>
          <w:jc w:val="center"/>
        </w:trPr>
        <w:tc>
          <w:tcPr>
            <w:tcW w:w="562" w:type="dxa"/>
          </w:tcPr>
          <w:p w14:paraId="3FF069CB" w14:textId="77777777" w:rsidR="003A5DB8" w:rsidRPr="008A1F3C" w:rsidRDefault="003A5DB8" w:rsidP="003A5DB8">
            <w:pPr>
              <w:spacing w:before="120" w:line="276" w:lineRule="auto"/>
              <w:ind w:right="-534"/>
              <w:jc w:val="both"/>
              <w:rPr>
                <w:rFonts w:ascii="Times New Roman" w:hAnsi="Times New Roman" w:cs="Times New Roman"/>
                <w:bCs/>
              </w:rPr>
            </w:pPr>
          </w:p>
        </w:tc>
        <w:tc>
          <w:tcPr>
            <w:tcW w:w="1843" w:type="dxa"/>
            <w:vAlign w:val="center"/>
          </w:tcPr>
          <w:p w14:paraId="051762CC" w14:textId="2EF205CF" w:rsidR="003A5DB8" w:rsidRPr="008A1F3C" w:rsidRDefault="003A5DB8" w:rsidP="003A5DB8">
            <w:pPr>
              <w:spacing w:before="120" w:after="120" w:line="276" w:lineRule="auto"/>
              <w:jc w:val="both"/>
              <w:rPr>
                <w:rFonts w:ascii="Times New Roman" w:hAnsi="Times New Roman" w:cs="Times New Roman"/>
                <w:bCs/>
              </w:rPr>
            </w:pPr>
            <w:r w:rsidRPr="00B508A5">
              <w:rPr>
                <w:rFonts w:ascii="Times New Roman" w:hAnsi="Times New Roman" w:cs="Times New Roman"/>
                <w:bCs/>
              </w:rPr>
              <w:t>Konfederacja Lewiatan</w:t>
            </w:r>
          </w:p>
        </w:tc>
        <w:tc>
          <w:tcPr>
            <w:tcW w:w="1843" w:type="dxa"/>
            <w:vAlign w:val="center"/>
          </w:tcPr>
          <w:p w14:paraId="6D35DB9D" w14:textId="3084429C" w:rsidR="003A5DB8" w:rsidRPr="008A1F3C" w:rsidRDefault="003A5DB8" w:rsidP="003A5DB8">
            <w:pPr>
              <w:spacing w:before="120" w:after="120" w:line="276" w:lineRule="auto"/>
              <w:jc w:val="center"/>
              <w:rPr>
                <w:rFonts w:ascii="Times New Roman" w:hAnsi="Times New Roman" w:cs="Times New Roman"/>
                <w:bCs/>
              </w:rPr>
            </w:pPr>
            <w:r w:rsidRPr="008A1F3C">
              <w:rPr>
                <w:rFonts w:ascii="Times New Roman" w:hAnsi="Times New Roman" w:cs="Times New Roman"/>
                <w:bCs/>
              </w:rPr>
              <w:t>str. 78 i 79 uzasadnienia</w:t>
            </w:r>
          </w:p>
        </w:tc>
        <w:tc>
          <w:tcPr>
            <w:tcW w:w="5670" w:type="dxa"/>
            <w:vAlign w:val="center"/>
          </w:tcPr>
          <w:p w14:paraId="5CFC32F0" w14:textId="77777777" w:rsidR="003A5DB8" w:rsidRPr="0081535E" w:rsidRDefault="003A5DB8" w:rsidP="003A5DB8">
            <w:pPr>
              <w:spacing w:after="160" w:line="276" w:lineRule="auto"/>
              <w:jc w:val="both"/>
              <w:rPr>
                <w:rFonts w:ascii="Times New Roman" w:hAnsi="Times New Roman" w:cs="Times New Roman"/>
              </w:rPr>
            </w:pPr>
            <w:r w:rsidRPr="0081535E">
              <w:rPr>
                <w:rFonts w:ascii="Times New Roman" w:hAnsi="Times New Roman" w:cs="Times New Roman"/>
              </w:rPr>
              <w:t>Dalej w uzasadnieniu wskazuje się, że „</w:t>
            </w:r>
            <w:r w:rsidRPr="0081535E">
              <w:rPr>
                <w:rFonts w:ascii="Times New Roman" w:hAnsi="Times New Roman" w:cs="Times New Roman"/>
                <w:i/>
                <w:iCs/>
              </w:rPr>
              <w:t>Uchylenie przepisu nie oznacza wszak, co wymaga podkreślenia, że sąd nie będzie miał możliwości wzięcia pod uwagę okoliczności, iż toczy się postępowanie o unieważnienie prawa wyłącznego. Przeciwnie wręcz, kwestia ta, wraz z argumentami powołanymi na rzecz unieważnienia prawa wyłącznego, powinna podlegać ocenie sądu na zasadach ogólnych wraz z innymi okolicznościami świadczącymi o wiarygodności roszczenia lub jej braku.</w:t>
            </w:r>
            <w:r w:rsidRPr="0081535E">
              <w:rPr>
                <w:rFonts w:ascii="Times New Roman" w:hAnsi="Times New Roman" w:cs="Times New Roman"/>
              </w:rPr>
              <w:t xml:space="preserve">” </w:t>
            </w:r>
          </w:p>
          <w:p w14:paraId="4636F605" w14:textId="523AF9FA" w:rsidR="003A5DB8" w:rsidRPr="008A1F3C" w:rsidRDefault="003A5DB8" w:rsidP="003A5DB8">
            <w:pPr>
              <w:spacing w:line="276" w:lineRule="auto"/>
              <w:jc w:val="both"/>
              <w:rPr>
                <w:rFonts w:ascii="Times New Roman" w:hAnsi="Times New Roman" w:cs="Times New Roman"/>
                <w:bCs/>
                <w:noProof/>
              </w:rPr>
            </w:pPr>
            <w:r w:rsidRPr="008A1F3C">
              <w:rPr>
                <w:rFonts w:ascii="Times New Roman" w:hAnsi="Times New Roman" w:cs="Times New Roman"/>
              </w:rPr>
              <w:t>Doświadczenie z lat poprzednich pokazuje, że brak takiego przepisu miał w praktyce właśnie taki skutek – brak możliwości wzięcia pod uwagę prawdopodobieństwa nieważności prawa wyłącznego.</w:t>
            </w:r>
          </w:p>
        </w:tc>
        <w:tc>
          <w:tcPr>
            <w:tcW w:w="4076" w:type="dxa"/>
          </w:tcPr>
          <w:p w14:paraId="4588EB84" w14:textId="77777777" w:rsidR="003A5DB8" w:rsidRPr="008A1F3C" w:rsidRDefault="003A5DB8" w:rsidP="003A5DB8">
            <w:pPr>
              <w:spacing w:before="120" w:after="120" w:line="276" w:lineRule="auto"/>
              <w:jc w:val="both"/>
              <w:rPr>
                <w:rFonts w:ascii="Times New Roman" w:eastAsia="Times New Roman" w:hAnsi="Times New Roman" w:cs="Times New Roman"/>
                <w:bCs/>
                <w:lang w:eastAsia="pl-PL"/>
              </w:rPr>
            </w:pPr>
          </w:p>
        </w:tc>
      </w:tr>
      <w:tr w:rsidR="003A5DB8" w:rsidRPr="008A1F3C" w14:paraId="62827CBE" w14:textId="77777777" w:rsidTr="5915656F">
        <w:trPr>
          <w:jc w:val="center"/>
        </w:trPr>
        <w:tc>
          <w:tcPr>
            <w:tcW w:w="13994" w:type="dxa"/>
            <w:gridSpan w:val="5"/>
            <w:shd w:val="clear" w:color="auto" w:fill="A6A6A6" w:themeFill="background1" w:themeFillShade="A6"/>
          </w:tcPr>
          <w:p w14:paraId="6DD01354" w14:textId="00E3688E" w:rsidR="003A5DB8" w:rsidRPr="008A1F3C" w:rsidRDefault="003A5DB8" w:rsidP="003A5DB8">
            <w:pPr>
              <w:spacing w:before="120" w:after="120" w:line="276" w:lineRule="auto"/>
              <w:jc w:val="center"/>
              <w:rPr>
                <w:rFonts w:ascii="Times New Roman" w:eastAsia="Times New Roman" w:hAnsi="Times New Roman" w:cs="Times New Roman"/>
                <w:b/>
                <w:lang w:eastAsia="pl-PL"/>
              </w:rPr>
            </w:pPr>
            <w:r w:rsidRPr="008A1F3C">
              <w:rPr>
                <w:rFonts w:ascii="Times New Roman" w:hAnsi="Times New Roman" w:cs="Times New Roman"/>
                <w:b/>
              </w:rPr>
              <w:t>Uwagi do Oceny Skutków Regulacji</w:t>
            </w:r>
          </w:p>
        </w:tc>
      </w:tr>
      <w:tr w:rsidR="003A5DB8" w:rsidRPr="008A1F3C" w14:paraId="70AF4D21" w14:textId="77777777" w:rsidTr="5915656F">
        <w:tblPrEx>
          <w:jc w:val="left"/>
        </w:tblPrEx>
        <w:tc>
          <w:tcPr>
            <w:tcW w:w="562" w:type="dxa"/>
          </w:tcPr>
          <w:p w14:paraId="2A511012" w14:textId="182C5783" w:rsidR="003A5DB8" w:rsidRPr="008A1F3C" w:rsidRDefault="003A5DB8" w:rsidP="003A5DB8">
            <w:pPr>
              <w:spacing w:before="120" w:line="276" w:lineRule="auto"/>
              <w:ind w:right="-534"/>
              <w:jc w:val="both"/>
              <w:rPr>
                <w:rFonts w:ascii="Times New Roman" w:hAnsi="Times New Roman" w:cs="Times New Roman"/>
                <w:bCs/>
              </w:rPr>
            </w:pPr>
            <w:r w:rsidRPr="008A1F3C">
              <w:rPr>
                <w:rFonts w:ascii="Times New Roman" w:hAnsi="Times New Roman" w:cs="Times New Roman"/>
                <w:bCs/>
              </w:rPr>
              <w:t>1.</w:t>
            </w:r>
          </w:p>
        </w:tc>
        <w:tc>
          <w:tcPr>
            <w:tcW w:w="1843" w:type="dxa"/>
          </w:tcPr>
          <w:p w14:paraId="02E25544" w14:textId="4CB4F2FC" w:rsidR="003A5DB8" w:rsidRPr="008A1F3C" w:rsidRDefault="003A5DB8" w:rsidP="003A5DB8">
            <w:pPr>
              <w:spacing w:before="120" w:after="120" w:line="276" w:lineRule="auto"/>
              <w:jc w:val="both"/>
              <w:rPr>
                <w:rFonts w:ascii="Times New Roman" w:hAnsi="Times New Roman" w:cs="Times New Roman"/>
                <w:bCs/>
              </w:rPr>
            </w:pPr>
            <w:r w:rsidRPr="00B508A5">
              <w:rPr>
                <w:rFonts w:ascii="Times New Roman" w:hAnsi="Times New Roman" w:cs="Times New Roman"/>
                <w:bCs/>
              </w:rPr>
              <w:t>Konfederacja Lewiatan</w:t>
            </w:r>
          </w:p>
        </w:tc>
        <w:tc>
          <w:tcPr>
            <w:tcW w:w="1843" w:type="dxa"/>
          </w:tcPr>
          <w:p w14:paraId="3FEDB332" w14:textId="77777777" w:rsidR="003A5DB8" w:rsidRPr="008A1F3C" w:rsidRDefault="003A5DB8" w:rsidP="003A5DB8">
            <w:pPr>
              <w:spacing w:before="120" w:after="120" w:line="276" w:lineRule="auto"/>
              <w:jc w:val="both"/>
              <w:rPr>
                <w:rFonts w:ascii="Times New Roman" w:hAnsi="Times New Roman" w:cs="Times New Roman"/>
                <w:bCs/>
              </w:rPr>
            </w:pPr>
          </w:p>
        </w:tc>
        <w:tc>
          <w:tcPr>
            <w:tcW w:w="5670" w:type="dxa"/>
          </w:tcPr>
          <w:p w14:paraId="647D97C3" w14:textId="77777777" w:rsidR="003A5DB8" w:rsidRPr="008A1F3C" w:rsidRDefault="003A5DB8" w:rsidP="003A5DB8">
            <w:pPr>
              <w:spacing w:line="276" w:lineRule="auto"/>
              <w:jc w:val="both"/>
              <w:rPr>
                <w:rFonts w:ascii="Times New Roman" w:hAnsi="Times New Roman" w:cs="Times New Roman"/>
              </w:rPr>
            </w:pPr>
            <w:r w:rsidRPr="008A1F3C">
              <w:rPr>
                <w:rFonts w:ascii="Times New Roman" w:hAnsi="Times New Roman" w:cs="Times New Roman"/>
              </w:rPr>
              <w:t xml:space="preserve">Ocena Skutków Regulacji </w:t>
            </w:r>
            <w:r w:rsidRPr="008A1F3C">
              <w:rPr>
                <w:rFonts w:ascii="Times New Roman" w:hAnsi="Times New Roman" w:cs="Times New Roman"/>
                <w:b/>
                <w:bCs/>
              </w:rPr>
              <w:t>pomija ocenę ekonomicznych i społecznych skutków planowanej regulacji</w:t>
            </w:r>
            <w:r w:rsidRPr="008A1F3C">
              <w:rPr>
                <w:rFonts w:ascii="Times New Roman" w:hAnsi="Times New Roman" w:cs="Times New Roman"/>
              </w:rPr>
              <w:t xml:space="preserve"> w zakresie uchylenia przepisów art. 730</w:t>
            </w:r>
            <w:r w:rsidRPr="008A1F3C">
              <w:rPr>
                <w:rFonts w:ascii="Times New Roman" w:hAnsi="Times New Roman" w:cs="Times New Roman"/>
                <w:vertAlign w:val="superscript"/>
              </w:rPr>
              <w:t>1</w:t>
            </w:r>
            <w:r w:rsidRPr="008A1F3C">
              <w:rPr>
                <w:rFonts w:ascii="Times New Roman" w:hAnsi="Times New Roman" w:cs="Times New Roman"/>
              </w:rPr>
              <w:t xml:space="preserve"> § 1</w:t>
            </w:r>
            <w:r w:rsidRPr="008A1F3C">
              <w:rPr>
                <w:rFonts w:ascii="Times New Roman" w:hAnsi="Times New Roman" w:cs="Times New Roman"/>
                <w:vertAlign w:val="superscript"/>
              </w:rPr>
              <w:t>1</w:t>
            </w:r>
            <w:r w:rsidRPr="008A1F3C">
              <w:rPr>
                <w:rFonts w:ascii="Times New Roman" w:hAnsi="Times New Roman" w:cs="Times New Roman"/>
              </w:rPr>
              <w:t>, art. 736 § 5, art. 755 § 2</w:t>
            </w:r>
            <w:r w:rsidRPr="008A1F3C">
              <w:rPr>
                <w:rFonts w:ascii="Times New Roman" w:hAnsi="Times New Roman" w:cs="Times New Roman"/>
                <w:vertAlign w:val="superscript"/>
              </w:rPr>
              <w:t>2</w:t>
            </w:r>
            <w:r w:rsidRPr="008A1F3C">
              <w:rPr>
                <w:rFonts w:ascii="Times New Roman" w:hAnsi="Times New Roman" w:cs="Times New Roman"/>
              </w:rPr>
              <w:t xml:space="preserve"> oraz art. 755 § 2</w:t>
            </w:r>
            <w:r w:rsidRPr="008A1F3C">
              <w:rPr>
                <w:rFonts w:ascii="Times New Roman" w:hAnsi="Times New Roman" w:cs="Times New Roman"/>
                <w:vertAlign w:val="superscript"/>
              </w:rPr>
              <w:t>3</w:t>
            </w:r>
            <w:r w:rsidRPr="008A1F3C">
              <w:rPr>
                <w:rFonts w:ascii="Times New Roman" w:hAnsi="Times New Roman" w:cs="Times New Roman"/>
              </w:rPr>
              <w:t>. Stanowi to poważne uchybienie metodologiczne, które uniemożliwia rzetelną ocenę konsekwencji proponowanych zmian. Brak analizy wpływu na wydatki płatnika publicznego, dostępność leków dla pacjentów oraz funkcjonowanie konkurencji na rynku farmaceutycznym świadczy o niedostatecznym przygotowaniu projektu. Projektodawca nie przedstawił żadnych danych liczbowych ani prognoz finansowych uzasadniających celowość powrotu do stanu prawnego sprzed nowelizacji z 2023 r.</w:t>
            </w:r>
          </w:p>
          <w:p w14:paraId="04F7A6EC" w14:textId="77777777" w:rsidR="003A5DB8" w:rsidRPr="008A1F3C" w:rsidRDefault="003A5DB8" w:rsidP="003A5DB8">
            <w:pPr>
              <w:spacing w:line="276" w:lineRule="auto"/>
              <w:jc w:val="both"/>
              <w:rPr>
                <w:rFonts w:ascii="Times New Roman" w:eastAsia="Times New Roman" w:hAnsi="Times New Roman" w:cs="Times New Roman"/>
                <w:bCs/>
                <w:lang w:eastAsia="pl-PL"/>
              </w:rPr>
            </w:pPr>
          </w:p>
          <w:p w14:paraId="2BCB6C06" w14:textId="3CEA3D49" w:rsidR="003A5DB8" w:rsidRPr="008A1F3C" w:rsidRDefault="003A5DB8" w:rsidP="003A5DB8">
            <w:pPr>
              <w:spacing w:line="276" w:lineRule="auto"/>
              <w:jc w:val="both"/>
              <w:rPr>
                <w:rFonts w:ascii="Times New Roman" w:hAnsi="Times New Roman" w:cs="Times New Roman"/>
              </w:rPr>
            </w:pPr>
            <w:r w:rsidRPr="008A1F3C">
              <w:rPr>
                <w:rFonts w:ascii="Times New Roman" w:hAnsi="Times New Roman" w:cs="Times New Roman"/>
              </w:rPr>
              <w:lastRenderedPageBreak/>
              <w:t xml:space="preserve">Tymczasem dane empiryczne Ministerstwa Zdrowia i Narodowego Funduszu Zdrowia wskazują na wymierne oszczędności środków publicznych, jakie przyniosła zmiana prawa w roku 2023 i zwiększenie dostępności leków. Przykładowo, dzięki nowelizacji KPC nie doszły do skutku próby zablokowania na drodze sądowej debiutu rynkowego leku generycznego </w:t>
            </w:r>
            <w:proofErr w:type="spellStart"/>
            <w:r w:rsidRPr="008A1F3C">
              <w:rPr>
                <w:rFonts w:ascii="Times New Roman" w:hAnsi="Times New Roman" w:cs="Times New Roman"/>
              </w:rPr>
              <w:t>rywaroksaban</w:t>
            </w:r>
            <w:proofErr w:type="spellEnd"/>
            <w:r w:rsidRPr="008A1F3C">
              <w:rPr>
                <w:rFonts w:ascii="Times New Roman" w:hAnsi="Times New Roman" w:cs="Times New Roman"/>
              </w:rPr>
              <w:t xml:space="preserve"> podejmowane w oparciu o patent unieważniony już w innych krajach lub uznany tam za nienaruszany przez produkty generyczne. Najnowszy raport</w:t>
            </w:r>
            <w:r>
              <w:rPr>
                <w:rStyle w:val="Odwoanieprzypisudolnego"/>
                <w:rFonts w:ascii="Times New Roman" w:hAnsi="Times New Roman" w:cs="Times New Roman"/>
              </w:rPr>
              <w:footnoteReference w:id="8"/>
            </w:r>
            <w:r w:rsidRPr="008A1F3C">
              <w:rPr>
                <w:rFonts w:ascii="Times New Roman" w:hAnsi="Times New Roman" w:cs="Times New Roman"/>
              </w:rPr>
              <w:t xml:space="preserve">, obejmujący produkty generyczne dla </w:t>
            </w:r>
            <w:proofErr w:type="spellStart"/>
            <w:r w:rsidRPr="008A1F3C">
              <w:rPr>
                <w:rFonts w:ascii="Times New Roman" w:hAnsi="Times New Roman" w:cs="Times New Roman"/>
              </w:rPr>
              <w:t>dabigatranu</w:t>
            </w:r>
            <w:proofErr w:type="spellEnd"/>
            <w:r w:rsidRPr="008A1F3C">
              <w:rPr>
                <w:rFonts w:ascii="Times New Roman" w:hAnsi="Times New Roman" w:cs="Times New Roman"/>
              </w:rPr>
              <w:t xml:space="preserve">, </w:t>
            </w:r>
            <w:proofErr w:type="spellStart"/>
            <w:r w:rsidRPr="008A1F3C">
              <w:rPr>
                <w:rFonts w:ascii="Times New Roman" w:hAnsi="Times New Roman" w:cs="Times New Roman"/>
              </w:rPr>
              <w:t>rivaroxabanu</w:t>
            </w:r>
            <w:proofErr w:type="spellEnd"/>
            <w:r w:rsidRPr="008A1F3C">
              <w:rPr>
                <w:rFonts w:ascii="Times New Roman" w:hAnsi="Times New Roman" w:cs="Times New Roman"/>
              </w:rPr>
              <w:t xml:space="preserve"> i </w:t>
            </w:r>
            <w:proofErr w:type="spellStart"/>
            <w:r w:rsidRPr="008A1F3C">
              <w:rPr>
                <w:rFonts w:ascii="Times New Roman" w:hAnsi="Times New Roman" w:cs="Times New Roman"/>
              </w:rPr>
              <w:t>apixabanu</w:t>
            </w:r>
            <w:proofErr w:type="spellEnd"/>
            <w:r w:rsidRPr="008A1F3C">
              <w:rPr>
                <w:rFonts w:ascii="Times New Roman" w:hAnsi="Times New Roman" w:cs="Times New Roman"/>
              </w:rPr>
              <w:t xml:space="preserve"> do sierpnia 2025 r., wskazuje na </w:t>
            </w:r>
            <w:r w:rsidRPr="008A1F3C">
              <w:rPr>
                <w:rFonts w:ascii="Times New Roman" w:hAnsi="Times New Roman" w:cs="Times New Roman"/>
                <w:b/>
                <w:bCs/>
              </w:rPr>
              <w:t xml:space="preserve">oszczędności dla pacjentów wynoszące co najmniej 723,8 mln PLN, dzięki czemu NFZ wydał o 221,4 mln PLN mniej </w:t>
            </w:r>
            <w:r w:rsidRPr="008A1F3C">
              <w:rPr>
                <w:rFonts w:ascii="Times New Roman" w:hAnsi="Times New Roman" w:cs="Times New Roman"/>
              </w:rPr>
              <w:t>w porównaniu do sytuacji gdyby zrefundowany wolumen musiał sfinansować w cenach refundowanych SKU produktów referencyjnych sprzed pojawiania się odpowiedników</w:t>
            </w:r>
            <w:r>
              <w:rPr>
                <w:rFonts w:ascii="Times New Roman" w:hAnsi="Times New Roman" w:cs="Times New Roman"/>
              </w:rPr>
              <w:t>.</w:t>
            </w:r>
          </w:p>
          <w:p w14:paraId="39641C34" w14:textId="77777777" w:rsidR="003A5DB8" w:rsidRPr="008A1F3C" w:rsidRDefault="003A5DB8" w:rsidP="003A5DB8">
            <w:pPr>
              <w:spacing w:line="276" w:lineRule="auto"/>
              <w:jc w:val="both"/>
              <w:rPr>
                <w:rFonts w:ascii="Times New Roman" w:hAnsi="Times New Roman" w:cs="Times New Roman"/>
              </w:rPr>
            </w:pPr>
          </w:p>
          <w:p w14:paraId="35FBF62D" w14:textId="47A4EF8C" w:rsidR="003A5DB8" w:rsidRPr="008A1F3C" w:rsidRDefault="003A5DB8" w:rsidP="003A5DB8">
            <w:pPr>
              <w:spacing w:line="276" w:lineRule="auto"/>
              <w:jc w:val="both"/>
              <w:rPr>
                <w:rFonts w:ascii="Times New Roman" w:hAnsi="Times New Roman" w:cs="Times New Roman"/>
              </w:rPr>
            </w:pPr>
            <w:r w:rsidRPr="008A1F3C">
              <w:rPr>
                <w:rFonts w:ascii="Times New Roman" w:hAnsi="Times New Roman" w:cs="Times New Roman"/>
                <w:b/>
                <w:bCs/>
              </w:rPr>
              <w:t>Pozytywną ocenę nowelizacji z 9 marca 2023 r. przedstawiło również Centrum Oceny Skutków Regulacji Uniwersytetu Warszawskiego</w:t>
            </w:r>
            <w:r>
              <w:rPr>
                <w:rStyle w:val="Odwoanieprzypisudolnego"/>
                <w:rFonts w:ascii="Times New Roman" w:hAnsi="Times New Roman" w:cs="Times New Roman"/>
                <w:b/>
                <w:bCs/>
              </w:rPr>
              <w:footnoteReference w:id="9"/>
            </w:r>
            <w:r w:rsidRPr="008A1F3C">
              <w:rPr>
                <w:rFonts w:ascii="Times New Roman" w:hAnsi="Times New Roman" w:cs="Times New Roman"/>
              </w:rPr>
              <w:t xml:space="preserve">, wskazując na zachowanie równowagi pomiędzy ochroną patentową a zapewnieniem jak najszybszego dostępu pacjentów do tańszej terapii </w:t>
            </w:r>
          </w:p>
          <w:p w14:paraId="1E1FE794" w14:textId="64963899" w:rsidR="003A5DB8" w:rsidRPr="008A1F3C" w:rsidRDefault="003A5DB8" w:rsidP="003A5DB8">
            <w:pPr>
              <w:spacing w:line="276" w:lineRule="auto"/>
              <w:jc w:val="both"/>
              <w:rPr>
                <w:rFonts w:ascii="Times New Roman" w:hAnsi="Times New Roman" w:cs="Times New Roman"/>
              </w:rPr>
            </w:pPr>
            <w:r w:rsidRPr="008A1F3C">
              <w:rPr>
                <w:rFonts w:ascii="Times New Roman" w:hAnsi="Times New Roman" w:cs="Times New Roman"/>
                <w:b/>
                <w:bCs/>
              </w:rPr>
              <w:t>Ministerstwo Zdrowia dostrzegło korzyści wynikające z opisanej zmiany przepisów i wyraziło oczekiwanie ich utrzymania, a nawet pogłębienia</w:t>
            </w:r>
            <w:r w:rsidRPr="008A1F3C">
              <w:rPr>
                <w:rFonts w:ascii="Times New Roman" w:hAnsi="Times New Roman" w:cs="Times New Roman"/>
              </w:rPr>
              <w:t xml:space="preserve">. W wystąpieniu z listopada </w:t>
            </w:r>
            <w:r w:rsidRPr="008A1F3C">
              <w:rPr>
                <w:rFonts w:ascii="Times New Roman" w:hAnsi="Times New Roman" w:cs="Times New Roman"/>
              </w:rPr>
              <w:lastRenderedPageBreak/>
              <w:t xml:space="preserve">2024 r. kierowanym do Ministerstwa Sprawiedliwości i Komisji Kodyfikacyjnej Pan Minister Marek Kos przedstawił oszczędności refundacyjne dla systemu, które wynikają z odpowiednio wczesnego wprowadzania na polski rynek leków generycznych i </w:t>
            </w:r>
            <w:proofErr w:type="spellStart"/>
            <w:r w:rsidRPr="008A1F3C">
              <w:rPr>
                <w:rFonts w:ascii="Times New Roman" w:hAnsi="Times New Roman" w:cs="Times New Roman"/>
              </w:rPr>
              <w:t>biopodobnych</w:t>
            </w:r>
            <w:proofErr w:type="spellEnd"/>
            <w:r w:rsidRPr="008A1F3C">
              <w:rPr>
                <w:rFonts w:ascii="Times New Roman" w:hAnsi="Times New Roman" w:cs="Times New Roman"/>
              </w:rPr>
              <w:t xml:space="preserve"> (redukcja cen leków na poziomie 65-93%)</w:t>
            </w:r>
            <w:r>
              <w:rPr>
                <w:rStyle w:val="Odwoanieprzypisudolnego"/>
                <w:rFonts w:ascii="Times New Roman" w:hAnsi="Times New Roman" w:cs="Times New Roman"/>
              </w:rPr>
              <w:footnoteReference w:id="10"/>
            </w:r>
            <w:r w:rsidRPr="008A1F3C">
              <w:rPr>
                <w:rFonts w:ascii="Times New Roman" w:hAnsi="Times New Roman" w:cs="Times New Roman"/>
              </w:rPr>
              <w:t xml:space="preserve">. </w:t>
            </w:r>
          </w:p>
          <w:p w14:paraId="5BC28493" w14:textId="77777777" w:rsidR="003A5DB8" w:rsidRPr="008A1F3C" w:rsidRDefault="003A5DB8" w:rsidP="003A5DB8">
            <w:pPr>
              <w:spacing w:line="276" w:lineRule="auto"/>
              <w:jc w:val="both"/>
              <w:rPr>
                <w:rFonts w:ascii="Times New Roman" w:hAnsi="Times New Roman" w:cs="Times New Roman"/>
              </w:rPr>
            </w:pPr>
          </w:p>
          <w:p w14:paraId="1D00666D" w14:textId="5064D730" w:rsidR="003A5DB8" w:rsidRPr="008A1F3C" w:rsidRDefault="003A5DB8" w:rsidP="003A5DB8">
            <w:pPr>
              <w:spacing w:line="276" w:lineRule="auto"/>
              <w:jc w:val="both"/>
              <w:rPr>
                <w:rFonts w:ascii="Times New Roman" w:hAnsi="Times New Roman" w:cs="Times New Roman"/>
                <w:b/>
                <w:bCs/>
              </w:rPr>
            </w:pPr>
            <w:bookmarkStart w:id="0" w:name="_Hlk213836794"/>
            <w:r w:rsidRPr="008A1F3C">
              <w:rPr>
                <w:rFonts w:ascii="Times New Roman" w:hAnsi="Times New Roman" w:cs="Times New Roman"/>
              </w:rPr>
              <w:t xml:space="preserve">Do dokonanych zmian </w:t>
            </w:r>
            <w:r w:rsidRPr="008A1F3C">
              <w:rPr>
                <w:rFonts w:ascii="Times New Roman" w:hAnsi="Times New Roman" w:cs="Times New Roman"/>
                <w:b/>
                <w:bCs/>
              </w:rPr>
              <w:t>pozytywnie odnosi się również Urząd Ochrony Konkurencji i Konsumentów.</w:t>
            </w:r>
            <w:bookmarkEnd w:id="0"/>
            <w:r w:rsidRPr="008A1F3C">
              <w:rPr>
                <w:rFonts w:ascii="Times New Roman" w:hAnsi="Times New Roman" w:cs="Times New Roman"/>
                <w:b/>
                <w:bCs/>
              </w:rPr>
              <w:t xml:space="preserve"> </w:t>
            </w:r>
          </w:p>
        </w:tc>
        <w:tc>
          <w:tcPr>
            <w:tcW w:w="4076" w:type="dxa"/>
          </w:tcPr>
          <w:p w14:paraId="3366253C" w14:textId="77777777" w:rsidR="003A5DB8" w:rsidRPr="008A1F3C" w:rsidRDefault="003A5DB8" w:rsidP="003A5DB8">
            <w:pPr>
              <w:spacing w:before="120" w:after="120" w:line="276" w:lineRule="auto"/>
              <w:jc w:val="both"/>
              <w:rPr>
                <w:rFonts w:ascii="Times New Roman" w:eastAsia="Times New Roman" w:hAnsi="Times New Roman" w:cs="Times New Roman"/>
                <w:bCs/>
                <w:lang w:eastAsia="pl-PL"/>
              </w:rPr>
            </w:pPr>
          </w:p>
        </w:tc>
      </w:tr>
    </w:tbl>
    <w:p w14:paraId="3263BA22" w14:textId="77777777" w:rsidR="009A3389" w:rsidRDefault="009A3389" w:rsidP="005B1B05">
      <w:pPr>
        <w:jc w:val="both"/>
        <w:rPr>
          <w:rFonts w:ascii="Times New Roman" w:hAnsi="Times New Roman" w:cs="Times New Roman"/>
          <w:bCs/>
        </w:rPr>
      </w:pPr>
    </w:p>
    <w:p w14:paraId="75A8E94C" w14:textId="1491AF0D" w:rsidR="00E80D4F" w:rsidRPr="00E80D4F" w:rsidRDefault="00E80D4F" w:rsidP="005B1B05">
      <w:pPr>
        <w:jc w:val="both"/>
        <w:rPr>
          <w:rFonts w:ascii="Times New Roman" w:hAnsi="Times New Roman" w:cs="Times New Roman"/>
          <w:b/>
        </w:rPr>
      </w:pPr>
      <w:r w:rsidRPr="00E80D4F">
        <w:rPr>
          <w:rFonts w:ascii="Times New Roman" w:hAnsi="Times New Roman" w:cs="Times New Roman"/>
          <w:b/>
        </w:rPr>
        <w:t>KL/557/198/AZ/2025</w:t>
      </w:r>
    </w:p>
    <w:sectPr w:rsidR="00E80D4F" w:rsidRPr="00E80D4F" w:rsidSect="001F3A0F">
      <w:headerReference w:type="default" r:id="rId11"/>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A1948" w14:textId="77777777" w:rsidR="003F2D6C" w:rsidRDefault="003F2D6C" w:rsidP="00735AA5">
      <w:pPr>
        <w:spacing w:after="0" w:line="240" w:lineRule="auto"/>
      </w:pPr>
      <w:r>
        <w:separator/>
      </w:r>
    </w:p>
  </w:endnote>
  <w:endnote w:type="continuationSeparator" w:id="0">
    <w:p w14:paraId="4C9BF932" w14:textId="77777777" w:rsidR="003F2D6C" w:rsidRDefault="003F2D6C" w:rsidP="00735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451909213"/>
      <w:docPartObj>
        <w:docPartGallery w:val="Page Numbers (Bottom of Page)"/>
        <w:docPartUnique/>
      </w:docPartObj>
    </w:sdtPr>
    <w:sdtEndPr/>
    <w:sdtContent>
      <w:p w14:paraId="3D1313F4" w14:textId="77777777" w:rsidR="000B346A" w:rsidRPr="000B346A" w:rsidRDefault="00E738A5">
        <w:pPr>
          <w:pStyle w:val="Stopka"/>
          <w:jc w:val="right"/>
          <w:rPr>
            <w:rFonts w:ascii="Arial" w:hAnsi="Arial" w:cs="Arial"/>
            <w:sz w:val="18"/>
          </w:rPr>
        </w:pPr>
        <w:r>
          <w:rPr>
            <w:rFonts w:ascii="Arial" w:hAnsi="Arial" w:cs="Arial"/>
            <w:sz w:val="18"/>
          </w:rPr>
          <w:t>S</w:t>
        </w:r>
        <w:r w:rsidR="000B346A" w:rsidRPr="000B346A">
          <w:rPr>
            <w:rFonts w:ascii="Arial" w:hAnsi="Arial" w:cs="Arial"/>
            <w:sz w:val="18"/>
          </w:rPr>
          <w:t xml:space="preserve">trona | </w:t>
        </w:r>
        <w:r w:rsidR="000B346A" w:rsidRPr="000B346A">
          <w:rPr>
            <w:rFonts w:ascii="Arial" w:hAnsi="Arial" w:cs="Arial"/>
            <w:sz w:val="18"/>
          </w:rPr>
          <w:fldChar w:fldCharType="begin"/>
        </w:r>
        <w:r w:rsidR="000B346A" w:rsidRPr="000B346A">
          <w:rPr>
            <w:rFonts w:ascii="Arial" w:hAnsi="Arial" w:cs="Arial"/>
            <w:sz w:val="18"/>
          </w:rPr>
          <w:instrText>PAGE   \* MERGEFORMAT</w:instrText>
        </w:r>
        <w:r w:rsidR="000B346A" w:rsidRPr="000B346A">
          <w:rPr>
            <w:rFonts w:ascii="Arial" w:hAnsi="Arial" w:cs="Arial"/>
            <w:sz w:val="18"/>
          </w:rPr>
          <w:fldChar w:fldCharType="separate"/>
        </w:r>
        <w:r w:rsidR="00E23A7D">
          <w:rPr>
            <w:rFonts w:ascii="Arial" w:hAnsi="Arial" w:cs="Arial"/>
            <w:noProof/>
            <w:sz w:val="18"/>
          </w:rPr>
          <w:t>1</w:t>
        </w:r>
        <w:r w:rsidR="000B346A" w:rsidRPr="000B346A">
          <w:rPr>
            <w:rFonts w:ascii="Arial" w:hAnsi="Arial" w:cs="Arial"/>
            <w:sz w:val="18"/>
          </w:rPr>
          <w:fldChar w:fldCharType="end"/>
        </w:r>
        <w:r w:rsidR="000B346A" w:rsidRPr="000B346A">
          <w:rPr>
            <w:rFonts w:ascii="Arial" w:hAnsi="Arial" w:cs="Arial"/>
            <w:sz w:val="18"/>
          </w:rPr>
          <w:t xml:space="preserve"> </w:t>
        </w:r>
      </w:p>
    </w:sdtContent>
  </w:sdt>
  <w:p w14:paraId="1FF13A2E" w14:textId="77777777" w:rsidR="00735AA5" w:rsidRDefault="00735A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D7994" w14:textId="77777777" w:rsidR="003F2D6C" w:rsidRDefault="003F2D6C" w:rsidP="00735AA5">
      <w:pPr>
        <w:spacing w:after="0" w:line="240" w:lineRule="auto"/>
      </w:pPr>
      <w:r>
        <w:separator/>
      </w:r>
    </w:p>
  </w:footnote>
  <w:footnote w:type="continuationSeparator" w:id="0">
    <w:p w14:paraId="6E994825" w14:textId="77777777" w:rsidR="003F2D6C" w:rsidRDefault="003F2D6C" w:rsidP="00735AA5">
      <w:pPr>
        <w:spacing w:after="0" w:line="240" w:lineRule="auto"/>
      </w:pPr>
      <w:r>
        <w:continuationSeparator/>
      </w:r>
    </w:p>
  </w:footnote>
  <w:footnote w:id="1">
    <w:p w14:paraId="11CFE694" w14:textId="0935F4F0" w:rsidR="003A5DB8" w:rsidRDefault="003A5DB8" w:rsidP="00EF7AC0">
      <w:pPr>
        <w:pStyle w:val="Tekstprzypisudolnego"/>
        <w:jc w:val="both"/>
      </w:pPr>
      <w:r>
        <w:rPr>
          <w:rStyle w:val="Odwoanieprzypisudolnego"/>
        </w:rPr>
        <w:footnoteRef/>
      </w:r>
      <w:r>
        <w:t xml:space="preserve"> </w:t>
      </w:r>
      <w:hyperlink r:id="rId1" w:history="1">
        <w:r w:rsidRPr="00552461">
          <w:rPr>
            <w:rStyle w:val="Hipercze"/>
          </w:rPr>
          <w:t>https://www.vossius.eu/fileadmin/Publications/Articles/The_Legal_500_Patent_Litigation_Country_Comparative_Guide_2019_Vossius_Partner.pdf</w:t>
        </w:r>
      </w:hyperlink>
      <w:r>
        <w:t xml:space="preserve"> </w:t>
      </w:r>
      <w:hyperlink r:id="rId2" w:history="1">
        <w:r w:rsidRPr="00552461">
          <w:rPr>
            <w:rStyle w:val="Hipercze"/>
          </w:rPr>
          <w:t>https://www.thebrandprotectionblog.com/2020/07/german-patent-interim-injunctions-require-the-patent-to-have-survived-validity-proceedings/</w:t>
        </w:r>
      </w:hyperlink>
      <w:r>
        <w:t xml:space="preserve"> </w:t>
      </w:r>
    </w:p>
  </w:footnote>
  <w:footnote w:id="2">
    <w:p w14:paraId="309C9C78" w14:textId="4BC1F14A" w:rsidR="003A5DB8" w:rsidRDefault="003A5DB8" w:rsidP="00EF7AC0">
      <w:pPr>
        <w:pStyle w:val="Tekstprzypisudolnego"/>
        <w:jc w:val="both"/>
      </w:pPr>
      <w:r>
        <w:rPr>
          <w:rStyle w:val="Odwoanieprzypisudolnego"/>
        </w:rPr>
        <w:footnoteRef/>
      </w:r>
      <w:r>
        <w:t xml:space="preserve"> W Niemczech listy ochronne są powszechnie stosowane w praktyce sądowej w sprawach z zakresu ochrony własności intelektualnej. Mimo braku regulacji ustawowej funkcjonuje centralny, elektroniczny rejestr listów ochronnych (Register </w:t>
      </w:r>
      <w:proofErr w:type="spellStart"/>
      <w:r>
        <w:t>für</w:t>
      </w:r>
      <w:proofErr w:type="spellEnd"/>
      <w:r>
        <w:t xml:space="preserve"> </w:t>
      </w:r>
      <w:proofErr w:type="spellStart"/>
      <w:r>
        <w:t>Schutzschriften</w:t>
      </w:r>
      <w:proofErr w:type="spellEnd"/>
      <w:r>
        <w:t xml:space="preserve">), który prowadzi Wyższy Sąd Krajowy we Frankfurcie, źródło: </w:t>
      </w:r>
      <w:hyperlink r:id="rId3" w:history="1">
        <w:r w:rsidRPr="00071F27">
          <w:rPr>
            <w:rStyle w:val="Hipercze"/>
          </w:rPr>
          <w:t>https://www.justiz.de/onlinedienste/schutzschriftenregister/index.php</w:t>
        </w:r>
      </w:hyperlink>
      <w:r>
        <w:t xml:space="preserve"> </w:t>
      </w:r>
    </w:p>
  </w:footnote>
  <w:footnote w:id="3">
    <w:p w14:paraId="56DB5F68" w14:textId="316C66D0" w:rsidR="003A5DB8" w:rsidRDefault="003A5DB8" w:rsidP="00EF7AC0">
      <w:pPr>
        <w:pStyle w:val="Tekstprzypisudolnego"/>
        <w:jc w:val="both"/>
      </w:pPr>
      <w:r>
        <w:rPr>
          <w:rStyle w:val="Odwoanieprzypisudolnego"/>
        </w:rPr>
        <w:footnoteRef/>
      </w:r>
      <w:r>
        <w:t xml:space="preserve"> </w:t>
      </w:r>
      <w:r w:rsidRPr="00EF7AC0">
        <w:t>Złożenie listu ochronnego jest możliwe tylko w Sądzie Rejonowym w Hadze jako posiadającego wyłączną jurysdykcję w sprawach dotyczących patentów i praw do ochrony roślin</w:t>
      </w:r>
      <w:r>
        <w:t xml:space="preserve">, źródło: </w:t>
      </w:r>
      <w:hyperlink r:id="rId4" w:history="1">
        <w:r w:rsidRPr="00EF7AC0">
          <w:rPr>
            <w:rStyle w:val="Hipercze"/>
          </w:rPr>
          <w:t>https://www.taylorwessing.com/en/insights-and-events/insights/2020/05/ex-parte-injunctions-in-the-netherlands?</w:t>
        </w:r>
      </w:hyperlink>
      <w:r>
        <w:t xml:space="preserve"> </w:t>
      </w:r>
    </w:p>
  </w:footnote>
  <w:footnote w:id="4">
    <w:p w14:paraId="5FE7E1E4" w14:textId="4559B40B" w:rsidR="003A5DB8" w:rsidRDefault="003A5DB8" w:rsidP="00EF7AC0">
      <w:pPr>
        <w:pStyle w:val="Tekstprzypisudolnego"/>
        <w:jc w:val="both"/>
      </w:pPr>
      <w:r>
        <w:rPr>
          <w:rStyle w:val="Odwoanieprzypisudolnego"/>
        </w:rPr>
        <w:footnoteRef/>
      </w:r>
      <w:r>
        <w:t xml:space="preserve"> W Belgii listy ochronne są powszechnie stosowane w praktyce sądowej w sprawach z zakresu ochrony własności intelektualnej, źródło: </w:t>
      </w:r>
      <w:hyperlink r:id="rId5" w:history="1">
        <w:r w:rsidRPr="00071F27">
          <w:rPr>
            <w:rStyle w:val="Hipercze"/>
          </w:rPr>
          <w:t>https://practiceguides.chambers.com/practice-guides/patent-litigation-2025/belgium</w:t>
        </w:r>
      </w:hyperlink>
      <w:r>
        <w:t xml:space="preserve"> </w:t>
      </w:r>
    </w:p>
  </w:footnote>
  <w:footnote w:id="5">
    <w:p w14:paraId="23749D31" w14:textId="602B35CC" w:rsidR="003A5DB8" w:rsidRPr="00EF7AC0" w:rsidRDefault="003A5DB8" w:rsidP="00EF7AC0">
      <w:pPr>
        <w:pStyle w:val="Tekstprzypisudolnego"/>
        <w:jc w:val="both"/>
      </w:pPr>
      <w:r>
        <w:rPr>
          <w:rStyle w:val="Odwoanieprzypisudolnego"/>
        </w:rPr>
        <w:footnoteRef/>
      </w:r>
      <w:r w:rsidRPr="00EF7AC0">
        <w:t xml:space="preserve"> Art. 270 </w:t>
      </w:r>
      <w:r>
        <w:t>szwajcarskiego K</w:t>
      </w:r>
      <w:r w:rsidRPr="00EF7AC0">
        <w:t xml:space="preserve">odeksu </w:t>
      </w:r>
      <w:r>
        <w:t>p</w:t>
      </w:r>
      <w:r w:rsidRPr="00EF7AC0">
        <w:t xml:space="preserve">ostępowania </w:t>
      </w:r>
      <w:r>
        <w:t>c</w:t>
      </w:r>
      <w:r w:rsidRPr="00EF7AC0">
        <w:t xml:space="preserve">ywilnego </w:t>
      </w:r>
      <w:r w:rsidRPr="00EF7AC0">
        <w:rPr>
          <w:i/>
          <w:iCs/>
        </w:rPr>
        <w:t>(</w:t>
      </w:r>
      <w:proofErr w:type="spellStart"/>
      <w:r w:rsidRPr="00EF7AC0">
        <w:rPr>
          <w:i/>
          <w:iCs/>
        </w:rPr>
        <w:t>Schweizerische</w:t>
      </w:r>
      <w:proofErr w:type="spellEnd"/>
      <w:r w:rsidRPr="00EF7AC0">
        <w:rPr>
          <w:i/>
          <w:iCs/>
        </w:rPr>
        <w:t xml:space="preserve"> </w:t>
      </w:r>
      <w:proofErr w:type="spellStart"/>
      <w:r w:rsidRPr="00EF7AC0">
        <w:rPr>
          <w:i/>
          <w:iCs/>
        </w:rPr>
        <w:t>Zivilprozessordnung</w:t>
      </w:r>
      <w:proofErr w:type="spellEnd"/>
      <w:r w:rsidRPr="00EF7AC0">
        <w:rPr>
          <w:i/>
          <w:iCs/>
        </w:rPr>
        <w:t xml:space="preserve"> </w:t>
      </w:r>
      <w:proofErr w:type="spellStart"/>
      <w:r w:rsidRPr="00EF7AC0">
        <w:rPr>
          <w:i/>
          <w:iCs/>
        </w:rPr>
        <w:t>vom</w:t>
      </w:r>
      <w:proofErr w:type="spellEnd"/>
      <w:r w:rsidRPr="00EF7AC0">
        <w:rPr>
          <w:i/>
          <w:iCs/>
        </w:rPr>
        <w:t xml:space="preserve"> 19. </w:t>
      </w:r>
      <w:proofErr w:type="spellStart"/>
      <w:r w:rsidRPr="00EF7AC0">
        <w:rPr>
          <w:i/>
          <w:iCs/>
        </w:rPr>
        <w:t>Dezember</w:t>
      </w:r>
      <w:proofErr w:type="spellEnd"/>
      <w:r w:rsidRPr="00EF7AC0">
        <w:rPr>
          <w:i/>
          <w:iCs/>
        </w:rPr>
        <w:t xml:space="preserve"> 2008</w:t>
      </w:r>
      <w:r w:rsidRPr="00EF7AC0">
        <w:t>)</w:t>
      </w:r>
      <w:r>
        <w:t xml:space="preserve">, źródło: </w:t>
      </w:r>
      <w:hyperlink r:id="rId6" w:history="1">
        <w:r w:rsidRPr="00071F27">
          <w:rPr>
            <w:rStyle w:val="Hipercze"/>
          </w:rPr>
          <w:t>https://www.fedlex.admin.ch/eli/cc/2010/262/de</w:t>
        </w:r>
      </w:hyperlink>
      <w:r>
        <w:t xml:space="preserve"> </w:t>
      </w:r>
    </w:p>
  </w:footnote>
  <w:footnote w:id="6">
    <w:p w14:paraId="39875A6C" w14:textId="4F7B0CD1" w:rsidR="003A5DB8" w:rsidRPr="00EF7AC0" w:rsidRDefault="003A5DB8" w:rsidP="00EF7AC0">
      <w:pPr>
        <w:pStyle w:val="Tekstprzypisudolnego"/>
        <w:jc w:val="both"/>
      </w:pPr>
      <w:r>
        <w:rPr>
          <w:rStyle w:val="Odwoanieprzypisudolnego"/>
        </w:rPr>
        <w:footnoteRef/>
      </w:r>
      <w:r>
        <w:t xml:space="preserve"> Art. 132 hiszpańskiej ustawy 24/2015 o patentach z dnia 24 lipca (</w:t>
      </w:r>
      <w:proofErr w:type="spellStart"/>
      <w:r w:rsidRPr="00EF7AC0">
        <w:rPr>
          <w:i/>
          <w:iCs/>
        </w:rPr>
        <w:t>Ley</w:t>
      </w:r>
      <w:proofErr w:type="spellEnd"/>
      <w:r w:rsidRPr="00EF7AC0">
        <w:rPr>
          <w:i/>
          <w:iCs/>
        </w:rPr>
        <w:t xml:space="preserve"> 24/2015, de 24 de </w:t>
      </w:r>
      <w:proofErr w:type="spellStart"/>
      <w:r w:rsidRPr="00EF7AC0">
        <w:rPr>
          <w:i/>
          <w:iCs/>
        </w:rPr>
        <w:t>julio</w:t>
      </w:r>
      <w:proofErr w:type="spellEnd"/>
      <w:r w:rsidRPr="00EF7AC0">
        <w:rPr>
          <w:i/>
          <w:iCs/>
        </w:rPr>
        <w:t xml:space="preserve">, de </w:t>
      </w:r>
      <w:proofErr w:type="spellStart"/>
      <w:r w:rsidRPr="00EF7AC0">
        <w:rPr>
          <w:i/>
          <w:iCs/>
        </w:rPr>
        <w:t>Patentes</w:t>
      </w:r>
      <w:proofErr w:type="spellEnd"/>
      <w:r>
        <w:t>),</w:t>
      </w:r>
      <w:r w:rsidRPr="00EF7AC0">
        <w:t xml:space="preserve"> źródło: </w:t>
      </w:r>
      <w:hyperlink r:id="rId7" w:history="1">
        <w:r w:rsidRPr="00071F27">
          <w:rPr>
            <w:rStyle w:val="Hipercze"/>
          </w:rPr>
          <w:t>https://www.boe.es/buscar/act.php?id=BOE-A-2015-8328</w:t>
        </w:r>
      </w:hyperlink>
      <w:r>
        <w:t xml:space="preserve"> </w:t>
      </w:r>
    </w:p>
  </w:footnote>
  <w:footnote w:id="7">
    <w:p w14:paraId="17274E77" w14:textId="40081C21" w:rsidR="00C84406" w:rsidRDefault="00C84406" w:rsidP="003F34CF">
      <w:pPr>
        <w:pStyle w:val="Tekstprzypisudolnego"/>
      </w:pPr>
      <w:r>
        <w:rPr>
          <w:rStyle w:val="Odwoanieprzypisudolnego"/>
        </w:rPr>
        <w:footnoteRef/>
      </w:r>
      <w:r>
        <w:t xml:space="preserve"> N</w:t>
      </w:r>
      <w:r w:rsidR="003F34CF">
        <w:t>ajwyższa Izba Kontroli</w:t>
      </w:r>
      <w:r>
        <w:t xml:space="preserve">, </w:t>
      </w:r>
      <w:r w:rsidRPr="00C84406">
        <w:t>„Zapewnienie sprawnego funkcjonowania wymiaru sprawiedliwości”</w:t>
      </w:r>
      <w:r w:rsidR="003F34CF">
        <w:t xml:space="preserve">, lipiec 2024, KPB.430.2.2024, Nr </w:t>
      </w:r>
      <w:proofErr w:type="spellStart"/>
      <w:r w:rsidR="003F34CF">
        <w:t>ewid</w:t>
      </w:r>
      <w:proofErr w:type="spellEnd"/>
      <w:r w:rsidR="003F34CF">
        <w:t>. 89/2024/P/23/030/KPB</w:t>
      </w:r>
    </w:p>
  </w:footnote>
  <w:footnote w:id="8">
    <w:p w14:paraId="3B50D748" w14:textId="32E6A3FC" w:rsidR="003A5DB8" w:rsidRDefault="003A5DB8" w:rsidP="00EF7AC0">
      <w:pPr>
        <w:pStyle w:val="Tekstprzypisudolnego"/>
        <w:jc w:val="both"/>
      </w:pPr>
      <w:r>
        <w:rPr>
          <w:rStyle w:val="Odwoanieprzypisudolnego"/>
        </w:rPr>
        <w:footnoteRef/>
      </w:r>
      <w:r>
        <w:t xml:space="preserve"> </w:t>
      </w:r>
      <w:r w:rsidRPr="00EF7AC0">
        <w:t xml:space="preserve">Raport </w:t>
      </w:r>
      <w:r w:rsidRPr="00EF7AC0">
        <w:rPr>
          <w:i/>
          <w:iCs/>
        </w:rPr>
        <w:t>„Symulacja korzyści z wejścia produktów generycznych dla molekuł DABIGATRANUM ETEXILATUM, RIVAROXABANUM oraz APIXABANUM”</w:t>
      </w:r>
    </w:p>
  </w:footnote>
  <w:footnote w:id="9">
    <w:p w14:paraId="3CF3E050" w14:textId="39D2430A" w:rsidR="003A5DB8" w:rsidRDefault="003A5DB8" w:rsidP="00EF7AC0">
      <w:pPr>
        <w:pStyle w:val="Tekstprzypisudolnego"/>
        <w:jc w:val="both"/>
      </w:pPr>
      <w:r>
        <w:rPr>
          <w:rStyle w:val="Odwoanieprzypisudolnego"/>
        </w:rPr>
        <w:footnoteRef/>
      </w:r>
      <w:r>
        <w:t xml:space="preserve"> Opinia Centrum Oceny Skutków Regulacji Uniwersytetu Warszawskiego do przepisów normujących instytucję postępowania zabezpieczającego w sprawach własności</w:t>
      </w:r>
    </w:p>
    <w:p w14:paraId="1D86B543" w14:textId="22FA9C58" w:rsidR="003A5DB8" w:rsidRDefault="003A5DB8" w:rsidP="00EF7AC0">
      <w:pPr>
        <w:pStyle w:val="Tekstprzypisudolnego"/>
        <w:jc w:val="both"/>
      </w:pPr>
      <w:r>
        <w:t xml:space="preserve">intelektualnej, wprowadzonym nowelizacją Kodeksu postępowania cywilnego z dnia 9 marca 2023 roku aut. prof. ucz. dr hab. Krzysztofa Koźmińskiego, prof. ucz. dr hab. Piotra Rylskiego oraz dr Katarzyny </w:t>
      </w:r>
      <w:proofErr w:type="spellStart"/>
      <w:r>
        <w:t>Kotruchow</w:t>
      </w:r>
      <w:proofErr w:type="spellEnd"/>
    </w:p>
  </w:footnote>
  <w:footnote w:id="10">
    <w:p w14:paraId="72061F91" w14:textId="77777777" w:rsidR="003A5DB8" w:rsidRDefault="003A5DB8" w:rsidP="00EF7AC0">
      <w:pPr>
        <w:pStyle w:val="Tekstprzypisudolnego"/>
        <w:jc w:val="both"/>
      </w:pPr>
      <w:r>
        <w:rPr>
          <w:rStyle w:val="Odwoanieprzypisudolnego"/>
        </w:rPr>
        <w:footnoteRef/>
      </w:r>
      <w:r>
        <w:t xml:space="preserve"> Pismo p. Marka Kosa Podsekretarza Stanu w Ministerstwie Zdrowia do p. Adama Bodnara Ministra Sprawiedliwości z dn. 3 listopada 2024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0" w:type="auto"/>
      <w:jc w:val="center"/>
      <w:tblLook w:val="04A0" w:firstRow="1" w:lastRow="0" w:firstColumn="1" w:lastColumn="0" w:noHBand="0" w:noVBand="1"/>
    </w:tblPr>
    <w:tblGrid>
      <w:gridCol w:w="554"/>
      <w:gridCol w:w="1911"/>
      <w:gridCol w:w="1855"/>
      <w:gridCol w:w="5565"/>
      <w:gridCol w:w="4109"/>
    </w:tblGrid>
    <w:tr w:rsidR="00136551" w:rsidRPr="00FF4480" w14:paraId="25235B4B" w14:textId="77777777" w:rsidTr="0058723C">
      <w:trPr>
        <w:trHeight w:val="592"/>
        <w:jc w:val="center"/>
      </w:trPr>
      <w:tc>
        <w:tcPr>
          <w:tcW w:w="554" w:type="dxa"/>
          <w:vAlign w:val="center"/>
        </w:tcPr>
        <w:p w14:paraId="3079F5C1" w14:textId="77777777" w:rsidR="00136551" w:rsidRPr="00FF4480" w:rsidRDefault="00136551" w:rsidP="00136551">
          <w:pPr>
            <w:jc w:val="center"/>
            <w:rPr>
              <w:rFonts w:ascii="Times New Roman" w:hAnsi="Times New Roman" w:cs="Times New Roman"/>
              <w:sz w:val="20"/>
            </w:rPr>
          </w:pPr>
          <w:r w:rsidRPr="00FF4480">
            <w:rPr>
              <w:rFonts w:ascii="Times New Roman" w:hAnsi="Times New Roman" w:cs="Times New Roman"/>
              <w:b/>
              <w:sz w:val="20"/>
            </w:rPr>
            <w:t>Lp</w:t>
          </w:r>
          <w:r w:rsidRPr="00FF4480">
            <w:rPr>
              <w:rFonts w:ascii="Times New Roman" w:hAnsi="Times New Roman" w:cs="Times New Roman"/>
              <w:sz w:val="20"/>
            </w:rPr>
            <w:t>.</w:t>
          </w:r>
        </w:p>
      </w:tc>
      <w:tc>
        <w:tcPr>
          <w:tcW w:w="1931" w:type="dxa"/>
          <w:vAlign w:val="center"/>
        </w:tcPr>
        <w:p w14:paraId="51D5B69E" w14:textId="77777777" w:rsidR="00136551" w:rsidRPr="00FF4480" w:rsidRDefault="00136551" w:rsidP="00136551">
          <w:pPr>
            <w:spacing w:after="60"/>
            <w:jc w:val="center"/>
            <w:rPr>
              <w:rFonts w:ascii="Times New Roman" w:hAnsi="Times New Roman" w:cs="Times New Roman"/>
              <w:b/>
              <w:bCs/>
              <w:sz w:val="20"/>
            </w:rPr>
          </w:pPr>
          <w:r w:rsidRPr="00FF4480">
            <w:rPr>
              <w:rFonts w:ascii="Times New Roman" w:hAnsi="Times New Roman" w:cs="Times New Roman"/>
              <w:b/>
              <w:bCs/>
              <w:sz w:val="20"/>
            </w:rPr>
            <w:t>Podmiot zgłaszający</w:t>
          </w:r>
          <w:r>
            <w:rPr>
              <w:rFonts w:ascii="Times New Roman" w:hAnsi="Times New Roman" w:cs="Times New Roman"/>
              <w:b/>
              <w:bCs/>
              <w:sz w:val="20"/>
            </w:rPr>
            <w:t xml:space="preserve"> uwagę</w:t>
          </w:r>
        </w:p>
      </w:tc>
      <w:tc>
        <w:tcPr>
          <w:tcW w:w="1876" w:type="dxa"/>
          <w:vAlign w:val="center"/>
        </w:tcPr>
        <w:p w14:paraId="07DD2410" w14:textId="77777777" w:rsidR="00314CFD" w:rsidRDefault="00136551" w:rsidP="00136551">
          <w:pPr>
            <w:jc w:val="center"/>
            <w:rPr>
              <w:rFonts w:ascii="Times New Roman" w:hAnsi="Times New Roman" w:cs="Times New Roman"/>
              <w:b/>
              <w:bCs/>
              <w:sz w:val="16"/>
              <w:szCs w:val="16"/>
            </w:rPr>
          </w:pPr>
          <w:r w:rsidRPr="00E738A5">
            <w:rPr>
              <w:rFonts w:ascii="Times New Roman" w:hAnsi="Times New Roman" w:cs="Times New Roman"/>
              <w:b/>
              <w:bCs/>
              <w:sz w:val="16"/>
              <w:szCs w:val="16"/>
            </w:rPr>
            <w:t>Jednostka redakcyjna</w:t>
          </w:r>
        </w:p>
        <w:p w14:paraId="22C0C0E7" w14:textId="77777777" w:rsidR="00314CFD" w:rsidRDefault="00314CFD" w:rsidP="00136551">
          <w:pPr>
            <w:jc w:val="center"/>
            <w:rPr>
              <w:rFonts w:ascii="Times New Roman" w:hAnsi="Times New Roman" w:cs="Times New Roman"/>
              <w:b/>
              <w:bCs/>
              <w:sz w:val="16"/>
              <w:szCs w:val="16"/>
            </w:rPr>
          </w:pPr>
          <w:r>
            <w:rPr>
              <w:rFonts w:ascii="Times New Roman" w:hAnsi="Times New Roman" w:cs="Times New Roman"/>
              <w:b/>
              <w:bCs/>
              <w:sz w:val="16"/>
              <w:szCs w:val="16"/>
            </w:rPr>
            <w:t>lub</w:t>
          </w:r>
          <w:r w:rsidR="00136551" w:rsidRPr="00E738A5">
            <w:rPr>
              <w:rFonts w:ascii="Times New Roman" w:hAnsi="Times New Roman" w:cs="Times New Roman"/>
              <w:b/>
              <w:bCs/>
              <w:sz w:val="16"/>
              <w:szCs w:val="16"/>
            </w:rPr>
            <w:t xml:space="preserve"> </w:t>
          </w:r>
          <w:r w:rsidR="00136551" w:rsidRPr="00E738A5">
            <w:rPr>
              <w:rFonts w:ascii="Times New Roman" w:hAnsi="Times New Roman" w:cs="Times New Roman"/>
              <w:b/>
              <w:bCs/>
              <w:sz w:val="16"/>
              <w:szCs w:val="16"/>
            </w:rPr>
            <w:br/>
          </w:r>
          <w:r>
            <w:rPr>
              <w:rFonts w:ascii="Times New Roman" w:hAnsi="Times New Roman" w:cs="Times New Roman"/>
              <w:b/>
              <w:bCs/>
              <w:sz w:val="16"/>
              <w:szCs w:val="16"/>
            </w:rPr>
            <w:t>s</w:t>
          </w:r>
          <w:r w:rsidR="00136551" w:rsidRPr="00E738A5">
            <w:rPr>
              <w:rFonts w:ascii="Times New Roman" w:hAnsi="Times New Roman" w:cs="Times New Roman"/>
              <w:b/>
              <w:bCs/>
              <w:sz w:val="16"/>
              <w:szCs w:val="16"/>
            </w:rPr>
            <w:t>tr</w:t>
          </w:r>
          <w:r w:rsidR="00963B6A">
            <w:rPr>
              <w:rFonts w:ascii="Times New Roman" w:hAnsi="Times New Roman" w:cs="Times New Roman"/>
              <w:b/>
              <w:bCs/>
              <w:sz w:val="16"/>
              <w:szCs w:val="16"/>
            </w:rPr>
            <w:t>ona</w:t>
          </w:r>
          <w:r w:rsidR="00136551" w:rsidRPr="00E738A5">
            <w:rPr>
              <w:rFonts w:ascii="Times New Roman" w:hAnsi="Times New Roman" w:cs="Times New Roman"/>
              <w:b/>
              <w:bCs/>
              <w:sz w:val="16"/>
              <w:szCs w:val="16"/>
            </w:rPr>
            <w:t xml:space="preserve"> uzasadnienia</w:t>
          </w:r>
        </w:p>
        <w:p w14:paraId="0ECBAC82" w14:textId="26BFB136" w:rsidR="00136551" w:rsidRPr="00E738A5" w:rsidRDefault="00314CFD" w:rsidP="00136551">
          <w:pPr>
            <w:jc w:val="center"/>
            <w:rPr>
              <w:rFonts w:ascii="Times New Roman" w:hAnsi="Times New Roman" w:cs="Times New Roman"/>
              <w:sz w:val="16"/>
              <w:szCs w:val="16"/>
            </w:rPr>
          </w:pPr>
          <w:r>
            <w:rPr>
              <w:rFonts w:ascii="Times New Roman" w:hAnsi="Times New Roman" w:cs="Times New Roman"/>
              <w:b/>
              <w:bCs/>
              <w:sz w:val="16"/>
              <w:szCs w:val="16"/>
            </w:rPr>
            <w:t>lub</w:t>
          </w:r>
          <w:r w:rsidR="00136551">
            <w:rPr>
              <w:rFonts w:ascii="Times New Roman" w:hAnsi="Times New Roman" w:cs="Times New Roman"/>
              <w:b/>
              <w:bCs/>
              <w:sz w:val="16"/>
              <w:szCs w:val="16"/>
            </w:rPr>
            <w:br/>
          </w:r>
          <w:r>
            <w:rPr>
              <w:rFonts w:ascii="Times New Roman" w:hAnsi="Times New Roman" w:cs="Times New Roman"/>
              <w:b/>
              <w:bCs/>
              <w:sz w:val="16"/>
              <w:szCs w:val="16"/>
            </w:rPr>
            <w:t>p</w:t>
          </w:r>
          <w:r w:rsidR="00136551" w:rsidRPr="00E738A5">
            <w:rPr>
              <w:rFonts w:ascii="Times New Roman" w:hAnsi="Times New Roman" w:cs="Times New Roman"/>
              <w:b/>
              <w:bCs/>
              <w:sz w:val="16"/>
              <w:szCs w:val="16"/>
            </w:rPr>
            <w:t>kt OSR</w:t>
          </w:r>
        </w:p>
      </w:tc>
      <w:tc>
        <w:tcPr>
          <w:tcW w:w="5670" w:type="dxa"/>
          <w:vAlign w:val="center"/>
        </w:tcPr>
        <w:p w14:paraId="36A5BA4A" w14:textId="29A25B97" w:rsidR="00136551" w:rsidRPr="00E35677" w:rsidRDefault="00136551" w:rsidP="00136551">
          <w:pPr>
            <w:jc w:val="center"/>
            <w:rPr>
              <w:rFonts w:ascii="Times New Roman" w:hAnsi="Times New Roman" w:cs="Times New Roman"/>
              <w:sz w:val="20"/>
            </w:rPr>
          </w:pPr>
          <w:r>
            <w:rPr>
              <w:rFonts w:ascii="Times New Roman" w:hAnsi="Times New Roman" w:cs="Times New Roman"/>
              <w:b/>
              <w:bCs/>
              <w:sz w:val="20"/>
            </w:rPr>
            <w:t>Treść uwagi</w:t>
          </w:r>
          <w:r w:rsidR="00314CFD">
            <w:rPr>
              <w:rFonts w:ascii="Times New Roman" w:hAnsi="Times New Roman" w:cs="Times New Roman"/>
              <w:b/>
              <w:bCs/>
              <w:sz w:val="20"/>
            </w:rPr>
            <w:t>/p</w:t>
          </w:r>
          <w:r>
            <w:rPr>
              <w:rFonts w:ascii="Times New Roman" w:hAnsi="Times New Roman" w:cs="Times New Roman"/>
              <w:b/>
              <w:bCs/>
              <w:sz w:val="20"/>
            </w:rPr>
            <w:t xml:space="preserve">ropozycja </w:t>
          </w:r>
          <w:r w:rsidR="00314CFD">
            <w:rPr>
              <w:rFonts w:ascii="Times New Roman" w:hAnsi="Times New Roman" w:cs="Times New Roman"/>
              <w:b/>
              <w:bCs/>
              <w:sz w:val="20"/>
            </w:rPr>
            <w:t>prze</w:t>
          </w:r>
          <w:r>
            <w:rPr>
              <w:rFonts w:ascii="Times New Roman" w:hAnsi="Times New Roman" w:cs="Times New Roman"/>
              <w:b/>
              <w:bCs/>
              <w:sz w:val="20"/>
            </w:rPr>
            <w:t>pisu</w:t>
          </w:r>
        </w:p>
      </w:tc>
      <w:tc>
        <w:tcPr>
          <w:tcW w:w="4189" w:type="dxa"/>
        </w:tcPr>
        <w:p w14:paraId="0EE8722A" w14:textId="77777777" w:rsidR="00136551" w:rsidRDefault="00136551" w:rsidP="00136551">
          <w:pPr>
            <w:jc w:val="center"/>
            <w:rPr>
              <w:rFonts w:ascii="Times New Roman" w:hAnsi="Times New Roman" w:cs="Times New Roman"/>
              <w:b/>
              <w:bCs/>
              <w:i/>
              <w:sz w:val="20"/>
            </w:rPr>
          </w:pPr>
        </w:p>
        <w:p w14:paraId="06708177" w14:textId="5FB44390" w:rsidR="00136551" w:rsidRPr="00E35677" w:rsidRDefault="00136551" w:rsidP="00136551">
          <w:pPr>
            <w:jc w:val="center"/>
            <w:rPr>
              <w:rFonts w:ascii="Times New Roman" w:hAnsi="Times New Roman" w:cs="Times New Roman"/>
              <w:b/>
              <w:bCs/>
              <w:sz w:val="20"/>
            </w:rPr>
          </w:pPr>
          <w:r>
            <w:rPr>
              <w:rFonts w:ascii="Times New Roman" w:hAnsi="Times New Roman" w:cs="Times New Roman"/>
              <w:b/>
              <w:bCs/>
              <w:sz w:val="20"/>
            </w:rPr>
            <w:t xml:space="preserve">Stanowisko </w:t>
          </w:r>
          <w:r w:rsidR="003514BB">
            <w:rPr>
              <w:rFonts w:ascii="Times New Roman" w:hAnsi="Times New Roman" w:cs="Times New Roman"/>
              <w:b/>
              <w:bCs/>
              <w:sz w:val="20"/>
            </w:rPr>
            <w:t>MS</w:t>
          </w:r>
        </w:p>
      </w:tc>
    </w:tr>
  </w:tbl>
  <w:p w14:paraId="58721467" w14:textId="77777777" w:rsidR="00136551" w:rsidRDefault="0013655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F4422"/>
    <w:multiLevelType w:val="hybridMultilevel"/>
    <w:tmpl w:val="1EA4D2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DB3421"/>
    <w:multiLevelType w:val="hybridMultilevel"/>
    <w:tmpl w:val="3F3C3062"/>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1F69C8"/>
    <w:multiLevelType w:val="hybridMultilevel"/>
    <w:tmpl w:val="401489DE"/>
    <w:lvl w:ilvl="0" w:tplc="2408B1AA">
      <w:start w:val="2"/>
      <w:numFmt w:val="decimal"/>
      <w:lvlText w:val="%1)"/>
      <w:lvlJc w:val="left"/>
      <w:pPr>
        <w:ind w:left="696" w:hanging="360"/>
      </w:pPr>
      <w:rPr>
        <w:rFonts w:hint="default"/>
      </w:rPr>
    </w:lvl>
    <w:lvl w:ilvl="1" w:tplc="04150019" w:tentative="1">
      <w:start w:val="1"/>
      <w:numFmt w:val="lowerLetter"/>
      <w:lvlText w:val="%2."/>
      <w:lvlJc w:val="left"/>
      <w:pPr>
        <w:ind w:left="1416" w:hanging="360"/>
      </w:pPr>
    </w:lvl>
    <w:lvl w:ilvl="2" w:tplc="0415001B" w:tentative="1">
      <w:start w:val="1"/>
      <w:numFmt w:val="lowerRoman"/>
      <w:lvlText w:val="%3."/>
      <w:lvlJc w:val="right"/>
      <w:pPr>
        <w:ind w:left="2136" w:hanging="180"/>
      </w:pPr>
    </w:lvl>
    <w:lvl w:ilvl="3" w:tplc="0415000F" w:tentative="1">
      <w:start w:val="1"/>
      <w:numFmt w:val="decimal"/>
      <w:lvlText w:val="%4."/>
      <w:lvlJc w:val="left"/>
      <w:pPr>
        <w:ind w:left="2856" w:hanging="360"/>
      </w:pPr>
    </w:lvl>
    <w:lvl w:ilvl="4" w:tplc="04150019" w:tentative="1">
      <w:start w:val="1"/>
      <w:numFmt w:val="lowerLetter"/>
      <w:lvlText w:val="%5."/>
      <w:lvlJc w:val="left"/>
      <w:pPr>
        <w:ind w:left="3576" w:hanging="360"/>
      </w:pPr>
    </w:lvl>
    <w:lvl w:ilvl="5" w:tplc="0415001B" w:tentative="1">
      <w:start w:val="1"/>
      <w:numFmt w:val="lowerRoman"/>
      <w:lvlText w:val="%6."/>
      <w:lvlJc w:val="right"/>
      <w:pPr>
        <w:ind w:left="4296" w:hanging="180"/>
      </w:pPr>
    </w:lvl>
    <w:lvl w:ilvl="6" w:tplc="0415000F" w:tentative="1">
      <w:start w:val="1"/>
      <w:numFmt w:val="decimal"/>
      <w:lvlText w:val="%7."/>
      <w:lvlJc w:val="left"/>
      <w:pPr>
        <w:ind w:left="5016" w:hanging="360"/>
      </w:pPr>
    </w:lvl>
    <w:lvl w:ilvl="7" w:tplc="04150019" w:tentative="1">
      <w:start w:val="1"/>
      <w:numFmt w:val="lowerLetter"/>
      <w:lvlText w:val="%8."/>
      <w:lvlJc w:val="left"/>
      <w:pPr>
        <w:ind w:left="5736" w:hanging="360"/>
      </w:pPr>
    </w:lvl>
    <w:lvl w:ilvl="8" w:tplc="0415001B" w:tentative="1">
      <w:start w:val="1"/>
      <w:numFmt w:val="lowerRoman"/>
      <w:lvlText w:val="%9."/>
      <w:lvlJc w:val="right"/>
      <w:pPr>
        <w:ind w:left="6456" w:hanging="180"/>
      </w:pPr>
    </w:lvl>
  </w:abstractNum>
  <w:abstractNum w:abstractNumId="3" w15:restartNumberingAfterBreak="0">
    <w:nsid w:val="102E7131"/>
    <w:multiLevelType w:val="hybridMultilevel"/>
    <w:tmpl w:val="BAF4D542"/>
    <w:lvl w:ilvl="0" w:tplc="0415000F">
      <w:start w:val="1"/>
      <w:numFmt w:val="decimal"/>
      <w:lvlText w:val="%1."/>
      <w:lvlJc w:val="left"/>
      <w:pPr>
        <w:ind w:left="360" w:hanging="360"/>
      </w:p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4" w15:restartNumberingAfterBreak="0">
    <w:nsid w:val="15772F5C"/>
    <w:multiLevelType w:val="hybridMultilevel"/>
    <w:tmpl w:val="62AA7BF8"/>
    <w:lvl w:ilvl="0" w:tplc="0415000F">
      <w:start w:val="1"/>
      <w:numFmt w:val="decimal"/>
      <w:lvlText w:val="%1."/>
      <w:lvlJc w:val="left"/>
      <w:pPr>
        <w:ind w:left="360" w:hanging="360"/>
      </w:p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5" w15:restartNumberingAfterBreak="0">
    <w:nsid w:val="1784680D"/>
    <w:multiLevelType w:val="hybridMultilevel"/>
    <w:tmpl w:val="2BB4171C"/>
    <w:lvl w:ilvl="0" w:tplc="BAE6A3BE">
      <w:start w:val="1"/>
      <w:numFmt w:val="decimal"/>
      <w:lvlText w:val="%1)"/>
      <w:lvlJc w:val="left"/>
      <w:pPr>
        <w:ind w:left="336" w:hanging="360"/>
      </w:pPr>
      <w:rPr>
        <w:rFonts w:hint="default"/>
      </w:rPr>
    </w:lvl>
    <w:lvl w:ilvl="1" w:tplc="04150019" w:tentative="1">
      <w:start w:val="1"/>
      <w:numFmt w:val="lowerLetter"/>
      <w:lvlText w:val="%2."/>
      <w:lvlJc w:val="left"/>
      <w:pPr>
        <w:ind w:left="1056" w:hanging="360"/>
      </w:pPr>
    </w:lvl>
    <w:lvl w:ilvl="2" w:tplc="0415001B" w:tentative="1">
      <w:start w:val="1"/>
      <w:numFmt w:val="lowerRoman"/>
      <w:lvlText w:val="%3."/>
      <w:lvlJc w:val="right"/>
      <w:pPr>
        <w:ind w:left="1776" w:hanging="180"/>
      </w:pPr>
    </w:lvl>
    <w:lvl w:ilvl="3" w:tplc="0415000F" w:tentative="1">
      <w:start w:val="1"/>
      <w:numFmt w:val="decimal"/>
      <w:lvlText w:val="%4."/>
      <w:lvlJc w:val="left"/>
      <w:pPr>
        <w:ind w:left="2496" w:hanging="360"/>
      </w:pPr>
    </w:lvl>
    <w:lvl w:ilvl="4" w:tplc="04150019" w:tentative="1">
      <w:start w:val="1"/>
      <w:numFmt w:val="lowerLetter"/>
      <w:lvlText w:val="%5."/>
      <w:lvlJc w:val="left"/>
      <w:pPr>
        <w:ind w:left="3216" w:hanging="360"/>
      </w:pPr>
    </w:lvl>
    <w:lvl w:ilvl="5" w:tplc="0415001B" w:tentative="1">
      <w:start w:val="1"/>
      <w:numFmt w:val="lowerRoman"/>
      <w:lvlText w:val="%6."/>
      <w:lvlJc w:val="right"/>
      <w:pPr>
        <w:ind w:left="3936" w:hanging="180"/>
      </w:pPr>
    </w:lvl>
    <w:lvl w:ilvl="6" w:tplc="0415000F" w:tentative="1">
      <w:start w:val="1"/>
      <w:numFmt w:val="decimal"/>
      <w:lvlText w:val="%7."/>
      <w:lvlJc w:val="left"/>
      <w:pPr>
        <w:ind w:left="4656" w:hanging="360"/>
      </w:pPr>
    </w:lvl>
    <w:lvl w:ilvl="7" w:tplc="04150019" w:tentative="1">
      <w:start w:val="1"/>
      <w:numFmt w:val="lowerLetter"/>
      <w:lvlText w:val="%8."/>
      <w:lvlJc w:val="left"/>
      <w:pPr>
        <w:ind w:left="5376" w:hanging="360"/>
      </w:pPr>
    </w:lvl>
    <w:lvl w:ilvl="8" w:tplc="0415001B" w:tentative="1">
      <w:start w:val="1"/>
      <w:numFmt w:val="lowerRoman"/>
      <w:lvlText w:val="%9."/>
      <w:lvlJc w:val="right"/>
      <w:pPr>
        <w:ind w:left="6096" w:hanging="180"/>
      </w:pPr>
    </w:lvl>
  </w:abstractNum>
  <w:abstractNum w:abstractNumId="6" w15:restartNumberingAfterBreak="0">
    <w:nsid w:val="1F484FB4"/>
    <w:multiLevelType w:val="hybridMultilevel"/>
    <w:tmpl w:val="49FA505E"/>
    <w:lvl w:ilvl="0" w:tplc="8B141934">
      <w:start w:val="20"/>
      <w:numFmt w:val="decimal"/>
      <w:lvlText w:val="%1"/>
      <w:lvlJc w:val="left"/>
      <w:pPr>
        <w:ind w:left="696" w:hanging="360"/>
      </w:pPr>
      <w:rPr>
        <w:rFonts w:hint="default"/>
      </w:rPr>
    </w:lvl>
    <w:lvl w:ilvl="1" w:tplc="04150019" w:tentative="1">
      <w:start w:val="1"/>
      <w:numFmt w:val="lowerLetter"/>
      <w:lvlText w:val="%2."/>
      <w:lvlJc w:val="left"/>
      <w:pPr>
        <w:ind w:left="1416" w:hanging="360"/>
      </w:pPr>
    </w:lvl>
    <w:lvl w:ilvl="2" w:tplc="0415001B" w:tentative="1">
      <w:start w:val="1"/>
      <w:numFmt w:val="lowerRoman"/>
      <w:lvlText w:val="%3."/>
      <w:lvlJc w:val="right"/>
      <w:pPr>
        <w:ind w:left="2136" w:hanging="180"/>
      </w:pPr>
    </w:lvl>
    <w:lvl w:ilvl="3" w:tplc="0415000F" w:tentative="1">
      <w:start w:val="1"/>
      <w:numFmt w:val="decimal"/>
      <w:lvlText w:val="%4."/>
      <w:lvlJc w:val="left"/>
      <w:pPr>
        <w:ind w:left="2856" w:hanging="360"/>
      </w:pPr>
    </w:lvl>
    <w:lvl w:ilvl="4" w:tplc="04150019" w:tentative="1">
      <w:start w:val="1"/>
      <w:numFmt w:val="lowerLetter"/>
      <w:lvlText w:val="%5."/>
      <w:lvlJc w:val="left"/>
      <w:pPr>
        <w:ind w:left="3576" w:hanging="360"/>
      </w:pPr>
    </w:lvl>
    <w:lvl w:ilvl="5" w:tplc="0415001B" w:tentative="1">
      <w:start w:val="1"/>
      <w:numFmt w:val="lowerRoman"/>
      <w:lvlText w:val="%6."/>
      <w:lvlJc w:val="right"/>
      <w:pPr>
        <w:ind w:left="4296" w:hanging="180"/>
      </w:pPr>
    </w:lvl>
    <w:lvl w:ilvl="6" w:tplc="0415000F" w:tentative="1">
      <w:start w:val="1"/>
      <w:numFmt w:val="decimal"/>
      <w:lvlText w:val="%7."/>
      <w:lvlJc w:val="left"/>
      <w:pPr>
        <w:ind w:left="5016" w:hanging="360"/>
      </w:pPr>
    </w:lvl>
    <w:lvl w:ilvl="7" w:tplc="04150019" w:tentative="1">
      <w:start w:val="1"/>
      <w:numFmt w:val="lowerLetter"/>
      <w:lvlText w:val="%8."/>
      <w:lvlJc w:val="left"/>
      <w:pPr>
        <w:ind w:left="5736" w:hanging="360"/>
      </w:pPr>
    </w:lvl>
    <w:lvl w:ilvl="8" w:tplc="0415001B" w:tentative="1">
      <w:start w:val="1"/>
      <w:numFmt w:val="lowerRoman"/>
      <w:lvlText w:val="%9."/>
      <w:lvlJc w:val="right"/>
      <w:pPr>
        <w:ind w:left="6456" w:hanging="180"/>
      </w:pPr>
    </w:lvl>
  </w:abstractNum>
  <w:abstractNum w:abstractNumId="7" w15:restartNumberingAfterBreak="0">
    <w:nsid w:val="2035363E"/>
    <w:multiLevelType w:val="hybridMultilevel"/>
    <w:tmpl w:val="BAF4D542"/>
    <w:lvl w:ilvl="0" w:tplc="0415000F">
      <w:start w:val="1"/>
      <w:numFmt w:val="decimal"/>
      <w:lvlText w:val="%1."/>
      <w:lvlJc w:val="left"/>
      <w:pPr>
        <w:ind w:left="360" w:hanging="360"/>
      </w:p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8" w15:restartNumberingAfterBreak="0">
    <w:nsid w:val="28724FB3"/>
    <w:multiLevelType w:val="hybridMultilevel"/>
    <w:tmpl w:val="A9FCAFBC"/>
    <w:lvl w:ilvl="0" w:tplc="3D345B40">
      <w:start w:val="1"/>
      <w:numFmt w:val="decimal"/>
      <w:lvlText w:val="%1."/>
      <w:lvlJc w:val="left"/>
      <w:pPr>
        <w:ind w:left="216"/>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3CC48AFE">
      <w:start w:val="1"/>
      <w:numFmt w:val="lowerLetter"/>
      <w:lvlText w:val="%2"/>
      <w:lvlJc w:val="left"/>
      <w:pPr>
        <w:ind w:left="10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CB7874D8">
      <w:start w:val="1"/>
      <w:numFmt w:val="lowerRoman"/>
      <w:lvlText w:val="%3"/>
      <w:lvlJc w:val="left"/>
      <w:pPr>
        <w:ind w:left="18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048E26D4">
      <w:start w:val="1"/>
      <w:numFmt w:val="decimal"/>
      <w:lvlText w:val="%4"/>
      <w:lvlJc w:val="left"/>
      <w:pPr>
        <w:ind w:left="25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16C01842">
      <w:start w:val="1"/>
      <w:numFmt w:val="lowerLetter"/>
      <w:lvlText w:val="%5"/>
      <w:lvlJc w:val="left"/>
      <w:pPr>
        <w:ind w:left="32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DFBE408E">
      <w:start w:val="1"/>
      <w:numFmt w:val="lowerRoman"/>
      <w:lvlText w:val="%6"/>
      <w:lvlJc w:val="left"/>
      <w:pPr>
        <w:ind w:left="39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02328748">
      <w:start w:val="1"/>
      <w:numFmt w:val="decimal"/>
      <w:lvlText w:val="%7"/>
      <w:lvlJc w:val="left"/>
      <w:pPr>
        <w:ind w:left="46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486851E0">
      <w:start w:val="1"/>
      <w:numFmt w:val="lowerLetter"/>
      <w:lvlText w:val="%8"/>
      <w:lvlJc w:val="left"/>
      <w:pPr>
        <w:ind w:left="54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7BA8506C">
      <w:start w:val="1"/>
      <w:numFmt w:val="lowerRoman"/>
      <w:lvlText w:val="%9"/>
      <w:lvlJc w:val="left"/>
      <w:pPr>
        <w:ind w:left="61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C405D94"/>
    <w:multiLevelType w:val="hybridMultilevel"/>
    <w:tmpl w:val="8FD69778"/>
    <w:lvl w:ilvl="0" w:tplc="4F5C0F8E">
      <w:start w:val="1"/>
      <w:numFmt w:val="decimal"/>
      <w:lvlText w:val="%1."/>
      <w:lvlJc w:val="left"/>
      <w:pPr>
        <w:ind w:left="223"/>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1" w:tplc="28768FF2">
      <w:start w:val="1"/>
      <w:numFmt w:val="lowerLetter"/>
      <w:lvlText w:val="%2"/>
      <w:lvlJc w:val="left"/>
      <w:pPr>
        <w:ind w:left="108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2" w:tplc="ABF42C02">
      <w:start w:val="1"/>
      <w:numFmt w:val="lowerRoman"/>
      <w:lvlText w:val="%3"/>
      <w:lvlJc w:val="left"/>
      <w:pPr>
        <w:ind w:left="180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3" w:tplc="CE866B0E">
      <w:start w:val="1"/>
      <w:numFmt w:val="decimal"/>
      <w:lvlText w:val="%4"/>
      <w:lvlJc w:val="left"/>
      <w:pPr>
        <w:ind w:left="252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4" w:tplc="4FDAACB2">
      <w:start w:val="1"/>
      <w:numFmt w:val="lowerLetter"/>
      <w:lvlText w:val="%5"/>
      <w:lvlJc w:val="left"/>
      <w:pPr>
        <w:ind w:left="324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5" w:tplc="A1E67CAE">
      <w:start w:val="1"/>
      <w:numFmt w:val="lowerRoman"/>
      <w:lvlText w:val="%6"/>
      <w:lvlJc w:val="left"/>
      <w:pPr>
        <w:ind w:left="396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6" w:tplc="AEAC9C48">
      <w:start w:val="1"/>
      <w:numFmt w:val="decimal"/>
      <w:lvlText w:val="%7"/>
      <w:lvlJc w:val="left"/>
      <w:pPr>
        <w:ind w:left="468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7" w:tplc="F34435F6">
      <w:start w:val="1"/>
      <w:numFmt w:val="lowerLetter"/>
      <w:lvlText w:val="%8"/>
      <w:lvlJc w:val="left"/>
      <w:pPr>
        <w:ind w:left="540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8" w:tplc="6F964550">
      <w:start w:val="1"/>
      <w:numFmt w:val="lowerRoman"/>
      <w:lvlText w:val="%9"/>
      <w:lvlJc w:val="left"/>
      <w:pPr>
        <w:ind w:left="612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31572DA"/>
    <w:multiLevelType w:val="hybridMultilevel"/>
    <w:tmpl w:val="BDA056DE"/>
    <w:lvl w:ilvl="0" w:tplc="0415000F">
      <w:start w:val="1"/>
      <w:numFmt w:val="decimal"/>
      <w:lvlText w:val="%1."/>
      <w:lvlJc w:val="left"/>
      <w:pPr>
        <w:ind w:left="360" w:hanging="360"/>
      </w:p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11" w15:restartNumberingAfterBreak="0">
    <w:nsid w:val="416D46F4"/>
    <w:multiLevelType w:val="hybridMultilevel"/>
    <w:tmpl w:val="91BEBE32"/>
    <w:lvl w:ilvl="0" w:tplc="0415000F">
      <w:start w:val="1"/>
      <w:numFmt w:val="decimal"/>
      <w:lvlText w:val="%1."/>
      <w:lvlJc w:val="left"/>
      <w:pPr>
        <w:ind w:left="360" w:hanging="360"/>
      </w:p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12" w15:restartNumberingAfterBreak="0">
    <w:nsid w:val="42F74FD3"/>
    <w:multiLevelType w:val="hybridMultilevel"/>
    <w:tmpl w:val="BAF4D542"/>
    <w:lvl w:ilvl="0" w:tplc="0415000F">
      <w:start w:val="1"/>
      <w:numFmt w:val="decimal"/>
      <w:lvlText w:val="%1."/>
      <w:lvlJc w:val="left"/>
      <w:pPr>
        <w:ind w:left="360" w:hanging="360"/>
      </w:p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13" w15:restartNumberingAfterBreak="0">
    <w:nsid w:val="49A45834"/>
    <w:multiLevelType w:val="multilevel"/>
    <w:tmpl w:val="082E21AE"/>
    <w:lvl w:ilvl="0">
      <w:start w:val="1"/>
      <w:numFmt w:val="decimal"/>
      <w:lvlText w:val="%1)"/>
      <w:lvlJc w:val="left"/>
      <w:pPr>
        <w:ind w:left="36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4" w15:restartNumberingAfterBreak="0">
    <w:nsid w:val="4C3D7A92"/>
    <w:multiLevelType w:val="hybridMultilevel"/>
    <w:tmpl w:val="A7086286"/>
    <w:lvl w:ilvl="0" w:tplc="81422714">
      <w:start w:val="1"/>
      <w:numFmt w:val="decimal"/>
      <w:lvlText w:val="%1)"/>
      <w:lvlJc w:val="left"/>
      <w:pPr>
        <w:ind w:left="870" w:hanging="360"/>
      </w:pPr>
      <w:rPr>
        <w:rFonts w:cs="Times New Roman"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15" w15:restartNumberingAfterBreak="0">
    <w:nsid w:val="4D2C5E34"/>
    <w:multiLevelType w:val="hybridMultilevel"/>
    <w:tmpl w:val="EE0A94B4"/>
    <w:lvl w:ilvl="0" w:tplc="0415000F">
      <w:start w:val="1"/>
      <w:numFmt w:val="decimal"/>
      <w:lvlText w:val="%1."/>
      <w:lvlJc w:val="left"/>
      <w:pPr>
        <w:ind w:left="360" w:hanging="360"/>
      </w:p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16" w15:restartNumberingAfterBreak="0">
    <w:nsid w:val="4EC052B0"/>
    <w:multiLevelType w:val="hybridMultilevel"/>
    <w:tmpl w:val="1F14AFD0"/>
    <w:lvl w:ilvl="0" w:tplc="0415000F">
      <w:start w:val="1"/>
      <w:numFmt w:val="decimal"/>
      <w:lvlText w:val="%1."/>
      <w:lvlJc w:val="left"/>
      <w:pPr>
        <w:ind w:left="360" w:hanging="360"/>
      </w:p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17" w15:restartNumberingAfterBreak="0">
    <w:nsid w:val="53DD0B2E"/>
    <w:multiLevelType w:val="hybridMultilevel"/>
    <w:tmpl w:val="6C7EC008"/>
    <w:lvl w:ilvl="0" w:tplc="0415000F">
      <w:start w:val="1"/>
      <w:numFmt w:val="decimal"/>
      <w:lvlText w:val="%1."/>
      <w:lvlJc w:val="left"/>
      <w:pPr>
        <w:ind w:left="643"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A800F7F"/>
    <w:multiLevelType w:val="hybridMultilevel"/>
    <w:tmpl w:val="EE0A94B4"/>
    <w:lvl w:ilvl="0" w:tplc="0415000F">
      <w:start w:val="1"/>
      <w:numFmt w:val="decimal"/>
      <w:lvlText w:val="%1."/>
      <w:lvlJc w:val="left"/>
      <w:pPr>
        <w:ind w:left="360" w:hanging="360"/>
      </w:p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19" w15:restartNumberingAfterBreak="0">
    <w:nsid w:val="6C7109D4"/>
    <w:multiLevelType w:val="hybridMultilevel"/>
    <w:tmpl w:val="F4C82F44"/>
    <w:lvl w:ilvl="0" w:tplc="BBC653A2">
      <w:start w:val="1"/>
      <w:numFmt w:val="decimal"/>
      <w:lvlText w:val="%1)"/>
      <w:lvlJc w:val="left"/>
      <w:pPr>
        <w:ind w:left="321" w:hanging="360"/>
      </w:pPr>
      <w:rPr>
        <w:rFonts w:hint="default"/>
        <w:color w:val="000000" w:themeColor="text1"/>
      </w:rPr>
    </w:lvl>
    <w:lvl w:ilvl="1" w:tplc="04150019" w:tentative="1">
      <w:start w:val="1"/>
      <w:numFmt w:val="lowerLetter"/>
      <w:lvlText w:val="%2."/>
      <w:lvlJc w:val="left"/>
      <w:pPr>
        <w:ind w:left="1041" w:hanging="360"/>
      </w:pPr>
    </w:lvl>
    <w:lvl w:ilvl="2" w:tplc="0415001B" w:tentative="1">
      <w:start w:val="1"/>
      <w:numFmt w:val="lowerRoman"/>
      <w:lvlText w:val="%3."/>
      <w:lvlJc w:val="right"/>
      <w:pPr>
        <w:ind w:left="1761" w:hanging="180"/>
      </w:pPr>
    </w:lvl>
    <w:lvl w:ilvl="3" w:tplc="0415000F" w:tentative="1">
      <w:start w:val="1"/>
      <w:numFmt w:val="decimal"/>
      <w:lvlText w:val="%4."/>
      <w:lvlJc w:val="left"/>
      <w:pPr>
        <w:ind w:left="2481" w:hanging="360"/>
      </w:pPr>
    </w:lvl>
    <w:lvl w:ilvl="4" w:tplc="04150019" w:tentative="1">
      <w:start w:val="1"/>
      <w:numFmt w:val="lowerLetter"/>
      <w:lvlText w:val="%5."/>
      <w:lvlJc w:val="left"/>
      <w:pPr>
        <w:ind w:left="3201" w:hanging="360"/>
      </w:pPr>
    </w:lvl>
    <w:lvl w:ilvl="5" w:tplc="0415001B" w:tentative="1">
      <w:start w:val="1"/>
      <w:numFmt w:val="lowerRoman"/>
      <w:lvlText w:val="%6."/>
      <w:lvlJc w:val="right"/>
      <w:pPr>
        <w:ind w:left="3921" w:hanging="180"/>
      </w:pPr>
    </w:lvl>
    <w:lvl w:ilvl="6" w:tplc="0415000F" w:tentative="1">
      <w:start w:val="1"/>
      <w:numFmt w:val="decimal"/>
      <w:lvlText w:val="%7."/>
      <w:lvlJc w:val="left"/>
      <w:pPr>
        <w:ind w:left="4641" w:hanging="360"/>
      </w:pPr>
    </w:lvl>
    <w:lvl w:ilvl="7" w:tplc="04150019" w:tentative="1">
      <w:start w:val="1"/>
      <w:numFmt w:val="lowerLetter"/>
      <w:lvlText w:val="%8."/>
      <w:lvlJc w:val="left"/>
      <w:pPr>
        <w:ind w:left="5361" w:hanging="360"/>
      </w:pPr>
    </w:lvl>
    <w:lvl w:ilvl="8" w:tplc="0415001B" w:tentative="1">
      <w:start w:val="1"/>
      <w:numFmt w:val="lowerRoman"/>
      <w:lvlText w:val="%9."/>
      <w:lvlJc w:val="right"/>
      <w:pPr>
        <w:ind w:left="6081" w:hanging="180"/>
      </w:pPr>
    </w:lvl>
  </w:abstractNum>
  <w:abstractNum w:abstractNumId="20" w15:restartNumberingAfterBreak="0">
    <w:nsid w:val="703E54E6"/>
    <w:multiLevelType w:val="hybridMultilevel"/>
    <w:tmpl w:val="1F14AFD0"/>
    <w:lvl w:ilvl="0" w:tplc="0415000F">
      <w:start w:val="1"/>
      <w:numFmt w:val="decimal"/>
      <w:lvlText w:val="%1."/>
      <w:lvlJc w:val="left"/>
      <w:pPr>
        <w:ind w:left="360" w:hanging="360"/>
      </w:p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21" w15:restartNumberingAfterBreak="0">
    <w:nsid w:val="72253848"/>
    <w:multiLevelType w:val="hybridMultilevel"/>
    <w:tmpl w:val="8F10F6AE"/>
    <w:lvl w:ilvl="0" w:tplc="C7B04F10">
      <w:start w:val="2"/>
      <w:numFmt w:val="decimal"/>
      <w:lvlText w:val="%1)"/>
      <w:lvlJc w:val="left"/>
      <w:pPr>
        <w:ind w:left="336" w:hanging="360"/>
      </w:pPr>
      <w:rPr>
        <w:rFonts w:hint="default"/>
      </w:rPr>
    </w:lvl>
    <w:lvl w:ilvl="1" w:tplc="04150019" w:tentative="1">
      <w:start w:val="1"/>
      <w:numFmt w:val="lowerLetter"/>
      <w:lvlText w:val="%2."/>
      <w:lvlJc w:val="left"/>
      <w:pPr>
        <w:ind w:left="1056" w:hanging="360"/>
      </w:pPr>
    </w:lvl>
    <w:lvl w:ilvl="2" w:tplc="0415001B" w:tentative="1">
      <w:start w:val="1"/>
      <w:numFmt w:val="lowerRoman"/>
      <w:lvlText w:val="%3."/>
      <w:lvlJc w:val="right"/>
      <w:pPr>
        <w:ind w:left="1776" w:hanging="180"/>
      </w:pPr>
    </w:lvl>
    <w:lvl w:ilvl="3" w:tplc="0415000F" w:tentative="1">
      <w:start w:val="1"/>
      <w:numFmt w:val="decimal"/>
      <w:lvlText w:val="%4."/>
      <w:lvlJc w:val="left"/>
      <w:pPr>
        <w:ind w:left="2496" w:hanging="360"/>
      </w:pPr>
    </w:lvl>
    <w:lvl w:ilvl="4" w:tplc="04150019" w:tentative="1">
      <w:start w:val="1"/>
      <w:numFmt w:val="lowerLetter"/>
      <w:lvlText w:val="%5."/>
      <w:lvlJc w:val="left"/>
      <w:pPr>
        <w:ind w:left="3216" w:hanging="360"/>
      </w:pPr>
    </w:lvl>
    <w:lvl w:ilvl="5" w:tplc="0415001B" w:tentative="1">
      <w:start w:val="1"/>
      <w:numFmt w:val="lowerRoman"/>
      <w:lvlText w:val="%6."/>
      <w:lvlJc w:val="right"/>
      <w:pPr>
        <w:ind w:left="3936" w:hanging="180"/>
      </w:pPr>
    </w:lvl>
    <w:lvl w:ilvl="6" w:tplc="0415000F" w:tentative="1">
      <w:start w:val="1"/>
      <w:numFmt w:val="decimal"/>
      <w:lvlText w:val="%7."/>
      <w:lvlJc w:val="left"/>
      <w:pPr>
        <w:ind w:left="4656" w:hanging="360"/>
      </w:pPr>
    </w:lvl>
    <w:lvl w:ilvl="7" w:tplc="04150019" w:tentative="1">
      <w:start w:val="1"/>
      <w:numFmt w:val="lowerLetter"/>
      <w:lvlText w:val="%8."/>
      <w:lvlJc w:val="left"/>
      <w:pPr>
        <w:ind w:left="5376" w:hanging="360"/>
      </w:pPr>
    </w:lvl>
    <w:lvl w:ilvl="8" w:tplc="0415001B" w:tentative="1">
      <w:start w:val="1"/>
      <w:numFmt w:val="lowerRoman"/>
      <w:lvlText w:val="%9."/>
      <w:lvlJc w:val="right"/>
      <w:pPr>
        <w:ind w:left="6096" w:hanging="180"/>
      </w:pPr>
    </w:lvl>
  </w:abstractNum>
  <w:abstractNum w:abstractNumId="22" w15:restartNumberingAfterBreak="0">
    <w:nsid w:val="764744B3"/>
    <w:multiLevelType w:val="hybridMultilevel"/>
    <w:tmpl w:val="363600DC"/>
    <w:lvl w:ilvl="0" w:tplc="FF98001A">
      <w:start w:val="1"/>
      <w:numFmt w:val="decimal"/>
      <w:lvlText w:val="%1)"/>
      <w:lvlJc w:val="left"/>
      <w:pPr>
        <w:ind w:left="405" w:hanging="360"/>
      </w:pPr>
      <w:rPr>
        <w:rFonts w:hint="default"/>
        <w:u w:val="none"/>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3" w15:restartNumberingAfterBreak="0">
    <w:nsid w:val="7B47264F"/>
    <w:multiLevelType w:val="hybridMultilevel"/>
    <w:tmpl w:val="222087AA"/>
    <w:lvl w:ilvl="0" w:tplc="0415000F">
      <w:start w:val="1"/>
      <w:numFmt w:val="decimal"/>
      <w:lvlText w:val="%1."/>
      <w:lvlJc w:val="left"/>
      <w:pPr>
        <w:ind w:left="643"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EC81B9E"/>
    <w:multiLevelType w:val="hybridMultilevel"/>
    <w:tmpl w:val="DAFC9EEA"/>
    <w:lvl w:ilvl="0" w:tplc="0415000F">
      <w:start w:val="1"/>
      <w:numFmt w:val="decimal"/>
      <w:lvlText w:val="%1."/>
      <w:lvlJc w:val="left"/>
      <w:pPr>
        <w:ind w:left="360" w:hanging="360"/>
      </w:p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num w:numId="1" w16cid:durableId="523983761">
    <w:abstractNumId w:val="5"/>
  </w:num>
  <w:num w:numId="2" w16cid:durableId="815488171">
    <w:abstractNumId w:val="6"/>
  </w:num>
  <w:num w:numId="3" w16cid:durableId="1420517276">
    <w:abstractNumId w:val="21"/>
  </w:num>
  <w:num w:numId="4" w16cid:durableId="2097094140">
    <w:abstractNumId w:val="2"/>
  </w:num>
  <w:num w:numId="5" w16cid:durableId="532886631">
    <w:abstractNumId w:val="22"/>
  </w:num>
  <w:num w:numId="6" w16cid:durableId="252739507">
    <w:abstractNumId w:val="19"/>
  </w:num>
  <w:num w:numId="7" w16cid:durableId="1310207742">
    <w:abstractNumId w:val="0"/>
  </w:num>
  <w:num w:numId="8" w16cid:durableId="897476440">
    <w:abstractNumId w:val="1"/>
  </w:num>
  <w:num w:numId="9" w16cid:durableId="649286704">
    <w:abstractNumId w:val="17"/>
  </w:num>
  <w:num w:numId="10" w16cid:durableId="1673408923">
    <w:abstractNumId w:val="10"/>
  </w:num>
  <w:num w:numId="11" w16cid:durableId="1238974517">
    <w:abstractNumId w:val="24"/>
  </w:num>
  <w:num w:numId="12" w16cid:durableId="1981494142">
    <w:abstractNumId w:val="23"/>
  </w:num>
  <w:num w:numId="13" w16cid:durableId="2013874788">
    <w:abstractNumId w:val="18"/>
  </w:num>
  <w:num w:numId="14" w16cid:durableId="2009281908">
    <w:abstractNumId w:val="15"/>
  </w:num>
  <w:num w:numId="15" w16cid:durableId="736320179">
    <w:abstractNumId w:val="11"/>
  </w:num>
  <w:num w:numId="16" w16cid:durableId="1622957694">
    <w:abstractNumId w:val="4"/>
  </w:num>
  <w:num w:numId="17" w16cid:durableId="277682792">
    <w:abstractNumId w:val="13"/>
  </w:num>
  <w:num w:numId="18" w16cid:durableId="1305770405">
    <w:abstractNumId w:val="14"/>
  </w:num>
  <w:num w:numId="19" w16cid:durableId="781415113">
    <w:abstractNumId w:val="12"/>
  </w:num>
  <w:num w:numId="20" w16cid:durableId="954554564">
    <w:abstractNumId w:val="7"/>
  </w:num>
  <w:num w:numId="21" w16cid:durableId="696735857">
    <w:abstractNumId w:val="3"/>
  </w:num>
  <w:num w:numId="22" w16cid:durableId="1129906687">
    <w:abstractNumId w:val="20"/>
  </w:num>
  <w:num w:numId="23" w16cid:durableId="1125849322">
    <w:abstractNumId w:val="16"/>
  </w:num>
  <w:num w:numId="24" w16cid:durableId="9452220">
    <w:abstractNumId w:val="9"/>
  </w:num>
  <w:num w:numId="25" w16cid:durableId="10780134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157"/>
    <w:rsid w:val="000002F3"/>
    <w:rsid w:val="00007A02"/>
    <w:rsid w:val="0001501B"/>
    <w:rsid w:val="000153D6"/>
    <w:rsid w:val="000161F5"/>
    <w:rsid w:val="00017F99"/>
    <w:rsid w:val="000201EB"/>
    <w:rsid w:val="0002291B"/>
    <w:rsid w:val="000361E2"/>
    <w:rsid w:val="00041E00"/>
    <w:rsid w:val="00047194"/>
    <w:rsid w:val="000566FC"/>
    <w:rsid w:val="000662BB"/>
    <w:rsid w:val="000770E3"/>
    <w:rsid w:val="00084004"/>
    <w:rsid w:val="0008455A"/>
    <w:rsid w:val="00084817"/>
    <w:rsid w:val="00084A2A"/>
    <w:rsid w:val="00085E2E"/>
    <w:rsid w:val="000911E2"/>
    <w:rsid w:val="00091F2A"/>
    <w:rsid w:val="000A1628"/>
    <w:rsid w:val="000A29E8"/>
    <w:rsid w:val="000A32E5"/>
    <w:rsid w:val="000A6778"/>
    <w:rsid w:val="000B1157"/>
    <w:rsid w:val="000B346A"/>
    <w:rsid w:val="000C00BA"/>
    <w:rsid w:val="000C2581"/>
    <w:rsid w:val="000C2E71"/>
    <w:rsid w:val="000C3E91"/>
    <w:rsid w:val="000D3780"/>
    <w:rsid w:val="000D5B0B"/>
    <w:rsid w:val="000F2507"/>
    <w:rsid w:val="000F5893"/>
    <w:rsid w:val="000F60F2"/>
    <w:rsid w:val="001146C0"/>
    <w:rsid w:val="001361B5"/>
    <w:rsid w:val="00136551"/>
    <w:rsid w:val="001403D6"/>
    <w:rsid w:val="00140448"/>
    <w:rsid w:val="00141978"/>
    <w:rsid w:val="001470CE"/>
    <w:rsid w:val="00151C2E"/>
    <w:rsid w:val="00160D58"/>
    <w:rsid w:val="00160DFF"/>
    <w:rsid w:val="001613DB"/>
    <w:rsid w:val="00170B98"/>
    <w:rsid w:val="00170E91"/>
    <w:rsid w:val="00176DB4"/>
    <w:rsid w:val="00177EC3"/>
    <w:rsid w:val="00186B6F"/>
    <w:rsid w:val="00187D24"/>
    <w:rsid w:val="00187E3D"/>
    <w:rsid w:val="00190C60"/>
    <w:rsid w:val="0019322F"/>
    <w:rsid w:val="00193AB3"/>
    <w:rsid w:val="001A3C91"/>
    <w:rsid w:val="001A47AE"/>
    <w:rsid w:val="001A52DF"/>
    <w:rsid w:val="001A6A56"/>
    <w:rsid w:val="001C4E87"/>
    <w:rsid w:val="001D7B92"/>
    <w:rsid w:val="001E01AE"/>
    <w:rsid w:val="001E6DFD"/>
    <w:rsid w:val="001F0431"/>
    <w:rsid w:val="001F1F78"/>
    <w:rsid w:val="001F3A0F"/>
    <w:rsid w:val="001F4958"/>
    <w:rsid w:val="001F51B9"/>
    <w:rsid w:val="001F780C"/>
    <w:rsid w:val="002010B4"/>
    <w:rsid w:val="0020210D"/>
    <w:rsid w:val="0020383B"/>
    <w:rsid w:val="00211E49"/>
    <w:rsid w:val="00225203"/>
    <w:rsid w:val="00226774"/>
    <w:rsid w:val="00242233"/>
    <w:rsid w:val="00243533"/>
    <w:rsid w:val="0024476B"/>
    <w:rsid w:val="00252F32"/>
    <w:rsid w:val="002618F3"/>
    <w:rsid w:val="002660F1"/>
    <w:rsid w:val="002662EA"/>
    <w:rsid w:val="00271B94"/>
    <w:rsid w:val="002724CC"/>
    <w:rsid w:val="00282ADB"/>
    <w:rsid w:val="0028475B"/>
    <w:rsid w:val="002936DB"/>
    <w:rsid w:val="002968CB"/>
    <w:rsid w:val="002973A6"/>
    <w:rsid w:val="002A11F8"/>
    <w:rsid w:val="002A3C58"/>
    <w:rsid w:val="002A3F06"/>
    <w:rsid w:val="002A6ED8"/>
    <w:rsid w:val="002B3D3E"/>
    <w:rsid w:val="002B44EC"/>
    <w:rsid w:val="002B51BD"/>
    <w:rsid w:val="002C136E"/>
    <w:rsid w:val="002C46ED"/>
    <w:rsid w:val="002C53B8"/>
    <w:rsid w:val="002D571D"/>
    <w:rsid w:val="002D60B8"/>
    <w:rsid w:val="002E0918"/>
    <w:rsid w:val="002E3840"/>
    <w:rsid w:val="002E5771"/>
    <w:rsid w:val="002E5967"/>
    <w:rsid w:val="002F302C"/>
    <w:rsid w:val="00305C89"/>
    <w:rsid w:val="00310EDF"/>
    <w:rsid w:val="003134CA"/>
    <w:rsid w:val="00314CFD"/>
    <w:rsid w:val="0031590F"/>
    <w:rsid w:val="00315A5B"/>
    <w:rsid w:val="00321831"/>
    <w:rsid w:val="00322BC5"/>
    <w:rsid w:val="00323B52"/>
    <w:rsid w:val="003243F9"/>
    <w:rsid w:val="003248FE"/>
    <w:rsid w:val="003344E3"/>
    <w:rsid w:val="0033797A"/>
    <w:rsid w:val="00344906"/>
    <w:rsid w:val="003462B1"/>
    <w:rsid w:val="003514BB"/>
    <w:rsid w:val="003565A1"/>
    <w:rsid w:val="003706A6"/>
    <w:rsid w:val="003A430E"/>
    <w:rsid w:val="003A5DB8"/>
    <w:rsid w:val="003B476B"/>
    <w:rsid w:val="003C1000"/>
    <w:rsid w:val="003D1CAB"/>
    <w:rsid w:val="003D2B9E"/>
    <w:rsid w:val="003D38BE"/>
    <w:rsid w:val="003D7D21"/>
    <w:rsid w:val="003E5D74"/>
    <w:rsid w:val="003F0432"/>
    <w:rsid w:val="003F148E"/>
    <w:rsid w:val="003F2D6C"/>
    <w:rsid w:val="003F2ED2"/>
    <w:rsid w:val="003F34CF"/>
    <w:rsid w:val="00400E97"/>
    <w:rsid w:val="00405079"/>
    <w:rsid w:val="004140D9"/>
    <w:rsid w:val="00414EA2"/>
    <w:rsid w:val="00430ADA"/>
    <w:rsid w:val="00434B0D"/>
    <w:rsid w:val="00443077"/>
    <w:rsid w:val="00450399"/>
    <w:rsid w:val="004517EC"/>
    <w:rsid w:val="00452E52"/>
    <w:rsid w:val="004571F4"/>
    <w:rsid w:val="004577CA"/>
    <w:rsid w:val="00462F0E"/>
    <w:rsid w:val="0047582C"/>
    <w:rsid w:val="004806C0"/>
    <w:rsid w:val="00491A60"/>
    <w:rsid w:val="0049593A"/>
    <w:rsid w:val="004977F7"/>
    <w:rsid w:val="004A28E0"/>
    <w:rsid w:val="004A7895"/>
    <w:rsid w:val="004B01B6"/>
    <w:rsid w:val="004B03CE"/>
    <w:rsid w:val="004B1553"/>
    <w:rsid w:val="004B1644"/>
    <w:rsid w:val="004C2F6D"/>
    <w:rsid w:val="004E0816"/>
    <w:rsid w:val="004E7994"/>
    <w:rsid w:val="004F04BC"/>
    <w:rsid w:val="004F5F18"/>
    <w:rsid w:val="0050045E"/>
    <w:rsid w:val="00503F67"/>
    <w:rsid w:val="005040BC"/>
    <w:rsid w:val="005054C0"/>
    <w:rsid w:val="00513290"/>
    <w:rsid w:val="0051434B"/>
    <w:rsid w:val="005166F6"/>
    <w:rsid w:val="0051743F"/>
    <w:rsid w:val="00523932"/>
    <w:rsid w:val="005320BC"/>
    <w:rsid w:val="0053319B"/>
    <w:rsid w:val="005344E1"/>
    <w:rsid w:val="00534A82"/>
    <w:rsid w:val="00537F4C"/>
    <w:rsid w:val="005418E2"/>
    <w:rsid w:val="0054575C"/>
    <w:rsid w:val="00545CD3"/>
    <w:rsid w:val="00546B45"/>
    <w:rsid w:val="005471C2"/>
    <w:rsid w:val="00550EAD"/>
    <w:rsid w:val="00553107"/>
    <w:rsid w:val="00555265"/>
    <w:rsid w:val="00563A78"/>
    <w:rsid w:val="00565B12"/>
    <w:rsid w:val="0057151E"/>
    <w:rsid w:val="005756BE"/>
    <w:rsid w:val="00575BE0"/>
    <w:rsid w:val="00576D40"/>
    <w:rsid w:val="0058530C"/>
    <w:rsid w:val="0058723C"/>
    <w:rsid w:val="00592953"/>
    <w:rsid w:val="005A5DD9"/>
    <w:rsid w:val="005A7AD5"/>
    <w:rsid w:val="005B06DC"/>
    <w:rsid w:val="005B1B05"/>
    <w:rsid w:val="005B2273"/>
    <w:rsid w:val="005B7004"/>
    <w:rsid w:val="005C23F7"/>
    <w:rsid w:val="005C644D"/>
    <w:rsid w:val="005D442D"/>
    <w:rsid w:val="005D779C"/>
    <w:rsid w:val="005E2536"/>
    <w:rsid w:val="005E3599"/>
    <w:rsid w:val="005E6F43"/>
    <w:rsid w:val="005F7563"/>
    <w:rsid w:val="006001B6"/>
    <w:rsid w:val="00602CEE"/>
    <w:rsid w:val="00602F77"/>
    <w:rsid w:val="00611583"/>
    <w:rsid w:val="006156DE"/>
    <w:rsid w:val="00621334"/>
    <w:rsid w:val="0063071F"/>
    <w:rsid w:val="006315C4"/>
    <w:rsid w:val="006354CF"/>
    <w:rsid w:val="00635659"/>
    <w:rsid w:val="006375BD"/>
    <w:rsid w:val="00644344"/>
    <w:rsid w:val="00650E16"/>
    <w:rsid w:val="006540FB"/>
    <w:rsid w:val="00664802"/>
    <w:rsid w:val="006669AD"/>
    <w:rsid w:val="00666B2B"/>
    <w:rsid w:val="0067271E"/>
    <w:rsid w:val="00674BCF"/>
    <w:rsid w:val="006771BA"/>
    <w:rsid w:val="00682C1C"/>
    <w:rsid w:val="0069368F"/>
    <w:rsid w:val="00693EAB"/>
    <w:rsid w:val="006A1D66"/>
    <w:rsid w:val="006B587B"/>
    <w:rsid w:val="006B61AD"/>
    <w:rsid w:val="006B6544"/>
    <w:rsid w:val="006C2BC9"/>
    <w:rsid w:val="006C42B2"/>
    <w:rsid w:val="006C6A0B"/>
    <w:rsid w:val="006C7994"/>
    <w:rsid w:val="006D0AE4"/>
    <w:rsid w:val="006D2496"/>
    <w:rsid w:val="006D307A"/>
    <w:rsid w:val="006E3E8F"/>
    <w:rsid w:val="006F0D7B"/>
    <w:rsid w:val="006F1155"/>
    <w:rsid w:val="006F373A"/>
    <w:rsid w:val="006F5932"/>
    <w:rsid w:val="006F6137"/>
    <w:rsid w:val="00700551"/>
    <w:rsid w:val="007018E8"/>
    <w:rsid w:val="007023BB"/>
    <w:rsid w:val="00712752"/>
    <w:rsid w:val="00715C7A"/>
    <w:rsid w:val="007166EC"/>
    <w:rsid w:val="0072319E"/>
    <w:rsid w:val="00730C35"/>
    <w:rsid w:val="00735AA5"/>
    <w:rsid w:val="00741A58"/>
    <w:rsid w:val="00742660"/>
    <w:rsid w:val="00750CCB"/>
    <w:rsid w:val="00751B0F"/>
    <w:rsid w:val="00755562"/>
    <w:rsid w:val="00756A51"/>
    <w:rsid w:val="0076077D"/>
    <w:rsid w:val="00764464"/>
    <w:rsid w:val="007653FF"/>
    <w:rsid w:val="00766F26"/>
    <w:rsid w:val="00770CC0"/>
    <w:rsid w:val="00772E32"/>
    <w:rsid w:val="00791FE5"/>
    <w:rsid w:val="00795E6F"/>
    <w:rsid w:val="007A627A"/>
    <w:rsid w:val="007A7EE2"/>
    <w:rsid w:val="007B179E"/>
    <w:rsid w:val="007B1BB1"/>
    <w:rsid w:val="007B429F"/>
    <w:rsid w:val="007C2560"/>
    <w:rsid w:val="007C73FA"/>
    <w:rsid w:val="007D0B00"/>
    <w:rsid w:val="007D1C64"/>
    <w:rsid w:val="007E4CBE"/>
    <w:rsid w:val="007E6010"/>
    <w:rsid w:val="007F2ADB"/>
    <w:rsid w:val="007F39C0"/>
    <w:rsid w:val="007F4AAF"/>
    <w:rsid w:val="00812160"/>
    <w:rsid w:val="00814CE9"/>
    <w:rsid w:val="008161E5"/>
    <w:rsid w:val="008203CF"/>
    <w:rsid w:val="00830132"/>
    <w:rsid w:val="00831113"/>
    <w:rsid w:val="00832287"/>
    <w:rsid w:val="0083519A"/>
    <w:rsid w:val="008405E1"/>
    <w:rsid w:val="0084142E"/>
    <w:rsid w:val="00852D75"/>
    <w:rsid w:val="008531D9"/>
    <w:rsid w:val="00855FA7"/>
    <w:rsid w:val="0086531C"/>
    <w:rsid w:val="00865AF4"/>
    <w:rsid w:val="008711E1"/>
    <w:rsid w:val="008763FA"/>
    <w:rsid w:val="008842F2"/>
    <w:rsid w:val="008911D0"/>
    <w:rsid w:val="008A1E33"/>
    <w:rsid w:val="008A1F3C"/>
    <w:rsid w:val="008B68BE"/>
    <w:rsid w:val="008D4AD8"/>
    <w:rsid w:val="008D7DE2"/>
    <w:rsid w:val="008E3179"/>
    <w:rsid w:val="008F12DC"/>
    <w:rsid w:val="008F3144"/>
    <w:rsid w:val="00901379"/>
    <w:rsid w:val="0091008C"/>
    <w:rsid w:val="00912485"/>
    <w:rsid w:val="00913E01"/>
    <w:rsid w:val="00925F56"/>
    <w:rsid w:val="00933852"/>
    <w:rsid w:val="00941156"/>
    <w:rsid w:val="00946936"/>
    <w:rsid w:val="00947E5A"/>
    <w:rsid w:val="00951A9C"/>
    <w:rsid w:val="009532CB"/>
    <w:rsid w:val="00954430"/>
    <w:rsid w:val="00954DA6"/>
    <w:rsid w:val="00957335"/>
    <w:rsid w:val="00963B6A"/>
    <w:rsid w:val="00963DC2"/>
    <w:rsid w:val="009672B1"/>
    <w:rsid w:val="0097189E"/>
    <w:rsid w:val="009743F9"/>
    <w:rsid w:val="009768E8"/>
    <w:rsid w:val="00983583"/>
    <w:rsid w:val="00983A14"/>
    <w:rsid w:val="00984B82"/>
    <w:rsid w:val="009923E7"/>
    <w:rsid w:val="009A3389"/>
    <w:rsid w:val="009B5AD3"/>
    <w:rsid w:val="009B6363"/>
    <w:rsid w:val="009C2FD6"/>
    <w:rsid w:val="009C39F6"/>
    <w:rsid w:val="009C45A9"/>
    <w:rsid w:val="009C6BF4"/>
    <w:rsid w:val="009D02A7"/>
    <w:rsid w:val="009D18BA"/>
    <w:rsid w:val="009D2616"/>
    <w:rsid w:val="009D30E0"/>
    <w:rsid w:val="009D37DC"/>
    <w:rsid w:val="009D41B5"/>
    <w:rsid w:val="009D44D6"/>
    <w:rsid w:val="009D4953"/>
    <w:rsid w:val="009D6218"/>
    <w:rsid w:val="009E1B5C"/>
    <w:rsid w:val="009E2FBA"/>
    <w:rsid w:val="009F0B3F"/>
    <w:rsid w:val="00A05071"/>
    <w:rsid w:val="00A11E28"/>
    <w:rsid w:val="00A1326C"/>
    <w:rsid w:val="00A25D2D"/>
    <w:rsid w:val="00A3318A"/>
    <w:rsid w:val="00A35D9A"/>
    <w:rsid w:val="00A407A4"/>
    <w:rsid w:val="00A4163A"/>
    <w:rsid w:val="00A4538A"/>
    <w:rsid w:val="00A53CBC"/>
    <w:rsid w:val="00A61639"/>
    <w:rsid w:val="00A64143"/>
    <w:rsid w:val="00A65542"/>
    <w:rsid w:val="00A76726"/>
    <w:rsid w:val="00A82C9E"/>
    <w:rsid w:val="00A84FC9"/>
    <w:rsid w:val="00A879DF"/>
    <w:rsid w:val="00A9220A"/>
    <w:rsid w:val="00A92454"/>
    <w:rsid w:val="00AA3456"/>
    <w:rsid w:val="00AC0365"/>
    <w:rsid w:val="00AC4179"/>
    <w:rsid w:val="00AC4211"/>
    <w:rsid w:val="00AD2E3B"/>
    <w:rsid w:val="00AD68AF"/>
    <w:rsid w:val="00AF2DCB"/>
    <w:rsid w:val="00AF5118"/>
    <w:rsid w:val="00AF5CDF"/>
    <w:rsid w:val="00B0068C"/>
    <w:rsid w:val="00B03A96"/>
    <w:rsid w:val="00B0487A"/>
    <w:rsid w:val="00B128C5"/>
    <w:rsid w:val="00B12C09"/>
    <w:rsid w:val="00B13A09"/>
    <w:rsid w:val="00B15F59"/>
    <w:rsid w:val="00B165E5"/>
    <w:rsid w:val="00B16EE3"/>
    <w:rsid w:val="00B241C8"/>
    <w:rsid w:val="00B3322F"/>
    <w:rsid w:val="00B451AD"/>
    <w:rsid w:val="00B4688A"/>
    <w:rsid w:val="00B46C06"/>
    <w:rsid w:val="00B508A5"/>
    <w:rsid w:val="00B54306"/>
    <w:rsid w:val="00B6038D"/>
    <w:rsid w:val="00B72216"/>
    <w:rsid w:val="00B72D91"/>
    <w:rsid w:val="00B809BB"/>
    <w:rsid w:val="00B81B90"/>
    <w:rsid w:val="00B86648"/>
    <w:rsid w:val="00B919AF"/>
    <w:rsid w:val="00B936C2"/>
    <w:rsid w:val="00B95FAD"/>
    <w:rsid w:val="00BA173B"/>
    <w:rsid w:val="00BA785D"/>
    <w:rsid w:val="00BB2FF9"/>
    <w:rsid w:val="00BD1AB7"/>
    <w:rsid w:val="00BD3CE2"/>
    <w:rsid w:val="00BD6AA6"/>
    <w:rsid w:val="00BE40BC"/>
    <w:rsid w:val="00BF1062"/>
    <w:rsid w:val="00C00F2F"/>
    <w:rsid w:val="00C02404"/>
    <w:rsid w:val="00C1170D"/>
    <w:rsid w:val="00C11954"/>
    <w:rsid w:val="00C14830"/>
    <w:rsid w:val="00C14B5D"/>
    <w:rsid w:val="00C2074A"/>
    <w:rsid w:val="00C2145D"/>
    <w:rsid w:val="00C22A1F"/>
    <w:rsid w:val="00C231CE"/>
    <w:rsid w:val="00C2655B"/>
    <w:rsid w:val="00C30452"/>
    <w:rsid w:val="00C30AEE"/>
    <w:rsid w:val="00C30FF0"/>
    <w:rsid w:val="00C46F6A"/>
    <w:rsid w:val="00C50026"/>
    <w:rsid w:val="00C52DBD"/>
    <w:rsid w:val="00C550F0"/>
    <w:rsid w:val="00C60BA3"/>
    <w:rsid w:val="00C620D5"/>
    <w:rsid w:val="00C63F1E"/>
    <w:rsid w:val="00C70BF5"/>
    <w:rsid w:val="00C71CAF"/>
    <w:rsid w:val="00C766B6"/>
    <w:rsid w:val="00C84406"/>
    <w:rsid w:val="00C84EEF"/>
    <w:rsid w:val="00C87B7C"/>
    <w:rsid w:val="00C962B8"/>
    <w:rsid w:val="00C972A5"/>
    <w:rsid w:val="00CA2A44"/>
    <w:rsid w:val="00CB0971"/>
    <w:rsid w:val="00CB33AB"/>
    <w:rsid w:val="00CB5636"/>
    <w:rsid w:val="00CC43E0"/>
    <w:rsid w:val="00CC52EE"/>
    <w:rsid w:val="00CC5426"/>
    <w:rsid w:val="00CC56D9"/>
    <w:rsid w:val="00CE2100"/>
    <w:rsid w:val="00CE3975"/>
    <w:rsid w:val="00CE5444"/>
    <w:rsid w:val="00CE590D"/>
    <w:rsid w:val="00CE74C5"/>
    <w:rsid w:val="00CF519A"/>
    <w:rsid w:val="00D014F7"/>
    <w:rsid w:val="00D01803"/>
    <w:rsid w:val="00D01839"/>
    <w:rsid w:val="00D02157"/>
    <w:rsid w:val="00D067CA"/>
    <w:rsid w:val="00D10071"/>
    <w:rsid w:val="00D10423"/>
    <w:rsid w:val="00D11479"/>
    <w:rsid w:val="00D146C0"/>
    <w:rsid w:val="00D15503"/>
    <w:rsid w:val="00D22315"/>
    <w:rsid w:val="00D23483"/>
    <w:rsid w:val="00D34082"/>
    <w:rsid w:val="00D345DF"/>
    <w:rsid w:val="00D36AF1"/>
    <w:rsid w:val="00D51E6A"/>
    <w:rsid w:val="00D53619"/>
    <w:rsid w:val="00D54DB1"/>
    <w:rsid w:val="00D60847"/>
    <w:rsid w:val="00D64733"/>
    <w:rsid w:val="00D64812"/>
    <w:rsid w:val="00D66C0F"/>
    <w:rsid w:val="00D75ACA"/>
    <w:rsid w:val="00D75B46"/>
    <w:rsid w:val="00D823B4"/>
    <w:rsid w:val="00D87969"/>
    <w:rsid w:val="00D9064C"/>
    <w:rsid w:val="00D95599"/>
    <w:rsid w:val="00D97B00"/>
    <w:rsid w:val="00DB4B48"/>
    <w:rsid w:val="00DC2ED8"/>
    <w:rsid w:val="00DC4045"/>
    <w:rsid w:val="00DC53ED"/>
    <w:rsid w:val="00DC5690"/>
    <w:rsid w:val="00DC69F9"/>
    <w:rsid w:val="00DD5B9B"/>
    <w:rsid w:val="00DE186F"/>
    <w:rsid w:val="00DF1B7C"/>
    <w:rsid w:val="00E155C3"/>
    <w:rsid w:val="00E1573E"/>
    <w:rsid w:val="00E23A7D"/>
    <w:rsid w:val="00E23F26"/>
    <w:rsid w:val="00E2744F"/>
    <w:rsid w:val="00E35677"/>
    <w:rsid w:val="00E3630E"/>
    <w:rsid w:val="00E418E8"/>
    <w:rsid w:val="00E45467"/>
    <w:rsid w:val="00E511EC"/>
    <w:rsid w:val="00E51814"/>
    <w:rsid w:val="00E64FC4"/>
    <w:rsid w:val="00E67BF3"/>
    <w:rsid w:val="00E70849"/>
    <w:rsid w:val="00E7267B"/>
    <w:rsid w:val="00E72C39"/>
    <w:rsid w:val="00E738A5"/>
    <w:rsid w:val="00E75014"/>
    <w:rsid w:val="00E7699F"/>
    <w:rsid w:val="00E80D4F"/>
    <w:rsid w:val="00E85ABF"/>
    <w:rsid w:val="00E92DC4"/>
    <w:rsid w:val="00E95011"/>
    <w:rsid w:val="00EA0123"/>
    <w:rsid w:val="00EA2469"/>
    <w:rsid w:val="00EB163B"/>
    <w:rsid w:val="00EB1761"/>
    <w:rsid w:val="00EB2E3E"/>
    <w:rsid w:val="00EB3D0E"/>
    <w:rsid w:val="00EB50CA"/>
    <w:rsid w:val="00EB5B1E"/>
    <w:rsid w:val="00EC33A8"/>
    <w:rsid w:val="00EC7543"/>
    <w:rsid w:val="00ED0778"/>
    <w:rsid w:val="00ED3713"/>
    <w:rsid w:val="00EE3097"/>
    <w:rsid w:val="00EE4A95"/>
    <w:rsid w:val="00EF164C"/>
    <w:rsid w:val="00EF3099"/>
    <w:rsid w:val="00EF7AC0"/>
    <w:rsid w:val="00F02D0E"/>
    <w:rsid w:val="00F10E5E"/>
    <w:rsid w:val="00F11CBF"/>
    <w:rsid w:val="00F148CE"/>
    <w:rsid w:val="00F21B77"/>
    <w:rsid w:val="00F2556A"/>
    <w:rsid w:val="00F35513"/>
    <w:rsid w:val="00F35DDF"/>
    <w:rsid w:val="00F420A0"/>
    <w:rsid w:val="00F43ABB"/>
    <w:rsid w:val="00F466C4"/>
    <w:rsid w:val="00F46BB7"/>
    <w:rsid w:val="00F54B3D"/>
    <w:rsid w:val="00F671C1"/>
    <w:rsid w:val="00F70B1F"/>
    <w:rsid w:val="00F73229"/>
    <w:rsid w:val="00F745F6"/>
    <w:rsid w:val="00F80086"/>
    <w:rsid w:val="00F80984"/>
    <w:rsid w:val="00F81237"/>
    <w:rsid w:val="00F9673B"/>
    <w:rsid w:val="00FA0321"/>
    <w:rsid w:val="00FA251F"/>
    <w:rsid w:val="00FA47E1"/>
    <w:rsid w:val="00FB00D7"/>
    <w:rsid w:val="00FB0FE7"/>
    <w:rsid w:val="00FC3539"/>
    <w:rsid w:val="00FD038C"/>
    <w:rsid w:val="00FD140C"/>
    <w:rsid w:val="00FD21E7"/>
    <w:rsid w:val="00FD42A3"/>
    <w:rsid w:val="00FD481C"/>
    <w:rsid w:val="00FD4AAB"/>
    <w:rsid w:val="00FD5E85"/>
    <w:rsid w:val="00FD7445"/>
    <w:rsid w:val="00FD7CD5"/>
    <w:rsid w:val="00FE2F0E"/>
    <w:rsid w:val="00FE667A"/>
    <w:rsid w:val="00FF0E71"/>
    <w:rsid w:val="00FF204E"/>
    <w:rsid w:val="00FF2430"/>
    <w:rsid w:val="00FF2888"/>
    <w:rsid w:val="00FF381F"/>
    <w:rsid w:val="00FF4480"/>
    <w:rsid w:val="00FF5B67"/>
    <w:rsid w:val="5915656F"/>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AAD5C"/>
  <w15:docId w15:val="{BBFD80BC-F987-48A1-8007-4B6A47956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iPriority w:val="9"/>
    <w:unhideWhenUsed/>
    <w:qFormat/>
    <w:rsid w:val="004A28E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EF7A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17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3706A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706A6"/>
    <w:rPr>
      <w:rFonts w:ascii="Tahoma" w:hAnsi="Tahoma" w:cs="Tahoma"/>
      <w:sz w:val="16"/>
      <w:szCs w:val="16"/>
    </w:rPr>
  </w:style>
  <w:style w:type="paragraph" w:customStyle="1" w:styleId="TYTUAKTUprzedmiotregulacjiustawylubrozporzdzenia">
    <w:name w:val="TYTUŁ_AKTU – przedmiot regulacji ustawy lub rozporządzenia"/>
    <w:next w:val="Normalny"/>
    <w:uiPriority w:val="6"/>
    <w:qFormat/>
    <w:rsid w:val="003706A6"/>
    <w:pPr>
      <w:keepNext/>
      <w:suppressAutoHyphens/>
      <w:spacing w:before="120" w:after="360" w:line="360" w:lineRule="auto"/>
      <w:jc w:val="center"/>
    </w:pPr>
    <w:rPr>
      <w:rFonts w:ascii="Times" w:eastAsia="Times New Roman" w:hAnsi="Times" w:cs="Arial"/>
      <w:b/>
      <w:bCs/>
      <w:sz w:val="24"/>
      <w:szCs w:val="24"/>
      <w:lang w:eastAsia="pl-PL"/>
    </w:rPr>
  </w:style>
  <w:style w:type="paragraph" w:customStyle="1" w:styleId="ARTartustawynprozporzdzenia">
    <w:name w:val="ART(§) – art. ustawy (§ np. rozporządzenia)"/>
    <w:uiPriority w:val="11"/>
    <w:qFormat/>
    <w:rsid w:val="00983A14"/>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customStyle="1" w:styleId="PKTpunkt">
    <w:name w:val="PKT – punkt"/>
    <w:uiPriority w:val="13"/>
    <w:qFormat/>
    <w:rsid w:val="00983A14"/>
    <w:pPr>
      <w:spacing w:after="0" w:line="360" w:lineRule="auto"/>
      <w:ind w:left="510" w:hanging="510"/>
      <w:jc w:val="both"/>
    </w:pPr>
    <w:rPr>
      <w:rFonts w:ascii="Times" w:eastAsia="Times New Roman" w:hAnsi="Times" w:cs="Arial"/>
      <w:bCs/>
      <w:sz w:val="24"/>
      <w:szCs w:val="20"/>
      <w:lang w:eastAsia="pl-PL"/>
    </w:rPr>
  </w:style>
  <w:style w:type="character" w:styleId="Odwoaniedokomentarza">
    <w:name w:val="annotation reference"/>
    <w:uiPriority w:val="99"/>
    <w:semiHidden/>
    <w:rsid w:val="00983A14"/>
    <w:rPr>
      <w:sz w:val="16"/>
      <w:szCs w:val="16"/>
    </w:rPr>
  </w:style>
  <w:style w:type="paragraph" w:styleId="Tekstkomentarza">
    <w:name w:val="annotation text"/>
    <w:basedOn w:val="Normalny"/>
    <w:link w:val="TekstkomentarzaZnak"/>
    <w:uiPriority w:val="99"/>
    <w:semiHidden/>
    <w:rsid w:val="00983A14"/>
    <w:pPr>
      <w:widowControl w:val="0"/>
      <w:autoSpaceDE w:val="0"/>
      <w:autoSpaceDN w:val="0"/>
      <w:adjustRightInd w:val="0"/>
      <w:spacing w:after="0" w:line="360" w:lineRule="auto"/>
    </w:pPr>
    <w:rPr>
      <w:rFonts w:ascii="Times" w:eastAsia="Times New Roman" w:hAnsi="Times" w:cs="Times New Roman"/>
      <w:sz w:val="24"/>
      <w:szCs w:val="24"/>
      <w:lang w:eastAsia="pl-PL"/>
    </w:rPr>
  </w:style>
  <w:style w:type="character" w:customStyle="1" w:styleId="TekstkomentarzaZnak">
    <w:name w:val="Tekst komentarza Znak"/>
    <w:basedOn w:val="Domylnaczcionkaakapitu"/>
    <w:link w:val="Tekstkomentarza"/>
    <w:uiPriority w:val="99"/>
    <w:semiHidden/>
    <w:rsid w:val="00983A14"/>
    <w:rPr>
      <w:rFonts w:ascii="Times" w:eastAsia="Times New Roman" w:hAnsi="Times" w:cs="Times New Roman"/>
      <w:sz w:val="24"/>
      <w:szCs w:val="24"/>
      <w:lang w:eastAsia="pl-PL"/>
    </w:rPr>
  </w:style>
  <w:style w:type="character" w:customStyle="1" w:styleId="Ppogrubienie">
    <w:name w:val="_P_ – pogrubienie"/>
    <w:uiPriority w:val="1"/>
    <w:qFormat/>
    <w:rsid w:val="00983A14"/>
    <w:rPr>
      <w:b/>
    </w:rPr>
  </w:style>
  <w:style w:type="paragraph" w:styleId="Akapitzlist">
    <w:name w:val="List Paragraph"/>
    <w:basedOn w:val="Normalny"/>
    <w:uiPriority w:val="72"/>
    <w:qFormat/>
    <w:rsid w:val="00983A14"/>
    <w:pPr>
      <w:ind w:left="720"/>
      <w:contextualSpacing/>
    </w:pPr>
  </w:style>
  <w:style w:type="paragraph" w:customStyle="1" w:styleId="USTustnpkodeksu">
    <w:name w:val="UST(§) – ust. (§ np. kodeksu)"/>
    <w:basedOn w:val="ARTartustawynprozporzdzenia"/>
    <w:uiPriority w:val="12"/>
    <w:qFormat/>
    <w:rsid w:val="009A3389"/>
    <w:pPr>
      <w:spacing w:before="0"/>
    </w:pPr>
    <w:rPr>
      <w:bCs/>
    </w:rPr>
  </w:style>
  <w:style w:type="paragraph" w:styleId="Nagwek">
    <w:name w:val="header"/>
    <w:basedOn w:val="Normalny"/>
    <w:link w:val="NagwekZnak"/>
    <w:uiPriority w:val="99"/>
    <w:unhideWhenUsed/>
    <w:rsid w:val="00735AA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5AA5"/>
  </w:style>
  <w:style w:type="paragraph" w:styleId="Stopka">
    <w:name w:val="footer"/>
    <w:basedOn w:val="Normalny"/>
    <w:link w:val="StopkaZnak"/>
    <w:uiPriority w:val="99"/>
    <w:unhideWhenUsed/>
    <w:rsid w:val="00735AA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5AA5"/>
  </w:style>
  <w:style w:type="character" w:customStyle="1" w:styleId="Nagwek2Znak">
    <w:name w:val="Nagłówek 2 Znak"/>
    <w:basedOn w:val="Domylnaczcionkaakapitu"/>
    <w:link w:val="Nagwek2"/>
    <w:uiPriority w:val="9"/>
    <w:rsid w:val="004A28E0"/>
    <w:rPr>
      <w:rFonts w:asciiTheme="majorHAnsi" w:eastAsiaTheme="majorEastAsia" w:hAnsiTheme="majorHAnsi" w:cstheme="majorBidi"/>
      <w:b/>
      <w:bCs/>
      <w:color w:val="4F81BD" w:themeColor="accent1"/>
      <w:sz w:val="26"/>
      <w:szCs w:val="26"/>
    </w:rPr>
  </w:style>
  <w:style w:type="paragraph" w:styleId="Tekstprzypisudolnego">
    <w:name w:val="footnote text"/>
    <w:basedOn w:val="Normalny"/>
    <w:link w:val="TekstprzypisudolnegoZnak"/>
    <w:uiPriority w:val="99"/>
    <w:rsid w:val="00B5430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B54306"/>
    <w:rPr>
      <w:rFonts w:ascii="Times New Roman" w:eastAsia="Times New Roman" w:hAnsi="Times New Roman" w:cs="Times New Roman"/>
      <w:sz w:val="20"/>
      <w:szCs w:val="20"/>
      <w:lang w:eastAsia="pl-PL"/>
    </w:rPr>
  </w:style>
  <w:style w:type="character" w:styleId="Odwoanieprzypisudolnego">
    <w:name w:val="footnote reference"/>
    <w:aliases w:val="FZ"/>
    <w:uiPriority w:val="99"/>
    <w:rsid w:val="00B54306"/>
    <w:rPr>
      <w:vertAlign w:val="superscript"/>
    </w:rPr>
  </w:style>
  <w:style w:type="character" w:styleId="Hipercze">
    <w:name w:val="Hyperlink"/>
    <w:basedOn w:val="Domylnaczcionkaakapitu"/>
    <w:uiPriority w:val="99"/>
    <w:unhideWhenUsed/>
    <w:rsid w:val="009B5AD3"/>
    <w:rPr>
      <w:color w:val="0000FF"/>
      <w:u w:val="single"/>
    </w:rPr>
  </w:style>
  <w:style w:type="paragraph" w:styleId="Poprawka">
    <w:name w:val="Revision"/>
    <w:hidden/>
    <w:uiPriority w:val="99"/>
    <w:semiHidden/>
    <w:rsid w:val="00CB0971"/>
    <w:pPr>
      <w:spacing w:after="0" w:line="240" w:lineRule="auto"/>
    </w:pPr>
  </w:style>
  <w:style w:type="paragraph" w:customStyle="1" w:styleId="Style7">
    <w:name w:val="Style7"/>
    <w:basedOn w:val="Normalny"/>
    <w:uiPriority w:val="99"/>
    <w:rsid w:val="00170E91"/>
    <w:pPr>
      <w:widowControl w:val="0"/>
      <w:autoSpaceDE w:val="0"/>
      <w:autoSpaceDN w:val="0"/>
      <w:adjustRightInd w:val="0"/>
      <w:spacing w:after="0" w:line="418" w:lineRule="exact"/>
      <w:ind w:firstLine="713"/>
      <w:jc w:val="both"/>
    </w:pPr>
    <w:rPr>
      <w:rFonts w:ascii="Times New Roman" w:eastAsiaTheme="minorEastAsia" w:hAnsi="Times New Roman" w:cs="Times New Roman"/>
      <w:sz w:val="24"/>
      <w:szCs w:val="24"/>
      <w:lang w:eastAsia="pl-PL"/>
    </w:rPr>
  </w:style>
  <w:style w:type="character" w:customStyle="1" w:styleId="FontStyle16">
    <w:name w:val="Font Style16"/>
    <w:basedOn w:val="Domylnaczcionkaakapitu"/>
    <w:uiPriority w:val="99"/>
    <w:rsid w:val="00170E91"/>
    <w:rPr>
      <w:rFonts w:ascii="Times New Roman" w:hAnsi="Times New Roman" w:cs="Times New Roman"/>
      <w:sz w:val="22"/>
      <w:szCs w:val="22"/>
    </w:rPr>
  </w:style>
  <w:style w:type="character" w:customStyle="1" w:styleId="FontStyle20">
    <w:name w:val="Font Style20"/>
    <w:basedOn w:val="Domylnaczcionkaakapitu"/>
    <w:uiPriority w:val="99"/>
    <w:rsid w:val="00170E91"/>
    <w:rPr>
      <w:rFonts w:ascii="Times New Roman" w:hAnsi="Times New Roman" w:cs="Times New Roman"/>
      <w:smallCaps/>
      <w:sz w:val="22"/>
      <w:szCs w:val="22"/>
    </w:rPr>
  </w:style>
  <w:style w:type="paragraph" w:customStyle="1" w:styleId="TYTDZPRZEDMprzedmiotregulacjitytuulubdziau">
    <w:name w:val="TYT(DZ)_PRZEDM – przedmiot regulacji tytułu lub działu"/>
    <w:next w:val="Normalny"/>
    <w:uiPriority w:val="9"/>
    <w:qFormat/>
    <w:rsid w:val="006B61AD"/>
    <w:pPr>
      <w:keepNext/>
      <w:suppressAutoHyphens/>
      <w:spacing w:before="120" w:after="0" w:line="360" w:lineRule="auto"/>
      <w:jc w:val="center"/>
    </w:pPr>
    <w:rPr>
      <w:rFonts w:ascii="Times" w:eastAsia="Times New Roman" w:hAnsi="Times" w:cs="Times New Roman"/>
      <w:b/>
      <w:sz w:val="24"/>
      <w:szCs w:val="26"/>
      <w:lang w:eastAsia="pl-PL"/>
    </w:rPr>
  </w:style>
  <w:style w:type="paragraph" w:styleId="Tematkomentarza">
    <w:name w:val="annotation subject"/>
    <w:basedOn w:val="Tekstkomentarza"/>
    <w:next w:val="Tekstkomentarza"/>
    <w:link w:val="TematkomentarzaZnak"/>
    <w:uiPriority w:val="99"/>
    <w:semiHidden/>
    <w:unhideWhenUsed/>
    <w:rsid w:val="00C50026"/>
    <w:pPr>
      <w:widowControl/>
      <w:autoSpaceDE/>
      <w:autoSpaceDN/>
      <w:adjustRightInd/>
      <w:spacing w:after="200" w:line="240" w:lineRule="auto"/>
    </w:pPr>
    <w:rPr>
      <w:rFonts w:asciiTheme="minorHAnsi" w:eastAsiaTheme="minorHAnsi" w:hAnsiTheme="minorHAnsi" w:cstheme="minorBidi"/>
      <w:b/>
      <w:bCs/>
      <w:sz w:val="20"/>
      <w:szCs w:val="20"/>
      <w:lang w:eastAsia="en-US"/>
    </w:rPr>
  </w:style>
  <w:style w:type="character" w:customStyle="1" w:styleId="TematkomentarzaZnak">
    <w:name w:val="Temat komentarza Znak"/>
    <w:basedOn w:val="TekstkomentarzaZnak"/>
    <w:link w:val="Tematkomentarza"/>
    <w:uiPriority w:val="99"/>
    <w:semiHidden/>
    <w:rsid w:val="00C50026"/>
    <w:rPr>
      <w:rFonts w:ascii="Times" w:eastAsia="Times New Roman" w:hAnsi="Times" w:cs="Times New Roman"/>
      <w:b/>
      <w:bCs/>
      <w:sz w:val="20"/>
      <w:szCs w:val="20"/>
      <w:lang w:eastAsia="pl-PL"/>
    </w:rPr>
  </w:style>
  <w:style w:type="character" w:styleId="Nierozpoznanawzmianka">
    <w:name w:val="Unresolved Mention"/>
    <w:basedOn w:val="Domylnaczcionkaakapitu"/>
    <w:uiPriority w:val="99"/>
    <w:semiHidden/>
    <w:unhideWhenUsed/>
    <w:rsid w:val="00D15503"/>
    <w:rPr>
      <w:color w:val="605E5C"/>
      <w:shd w:val="clear" w:color="auto" w:fill="E1DFDD"/>
    </w:rPr>
  </w:style>
  <w:style w:type="paragraph" w:styleId="NormalnyWeb">
    <w:name w:val="Normal (Web)"/>
    <w:basedOn w:val="Normalny"/>
    <w:uiPriority w:val="99"/>
    <w:semiHidden/>
    <w:unhideWhenUsed/>
    <w:rsid w:val="00F21B7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semiHidden/>
    <w:rsid w:val="00EF7AC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40463">
      <w:bodyDiv w:val="1"/>
      <w:marLeft w:val="0"/>
      <w:marRight w:val="0"/>
      <w:marTop w:val="0"/>
      <w:marBottom w:val="0"/>
      <w:divBdr>
        <w:top w:val="none" w:sz="0" w:space="0" w:color="auto"/>
        <w:left w:val="none" w:sz="0" w:space="0" w:color="auto"/>
        <w:bottom w:val="none" w:sz="0" w:space="0" w:color="auto"/>
        <w:right w:val="none" w:sz="0" w:space="0" w:color="auto"/>
      </w:divBdr>
    </w:div>
    <w:div w:id="211353989">
      <w:bodyDiv w:val="1"/>
      <w:marLeft w:val="0"/>
      <w:marRight w:val="0"/>
      <w:marTop w:val="0"/>
      <w:marBottom w:val="0"/>
      <w:divBdr>
        <w:top w:val="none" w:sz="0" w:space="0" w:color="auto"/>
        <w:left w:val="none" w:sz="0" w:space="0" w:color="auto"/>
        <w:bottom w:val="none" w:sz="0" w:space="0" w:color="auto"/>
        <w:right w:val="none" w:sz="0" w:space="0" w:color="auto"/>
      </w:divBdr>
    </w:div>
    <w:div w:id="621884763">
      <w:bodyDiv w:val="1"/>
      <w:marLeft w:val="0"/>
      <w:marRight w:val="0"/>
      <w:marTop w:val="0"/>
      <w:marBottom w:val="0"/>
      <w:divBdr>
        <w:top w:val="none" w:sz="0" w:space="0" w:color="auto"/>
        <w:left w:val="none" w:sz="0" w:space="0" w:color="auto"/>
        <w:bottom w:val="none" w:sz="0" w:space="0" w:color="auto"/>
        <w:right w:val="none" w:sz="0" w:space="0" w:color="auto"/>
      </w:divBdr>
    </w:div>
    <w:div w:id="1251231102">
      <w:bodyDiv w:val="1"/>
      <w:marLeft w:val="0"/>
      <w:marRight w:val="0"/>
      <w:marTop w:val="0"/>
      <w:marBottom w:val="0"/>
      <w:divBdr>
        <w:top w:val="none" w:sz="0" w:space="0" w:color="auto"/>
        <w:left w:val="none" w:sz="0" w:space="0" w:color="auto"/>
        <w:bottom w:val="none" w:sz="0" w:space="0" w:color="auto"/>
        <w:right w:val="none" w:sz="0" w:space="0" w:color="auto"/>
      </w:divBdr>
    </w:div>
    <w:div w:id="1325815952">
      <w:bodyDiv w:val="1"/>
      <w:marLeft w:val="0"/>
      <w:marRight w:val="0"/>
      <w:marTop w:val="0"/>
      <w:marBottom w:val="0"/>
      <w:divBdr>
        <w:top w:val="none" w:sz="0" w:space="0" w:color="auto"/>
        <w:left w:val="none" w:sz="0" w:space="0" w:color="auto"/>
        <w:bottom w:val="none" w:sz="0" w:space="0" w:color="auto"/>
        <w:right w:val="none" w:sz="0" w:space="0" w:color="auto"/>
      </w:divBdr>
    </w:div>
    <w:div w:id="1454714331">
      <w:bodyDiv w:val="1"/>
      <w:marLeft w:val="0"/>
      <w:marRight w:val="0"/>
      <w:marTop w:val="0"/>
      <w:marBottom w:val="0"/>
      <w:divBdr>
        <w:top w:val="none" w:sz="0" w:space="0" w:color="auto"/>
        <w:left w:val="none" w:sz="0" w:space="0" w:color="auto"/>
        <w:bottom w:val="none" w:sz="0" w:space="0" w:color="auto"/>
        <w:right w:val="none" w:sz="0" w:space="0" w:color="auto"/>
      </w:divBdr>
    </w:div>
    <w:div w:id="191162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justiz.de/onlinedienste/schutzschriftenregister/index.php" TargetMode="External"/><Relationship Id="rId7" Type="http://schemas.openxmlformats.org/officeDocument/2006/relationships/hyperlink" Target="https://www.boe.es/buscar/act.php?id=BOE-A-2015-8328" TargetMode="External"/><Relationship Id="rId2" Type="http://schemas.openxmlformats.org/officeDocument/2006/relationships/hyperlink" Target="https://www.thebrandprotectionblog.com/2020/07/german-patent-interim-injunctions-require-the-patent-to-have-survived-validity-proceedings/" TargetMode="External"/><Relationship Id="rId1" Type="http://schemas.openxmlformats.org/officeDocument/2006/relationships/hyperlink" Target="https://www.vossius.eu/fileadmin/Publications/Articles/The_Legal_500_Patent_Litigation_Country_Comparative_Guide_2019_Vossius_Partner.pdf" TargetMode="External"/><Relationship Id="rId6" Type="http://schemas.openxmlformats.org/officeDocument/2006/relationships/hyperlink" Target="https://www.fedlex.admin.ch/eli/cc/2010/262/de" TargetMode="External"/><Relationship Id="rId5" Type="http://schemas.openxmlformats.org/officeDocument/2006/relationships/hyperlink" Target="https://practiceguides.chambers.com/practice-guides/patent-litigation-2025/belgium" TargetMode="External"/><Relationship Id="rId4" Type="http://schemas.openxmlformats.org/officeDocument/2006/relationships/hyperlink" Target="https://www.taylorwessing.com/en/insights-and-events/insights/2020/05/ex-parte-injunctions-in-the-netherlands?"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092AA3822BFF64A9FC7831000DCD7C0" ma:contentTypeVersion="20" ma:contentTypeDescription="Utwórz nowy dokument." ma:contentTypeScope="" ma:versionID="54558aa3d68b5276bb8db60add0d3c20">
  <xsd:schema xmlns:xsd="http://www.w3.org/2001/XMLSchema" xmlns:xs="http://www.w3.org/2001/XMLSchema" xmlns:p="http://schemas.microsoft.com/office/2006/metadata/properties" xmlns:ns2="7921d80b-6845-43fe-86bc-70c2a436c47c" xmlns:ns3="92d0cd56-9fb2-40fb-adff-295502bd06f2" targetNamespace="http://schemas.microsoft.com/office/2006/metadata/properties" ma:root="true" ma:fieldsID="9f0f2ff83178cd32788400873d3e51c0" ns2:_="" ns3:_="">
    <xsd:import namespace="7921d80b-6845-43fe-86bc-70c2a436c47c"/>
    <xsd:import namespace="92d0cd56-9fb2-40fb-adff-295502bd06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1d80b-6845-43fe-86bc-70c2a436c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4e961f49-3ab5-4c11-af55-f672319aa4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d0cd56-9fb2-40fb-adff-295502bd06f2"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52294487-002a-422f-bcf4-ba668835a8eb}" ma:internalName="TaxCatchAll" ma:showField="CatchAllData" ma:web="92d0cd56-9fb2-40fb-adff-295502bd06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2d0cd56-9fb2-40fb-adff-295502bd06f2" xsi:nil="true"/>
    <lcf76f155ced4ddcb4097134ff3c332f xmlns="7921d80b-6845-43fe-86bc-70c2a436c47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243E4-8683-4B85-82C5-73698170C095}">
  <ds:schemaRefs>
    <ds:schemaRef ds:uri="http://schemas.microsoft.com/sharepoint/v3/contenttype/forms"/>
  </ds:schemaRefs>
</ds:datastoreItem>
</file>

<file path=customXml/itemProps2.xml><?xml version="1.0" encoding="utf-8"?>
<ds:datastoreItem xmlns:ds="http://schemas.openxmlformats.org/officeDocument/2006/customXml" ds:itemID="{1D8C72F5-5E5B-4446-BEF1-ECC1F04CC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1d80b-6845-43fe-86bc-70c2a436c47c"/>
    <ds:schemaRef ds:uri="92d0cd56-9fb2-40fb-adff-295502bd0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978D14-4C1E-4BB2-935B-21B359FFE683}">
  <ds:schemaRefs>
    <ds:schemaRef ds:uri="http://schemas.microsoft.com/office/2006/metadata/properties"/>
    <ds:schemaRef ds:uri="http://schemas.microsoft.com/office/infopath/2007/PartnerControls"/>
    <ds:schemaRef ds:uri="92d0cd56-9fb2-40fb-adff-295502bd06f2"/>
    <ds:schemaRef ds:uri="7921d80b-6845-43fe-86bc-70c2a436c47c"/>
  </ds:schemaRefs>
</ds:datastoreItem>
</file>

<file path=customXml/itemProps4.xml><?xml version="1.0" encoding="utf-8"?>
<ds:datastoreItem xmlns:ds="http://schemas.openxmlformats.org/officeDocument/2006/customXml" ds:itemID="{24C9E344-A28A-4946-AA5C-CEB1547ED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19</Pages>
  <Words>3461</Words>
  <Characters>20769</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Magdalena Widlicka</cp:lastModifiedBy>
  <cp:revision>25</cp:revision>
  <cp:lastPrinted>2021-10-11T04:00:00Z</cp:lastPrinted>
  <dcterms:created xsi:type="dcterms:W3CDTF">2025-11-12T10:29:00Z</dcterms:created>
  <dcterms:modified xsi:type="dcterms:W3CDTF">2025-11-13T18:51:00Z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0x010100B092AA3822BFF64A9FC7831000DCD7C0</vt:lpwstr>
  </property>
  <property fmtid="{D5CDD505-2E9C-101B-9397-08002B2CF9AE}" pid="3" name="MediaServiceImageTags">
    <vt:lpwstr/>
  </property>
</Properties>
</file>