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28759C" w14:textId="29503F23" w:rsidR="00C93278" w:rsidRPr="000E0901" w:rsidRDefault="00CA2841" w:rsidP="008B766F">
      <w:pPr>
        <w:spacing w:after="0" w:line="240" w:lineRule="auto"/>
        <w:jc w:val="center"/>
        <w:rPr>
          <w:rFonts w:ascii="Lato" w:hAnsi="Lato" w:cs="Times New Roman"/>
          <w:b/>
          <w:bCs/>
          <w:sz w:val="20"/>
          <w:szCs w:val="20"/>
        </w:rPr>
      </w:pPr>
      <w:bookmarkStart w:id="0" w:name="_Hlk107398740"/>
      <w:r w:rsidRPr="000E0901">
        <w:rPr>
          <w:rFonts w:ascii="Lato" w:hAnsi="Lato" w:cs="Times New Roman"/>
          <w:b/>
          <w:bCs/>
          <w:sz w:val="20"/>
          <w:szCs w:val="20"/>
        </w:rPr>
        <w:t xml:space="preserve">Uwagi </w:t>
      </w:r>
      <w:r w:rsidR="00A84BBA" w:rsidRPr="000E0901">
        <w:rPr>
          <w:rFonts w:ascii="Lato" w:hAnsi="Lato" w:cs="Times New Roman"/>
          <w:b/>
          <w:bCs/>
          <w:sz w:val="20"/>
          <w:szCs w:val="20"/>
        </w:rPr>
        <w:t>Konfederacji Lewiatan</w:t>
      </w:r>
    </w:p>
    <w:p w14:paraId="401B8CE0" w14:textId="4AF2D1E7" w:rsidR="005952E3" w:rsidRPr="000E0901" w:rsidRDefault="00CA2841" w:rsidP="005952E3">
      <w:pPr>
        <w:spacing w:after="0" w:line="240" w:lineRule="auto"/>
        <w:jc w:val="center"/>
        <w:rPr>
          <w:rFonts w:ascii="Lato" w:hAnsi="Lato" w:cs="Times New Roman"/>
          <w:b/>
          <w:bCs/>
          <w:sz w:val="20"/>
          <w:szCs w:val="20"/>
        </w:rPr>
      </w:pPr>
      <w:r w:rsidRPr="000E0901">
        <w:rPr>
          <w:rFonts w:ascii="Lato" w:hAnsi="Lato" w:cs="Times New Roman"/>
          <w:b/>
          <w:bCs/>
          <w:sz w:val="20"/>
          <w:szCs w:val="20"/>
        </w:rPr>
        <w:t>do projektu</w:t>
      </w:r>
      <w:bookmarkStart w:id="1" w:name="_Hlk163464623"/>
      <w:r w:rsidR="00894E5C" w:rsidRPr="000E0901">
        <w:rPr>
          <w:rFonts w:ascii="Lato" w:hAnsi="Lato" w:cs="Times New Roman"/>
          <w:b/>
          <w:bCs/>
          <w:sz w:val="20"/>
          <w:szCs w:val="20"/>
        </w:rPr>
        <w:t xml:space="preserve"> ustawy</w:t>
      </w:r>
      <w:r w:rsidR="00894E5C" w:rsidRPr="000E0901">
        <w:rPr>
          <w:rFonts w:ascii="Times" w:eastAsia="Times New Roman" w:hAnsi="Times" w:cs="Times New Roman"/>
          <w:b/>
          <w:sz w:val="20"/>
          <w:szCs w:val="20"/>
          <w:lang w:eastAsia="pl-PL"/>
        </w:rPr>
        <w:t xml:space="preserve"> </w:t>
      </w:r>
      <w:r w:rsidR="005952E3" w:rsidRPr="000E0901">
        <w:rPr>
          <w:rFonts w:ascii="Lato" w:hAnsi="Lato" w:cs="Times New Roman"/>
          <w:b/>
          <w:bCs/>
          <w:sz w:val="20"/>
          <w:szCs w:val="20"/>
        </w:rPr>
        <w:t>o zmianie ustawy o utrzymaniu czystości i porządku w gminach</w:t>
      </w:r>
    </w:p>
    <w:bookmarkEnd w:id="1"/>
    <w:p w14:paraId="304455B3" w14:textId="1AB77380" w:rsidR="00CA2841" w:rsidRPr="000E0901" w:rsidRDefault="00B91BB7" w:rsidP="008B766F">
      <w:pPr>
        <w:spacing w:after="0" w:line="240" w:lineRule="auto"/>
        <w:jc w:val="center"/>
        <w:rPr>
          <w:rFonts w:ascii="Lato" w:hAnsi="Lato" w:cs="Times New Roman"/>
          <w:b/>
          <w:bCs/>
          <w:sz w:val="20"/>
          <w:szCs w:val="20"/>
        </w:rPr>
      </w:pPr>
      <w:r w:rsidRPr="000E0901">
        <w:rPr>
          <w:rFonts w:ascii="Lato" w:hAnsi="Lato" w:cs="Times New Roman"/>
          <w:b/>
          <w:bCs/>
          <w:sz w:val="20"/>
          <w:szCs w:val="20"/>
        </w:rPr>
        <w:t>(</w:t>
      </w:r>
      <w:r w:rsidR="00894E5C" w:rsidRPr="000E0901">
        <w:rPr>
          <w:rFonts w:ascii="Lato" w:hAnsi="Lato" w:cs="Times New Roman"/>
          <w:b/>
          <w:bCs/>
          <w:sz w:val="20"/>
          <w:szCs w:val="20"/>
        </w:rPr>
        <w:t xml:space="preserve">nr </w:t>
      </w:r>
      <w:r w:rsidR="005952E3" w:rsidRPr="000E0901">
        <w:rPr>
          <w:rFonts w:ascii="Lato" w:hAnsi="Lato" w:cs="Times New Roman"/>
          <w:b/>
          <w:bCs/>
          <w:sz w:val="20"/>
          <w:szCs w:val="20"/>
        </w:rPr>
        <w:t xml:space="preserve">UD252 </w:t>
      </w:r>
      <w:r w:rsidR="00894E5C" w:rsidRPr="000E0901">
        <w:rPr>
          <w:rFonts w:ascii="Lato" w:hAnsi="Lato" w:cs="Times New Roman"/>
          <w:b/>
          <w:bCs/>
          <w:sz w:val="20"/>
          <w:szCs w:val="20"/>
        </w:rPr>
        <w:t>w Wykazie prac legislacyjnych i programowych Rady Ministrów)</w:t>
      </w:r>
    </w:p>
    <w:p w14:paraId="711D6FEE" w14:textId="77777777" w:rsidR="00CA2841" w:rsidRPr="000E0901" w:rsidRDefault="00CA2841" w:rsidP="008B766F">
      <w:pPr>
        <w:spacing w:after="0" w:line="240" w:lineRule="auto"/>
        <w:rPr>
          <w:rFonts w:ascii="Lato" w:hAnsi="Lato" w:cs="Times New Roman"/>
          <w:sz w:val="20"/>
          <w:szCs w:val="20"/>
        </w:rPr>
      </w:pPr>
    </w:p>
    <w:tbl>
      <w:tblPr>
        <w:tblStyle w:val="Tabela-Siatka"/>
        <w:tblpPr w:leftFromText="142" w:rightFromText="142" w:vertAnchor="text" w:horzAnchor="margin" w:tblpXSpec="center" w:tblpY="58"/>
        <w:tblW w:w="15740" w:type="dxa"/>
        <w:tblLayout w:type="fixed"/>
        <w:tblLook w:val="04A0" w:firstRow="1" w:lastRow="0" w:firstColumn="1" w:lastColumn="0" w:noHBand="0" w:noVBand="1"/>
      </w:tblPr>
      <w:tblGrid>
        <w:gridCol w:w="562"/>
        <w:gridCol w:w="1701"/>
        <w:gridCol w:w="2694"/>
        <w:gridCol w:w="5103"/>
        <w:gridCol w:w="4252"/>
        <w:gridCol w:w="1428"/>
      </w:tblGrid>
      <w:tr w:rsidR="000E0901" w:rsidRPr="000E0901" w14:paraId="47E9ED08" w14:textId="77777777" w:rsidTr="00B91BB7">
        <w:trPr>
          <w:trHeight w:val="551"/>
          <w:tblHeader/>
        </w:trPr>
        <w:tc>
          <w:tcPr>
            <w:tcW w:w="562" w:type="dxa"/>
          </w:tcPr>
          <w:p w14:paraId="115BF413" w14:textId="6257DDCF" w:rsidR="0090574C" w:rsidRPr="000E0901" w:rsidRDefault="0090574C" w:rsidP="008B766F">
            <w:pPr>
              <w:jc w:val="center"/>
              <w:rPr>
                <w:rFonts w:ascii="Lato" w:hAnsi="Lato" w:cs="Times New Roman"/>
                <w:b/>
                <w:bCs/>
                <w:sz w:val="20"/>
                <w:szCs w:val="20"/>
              </w:rPr>
            </w:pPr>
            <w:r w:rsidRPr="000E0901">
              <w:rPr>
                <w:rFonts w:ascii="Lato" w:hAnsi="Lato" w:cs="Times New Roman"/>
                <w:b/>
                <w:bCs/>
                <w:sz w:val="20"/>
                <w:szCs w:val="20"/>
              </w:rPr>
              <w:t>Lp.</w:t>
            </w:r>
          </w:p>
        </w:tc>
        <w:tc>
          <w:tcPr>
            <w:tcW w:w="1701" w:type="dxa"/>
          </w:tcPr>
          <w:p w14:paraId="0FAF4510" w14:textId="4FD6EB74" w:rsidR="0090574C" w:rsidRPr="000E0901" w:rsidRDefault="0090574C" w:rsidP="008B766F">
            <w:pPr>
              <w:jc w:val="center"/>
              <w:rPr>
                <w:rFonts w:ascii="Lato" w:hAnsi="Lato" w:cs="Times New Roman"/>
                <w:b/>
                <w:bCs/>
                <w:sz w:val="20"/>
                <w:szCs w:val="20"/>
              </w:rPr>
            </w:pPr>
            <w:r w:rsidRPr="000E0901">
              <w:rPr>
                <w:rFonts w:ascii="Lato" w:hAnsi="Lato" w:cs="Times New Roman"/>
                <w:b/>
                <w:bCs/>
                <w:sz w:val="20"/>
                <w:szCs w:val="20"/>
              </w:rPr>
              <w:t>Podmiot wnoszący uwag</w:t>
            </w:r>
            <w:r w:rsidR="00B91BB7" w:rsidRPr="000E0901">
              <w:rPr>
                <w:rFonts w:ascii="Lato" w:hAnsi="Lato" w:cs="Times New Roman"/>
                <w:b/>
                <w:bCs/>
                <w:sz w:val="20"/>
                <w:szCs w:val="20"/>
              </w:rPr>
              <w:t>ę</w:t>
            </w:r>
          </w:p>
        </w:tc>
        <w:tc>
          <w:tcPr>
            <w:tcW w:w="2694" w:type="dxa"/>
          </w:tcPr>
          <w:p w14:paraId="51F92737" w14:textId="48E4A866" w:rsidR="0090574C" w:rsidRPr="000E0901" w:rsidRDefault="0090574C" w:rsidP="008B766F">
            <w:pPr>
              <w:jc w:val="center"/>
              <w:rPr>
                <w:rFonts w:ascii="Lato" w:hAnsi="Lato" w:cs="Times New Roman"/>
                <w:b/>
                <w:bCs/>
                <w:sz w:val="20"/>
                <w:szCs w:val="20"/>
              </w:rPr>
            </w:pPr>
            <w:r w:rsidRPr="000E0901">
              <w:rPr>
                <w:rFonts w:ascii="Lato" w:hAnsi="Lato" w:cs="Times New Roman"/>
                <w:b/>
                <w:bCs/>
                <w:sz w:val="20"/>
                <w:szCs w:val="20"/>
              </w:rPr>
              <w:t>Jednostka redakcyjna, do której wnoszon</w:t>
            </w:r>
            <w:r w:rsidR="00B91BB7" w:rsidRPr="000E0901">
              <w:rPr>
                <w:rFonts w:ascii="Lato" w:hAnsi="Lato" w:cs="Times New Roman"/>
                <w:b/>
                <w:bCs/>
                <w:sz w:val="20"/>
                <w:szCs w:val="20"/>
              </w:rPr>
              <w:t>a jest</w:t>
            </w:r>
            <w:r w:rsidRPr="000E0901">
              <w:rPr>
                <w:rFonts w:ascii="Lato" w:hAnsi="Lato" w:cs="Times New Roman"/>
                <w:b/>
                <w:bCs/>
                <w:sz w:val="20"/>
                <w:szCs w:val="20"/>
              </w:rPr>
              <w:t xml:space="preserve"> uwag</w:t>
            </w:r>
            <w:r w:rsidR="00B91BB7" w:rsidRPr="000E0901">
              <w:rPr>
                <w:rFonts w:ascii="Lato" w:hAnsi="Lato" w:cs="Times New Roman"/>
                <w:b/>
                <w:bCs/>
                <w:sz w:val="20"/>
                <w:szCs w:val="20"/>
              </w:rPr>
              <w:t>a</w:t>
            </w:r>
            <w:r w:rsidR="004F2D1D" w:rsidRPr="000E0901">
              <w:rPr>
                <w:rStyle w:val="Odwoanieprzypisudolnego"/>
                <w:rFonts w:ascii="Lato" w:hAnsi="Lato" w:cs="Times New Roman"/>
                <w:b/>
                <w:bCs/>
                <w:sz w:val="20"/>
                <w:szCs w:val="20"/>
              </w:rPr>
              <w:footnoteReference w:customMarkFollows="1" w:id="1"/>
              <w:t>1)</w:t>
            </w:r>
          </w:p>
        </w:tc>
        <w:tc>
          <w:tcPr>
            <w:tcW w:w="5103" w:type="dxa"/>
          </w:tcPr>
          <w:p w14:paraId="74AACE5A" w14:textId="0BDDBBD7" w:rsidR="0090574C" w:rsidRPr="000E0901" w:rsidRDefault="0090574C" w:rsidP="0062739B">
            <w:pPr>
              <w:jc w:val="both"/>
              <w:rPr>
                <w:rFonts w:ascii="Lato" w:hAnsi="Lato" w:cs="Times New Roman"/>
                <w:b/>
                <w:bCs/>
                <w:sz w:val="20"/>
                <w:szCs w:val="20"/>
              </w:rPr>
            </w:pPr>
            <w:r w:rsidRPr="000E0901">
              <w:rPr>
                <w:rFonts w:ascii="Lato" w:hAnsi="Lato" w:cs="Times New Roman"/>
                <w:b/>
                <w:bCs/>
                <w:sz w:val="20"/>
                <w:szCs w:val="20"/>
              </w:rPr>
              <w:t>Treść uwagi</w:t>
            </w:r>
          </w:p>
        </w:tc>
        <w:tc>
          <w:tcPr>
            <w:tcW w:w="4252" w:type="dxa"/>
          </w:tcPr>
          <w:p w14:paraId="7C9E6D74" w14:textId="597CDAA9" w:rsidR="0090574C" w:rsidRPr="000E0901" w:rsidRDefault="0090574C" w:rsidP="008B766F">
            <w:pPr>
              <w:jc w:val="center"/>
              <w:rPr>
                <w:rFonts w:ascii="Lato" w:hAnsi="Lato" w:cs="Times New Roman"/>
                <w:b/>
                <w:bCs/>
                <w:sz w:val="20"/>
                <w:szCs w:val="20"/>
              </w:rPr>
            </w:pPr>
            <w:r w:rsidRPr="000E0901">
              <w:rPr>
                <w:rFonts w:ascii="Lato" w:hAnsi="Lato" w:cs="Times New Roman"/>
                <w:b/>
                <w:bCs/>
                <w:sz w:val="20"/>
                <w:szCs w:val="20"/>
              </w:rPr>
              <w:t xml:space="preserve">Propozycja </w:t>
            </w:r>
            <w:r w:rsidR="00773DAD" w:rsidRPr="000E0901">
              <w:rPr>
                <w:rFonts w:ascii="Lato" w:hAnsi="Lato" w:cs="Times New Roman"/>
                <w:b/>
                <w:bCs/>
                <w:sz w:val="20"/>
                <w:szCs w:val="20"/>
              </w:rPr>
              <w:t>brzmienia</w:t>
            </w:r>
            <w:r w:rsidR="00C93278" w:rsidRPr="000E0901">
              <w:rPr>
                <w:rFonts w:ascii="Lato" w:hAnsi="Lato" w:cs="Times New Roman"/>
                <w:b/>
                <w:bCs/>
                <w:sz w:val="20"/>
                <w:szCs w:val="20"/>
              </w:rPr>
              <w:t xml:space="preserve"> przepisu</w:t>
            </w:r>
          </w:p>
        </w:tc>
        <w:tc>
          <w:tcPr>
            <w:tcW w:w="1428" w:type="dxa"/>
          </w:tcPr>
          <w:p w14:paraId="2C049C38" w14:textId="382C7B91" w:rsidR="0090574C" w:rsidRPr="000E0901" w:rsidRDefault="0090574C" w:rsidP="008B766F">
            <w:pPr>
              <w:jc w:val="center"/>
              <w:rPr>
                <w:rFonts w:ascii="Lato" w:hAnsi="Lato" w:cs="Times New Roman"/>
                <w:b/>
                <w:bCs/>
                <w:sz w:val="20"/>
                <w:szCs w:val="20"/>
              </w:rPr>
            </w:pPr>
            <w:r w:rsidRPr="000E0901">
              <w:rPr>
                <w:rFonts w:ascii="Lato" w:hAnsi="Lato" w:cs="Times New Roman"/>
                <w:b/>
                <w:bCs/>
                <w:sz w:val="20"/>
                <w:szCs w:val="20"/>
              </w:rPr>
              <w:t>Stanowisko do uwagi</w:t>
            </w:r>
          </w:p>
        </w:tc>
      </w:tr>
      <w:tr w:rsidR="000E0901" w:rsidRPr="000E0901" w14:paraId="4AE66715" w14:textId="77777777" w:rsidTr="009B5AD6">
        <w:tc>
          <w:tcPr>
            <w:tcW w:w="562" w:type="dxa"/>
          </w:tcPr>
          <w:p w14:paraId="6AFC8947" w14:textId="1359A857" w:rsidR="000B70D9" w:rsidRPr="000E0901" w:rsidRDefault="008654EE" w:rsidP="000B70D9">
            <w:pPr>
              <w:jc w:val="center"/>
              <w:rPr>
                <w:rFonts w:ascii="Lato" w:hAnsi="Lato" w:cs="Times New Roman"/>
                <w:sz w:val="20"/>
                <w:szCs w:val="20"/>
              </w:rPr>
            </w:pPr>
            <w:r>
              <w:rPr>
                <w:rFonts w:ascii="Lato" w:hAnsi="Lato" w:cs="Times New Roman"/>
                <w:sz w:val="20"/>
                <w:szCs w:val="20"/>
              </w:rPr>
              <w:t>1</w:t>
            </w:r>
            <w:r w:rsidR="00F209BC" w:rsidRPr="000E0901">
              <w:rPr>
                <w:rFonts w:ascii="Lato" w:hAnsi="Lato" w:cs="Times New Roman"/>
                <w:sz w:val="20"/>
                <w:szCs w:val="20"/>
              </w:rPr>
              <w:t>.</w:t>
            </w:r>
          </w:p>
        </w:tc>
        <w:tc>
          <w:tcPr>
            <w:tcW w:w="1701" w:type="dxa"/>
          </w:tcPr>
          <w:p w14:paraId="752B4D6B" w14:textId="1A533A09" w:rsidR="000B70D9" w:rsidRPr="000E0901" w:rsidRDefault="00E93CED" w:rsidP="000B70D9">
            <w:pPr>
              <w:jc w:val="both"/>
              <w:rPr>
                <w:rFonts w:ascii="Lato" w:hAnsi="Lato" w:cs="Times New Roman"/>
                <w:sz w:val="20"/>
                <w:szCs w:val="20"/>
              </w:rPr>
            </w:pPr>
            <w:r w:rsidRPr="000E0901">
              <w:rPr>
                <w:rFonts w:ascii="Lato" w:hAnsi="Lato" w:cs="Times New Roman"/>
                <w:sz w:val="20"/>
                <w:szCs w:val="20"/>
              </w:rPr>
              <w:t>Konfederacja Lewiatan</w:t>
            </w:r>
          </w:p>
        </w:tc>
        <w:tc>
          <w:tcPr>
            <w:tcW w:w="2694" w:type="dxa"/>
          </w:tcPr>
          <w:p w14:paraId="1945FFFA" w14:textId="6844A911" w:rsidR="000B70D9" w:rsidRPr="000E0901" w:rsidRDefault="000B70D9" w:rsidP="000B70D9">
            <w:pPr>
              <w:jc w:val="both"/>
              <w:rPr>
                <w:rFonts w:ascii="Lato" w:hAnsi="Lato" w:cs="Times New Roman"/>
                <w:sz w:val="20"/>
                <w:szCs w:val="20"/>
              </w:rPr>
            </w:pPr>
            <w:r w:rsidRPr="000E0901">
              <w:rPr>
                <w:rFonts w:ascii="Tahoma" w:hAnsi="Tahoma"/>
                <w:sz w:val="20"/>
                <w:szCs w:val="20"/>
              </w:rPr>
              <w:t>Art. 3b. ust. 2b</w:t>
            </w:r>
            <w:r w:rsidR="00B817EA" w:rsidRPr="000E0901">
              <w:rPr>
                <w:rFonts w:ascii="Tahoma" w:hAnsi="Tahoma"/>
                <w:sz w:val="20"/>
                <w:szCs w:val="20"/>
              </w:rPr>
              <w:t xml:space="preserve"> </w:t>
            </w:r>
          </w:p>
        </w:tc>
        <w:tc>
          <w:tcPr>
            <w:tcW w:w="5103" w:type="dxa"/>
          </w:tcPr>
          <w:p w14:paraId="5F5F04B0" w14:textId="77777777" w:rsidR="000B70D9" w:rsidRPr="000E0901" w:rsidRDefault="000B70D9" w:rsidP="0062739B">
            <w:pPr>
              <w:jc w:val="both"/>
              <w:rPr>
                <w:rFonts w:ascii="Tahoma" w:hAnsi="Tahoma"/>
                <w:sz w:val="20"/>
                <w:szCs w:val="20"/>
              </w:rPr>
            </w:pPr>
            <w:r w:rsidRPr="000E0901">
              <w:rPr>
                <w:rFonts w:ascii="Tahoma" w:hAnsi="Tahoma"/>
                <w:sz w:val="20"/>
                <w:szCs w:val="20"/>
              </w:rPr>
              <w:t>Odpady poddane odzyskowi na składowisku odpadów nie powinny być wliczane do poziomu składowania.</w:t>
            </w:r>
          </w:p>
          <w:p w14:paraId="2D79E846" w14:textId="5B43C7B3" w:rsidR="000B70D9" w:rsidRPr="000E0901" w:rsidRDefault="000B70D9" w:rsidP="0062739B">
            <w:pPr>
              <w:jc w:val="both"/>
              <w:rPr>
                <w:rFonts w:ascii="Lato" w:hAnsi="Lato" w:cs="Times New Roman"/>
                <w:sz w:val="20"/>
                <w:szCs w:val="20"/>
              </w:rPr>
            </w:pPr>
            <w:r w:rsidRPr="000E0901">
              <w:rPr>
                <w:rFonts w:ascii="Tahoma" w:hAnsi="Tahoma"/>
                <w:sz w:val="20"/>
                <w:szCs w:val="20"/>
              </w:rPr>
              <w:t>Wliczanie odpadów poddanych odzyskowi na składowisku do poziomu składowania (który jest wskaźnikiem negatywnym) fałszuje rzeczywisty wynik i nie odzwierciedla faktycznych działań pro-odzyskowych. Jeżeli operator składowiska odzyskał część frakcji np. do recyklingu lub wykorzystał odpady do rekultywacji technicznej terenu (odpady poddane procesowi odzysku R5) ta masa odpadów nie powinna obciążać poziomu składowania. Włączenie jej do licznika demotywuje do działań odzyskowych prowadzonych na terenie instalacji. Wskaźnik powinien odzwierciedlać wyłącznie masę odpadów przeznaczonych do ostatecznego unieszkodliwienia poprzez składowanie.</w:t>
            </w:r>
          </w:p>
        </w:tc>
        <w:tc>
          <w:tcPr>
            <w:tcW w:w="4252" w:type="dxa"/>
          </w:tcPr>
          <w:p w14:paraId="38D07FBA" w14:textId="52511038" w:rsidR="000B70D9" w:rsidRPr="000E0901" w:rsidRDefault="000B70D9" w:rsidP="0062739B">
            <w:pPr>
              <w:jc w:val="both"/>
              <w:rPr>
                <w:rFonts w:ascii="Lato" w:hAnsi="Lato" w:cs="Times New Roman"/>
                <w:sz w:val="20"/>
                <w:szCs w:val="20"/>
              </w:rPr>
            </w:pPr>
            <w:r w:rsidRPr="000E0901">
              <w:rPr>
                <w:rFonts w:ascii="Tahoma" w:hAnsi="Tahoma"/>
                <w:sz w:val="20"/>
                <w:szCs w:val="20"/>
              </w:rPr>
              <w:t xml:space="preserve">„Poziom składowania oblicza się jako stosunek masy odpadów komunalnych i odpadów pochodzących z przetwarzania odpadów komunalnych przekazanych do składowania do masy wytworzonych odpadów komunalnych.” </w:t>
            </w:r>
          </w:p>
        </w:tc>
        <w:tc>
          <w:tcPr>
            <w:tcW w:w="1428" w:type="dxa"/>
          </w:tcPr>
          <w:p w14:paraId="31C0C230" w14:textId="77777777" w:rsidR="000B70D9" w:rsidRPr="000E0901" w:rsidRDefault="000B70D9" w:rsidP="000B70D9">
            <w:pPr>
              <w:jc w:val="both"/>
              <w:rPr>
                <w:rFonts w:ascii="Lato" w:hAnsi="Lato" w:cs="Times New Roman"/>
                <w:sz w:val="20"/>
                <w:szCs w:val="20"/>
              </w:rPr>
            </w:pPr>
          </w:p>
        </w:tc>
      </w:tr>
      <w:tr w:rsidR="000E0901" w:rsidRPr="000E0901" w14:paraId="574FF95B" w14:textId="77777777" w:rsidTr="009B5AD6">
        <w:tc>
          <w:tcPr>
            <w:tcW w:w="562" w:type="dxa"/>
          </w:tcPr>
          <w:p w14:paraId="590D690B" w14:textId="7E7498DA" w:rsidR="000B70D9" w:rsidRPr="000E0901" w:rsidRDefault="008654EE" w:rsidP="000B70D9">
            <w:pPr>
              <w:jc w:val="center"/>
              <w:rPr>
                <w:rFonts w:ascii="Lato" w:hAnsi="Lato" w:cs="Times New Roman"/>
                <w:sz w:val="20"/>
                <w:szCs w:val="20"/>
              </w:rPr>
            </w:pPr>
            <w:r>
              <w:rPr>
                <w:rFonts w:ascii="Lato" w:hAnsi="Lato" w:cs="Times New Roman"/>
                <w:sz w:val="20"/>
                <w:szCs w:val="20"/>
              </w:rPr>
              <w:t>2</w:t>
            </w:r>
            <w:r w:rsidR="00F209BC" w:rsidRPr="000E0901">
              <w:rPr>
                <w:rFonts w:ascii="Lato" w:hAnsi="Lato" w:cs="Times New Roman"/>
                <w:sz w:val="20"/>
                <w:szCs w:val="20"/>
              </w:rPr>
              <w:t>.</w:t>
            </w:r>
          </w:p>
        </w:tc>
        <w:tc>
          <w:tcPr>
            <w:tcW w:w="1701" w:type="dxa"/>
          </w:tcPr>
          <w:p w14:paraId="7283C367" w14:textId="06D33C97" w:rsidR="000B70D9" w:rsidRPr="000E0901" w:rsidRDefault="00E93CED" w:rsidP="000B70D9">
            <w:pPr>
              <w:jc w:val="both"/>
              <w:rPr>
                <w:rFonts w:ascii="Lato" w:hAnsi="Lato" w:cs="Times New Roman"/>
                <w:sz w:val="20"/>
                <w:szCs w:val="20"/>
              </w:rPr>
            </w:pPr>
            <w:r w:rsidRPr="000E0901">
              <w:rPr>
                <w:rFonts w:ascii="Lato" w:hAnsi="Lato" w:cs="Times New Roman"/>
                <w:sz w:val="20"/>
                <w:szCs w:val="20"/>
              </w:rPr>
              <w:t>Konfederacja Lewiatan</w:t>
            </w:r>
          </w:p>
        </w:tc>
        <w:tc>
          <w:tcPr>
            <w:tcW w:w="2694" w:type="dxa"/>
          </w:tcPr>
          <w:p w14:paraId="43EC42A6" w14:textId="066E8B6F" w:rsidR="000B70D9" w:rsidRPr="000E0901" w:rsidRDefault="000B70D9" w:rsidP="000B70D9">
            <w:pPr>
              <w:jc w:val="both"/>
              <w:rPr>
                <w:rFonts w:ascii="Lato" w:hAnsi="Lato" w:cs="Times New Roman"/>
                <w:sz w:val="20"/>
                <w:szCs w:val="20"/>
              </w:rPr>
            </w:pPr>
            <w:r w:rsidRPr="000E0901">
              <w:rPr>
                <w:rFonts w:ascii="Tahoma" w:hAnsi="Tahoma"/>
                <w:sz w:val="20"/>
                <w:szCs w:val="20"/>
              </w:rPr>
              <w:t>Art. 3c</w:t>
            </w:r>
          </w:p>
        </w:tc>
        <w:tc>
          <w:tcPr>
            <w:tcW w:w="5103" w:type="dxa"/>
          </w:tcPr>
          <w:p w14:paraId="026C7EA6" w14:textId="77777777" w:rsidR="000B70D9" w:rsidRPr="000E0901" w:rsidRDefault="000B70D9" w:rsidP="0062739B">
            <w:pPr>
              <w:jc w:val="both"/>
              <w:rPr>
                <w:rFonts w:ascii="Tahoma" w:hAnsi="Tahoma"/>
                <w:sz w:val="20"/>
                <w:szCs w:val="20"/>
              </w:rPr>
            </w:pPr>
            <w:r w:rsidRPr="000E0901">
              <w:rPr>
                <w:rFonts w:ascii="Tahoma" w:hAnsi="Tahoma"/>
                <w:sz w:val="20"/>
                <w:szCs w:val="20"/>
              </w:rPr>
              <w:t>Usunięcie zapisu.</w:t>
            </w:r>
          </w:p>
          <w:p w14:paraId="174354D7" w14:textId="77777777" w:rsidR="000B70D9" w:rsidRPr="000E0901" w:rsidRDefault="000B70D9" w:rsidP="0062739B">
            <w:pPr>
              <w:jc w:val="both"/>
              <w:rPr>
                <w:rFonts w:ascii="Tahoma" w:hAnsi="Tahoma"/>
                <w:sz w:val="20"/>
                <w:szCs w:val="20"/>
              </w:rPr>
            </w:pPr>
            <w:r w:rsidRPr="000E0901">
              <w:rPr>
                <w:rFonts w:ascii="Tahoma" w:hAnsi="Tahoma"/>
                <w:sz w:val="20"/>
                <w:szCs w:val="20"/>
              </w:rPr>
              <w:t>Obowiązek określony w Art. 3c odnosi się wyłącznie do ograniczenia ilości odpadów komunalnych ulegających biodegradacji przekazywanych do składowania, w odniesieniu do masy z 1995 roku.</w:t>
            </w:r>
          </w:p>
          <w:p w14:paraId="0D1A67DF" w14:textId="77777777" w:rsidR="000B70D9" w:rsidRPr="000E0901" w:rsidRDefault="000B70D9" w:rsidP="0062739B">
            <w:pPr>
              <w:jc w:val="both"/>
              <w:rPr>
                <w:rFonts w:ascii="Tahoma" w:hAnsi="Tahoma"/>
                <w:sz w:val="20"/>
                <w:szCs w:val="20"/>
              </w:rPr>
            </w:pPr>
            <w:r w:rsidRPr="000E0901">
              <w:rPr>
                <w:rFonts w:ascii="Tahoma" w:hAnsi="Tahoma"/>
                <w:sz w:val="20"/>
                <w:szCs w:val="20"/>
              </w:rPr>
              <w:t>Jednocześnie art. 3b ust. 2a wprowadza obowiązek ograniczenia ilości odpadów komunalnych przekazanych do składowania, tym samym uwzględnia ponownie ilość odpadów biodegradowalnych przekazanych do składowania. Przy jednoczesnym istnieniu obydwu zapisów, kary za przekroczenie wymaganych poziomów są liczone dwukrotnie.</w:t>
            </w:r>
          </w:p>
          <w:p w14:paraId="59C5BA70" w14:textId="490F7D20" w:rsidR="000B70D9" w:rsidRPr="000E0901" w:rsidRDefault="000B70D9" w:rsidP="0062739B">
            <w:pPr>
              <w:jc w:val="both"/>
              <w:rPr>
                <w:rFonts w:ascii="Lato" w:hAnsi="Lato" w:cs="Times New Roman"/>
                <w:sz w:val="20"/>
                <w:szCs w:val="20"/>
              </w:rPr>
            </w:pPr>
            <w:r w:rsidRPr="000E0901">
              <w:rPr>
                <w:rFonts w:ascii="Tahoma" w:hAnsi="Tahoma"/>
                <w:sz w:val="20"/>
                <w:szCs w:val="20"/>
              </w:rPr>
              <w:t xml:space="preserve">Utrzymywanie Art. 3c oznacza dwukrotne karanie za to samo. </w:t>
            </w:r>
          </w:p>
        </w:tc>
        <w:tc>
          <w:tcPr>
            <w:tcW w:w="4252" w:type="dxa"/>
          </w:tcPr>
          <w:p w14:paraId="118E3641" w14:textId="7240076B" w:rsidR="000B70D9" w:rsidRPr="000E0901" w:rsidRDefault="000B70D9" w:rsidP="0062739B">
            <w:pPr>
              <w:jc w:val="both"/>
              <w:rPr>
                <w:rFonts w:ascii="Lato" w:hAnsi="Lato" w:cs="Times New Roman"/>
                <w:sz w:val="20"/>
                <w:szCs w:val="20"/>
              </w:rPr>
            </w:pPr>
            <w:proofErr w:type="spellStart"/>
            <w:r w:rsidRPr="000E0901">
              <w:rPr>
                <w:rFonts w:ascii="Tahoma" w:hAnsi="Tahoma"/>
                <w:sz w:val="20"/>
                <w:szCs w:val="20"/>
              </w:rPr>
              <w:t>n.d</w:t>
            </w:r>
            <w:proofErr w:type="spellEnd"/>
            <w:r w:rsidRPr="000E0901">
              <w:rPr>
                <w:rFonts w:ascii="Tahoma" w:hAnsi="Tahoma"/>
                <w:sz w:val="20"/>
                <w:szCs w:val="20"/>
              </w:rPr>
              <w:t>.</w:t>
            </w:r>
          </w:p>
        </w:tc>
        <w:tc>
          <w:tcPr>
            <w:tcW w:w="1428" w:type="dxa"/>
          </w:tcPr>
          <w:p w14:paraId="17C40DBE" w14:textId="77777777" w:rsidR="000B70D9" w:rsidRPr="000E0901" w:rsidRDefault="000B70D9" w:rsidP="000B70D9">
            <w:pPr>
              <w:jc w:val="both"/>
              <w:rPr>
                <w:rFonts w:ascii="Lato" w:hAnsi="Lato" w:cs="Times New Roman"/>
                <w:sz w:val="20"/>
                <w:szCs w:val="20"/>
              </w:rPr>
            </w:pPr>
          </w:p>
        </w:tc>
      </w:tr>
      <w:tr w:rsidR="00096CD1" w:rsidRPr="000E0901" w14:paraId="597EDC07" w14:textId="77777777" w:rsidTr="009B5AD6">
        <w:tc>
          <w:tcPr>
            <w:tcW w:w="562" w:type="dxa"/>
          </w:tcPr>
          <w:p w14:paraId="513652BE" w14:textId="065D22E0" w:rsidR="00096CD1" w:rsidRPr="000E0901" w:rsidRDefault="008654EE" w:rsidP="00096CD1">
            <w:pPr>
              <w:jc w:val="center"/>
              <w:rPr>
                <w:rFonts w:ascii="Lato" w:hAnsi="Lato" w:cs="Times New Roman"/>
                <w:sz w:val="20"/>
                <w:szCs w:val="20"/>
              </w:rPr>
            </w:pPr>
            <w:r>
              <w:rPr>
                <w:rFonts w:ascii="Lato" w:hAnsi="Lato" w:cs="Times New Roman"/>
                <w:sz w:val="20"/>
                <w:szCs w:val="20"/>
              </w:rPr>
              <w:t>3</w:t>
            </w:r>
            <w:r w:rsidR="00096CD1" w:rsidRPr="000E0901">
              <w:rPr>
                <w:rFonts w:ascii="Lato" w:hAnsi="Lato" w:cs="Times New Roman"/>
                <w:sz w:val="20"/>
                <w:szCs w:val="20"/>
              </w:rPr>
              <w:t>.</w:t>
            </w:r>
          </w:p>
        </w:tc>
        <w:tc>
          <w:tcPr>
            <w:tcW w:w="1701" w:type="dxa"/>
          </w:tcPr>
          <w:p w14:paraId="2C112C99" w14:textId="2337FDF9" w:rsidR="00096CD1" w:rsidRPr="000E0901" w:rsidRDefault="00096CD1" w:rsidP="00096CD1">
            <w:pPr>
              <w:jc w:val="both"/>
              <w:rPr>
                <w:rFonts w:ascii="Lato" w:hAnsi="Lato" w:cs="Times New Roman"/>
                <w:sz w:val="20"/>
                <w:szCs w:val="20"/>
              </w:rPr>
            </w:pPr>
            <w:r w:rsidRPr="000E0901">
              <w:rPr>
                <w:rFonts w:ascii="Lato" w:hAnsi="Lato" w:cs="Times New Roman"/>
                <w:sz w:val="20"/>
                <w:szCs w:val="20"/>
              </w:rPr>
              <w:t>Konfederacja Lewiatan</w:t>
            </w:r>
          </w:p>
        </w:tc>
        <w:tc>
          <w:tcPr>
            <w:tcW w:w="2694" w:type="dxa"/>
          </w:tcPr>
          <w:p w14:paraId="29E8C0CD" w14:textId="3529E17E" w:rsidR="00096CD1" w:rsidRPr="000E0901" w:rsidRDefault="00096CD1" w:rsidP="00096CD1">
            <w:pPr>
              <w:jc w:val="both"/>
              <w:rPr>
                <w:rFonts w:ascii="Lato" w:hAnsi="Lato" w:cs="Times New Roman"/>
                <w:sz w:val="20"/>
                <w:szCs w:val="20"/>
              </w:rPr>
            </w:pPr>
            <w:r w:rsidRPr="000E0901">
              <w:rPr>
                <w:rFonts w:ascii="Tahoma" w:hAnsi="Tahoma"/>
                <w:sz w:val="20"/>
                <w:szCs w:val="20"/>
              </w:rPr>
              <w:t>Art. 4 ust. 2 pkt. 2b</w:t>
            </w:r>
          </w:p>
        </w:tc>
        <w:tc>
          <w:tcPr>
            <w:tcW w:w="5103" w:type="dxa"/>
          </w:tcPr>
          <w:p w14:paraId="23F2ACF9" w14:textId="77777777" w:rsidR="00096CD1" w:rsidRPr="000E0901" w:rsidRDefault="00096CD1" w:rsidP="00096CD1">
            <w:pPr>
              <w:pStyle w:val="Akapitzlist"/>
              <w:numPr>
                <w:ilvl w:val="0"/>
                <w:numId w:val="1"/>
              </w:numPr>
              <w:autoSpaceDE w:val="0"/>
              <w:autoSpaceDN w:val="0"/>
              <w:adjustRightInd w:val="0"/>
              <w:spacing w:after="0"/>
              <w:ind w:left="132" w:hanging="132"/>
              <w:jc w:val="both"/>
              <w:rPr>
                <w:rFonts w:ascii="Tahoma" w:hAnsi="Tahoma" w:cs="Tahoma"/>
                <w:sz w:val="20"/>
                <w:szCs w:val="20"/>
                <w:lang w:val="pl-PL"/>
              </w:rPr>
            </w:pPr>
            <w:r w:rsidRPr="000E0901">
              <w:rPr>
                <w:rFonts w:ascii="Tahoma" w:hAnsi="Tahoma" w:cs="Tahoma"/>
                <w:sz w:val="20"/>
                <w:szCs w:val="20"/>
                <w:lang w:val="pl-PL"/>
              </w:rPr>
              <w:t xml:space="preserve">Często stosowanym warunkiem uznania, że odpady są selektywnie zbierane jest proporcja: odpady selektywnie zbierane muszą stanowić więcej niż 50% (wagi/ilości) wszystkich wytwarzanych </w:t>
            </w:r>
            <w:r w:rsidRPr="000E0901">
              <w:rPr>
                <w:rFonts w:ascii="Tahoma" w:hAnsi="Tahoma" w:cs="Tahoma"/>
                <w:sz w:val="20"/>
                <w:szCs w:val="20"/>
                <w:lang w:val="pl-PL"/>
              </w:rPr>
              <w:lastRenderedPageBreak/>
              <w:t xml:space="preserve">odpadów. Prowadzi to do absurdu – nieruchomości, które ograniczają np. wytwarzanie odpadów opakowaniowych (papier, tworzywa, szkło) np. przez ponowne użycie, rezygnacja z nadmiernych opakowań, stosowanie opakowań wielokrotnego użycia, muszą sztucznie zamawiać dodatkowe pojemniki na odpady segregowane, tylko po to by wyrównać  „złotą proporcję” do wytwarzanych odpadów zmieszanych, których ilość często jest już trudna do określenia. </w:t>
            </w:r>
          </w:p>
          <w:p w14:paraId="2FE29E22" w14:textId="77777777" w:rsidR="00096CD1" w:rsidRPr="000E0901" w:rsidRDefault="00096CD1" w:rsidP="00096CD1">
            <w:pPr>
              <w:pStyle w:val="Akapitzlist"/>
              <w:numPr>
                <w:ilvl w:val="0"/>
                <w:numId w:val="1"/>
              </w:numPr>
              <w:autoSpaceDE w:val="0"/>
              <w:autoSpaceDN w:val="0"/>
              <w:adjustRightInd w:val="0"/>
              <w:spacing w:after="0"/>
              <w:ind w:left="132" w:hanging="132"/>
              <w:jc w:val="both"/>
              <w:rPr>
                <w:rFonts w:ascii="Tahoma" w:hAnsi="Tahoma" w:cs="Tahoma"/>
                <w:sz w:val="20"/>
                <w:szCs w:val="20"/>
                <w:lang w:val="pl-PL"/>
              </w:rPr>
            </w:pPr>
            <w:r w:rsidRPr="000E0901">
              <w:rPr>
                <w:rFonts w:ascii="Tahoma" w:hAnsi="Tahoma" w:cs="Tahoma"/>
                <w:sz w:val="20"/>
                <w:szCs w:val="20"/>
                <w:lang w:val="pl-PL"/>
              </w:rPr>
              <w:t>Regulaminy często odnoszą się do „ilości” odpadów, czyli wartości niepoliczalnej, zwyczajowo rozumianej jako liczba pojemników. W praktyce pozwala to gminom naliczać opłaty za obsługę większej liczby pojemników, których w praktyce nie opróżniają, gdyż są puste. Takie działanie może prowadzić do sztucznego zawyżania kosztów gospodarki odpadami, jeśli planowana jest gotowość do odbioru wg złożonych deklaracji lub do nadużywania takich sytuacji, jeśli gotowość jest korygowana o faktyczną masę odebranych odpadów (nie zadeklarowanych).</w:t>
            </w:r>
          </w:p>
          <w:p w14:paraId="23D94862" w14:textId="77777777" w:rsidR="00096CD1" w:rsidRPr="000E0901" w:rsidRDefault="00096CD1" w:rsidP="00096CD1">
            <w:pPr>
              <w:pStyle w:val="Akapitzlist"/>
              <w:numPr>
                <w:ilvl w:val="0"/>
                <w:numId w:val="1"/>
              </w:numPr>
              <w:autoSpaceDE w:val="0"/>
              <w:autoSpaceDN w:val="0"/>
              <w:adjustRightInd w:val="0"/>
              <w:spacing w:after="0"/>
              <w:ind w:left="132" w:hanging="132"/>
              <w:jc w:val="both"/>
              <w:rPr>
                <w:rFonts w:ascii="Tahoma" w:hAnsi="Tahoma" w:cs="Tahoma"/>
                <w:sz w:val="20"/>
                <w:szCs w:val="20"/>
                <w:lang w:val="pl-PL"/>
              </w:rPr>
            </w:pPr>
            <w:r w:rsidRPr="000E0901">
              <w:rPr>
                <w:rFonts w:ascii="Tahoma" w:hAnsi="Tahoma" w:cs="Tahoma"/>
                <w:sz w:val="20"/>
                <w:szCs w:val="20"/>
                <w:lang w:val="pl-PL"/>
              </w:rPr>
              <w:t>Obecne zapisy prowadzą do sytuacji, gdzie jednostki tego samego przedsiębiorcy np.: sklepy, warsztaty samochodowe, punkty usługowe zlokalizowane w różnych gminach, prowadzone w identyczny sposób z identyczną lub zbliżoną liczbą obsługi / klientów są zmuszone do deklarowania i opłacania liczby pojemników niedostosowanych do realnej masy wytwarzanych odpadów.</w:t>
            </w:r>
          </w:p>
          <w:p w14:paraId="61BA9CC2" w14:textId="77777777" w:rsidR="00096CD1" w:rsidRPr="000E0901" w:rsidRDefault="00096CD1" w:rsidP="00096CD1">
            <w:pPr>
              <w:pStyle w:val="Akapitzlist"/>
              <w:numPr>
                <w:ilvl w:val="0"/>
                <w:numId w:val="1"/>
              </w:numPr>
              <w:autoSpaceDE w:val="0"/>
              <w:autoSpaceDN w:val="0"/>
              <w:adjustRightInd w:val="0"/>
              <w:spacing w:after="0"/>
              <w:ind w:left="132" w:hanging="132"/>
              <w:jc w:val="both"/>
              <w:rPr>
                <w:rFonts w:ascii="Tahoma" w:hAnsi="Tahoma" w:cs="Tahoma"/>
                <w:sz w:val="20"/>
                <w:szCs w:val="20"/>
                <w:lang w:val="pl-PL"/>
              </w:rPr>
            </w:pPr>
            <w:r w:rsidRPr="000E0901">
              <w:rPr>
                <w:rFonts w:ascii="Tahoma" w:hAnsi="Tahoma" w:cs="Tahoma"/>
                <w:sz w:val="20"/>
                <w:szCs w:val="20"/>
                <w:lang w:val="pl-PL"/>
              </w:rPr>
              <w:t xml:space="preserve">PRZYKŁAD: </w:t>
            </w:r>
          </w:p>
          <w:p w14:paraId="4F1CB16A" w14:textId="77777777" w:rsidR="00096CD1" w:rsidRPr="000E0901" w:rsidRDefault="00096CD1" w:rsidP="00096CD1">
            <w:pPr>
              <w:pStyle w:val="Akapitzlist"/>
              <w:autoSpaceDE w:val="0"/>
              <w:autoSpaceDN w:val="0"/>
              <w:adjustRightInd w:val="0"/>
              <w:spacing w:after="0"/>
              <w:ind w:left="132"/>
              <w:jc w:val="both"/>
              <w:rPr>
                <w:rFonts w:ascii="Tahoma" w:hAnsi="Tahoma" w:cs="Tahoma"/>
                <w:sz w:val="20"/>
                <w:szCs w:val="20"/>
                <w:lang w:val="pl-PL"/>
              </w:rPr>
            </w:pPr>
            <w:r w:rsidRPr="000E0901">
              <w:rPr>
                <w:rFonts w:ascii="Tahoma" w:hAnsi="Tahoma" w:cs="Tahoma"/>
                <w:sz w:val="20"/>
                <w:szCs w:val="20"/>
                <w:lang w:val="pl-PL"/>
              </w:rPr>
              <w:t xml:space="preserve">Sklep obsługiwany przez zespół około 20 osób w praktyce wytwarza około 2 pojemniki 1100l odpadów zmieszanych/ tydzień, po 1 pojemniku 240 l na </w:t>
            </w:r>
            <w:r w:rsidRPr="000E0901">
              <w:rPr>
                <w:rFonts w:ascii="Tahoma" w:hAnsi="Tahoma" w:cs="Tahoma"/>
                <w:sz w:val="20"/>
                <w:szCs w:val="20"/>
                <w:lang w:val="pl-PL"/>
              </w:rPr>
              <w:lastRenderedPageBreak/>
              <w:t xml:space="preserve">papier/tworzywa sztuczne/szkło na 2 tygodnie oraz jeden pojemnik 120 l na odpady </w:t>
            </w:r>
            <w:proofErr w:type="spellStart"/>
            <w:r w:rsidRPr="000E0901">
              <w:rPr>
                <w:rFonts w:ascii="Tahoma" w:hAnsi="Tahoma" w:cs="Tahoma"/>
                <w:sz w:val="20"/>
                <w:szCs w:val="20"/>
                <w:lang w:val="pl-PL"/>
              </w:rPr>
              <w:t>bio</w:t>
            </w:r>
            <w:proofErr w:type="spellEnd"/>
            <w:r w:rsidRPr="000E0901">
              <w:rPr>
                <w:rFonts w:ascii="Tahoma" w:hAnsi="Tahoma" w:cs="Tahoma"/>
                <w:sz w:val="20"/>
                <w:szCs w:val="20"/>
                <w:lang w:val="pl-PL"/>
              </w:rPr>
              <w:t>/2 tygodnie.</w:t>
            </w:r>
          </w:p>
          <w:p w14:paraId="1ACF21C7" w14:textId="77777777" w:rsidR="00096CD1" w:rsidRPr="000E0901" w:rsidRDefault="00096CD1" w:rsidP="00096CD1">
            <w:pPr>
              <w:pStyle w:val="Akapitzlist"/>
              <w:autoSpaceDE w:val="0"/>
              <w:autoSpaceDN w:val="0"/>
              <w:adjustRightInd w:val="0"/>
              <w:spacing w:after="0"/>
              <w:ind w:left="132"/>
              <w:jc w:val="both"/>
              <w:rPr>
                <w:rFonts w:ascii="Tahoma" w:hAnsi="Tahoma" w:cs="Tahoma"/>
                <w:sz w:val="20"/>
                <w:szCs w:val="20"/>
                <w:lang w:val="pl-PL"/>
              </w:rPr>
            </w:pPr>
            <w:r w:rsidRPr="000E0901">
              <w:rPr>
                <w:rFonts w:ascii="Tahoma" w:hAnsi="Tahoma" w:cs="Tahoma"/>
                <w:sz w:val="20"/>
                <w:szCs w:val="20"/>
                <w:lang w:val="pl-PL"/>
              </w:rPr>
              <w:t>W gminach stosujących ww. proporcję odpadów zmieszanych do segregowanych zmuszony jest do zadeklarowania odbioru pojemników:</w:t>
            </w:r>
          </w:p>
          <w:p w14:paraId="174F82D9" w14:textId="77777777" w:rsidR="00096CD1" w:rsidRPr="000E0901" w:rsidRDefault="00096CD1" w:rsidP="00096CD1">
            <w:pPr>
              <w:pStyle w:val="Akapitzlist"/>
              <w:autoSpaceDE w:val="0"/>
              <w:autoSpaceDN w:val="0"/>
              <w:adjustRightInd w:val="0"/>
              <w:spacing w:after="0"/>
              <w:ind w:left="132"/>
              <w:jc w:val="both"/>
              <w:rPr>
                <w:rFonts w:ascii="Tahoma" w:hAnsi="Tahoma" w:cs="Tahoma"/>
                <w:sz w:val="20"/>
                <w:szCs w:val="20"/>
                <w:lang w:val="pl-PL"/>
              </w:rPr>
            </w:pPr>
            <w:r w:rsidRPr="000E0901">
              <w:rPr>
                <w:rFonts w:ascii="Tahoma" w:hAnsi="Tahoma" w:cs="Tahoma"/>
                <w:sz w:val="20"/>
                <w:szCs w:val="20"/>
                <w:lang w:val="pl-PL"/>
              </w:rPr>
              <w:t xml:space="preserve">- na tworzywa sztuczne - 1240 l z odbiorem co tydzień (zamiast 480 l/ </w:t>
            </w:r>
            <w:proofErr w:type="spellStart"/>
            <w:r w:rsidRPr="000E0901">
              <w:rPr>
                <w:rFonts w:ascii="Tahoma" w:hAnsi="Tahoma" w:cs="Tahoma"/>
                <w:sz w:val="20"/>
                <w:szCs w:val="20"/>
                <w:lang w:val="pl-PL"/>
              </w:rPr>
              <w:t>msc</w:t>
            </w:r>
            <w:proofErr w:type="spellEnd"/>
            <w:r w:rsidRPr="000E0901">
              <w:rPr>
                <w:rFonts w:ascii="Tahoma" w:hAnsi="Tahoma" w:cs="Tahoma"/>
                <w:sz w:val="20"/>
                <w:szCs w:val="20"/>
                <w:lang w:val="pl-PL"/>
              </w:rPr>
              <w:t xml:space="preserve"> trzeba opłacić aż 4960l </w:t>
            </w:r>
            <w:proofErr w:type="spellStart"/>
            <w:r w:rsidRPr="000E0901">
              <w:rPr>
                <w:rFonts w:ascii="Tahoma" w:hAnsi="Tahoma" w:cs="Tahoma"/>
                <w:sz w:val="20"/>
                <w:szCs w:val="20"/>
                <w:lang w:val="pl-PL"/>
              </w:rPr>
              <w:t>msc</w:t>
            </w:r>
            <w:proofErr w:type="spellEnd"/>
            <w:r w:rsidRPr="000E0901">
              <w:rPr>
                <w:rFonts w:ascii="Tahoma" w:hAnsi="Tahoma" w:cs="Tahoma"/>
                <w:sz w:val="20"/>
                <w:szCs w:val="20"/>
                <w:lang w:val="pl-PL"/>
              </w:rPr>
              <w:t xml:space="preserve"> -&gt; 10 x więcej!)</w:t>
            </w:r>
          </w:p>
          <w:p w14:paraId="605B711B" w14:textId="77777777" w:rsidR="00096CD1" w:rsidRPr="000E0901" w:rsidRDefault="00096CD1" w:rsidP="00096CD1">
            <w:pPr>
              <w:pStyle w:val="Akapitzlist"/>
              <w:autoSpaceDE w:val="0"/>
              <w:autoSpaceDN w:val="0"/>
              <w:adjustRightInd w:val="0"/>
              <w:spacing w:after="0"/>
              <w:ind w:left="132"/>
              <w:jc w:val="both"/>
              <w:rPr>
                <w:rFonts w:ascii="Tahoma" w:hAnsi="Tahoma" w:cs="Tahoma"/>
                <w:sz w:val="20"/>
                <w:szCs w:val="20"/>
                <w:lang w:val="pl-PL"/>
              </w:rPr>
            </w:pPr>
            <w:r w:rsidRPr="000E0901">
              <w:rPr>
                <w:rFonts w:ascii="Tahoma" w:hAnsi="Tahoma" w:cs="Tahoma"/>
                <w:sz w:val="20"/>
                <w:szCs w:val="20"/>
                <w:lang w:val="pl-PL"/>
              </w:rPr>
              <w:t>- na szkło – 900 l z odbiorem co 2 tygodnie (zamiast 480 l/</w:t>
            </w:r>
            <w:proofErr w:type="spellStart"/>
            <w:r w:rsidRPr="000E0901">
              <w:rPr>
                <w:rFonts w:ascii="Tahoma" w:hAnsi="Tahoma" w:cs="Tahoma"/>
                <w:sz w:val="20"/>
                <w:szCs w:val="20"/>
                <w:lang w:val="pl-PL"/>
              </w:rPr>
              <w:t>msc</w:t>
            </w:r>
            <w:proofErr w:type="spellEnd"/>
            <w:r w:rsidRPr="000E0901">
              <w:rPr>
                <w:rFonts w:ascii="Tahoma" w:hAnsi="Tahoma" w:cs="Tahoma"/>
                <w:sz w:val="20"/>
                <w:szCs w:val="20"/>
                <w:lang w:val="pl-PL"/>
              </w:rPr>
              <w:t xml:space="preserve"> trzeba opłacać 1800l/</w:t>
            </w:r>
            <w:proofErr w:type="spellStart"/>
            <w:r w:rsidRPr="000E0901">
              <w:rPr>
                <w:rFonts w:ascii="Tahoma" w:hAnsi="Tahoma" w:cs="Tahoma"/>
                <w:sz w:val="20"/>
                <w:szCs w:val="20"/>
                <w:lang w:val="pl-PL"/>
              </w:rPr>
              <w:t>msc</w:t>
            </w:r>
            <w:proofErr w:type="spellEnd"/>
            <w:r w:rsidRPr="000E0901">
              <w:rPr>
                <w:rFonts w:ascii="Tahoma" w:hAnsi="Tahoma" w:cs="Tahoma"/>
                <w:sz w:val="20"/>
                <w:szCs w:val="20"/>
                <w:lang w:val="pl-PL"/>
              </w:rPr>
              <w:t xml:space="preserve"> – 3,8 x więcej!)</w:t>
            </w:r>
          </w:p>
          <w:p w14:paraId="2F0F1471" w14:textId="77777777" w:rsidR="00096CD1" w:rsidRPr="000E0901" w:rsidRDefault="00096CD1" w:rsidP="00096CD1">
            <w:pPr>
              <w:pStyle w:val="Akapitzlist"/>
              <w:autoSpaceDE w:val="0"/>
              <w:autoSpaceDN w:val="0"/>
              <w:adjustRightInd w:val="0"/>
              <w:spacing w:after="0"/>
              <w:ind w:left="132"/>
              <w:jc w:val="both"/>
              <w:rPr>
                <w:rFonts w:ascii="Tahoma" w:hAnsi="Tahoma" w:cs="Tahoma"/>
                <w:sz w:val="20"/>
                <w:szCs w:val="20"/>
                <w:lang w:val="pl-PL"/>
              </w:rPr>
            </w:pPr>
            <w:r w:rsidRPr="000E0901">
              <w:rPr>
                <w:rFonts w:ascii="Tahoma" w:hAnsi="Tahoma" w:cs="Tahoma"/>
                <w:sz w:val="20"/>
                <w:szCs w:val="20"/>
                <w:lang w:val="pl-PL"/>
              </w:rPr>
              <w:t>- na papier - 900 l z odbiorem co 2 tygodnie (zamiast 480 l/</w:t>
            </w:r>
            <w:proofErr w:type="spellStart"/>
            <w:r w:rsidRPr="000E0901">
              <w:rPr>
                <w:rFonts w:ascii="Tahoma" w:hAnsi="Tahoma" w:cs="Tahoma"/>
                <w:sz w:val="20"/>
                <w:szCs w:val="20"/>
                <w:lang w:val="pl-PL"/>
              </w:rPr>
              <w:t>msc</w:t>
            </w:r>
            <w:proofErr w:type="spellEnd"/>
            <w:r w:rsidRPr="000E0901">
              <w:rPr>
                <w:rFonts w:ascii="Tahoma" w:hAnsi="Tahoma" w:cs="Tahoma"/>
                <w:sz w:val="20"/>
                <w:szCs w:val="20"/>
                <w:lang w:val="pl-PL"/>
              </w:rPr>
              <w:t xml:space="preserve"> trzeba opłacać 1800l/</w:t>
            </w:r>
            <w:proofErr w:type="spellStart"/>
            <w:r w:rsidRPr="000E0901">
              <w:rPr>
                <w:rFonts w:ascii="Tahoma" w:hAnsi="Tahoma" w:cs="Tahoma"/>
                <w:sz w:val="20"/>
                <w:szCs w:val="20"/>
                <w:lang w:val="pl-PL"/>
              </w:rPr>
              <w:t>msc</w:t>
            </w:r>
            <w:proofErr w:type="spellEnd"/>
            <w:r w:rsidRPr="000E0901">
              <w:rPr>
                <w:rFonts w:ascii="Tahoma" w:hAnsi="Tahoma" w:cs="Tahoma"/>
                <w:sz w:val="20"/>
                <w:szCs w:val="20"/>
                <w:lang w:val="pl-PL"/>
              </w:rPr>
              <w:t xml:space="preserve"> – 3,8 x więcej!)</w:t>
            </w:r>
          </w:p>
          <w:p w14:paraId="709001A6" w14:textId="77777777" w:rsidR="00096CD1" w:rsidRPr="00E647CC" w:rsidRDefault="00096CD1" w:rsidP="00096CD1">
            <w:pPr>
              <w:pStyle w:val="Akapitzlist"/>
              <w:autoSpaceDE w:val="0"/>
              <w:autoSpaceDN w:val="0"/>
              <w:adjustRightInd w:val="0"/>
              <w:spacing w:after="0"/>
              <w:ind w:left="132"/>
              <w:jc w:val="both"/>
              <w:rPr>
                <w:rFonts w:ascii="Tahoma" w:hAnsi="Tahoma" w:cs="Tahoma"/>
                <w:sz w:val="20"/>
                <w:szCs w:val="20"/>
                <w:lang w:val="pl-PL"/>
              </w:rPr>
            </w:pPr>
            <w:r w:rsidRPr="000E0901">
              <w:rPr>
                <w:rFonts w:ascii="Tahoma" w:hAnsi="Tahoma" w:cs="Tahoma"/>
                <w:sz w:val="20"/>
                <w:szCs w:val="20"/>
                <w:lang w:val="pl-PL"/>
              </w:rPr>
              <w:t xml:space="preserve">Łącznie wymaga to opłacenia odbioru 7120 l odpadów, które nie są wytwarzane!. </w:t>
            </w:r>
            <w:r w:rsidRPr="00E647CC">
              <w:rPr>
                <w:rFonts w:ascii="Tahoma" w:hAnsi="Tahoma" w:cs="Tahoma"/>
                <w:b/>
                <w:bCs/>
                <w:sz w:val="20"/>
                <w:szCs w:val="20"/>
                <w:u w:val="single"/>
                <w:lang w:val="pl-PL"/>
              </w:rPr>
              <w:t xml:space="preserve">Jest to miesięczny koszt około 6200 zł zamiast 4600 zł (aż o 1600 zł/miesiąc, a prawie 20 000 zł rocznie więcej za puste pojemniki!). </w:t>
            </w:r>
          </w:p>
          <w:p w14:paraId="5F9C2BE6" w14:textId="77777777" w:rsidR="00096CD1" w:rsidRPr="000E0901" w:rsidRDefault="00096CD1" w:rsidP="00096CD1">
            <w:pPr>
              <w:pStyle w:val="Akapitzlist"/>
              <w:autoSpaceDE w:val="0"/>
              <w:autoSpaceDN w:val="0"/>
              <w:adjustRightInd w:val="0"/>
              <w:spacing w:after="0"/>
              <w:ind w:left="132"/>
              <w:jc w:val="both"/>
              <w:rPr>
                <w:rFonts w:ascii="Tahoma" w:hAnsi="Tahoma" w:cs="Tahoma"/>
                <w:sz w:val="20"/>
                <w:szCs w:val="20"/>
                <w:lang w:val="pl-PL"/>
              </w:rPr>
            </w:pPr>
            <w:r w:rsidRPr="00E647CC">
              <w:rPr>
                <w:rFonts w:ascii="Tahoma" w:hAnsi="Tahoma" w:cs="Tahoma"/>
                <w:b/>
                <w:bCs/>
                <w:sz w:val="20"/>
                <w:szCs w:val="20"/>
                <w:u w:val="single"/>
                <w:lang w:val="pl-PL"/>
              </w:rPr>
              <w:t>Dodatkowo pojemniki te należy zapewnić mimo, iż stoją puste.</w:t>
            </w:r>
            <w:r w:rsidRPr="00E647CC">
              <w:rPr>
                <w:rFonts w:ascii="Tahoma" w:hAnsi="Tahoma" w:cs="Tahoma"/>
                <w:sz w:val="20"/>
                <w:szCs w:val="20"/>
                <w:lang w:val="pl-PL"/>
              </w:rPr>
              <w:t xml:space="preserve"> Pojemniki trzeba zabezpieczyć, co zwyczajowo oznacza postawienie wiaty śmietnikowej przez właściciela </w:t>
            </w:r>
            <w:r w:rsidRPr="00E647CC">
              <w:rPr>
                <w:rFonts w:ascii="Tahoma" w:hAnsi="Tahoma" w:cs="Tahoma"/>
                <w:b/>
                <w:bCs/>
                <w:sz w:val="20"/>
                <w:szCs w:val="20"/>
                <w:u w:val="single"/>
                <w:lang w:val="pl-PL"/>
              </w:rPr>
              <w:t>nieruchomości co stanowi wydatek rzędu 30-50 tys. zł</w:t>
            </w:r>
            <w:r w:rsidRPr="00E647CC">
              <w:rPr>
                <w:rFonts w:ascii="Tahoma" w:hAnsi="Tahoma" w:cs="Tahoma"/>
                <w:sz w:val="20"/>
                <w:szCs w:val="20"/>
                <w:lang w:val="pl-PL"/>
              </w:rPr>
              <w:t xml:space="preserve"> (projekt, uzyskanie </w:t>
            </w:r>
            <w:proofErr w:type="spellStart"/>
            <w:r w:rsidRPr="00E647CC">
              <w:rPr>
                <w:rFonts w:ascii="Tahoma" w:hAnsi="Tahoma" w:cs="Tahoma"/>
                <w:sz w:val="20"/>
                <w:szCs w:val="20"/>
                <w:lang w:val="pl-PL"/>
              </w:rPr>
              <w:t>PnB</w:t>
            </w:r>
            <w:proofErr w:type="spellEnd"/>
            <w:r w:rsidRPr="00E647CC">
              <w:rPr>
                <w:rFonts w:ascii="Tahoma" w:hAnsi="Tahoma" w:cs="Tahoma"/>
                <w:sz w:val="20"/>
                <w:szCs w:val="20"/>
                <w:lang w:val="pl-PL"/>
              </w:rPr>
              <w:t xml:space="preserve"> lub zgłoszenia, wykonanie utwardzenia</w:t>
            </w:r>
            <w:r w:rsidRPr="000E0901">
              <w:rPr>
                <w:rFonts w:ascii="Tahoma" w:hAnsi="Tahoma" w:cs="Tahoma"/>
                <w:sz w:val="20"/>
                <w:szCs w:val="20"/>
                <w:lang w:val="pl-PL"/>
              </w:rPr>
              <w:t xml:space="preserve">, zakup i montaż wiaty). </w:t>
            </w:r>
          </w:p>
          <w:p w14:paraId="054CF44B" w14:textId="77777777" w:rsidR="00096CD1" w:rsidRPr="000E0901" w:rsidRDefault="00096CD1" w:rsidP="00096CD1">
            <w:pPr>
              <w:pStyle w:val="Akapitzlist"/>
              <w:autoSpaceDE w:val="0"/>
              <w:autoSpaceDN w:val="0"/>
              <w:adjustRightInd w:val="0"/>
              <w:spacing w:after="0"/>
              <w:ind w:left="132"/>
              <w:jc w:val="both"/>
              <w:rPr>
                <w:rFonts w:ascii="Tahoma" w:hAnsi="Tahoma" w:cs="Tahoma"/>
                <w:sz w:val="20"/>
                <w:szCs w:val="20"/>
                <w:lang w:val="pl-PL"/>
              </w:rPr>
            </w:pPr>
          </w:p>
          <w:p w14:paraId="74449DA3" w14:textId="77777777" w:rsidR="00096CD1" w:rsidRPr="000E0901" w:rsidRDefault="00096CD1" w:rsidP="00096CD1">
            <w:pPr>
              <w:pStyle w:val="Akapitzlist"/>
              <w:autoSpaceDE w:val="0"/>
              <w:autoSpaceDN w:val="0"/>
              <w:adjustRightInd w:val="0"/>
              <w:spacing w:after="0"/>
              <w:ind w:left="132"/>
              <w:jc w:val="both"/>
              <w:rPr>
                <w:rFonts w:ascii="Tahoma" w:hAnsi="Tahoma" w:cs="Tahoma"/>
                <w:sz w:val="20"/>
                <w:szCs w:val="20"/>
                <w:lang w:val="pl-PL"/>
              </w:rPr>
            </w:pPr>
            <w:r w:rsidRPr="000E0901">
              <w:rPr>
                <w:rFonts w:ascii="Tahoma" w:hAnsi="Tahoma" w:cs="Tahoma"/>
                <w:sz w:val="20"/>
                <w:szCs w:val="20"/>
                <w:lang w:val="pl-PL"/>
              </w:rPr>
              <w:t xml:space="preserve">Ponadto częstą zasadą jest uzależnianie pojemności i liczby pojemników od powierzchni nieruchomości niezamieszkałej. </w:t>
            </w:r>
          </w:p>
          <w:p w14:paraId="07605F7E" w14:textId="77777777" w:rsidR="00096CD1" w:rsidRPr="000E0901" w:rsidRDefault="00096CD1" w:rsidP="00096CD1">
            <w:pPr>
              <w:pStyle w:val="Akapitzlist"/>
              <w:autoSpaceDE w:val="0"/>
              <w:autoSpaceDN w:val="0"/>
              <w:adjustRightInd w:val="0"/>
              <w:spacing w:after="0"/>
              <w:ind w:left="132"/>
              <w:jc w:val="both"/>
              <w:rPr>
                <w:rFonts w:ascii="Tahoma" w:hAnsi="Tahoma" w:cs="Tahoma"/>
                <w:sz w:val="20"/>
                <w:szCs w:val="20"/>
                <w:lang w:val="pl-PL"/>
              </w:rPr>
            </w:pPr>
            <w:r w:rsidRPr="000E0901">
              <w:rPr>
                <w:rFonts w:ascii="Tahoma" w:hAnsi="Tahoma" w:cs="Tahoma"/>
                <w:sz w:val="20"/>
                <w:szCs w:val="20"/>
                <w:lang w:val="pl-PL"/>
              </w:rPr>
              <w:t xml:space="preserve">Przykład – gmina wymaga naliczenia liczby pojemników dla lokali handlowych (w tym hurtowych) od ich powierzchni (załóżmy 5 l x powierzchnia lokalu). Dla porównania Zakłady usługowe obliczane są wg liczby pracowników (załóżmy 50 l x pracownika). W tej samej gminie, ta sama nieruchomość (na przykładzie </w:t>
            </w:r>
            <w:r w:rsidRPr="000E0901">
              <w:rPr>
                <w:rFonts w:ascii="Tahoma" w:hAnsi="Tahoma" w:cs="Tahoma"/>
                <w:sz w:val="20"/>
                <w:szCs w:val="20"/>
                <w:lang w:val="pl-PL"/>
              </w:rPr>
              <w:lastRenderedPageBreak/>
              <w:t>magazynu hurtowni o powierzchni 60 tys. m</w:t>
            </w:r>
            <w:r w:rsidRPr="000E0901">
              <w:rPr>
                <w:rFonts w:ascii="Tahoma" w:hAnsi="Tahoma" w:cs="Tahoma"/>
                <w:sz w:val="20"/>
                <w:szCs w:val="20"/>
                <w:vertAlign w:val="superscript"/>
                <w:lang w:val="pl-PL"/>
              </w:rPr>
              <w:t>2</w:t>
            </w:r>
            <w:r w:rsidRPr="000E0901">
              <w:rPr>
                <w:rFonts w:ascii="Tahoma" w:hAnsi="Tahoma" w:cs="Tahoma"/>
                <w:sz w:val="20"/>
                <w:szCs w:val="20"/>
                <w:lang w:val="pl-PL"/>
              </w:rPr>
              <w:t xml:space="preserve"> obsługiwanego przez około 200 pracowników), obliczenie liczby pojemników zaklasyfikowana do innej grupy musi zapewnić:</w:t>
            </w:r>
          </w:p>
          <w:p w14:paraId="173C2032" w14:textId="77777777" w:rsidR="00096CD1" w:rsidRPr="00E647CC" w:rsidRDefault="00096CD1" w:rsidP="00096CD1">
            <w:pPr>
              <w:pStyle w:val="Akapitzlist"/>
              <w:autoSpaceDE w:val="0"/>
              <w:autoSpaceDN w:val="0"/>
              <w:adjustRightInd w:val="0"/>
              <w:spacing w:after="0"/>
              <w:ind w:left="132"/>
              <w:jc w:val="both"/>
              <w:rPr>
                <w:rFonts w:ascii="Tahoma" w:hAnsi="Tahoma" w:cs="Tahoma"/>
                <w:sz w:val="20"/>
                <w:szCs w:val="20"/>
                <w:lang w:val="pl-PL"/>
              </w:rPr>
            </w:pPr>
            <w:r w:rsidRPr="000E0901">
              <w:rPr>
                <w:rFonts w:ascii="Tahoma" w:hAnsi="Tahoma" w:cs="Tahoma"/>
                <w:sz w:val="20"/>
                <w:szCs w:val="20"/>
                <w:lang w:val="pl-PL"/>
              </w:rPr>
              <w:t xml:space="preserve">- 300 000l pojemników- około </w:t>
            </w:r>
            <w:r w:rsidRPr="00E647CC">
              <w:rPr>
                <w:rFonts w:ascii="Tahoma" w:hAnsi="Tahoma" w:cs="Tahoma"/>
                <w:b/>
                <w:bCs/>
                <w:sz w:val="20"/>
                <w:szCs w:val="20"/>
                <w:lang w:val="pl-PL"/>
              </w:rPr>
              <w:t xml:space="preserve">273 pojemniki 1100l!, </w:t>
            </w:r>
            <w:r w:rsidRPr="00E647CC">
              <w:rPr>
                <w:rFonts w:ascii="Tahoma" w:hAnsi="Tahoma" w:cs="Tahoma"/>
                <w:sz w:val="20"/>
                <w:szCs w:val="20"/>
                <w:lang w:val="pl-PL"/>
              </w:rPr>
              <w:t>albo:</w:t>
            </w:r>
          </w:p>
          <w:p w14:paraId="78ABD336" w14:textId="77777777" w:rsidR="00096CD1" w:rsidRPr="000E0901" w:rsidRDefault="00096CD1" w:rsidP="00096CD1">
            <w:pPr>
              <w:pStyle w:val="Akapitzlist"/>
              <w:autoSpaceDE w:val="0"/>
              <w:autoSpaceDN w:val="0"/>
              <w:adjustRightInd w:val="0"/>
              <w:spacing w:after="0"/>
              <w:ind w:left="132"/>
              <w:jc w:val="both"/>
              <w:rPr>
                <w:rFonts w:ascii="Tahoma" w:hAnsi="Tahoma" w:cs="Tahoma"/>
                <w:sz w:val="20"/>
                <w:szCs w:val="20"/>
                <w:lang w:val="pl-PL"/>
              </w:rPr>
            </w:pPr>
            <w:r w:rsidRPr="00E647CC">
              <w:rPr>
                <w:rFonts w:ascii="Tahoma" w:hAnsi="Tahoma" w:cs="Tahoma"/>
                <w:sz w:val="20"/>
                <w:szCs w:val="20"/>
                <w:lang w:val="pl-PL"/>
              </w:rPr>
              <w:t xml:space="preserve">- </w:t>
            </w:r>
            <w:r w:rsidRPr="00E647CC">
              <w:rPr>
                <w:rFonts w:ascii="Tahoma" w:hAnsi="Tahoma" w:cs="Tahoma"/>
                <w:b/>
                <w:bCs/>
                <w:sz w:val="20"/>
                <w:szCs w:val="20"/>
                <w:lang w:val="pl-PL"/>
              </w:rPr>
              <w:t>10000 l – około 9 pojemników 1100</w:t>
            </w:r>
            <w:r w:rsidRPr="000E0901">
              <w:rPr>
                <w:rFonts w:ascii="Tahoma" w:hAnsi="Tahoma" w:cs="Tahoma"/>
                <w:b/>
                <w:bCs/>
                <w:sz w:val="20"/>
                <w:szCs w:val="20"/>
                <w:lang w:val="pl-PL"/>
              </w:rPr>
              <w:t xml:space="preserve"> l</w:t>
            </w:r>
            <w:r w:rsidRPr="000E0901">
              <w:rPr>
                <w:rFonts w:ascii="Tahoma" w:hAnsi="Tahoma" w:cs="Tahoma"/>
                <w:sz w:val="20"/>
                <w:szCs w:val="20"/>
                <w:lang w:val="pl-PL"/>
              </w:rPr>
              <w:t>. To różnica ponad 260 sztuk pojemników!</w:t>
            </w:r>
          </w:p>
          <w:p w14:paraId="61393C6E" w14:textId="72D2AF88" w:rsidR="00096CD1" w:rsidRPr="000E0901" w:rsidRDefault="00096CD1" w:rsidP="00096CD1">
            <w:pPr>
              <w:jc w:val="both"/>
              <w:rPr>
                <w:rFonts w:ascii="Lato" w:hAnsi="Lato" w:cs="Times New Roman"/>
                <w:sz w:val="20"/>
                <w:szCs w:val="20"/>
              </w:rPr>
            </w:pPr>
            <w:r w:rsidRPr="000E0901">
              <w:rPr>
                <w:rFonts w:ascii="Tahoma" w:hAnsi="Tahoma" w:cs="Tahoma"/>
                <w:sz w:val="20"/>
                <w:szCs w:val="20"/>
              </w:rPr>
              <w:t xml:space="preserve">Stosowanie odniesienia do powierzchni jest jawnie krzywdzące i nie ma odzwierciedlenia w rzeczywistej masie wytwarzanych odpadów. </w:t>
            </w:r>
          </w:p>
        </w:tc>
        <w:tc>
          <w:tcPr>
            <w:tcW w:w="4252" w:type="dxa"/>
          </w:tcPr>
          <w:p w14:paraId="70C305F6" w14:textId="04C8A475" w:rsidR="00096CD1" w:rsidRPr="000E0901" w:rsidRDefault="00096CD1" w:rsidP="00096CD1">
            <w:pPr>
              <w:jc w:val="both"/>
              <w:rPr>
                <w:rFonts w:ascii="Lato" w:hAnsi="Lato" w:cs="Times New Roman"/>
                <w:sz w:val="20"/>
                <w:szCs w:val="20"/>
              </w:rPr>
            </w:pPr>
            <w:r w:rsidRPr="000E0901">
              <w:rPr>
                <w:rFonts w:ascii="Lato" w:hAnsi="Lato" w:cs="Times New Roman"/>
                <w:sz w:val="20"/>
                <w:szCs w:val="20"/>
              </w:rPr>
              <w:lastRenderedPageBreak/>
              <w:t xml:space="preserve">art. 4 ust. 2. pkt 2 b) </w:t>
            </w:r>
          </w:p>
          <w:p w14:paraId="56E6B7D0" w14:textId="614D625A" w:rsidR="00096CD1" w:rsidRPr="000E0901" w:rsidRDefault="00096CD1" w:rsidP="00096CD1">
            <w:pPr>
              <w:jc w:val="both"/>
              <w:rPr>
                <w:rFonts w:ascii="Lato" w:hAnsi="Lato" w:cs="Times New Roman"/>
                <w:b/>
                <w:bCs/>
                <w:sz w:val="20"/>
                <w:szCs w:val="20"/>
              </w:rPr>
            </w:pPr>
            <w:r w:rsidRPr="000E0901">
              <w:rPr>
                <w:rFonts w:ascii="Lato" w:hAnsi="Lato" w:cs="Times New Roman"/>
                <w:sz w:val="20"/>
                <w:szCs w:val="20"/>
              </w:rPr>
              <w:t xml:space="preserve">warunków uznania, że odpady, o których mowa w pkt 1 lit. a i b oraz ust. 2a pkt 1, są zbierane selektywnie </w:t>
            </w:r>
            <w:r w:rsidRPr="000E0901">
              <w:rPr>
                <w:rFonts w:ascii="Lato" w:hAnsi="Lato" w:cs="Times New Roman"/>
                <w:b/>
                <w:bCs/>
                <w:sz w:val="20"/>
                <w:szCs w:val="20"/>
              </w:rPr>
              <w:t xml:space="preserve">poprzez: rozdzielania ich na pięć podstawowych frakcji (zgodnie z </w:t>
            </w:r>
            <w:r w:rsidRPr="000E0901">
              <w:rPr>
                <w:rFonts w:ascii="Lato" w:hAnsi="Lato" w:cs="Times New Roman"/>
                <w:b/>
                <w:bCs/>
                <w:sz w:val="20"/>
                <w:szCs w:val="20"/>
              </w:rPr>
              <w:lastRenderedPageBreak/>
              <w:t>określoną kolorystyką i oznaczeniami pojemników/worków) oraz zapewnienia, że w każdym strumieniu gromadzone są wyłącznie odpady o takich samych właściwościach i cechach, co minimalizuje zanieczyszczenie zebranych frakcji, z zastrzeżeniem, że:</w:t>
            </w:r>
          </w:p>
          <w:p w14:paraId="6C26918F" w14:textId="77777777" w:rsidR="00096CD1" w:rsidRPr="000E0901" w:rsidRDefault="00096CD1" w:rsidP="00096CD1">
            <w:pPr>
              <w:jc w:val="both"/>
              <w:rPr>
                <w:rFonts w:ascii="Lato" w:hAnsi="Lato" w:cs="Times New Roman"/>
                <w:b/>
                <w:bCs/>
                <w:sz w:val="20"/>
                <w:szCs w:val="20"/>
              </w:rPr>
            </w:pPr>
            <w:r w:rsidRPr="000E0901">
              <w:rPr>
                <w:rFonts w:ascii="Lato" w:hAnsi="Lato" w:cs="Times New Roman"/>
                <w:b/>
                <w:bCs/>
                <w:sz w:val="20"/>
                <w:szCs w:val="20"/>
              </w:rPr>
              <w:t>- warunkiem uznania spełnienia obowiązku selektywnego zbierania nie może być proporcja wagi, liczby ani objętości niesegregowanych odpadów komunalnych do odpadów gromadzonych selektywnie przez nieruchomości ani wagi, liczby ani objętości pojemników wykorzystywanych do gromadzenia przedmiotowych odpadów</w:t>
            </w:r>
          </w:p>
          <w:p w14:paraId="6BD03E7F" w14:textId="03F07645" w:rsidR="00096CD1" w:rsidRPr="000E0901" w:rsidRDefault="00096CD1" w:rsidP="00096CD1">
            <w:pPr>
              <w:jc w:val="both"/>
              <w:rPr>
                <w:rFonts w:ascii="Lato" w:hAnsi="Lato" w:cs="Times New Roman"/>
                <w:b/>
                <w:bCs/>
                <w:sz w:val="20"/>
                <w:szCs w:val="20"/>
              </w:rPr>
            </w:pPr>
            <w:r w:rsidRPr="000E0901">
              <w:rPr>
                <w:rFonts w:ascii="Lato" w:hAnsi="Lato" w:cs="Times New Roman"/>
                <w:b/>
                <w:bCs/>
                <w:sz w:val="20"/>
                <w:szCs w:val="20"/>
              </w:rPr>
              <w:t>- liczba pojemników nie może być uzależniana od powierzchni nieruchomości niezamieszkałej.</w:t>
            </w:r>
          </w:p>
        </w:tc>
        <w:tc>
          <w:tcPr>
            <w:tcW w:w="1428" w:type="dxa"/>
          </w:tcPr>
          <w:p w14:paraId="2EFA759D" w14:textId="77777777" w:rsidR="00096CD1" w:rsidRPr="000E0901" w:rsidRDefault="00096CD1" w:rsidP="00096CD1">
            <w:pPr>
              <w:jc w:val="both"/>
              <w:rPr>
                <w:rFonts w:ascii="Lato" w:hAnsi="Lato" w:cs="Times New Roman"/>
                <w:sz w:val="20"/>
                <w:szCs w:val="20"/>
              </w:rPr>
            </w:pPr>
          </w:p>
        </w:tc>
      </w:tr>
      <w:tr w:rsidR="00096CD1" w:rsidRPr="000E0901" w14:paraId="44A25FE8" w14:textId="77777777" w:rsidTr="009B5AD6">
        <w:tc>
          <w:tcPr>
            <w:tcW w:w="562" w:type="dxa"/>
          </w:tcPr>
          <w:p w14:paraId="31D3C0AE" w14:textId="7A506BB7" w:rsidR="00096CD1" w:rsidRPr="000E0901" w:rsidRDefault="008654EE" w:rsidP="00096CD1">
            <w:pPr>
              <w:jc w:val="center"/>
              <w:rPr>
                <w:rFonts w:ascii="Lato" w:hAnsi="Lato" w:cs="Times New Roman"/>
                <w:sz w:val="20"/>
                <w:szCs w:val="20"/>
              </w:rPr>
            </w:pPr>
            <w:r>
              <w:rPr>
                <w:rFonts w:ascii="Lato" w:hAnsi="Lato" w:cs="Times New Roman"/>
                <w:sz w:val="20"/>
                <w:szCs w:val="20"/>
              </w:rPr>
              <w:lastRenderedPageBreak/>
              <w:t>3</w:t>
            </w:r>
            <w:r w:rsidR="00096CD1" w:rsidRPr="000E0901">
              <w:rPr>
                <w:rFonts w:ascii="Lato" w:hAnsi="Lato" w:cs="Times New Roman"/>
                <w:sz w:val="20"/>
                <w:szCs w:val="20"/>
              </w:rPr>
              <w:t>’</w:t>
            </w:r>
          </w:p>
        </w:tc>
        <w:tc>
          <w:tcPr>
            <w:tcW w:w="1701" w:type="dxa"/>
          </w:tcPr>
          <w:p w14:paraId="2393B1FF" w14:textId="349FBA27" w:rsidR="00096CD1" w:rsidRPr="000E0901" w:rsidRDefault="00096CD1" w:rsidP="00096CD1">
            <w:pPr>
              <w:jc w:val="both"/>
              <w:rPr>
                <w:rFonts w:ascii="Lato" w:hAnsi="Lato" w:cs="Times New Roman"/>
                <w:sz w:val="20"/>
                <w:szCs w:val="20"/>
              </w:rPr>
            </w:pPr>
            <w:r w:rsidRPr="000E0901">
              <w:rPr>
                <w:rFonts w:ascii="Lato" w:hAnsi="Lato" w:cs="Times New Roman"/>
                <w:sz w:val="20"/>
                <w:szCs w:val="20"/>
              </w:rPr>
              <w:t xml:space="preserve">Konfederacja Lewiatan </w:t>
            </w:r>
            <w:r w:rsidRPr="000E0901">
              <w:rPr>
                <w:rFonts w:ascii="Tahoma" w:hAnsi="Tahoma"/>
                <w:b/>
                <w:bCs/>
                <w:sz w:val="20"/>
                <w:szCs w:val="20"/>
              </w:rPr>
              <w:t xml:space="preserve">(warunkowo, w przypadku odrzucenia powyższej uwagi - punktu </w:t>
            </w:r>
            <w:r w:rsidR="008654EE">
              <w:rPr>
                <w:rFonts w:ascii="Tahoma" w:hAnsi="Tahoma"/>
                <w:b/>
                <w:bCs/>
                <w:sz w:val="20"/>
                <w:szCs w:val="20"/>
              </w:rPr>
              <w:t>3</w:t>
            </w:r>
            <w:r w:rsidRPr="000E0901">
              <w:rPr>
                <w:rFonts w:ascii="Tahoma" w:hAnsi="Tahoma"/>
                <w:b/>
                <w:bCs/>
                <w:sz w:val="20"/>
                <w:szCs w:val="20"/>
              </w:rPr>
              <w:t>)</w:t>
            </w:r>
          </w:p>
        </w:tc>
        <w:tc>
          <w:tcPr>
            <w:tcW w:w="2694" w:type="dxa"/>
          </w:tcPr>
          <w:p w14:paraId="742054DB" w14:textId="1DBFBF1E" w:rsidR="00096CD1" w:rsidRPr="000E0901" w:rsidRDefault="00096CD1" w:rsidP="00096CD1">
            <w:pPr>
              <w:jc w:val="both"/>
              <w:rPr>
                <w:rFonts w:ascii="Tahoma" w:hAnsi="Tahoma"/>
                <w:sz w:val="20"/>
                <w:szCs w:val="20"/>
              </w:rPr>
            </w:pPr>
            <w:r w:rsidRPr="000E0901">
              <w:rPr>
                <w:rFonts w:ascii="Tahoma" w:hAnsi="Tahoma"/>
                <w:sz w:val="20"/>
                <w:szCs w:val="20"/>
              </w:rPr>
              <w:t xml:space="preserve">art. 4 ust. 2b </w:t>
            </w:r>
          </w:p>
        </w:tc>
        <w:tc>
          <w:tcPr>
            <w:tcW w:w="5103" w:type="dxa"/>
          </w:tcPr>
          <w:p w14:paraId="3AAB38B5" w14:textId="77777777" w:rsidR="00096CD1" w:rsidRPr="000E0901" w:rsidRDefault="00096CD1" w:rsidP="001D3445">
            <w:pPr>
              <w:pStyle w:val="Akapitzlist"/>
              <w:numPr>
                <w:ilvl w:val="0"/>
                <w:numId w:val="2"/>
              </w:numPr>
              <w:autoSpaceDE w:val="0"/>
              <w:autoSpaceDN w:val="0"/>
              <w:adjustRightInd w:val="0"/>
              <w:spacing w:after="0"/>
              <w:ind w:left="317"/>
              <w:jc w:val="both"/>
              <w:rPr>
                <w:rFonts w:ascii="Tahoma" w:hAnsi="Tahoma" w:cs="Tahoma"/>
                <w:sz w:val="20"/>
                <w:szCs w:val="20"/>
                <w:lang w:val="pl-PL"/>
              </w:rPr>
            </w:pPr>
            <w:r w:rsidRPr="000E0901">
              <w:rPr>
                <w:rFonts w:ascii="Tahoma" w:hAnsi="Tahoma" w:cs="Tahoma"/>
                <w:sz w:val="20"/>
                <w:szCs w:val="20"/>
                <w:lang w:val="pl-PL"/>
              </w:rPr>
              <w:t xml:space="preserve">Często stosowanym warunkiem uznania, że odpady są selektywnie zbierane jest proporcja: odpady selektywnie zbierane muszą stanowić więcej niż 50% (wagi/ilości) wszystkich wytwarzanych odpadów. Prowadzi to do absurdu – nieruchomości, które ograniczają np. wytwarzanie odpadów opakowaniowych (papier, tworzywa, szkło) np. przez ponowne użycie, rezygnacja z nadmiernych opakowań, stosowanie opakowań wielokrotnego użycia, muszą sztucznie zamawiać dodatkowe pojemniki na odpady segregowane, tylko po to by wyrównać  „złotą proporcję” do wytwarzanych odpadów zmieszanych, których ilość często jest już trudna do określenia. </w:t>
            </w:r>
          </w:p>
          <w:p w14:paraId="55AB5DBB" w14:textId="77777777" w:rsidR="00096CD1" w:rsidRPr="000E0901" w:rsidRDefault="00096CD1" w:rsidP="001D3445">
            <w:pPr>
              <w:pStyle w:val="Akapitzlist"/>
              <w:numPr>
                <w:ilvl w:val="0"/>
                <w:numId w:val="2"/>
              </w:numPr>
              <w:autoSpaceDE w:val="0"/>
              <w:autoSpaceDN w:val="0"/>
              <w:adjustRightInd w:val="0"/>
              <w:spacing w:after="0"/>
              <w:ind w:left="132" w:hanging="132"/>
              <w:jc w:val="both"/>
              <w:rPr>
                <w:rFonts w:ascii="Tahoma" w:hAnsi="Tahoma" w:cs="Tahoma"/>
                <w:sz w:val="20"/>
                <w:szCs w:val="20"/>
                <w:lang w:val="pl-PL"/>
              </w:rPr>
            </w:pPr>
            <w:r w:rsidRPr="000E0901">
              <w:rPr>
                <w:rFonts w:ascii="Tahoma" w:hAnsi="Tahoma" w:cs="Tahoma"/>
                <w:sz w:val="20"/>
                <w:szCs w:val="20"/>
                <w:lang w:val="pl-PL"/>
              </w:rPr>
              <w:t xml:space="preserve">Regulaminy często odnoszą się do „ilości” odpadów, czyli wartości niepoliczalnej, zwyczajowo rozumianej jako liczba pojemników. W praktyce pozwala to gminom naliczać opłaty za obsługę większej liczby pojemników, których w praktyce nie opróżniają, gdyż są puste. Takie działanie może prowadzić do sztucznego zawyżania kosztów gospodarki odpadami, jeśli planowana jest gotowość do odbioru wg złożonych deklaracji lub do nadużywania takich sytuacji, jeśli gotowość jest </w:t>
            </w:r>
            <w:r w:rsidRPr="000E0901">
              <w:rPr>
                <w:rFonts w:ascii="Tahoma" w:hAnsi="Tahoma" w:cs="Tahoma"/>
                <w:sz w:val="20"/>
                <w:szCs w:val="20"/>
                <w:lang w:val="pl-PL"/>
              </w:rPr>
              <w:lastRenderedPageBreak/>
              <w:t>korygowana o faktyczną masę odebranych odpadów (nie zadeklarowanych).</w:t>
            </w:r>
          </w:p>
          <w:p w14:paraId="2A37B0F1" w14:textId="77777777" w:rsidR="00096CD1" w:rsidRPr="000E0901" w:rsidRDefault="00096CD1" w:rsidP="001D3445">
            <w:pPr>
              <w:pStyle w:val="Akapitzlist"/>
              <w:numPr>
                <w:ilvl w:val="0"/>
                <w:numId w:val="2"/>
              </w:numPr>
              <w:autoSpaceDE w:val="0"/>
              <w:autoSpaceDN w:val="0"/>
              <w:adjustRightInd w:val="0"/>
              <w:spacing w:after="0"/>
              <w:ind w:left="132" w:hanging="132"/>
              <w:jc w:val="both"/>
              <w:rPr>
                <w:rFonts w:ascii="Tahoma" w:hAnsi="Tahoma" w:cs="Tahoma"/>
                <w:sz w:val="20"/>
                <w:szCs w:val="20"/>
                <w:lang w:val="pl-PL"/>
              </w:rPr>
            </w:pPr>
            <w:r w:rsidRPr="000E0901">
              <w:rPr>
                <w:rFonts w:ascii="Tahoma" w:hAnsi="Tahoma" w:cs="Tahoma"/>
                <w:sz w:val="20"/>
                <w:szCs w:val="20"/>
                <w:lang w:val="pl-PL"/>
              </w:rPr>
              <w:t>Obecne zapisy prowadzą do sytuacji, gdzie jednostki tego samego przedsiębiorcy np.: sklepy, warsztaty samochodowe, punkty usługowe zlokalizowane w różnych gminach, prowadzone w identyczny sposób z identyczną lub zbliżoną liczbą obsługi / klientów są zmuszone do deklarowania i opłacania liczby pojemników niedostosowanych do realnej masy wytwarzanych odpadów.</w:t>
            </w:r>
          </w:p>
          <w:p w14:paraId="358BD782" w14:textId="77777777" w:rsidR="00096CD1" w:rsidRPr="000E0901" w:rsidRDefault="00096CD1" w:rsidP="001D3445">
            <w:pPr>
              <w:pStyle w:val="Akapitzlist"/>
              <w:numPr>
                <w:ilvl w:val="0"/>
                <w:numId w:val="2"/>
              </w:numPr>
              <w:autoSpaceDE w:val="0"/>
              <w:autoSpaceDN w:val="0"/>
              <w:adjustRightInd w:val="0"/>
              <w:spacing w:after="0"/>
              <w:ind w:left="132" w:hanging="132"/>
              <w:jc w:val="both"/>
              <w:rPr>
                <w:rFonts w:ascii="Tahoma" w:hAnsi="Tahoma" w:cs="Tahoma"/>
                <w:sz w:val="20"/>
                <w:szCs w:val="20"/>
                <w:lang w:val="pl-PL"/>
              </w:rPr>
            </w:pPr>
            <w:r w:rsidRPr="000E0901">
              <w:rPr>
                <w:rFonts w:ascii="Tahoma" w:hAnsi="Tahoma" w:cs="Tahoma"/>
                <w:sz w:val="20"/>
                <w:szCs w:val="20"/>
                <w:lang w:val="pl-PL"/>
              </w:rPr>
              <w:t xml:space="preserve">PRZYKŁAD: </w:t>
            </w:r>
          </w:p>
          <w:p w14:paraId="50D7546B" w14:textId="77777777" w:rsidR="00096CD1" w:rsidRPr="000E0901" w:rsidRDefault="00096CD1" w:rsidP="00096CD1">
            <w:pPr>
              <w:pStyle w:val="Akapitzlist"/>
              <w:autoSpaceDE w:val="0"/>
              <w:autoSpaceDN w:val="0"/>
              <w:adjustRightInd w:val="0"/>
              <w:spacing w:after="0"/>
              <w:ind w:left="132"/>
              <w:jc w:val="both"/>
              <w:rPr>
                <w:rFonts w:ascii="Tahoma" w:hAnsi="Tahoma" w:cs="Tahoma"/>
                <w:sz w:val="20"/>
                <w:szCs w:val="20"/>
                <w:lang w:val="pl-PL"/>
              </w:rPr>
            </w:pPr>
            <w:r w:rsidRPr="000E0901">
              <w:rPr>
                <w:rFonts w:ascii="Tahoma" w:hAnsi="Tahoma" w:cs="Tahoma"/>
                <w:sz w:val="20"/>
                <w:szCs w:val="20"/>
                <w:lang w:val="pl-PL"/>
              </w:rPr>
              <w:t xml:space="preserve">Sklep obsługiwany przez zespół około 20 osób w praktyce wytwarza około 2 pojemniki 1100l odpadów zmieszanych/ tydzień, po 1 pojemniku 240 l na papier/tworzywa sztuczne/szkło na 2 tygodnie oraz jeden pojemnik 120 l na odpady </w:t>
            </w:r>
            <w:proofErr w:type="spellStart"/>
            <w:r w:rsidRPr="000E0901">
              <w:rPr>
                <w:rFonts w:ascii="Tahoma" w:hAnsi="Tahoma" w:cs="Tahoma"/>
                <w:sz w:val="20"/>
                <w:szCs w:val="20"/>
                <w:lang w:val="pl-PL"/>
              </w:rPr>
              <w:t>bio</w:t>
            </w:r>
            <w:proofErr w:type="spellEnd"/>
            <w:r w:rsidRPr="000E0901">
              <w:rPr>
                <w:rFonts w:ascii="Tahoma" w:hAnsi="Tahoma" w:cs="Tahoma"/>
                <w:sz w:val="20"/>
                <w:szCs w:val="20"/>
                <w:lang w:val="pl-PL"/>
              </w:rPr>
              <w:t>/2 tygodnie.</w:t>
            </w:r>
          </w:p>
          <w:p w14:paraId="6FCE5D91" w14:textId="77777777" w:rsidR="00096CD1" w:rsidRPr="000E0901" w:rsidRDefault="00096CD1" w:rsidP="00096CD1">
            <w:pPr>
              <w:pStyle w:val="Akapitzlist"/>
              <w:autoSpaceDE w:val="0"/>
              <w:autoSpaceDN w:val="0"/>
              <w:adjustRightInd w:val="0"/>
              <w:spacing w:after="0"/>
              <w:ind w:left="132"/>
              <w:jc w:val="both"/>
              <w:rPr>
                <w:rFonts w:ascii="Tahoma" w:hAnsi="Tahoma" w:cs="Tahoma"/>
                <w:sz w:val="20"/>
                <w:szCs w:val="20"/>
                <w:lang w:val="pl-PL"/>
              </w:rPr>
            </w:pPr>
            <w:r w:rsidRPr="000E0901">
              <w:rPr>
                <w:rFonts w:ascii="Tahoma" w:hAnsi="Tahoma" w:cs="Tahoma"/>
                <w:sz w:val="20"/>
                <w:szCs w:val="20"/>
                <w:lang w:val="pl-PL"/>
              </w:rPr>
              <w:t>W gminach stosujących ww. proporcję odpadów zmieszanych do segregowanych zmuszony jest do zadeklarowania odbioru pojemników:</w:t>
            </w:r>
          </w:p>
          <w:p w14:paraId="5AE87591" w14:textId="77777777" w:rsidR="00096CD1" w:rsidRPr="000E0901" w:rsidRDefault="00096CD1" w:rsidP="00096CD1">
            <w:pPr>
              <w:pStyle w:val="Akapitzlist"/>
              <w:autoSpaceDE w:val="0"/>
              <w:autoSpaceDN w:val="0"/>
              <w:adjustRightInd w:val="0"/>
              <w:spacing w:after="0"/>
              <w:ind w:left="132"/>
              <w:jc w:val="both"/>
              <w:rPr>
                <w:rFonts w:ascii="Tahoma" w:hAnsi="Tahoma" w:cs="Tahoma"/>
                <w:sz w:val="20"/>
                <w:szCs w:val="20"/>
                <w:lang w:val="pl-PL"/>
              </w:rPr>
            </w:pPr>
            <w:r w:rsidRPr="000E0901">
              <w:rPr>
                <w:rFonts w:ascii="Tahoma" w:hAnsi="Tahoma" w:cs="Tahoma"/>
                <w:sz w:val="20"/>
                <w:szCs w:val="20"/>
                <w:lang w:val="pl-PL"/>
              </w:rPr>
              <w:t xml:space="preserve">- na tworzywa sztuczne - 1240 l z odbiorem co tydzień (zamiast 480 l/ </w:t>
            </w:r>
            <w:proofErr w:type="spellStart"/>
            <w:r w:rsidRPr="000E0901">
              <w:rPr>
                <w:rFonts w:ascii="Tahoma" w:hAnsi="Tahoma" w:cs="Tahoma"/>
                <w:sz w:val="20"/>
                <w:szCs w:val="20"/>
                <w:lang w:val="pl-PL"/>
              </w:rPr>
              <w:t>msc</w:t>
            </w:r>
            <w:proofErr w:type="spellEnd"/>
            <w:r w:rsidRPr="000E0901">
              <w:rPr>
                <w:rFonts w:ascii="Tahoma" w:hAnsi="Tahoma" w:cs="Tahoma"/>
                <w:sz w:val="20"/>
                <w:szCs w:val="20"/>
                <w:lang w:val="pl-PL"/>
              </w:rPr>
              <w:t xml:space="preserve"> trzeba opłacić aż 4960l </w:t>
            </w:r>
            <w:proofErr w:type="spellStart"/>
            <w:r w:rsidRPr="000E0901">
              <w:rPr>
                <w:rFonts w:ascii="Tahoma" w:hAnsi="Tahoma" w:cs="Tahoma"/>
                <w:sz w:val="20"/>
                <w:szCs w:val="20"/>
                <w:lang w:val="pl-PL"/>
              </w:rPr>
              <w:t>msc</w:t>
            </w:r>
            <w:proofErr w:type="spellEnd"/>
            <w:r w:rsidRPr="000E0901">
              <w:rPr>
                <w:rFonts w:ascii="Tahoma" w:hAnsi="Tahoma" w:cs="Tahoma"/>
                <w:sz w:val="20"/>
                <w:szCs w:val="20"/>
                <w:lang w:val="pl-PL"/>
              </w:rPr>
              <w:t xml:space="preserve"> -&gt; 10 x więcej!)</w:t>
            </w:r>
          </w:p>
          <w:p w14:paraId="22F3191D" w14:textId="77777777" w:rsidR="00096CD1" w:rsidRPr="000E0901" w:rsidRDefault="00096CD1" w:rsidP="00096CD1">
            <w:pPr>
              <w:pStyle w:val="Akapitzlist"/>
              <w:autoSpaceDE w:val="0"/>
              <w:autoSpaceDN w:val="0"/>
              <w:adjustRightInd w:val="0"/>
              <w:spacing w:after="0"/>
              <w:ind w:left="132"/>
              <w:jc w:val="both"/>
              <w:rPr>
                <w:rFonts w:ascii="Tahoma" w:hAnsi="Tahoma" w:cs="Tahoma"/>
                <w:sz w:val="20"/>
                <w:szCs w:val="20"/>
                <w:lang w:val="pl-PL"/>
              </w:rPr>
            </w:pPr>
            <w:r w:rsidRPr="000E0901">
              <w:rPr>
                <w:rFonts w:ascii="Tahoma" w:hAnsi="Tahoma" w:cs="Tahoma"/>
                <w:sz w:val="20"/>
                <w:szCs w:val="20"/>
                <w:lang w:val="pl-PL"/>
              </w:rPr>
              <w:t>- na szkło – 900 l z odbiorem co 2 tygodnie (zamiast 480 l/</w:t>
            </w:r>
            <w:proofErr w:type="spellStart"/>
            <w:r w:rsidRPr="000E0901">
              <w:rPr>
                <w:rFonts w:ascii="Tahoma" w:hAnsi="Tahoma" w:cs="Tahoma"/>
                <w:sz w:val="20"/>
                <w:szCs w:val="20"/>
                <w:lang w:val="pl-PL"/>
              </w:rPr>
              <w:t>msc</w:t>
            </w:r>
            <w:proofErr w:type="spellEnd"/>
            <w:r w:rsidRPr="000E0901">
              <w:rPr>
                <w:rFonts w:ascii="Tahoma" w:hAnsi="Tahoma" w:cs="Tahoma"/>
                <w:sz w:val="20"/>
                <w:szCs w:val="20"/>
                <w:lang w:val="pl-PL"/>
              </w:rPr>
              <w:t xml:space="preserve"> trzeba opłacać 1800l/</w:t>
            </w:r>
            <w:proofErr w:type="spellStart"/>
            <w:r w:rsidRPr="000E0901">
              <w:rPr>
                <w:rFonts w:ascii="Tahoma" w:hAnsi="Tahoma" w:cs="Tahoma"/>
                <w:sz w:val="20"/>
                <w:szCs w:val="20"/>
                <w:lang w:val="pl-PL"/>
              </w:rPr>
              <w:t>msc</w:t>
            </w:r>
            <w:proofErr w:type="spellEnd"/>
            <w:r w:rsidRPr="000E0901">
              <w:rPr>
                <w:rFonts w:ascii="Tahoma" w:hAnsi="Tahoma" w:cs="Tahoma"/>
                <w:sz w:val="20"/>
                <w:szCs w:val="20"/>
                <w:lang w:val="pl-PL"/>
              </w:rPr>
              <w:t xml:space="preserve"> – 3,8 x więcej!)</w:t>
            </w:r>
          </w:p>
          <w:p w14:paraId="6317346A" w14:textId="77777777" w:rsidR="00096CD1" w:rsidRPr="000E0901" w:rsidRDefault="00096CD1" w:rsidP="00096CD1">
            <w:pPr>
              <w:pStyle w:val="Akapitzlist"/>
              <w:autoSpaceDE w:val="0"/>
              <w:autoSpaceDN w:val="0"/>
              <w:adjustRightInd w:val="0"/>
              <w:spacing w:after="0"/>
              <w:ind w:left="132"/>
              <w:jc w:val="both"/>
              <w:rPr>
                <w:rFonts w:ascii="Tahoma" w:hAnsi="Tahoma" w:cs="Tahoma"/>
                <w:sz w:val="20"/>
                <w:szCs w:val="20"/>
                <w:lang w:val="pl-PL"/>
              </w:rPr>
            </w:pPr>
            <w:r w:rsidRPr="000E0901">
              <w:rPr>
                <w:rFonts w:ascii="Tahoma" w:hAnsi="Tahoma" w:cs="Tahoma"/>
                <w:sz w:val="20"/>
                <w:szCs w:val="20"/>
                <w:lang w:val="pl-PL"/>
              </w:rPr>
              <w:t>- na papier - 900 l z odbiorem co 2 tygodnie (zamiast 480 l/</w:t>
            </w:r>
            <w:proofErr w:type="spellStart"/>
            <w:r w:rsidRPr="000E0901">
              <w:rPr>
                <w:rFonts w:ascii="Tahoma" w:hAnsi="Tahoma" w:cs="Tahoma"/>
                <w:sz w:val="20"/>
                <w:szCs w:val="20"/>
                <w:lang w:val="pl-PL"/>
              </w:rPr>
              <w:t>msc</w:t>
            </w:r>
            <w:proofErr w:type="spellEnd"/>
            <w:r w:rsidRPr="000E0901">
              <w:rPr>
                <w:rFonts w:ascii="Tahoma" w:hAnsi="Tahoma" w:cs="Tahoma"/>
                <w:sz w:val="20"/>
                <w:szCs w:val="20"/>
                <w:lang w:val="pl-PL"/>
              </w:rPr>
              <w:t xml:space="preserve"> trzeba opłacać 1800l/</w:t>
            </w:r>
            <w:proofErr w:type="spellStart"/>
            <w:r w:rsidRPr="000E0901">
              <w:rPr>
                <w:rFonts w:ascii="Tahoma" w:hAnsi="Tahoma" w:cs="Tahoma"/>
                <w:sz w:val="20"/>
                <w:szCs w:val="20"/>
                <w:lang w:val="pl-PL"/>
              </w:rPr>
              <w:t>msc</w:t>
            </w:r>
            <w:proofErr w:type="spellEnd"/>
            <w:r w:rsidRPr="000E0901">
              <w:rPr>
                <w:rFonts w:ascii="Tahoma" w:hAnsi="Tahoma" w:cs="Tahoma"/>
                <w:sz w:val="20"/>
                <w:szCs w:val="20"/>
                <w:lang w:val="pl-PL"/>
              </w:rPr>
              <w:t xml:space="preserve"> – 3,8 x więcej!)</w:t>
            </w:r>
          </w:p>
          <w:p w14:paraId="0C42C045" w14:textId="77777777" w:rsidR="00096CD1" w:rsidRPr="000E0901" w:rsidRDefault="00096CD1" w:rsidP="00096CD1">
            <w:pPr>
              <w:pStyle w:val="Akapitzlist"/>
              <w:autoSpaceDE w:val="0"/>
              <w:autoSpaceDN w:val="0"/>
              <w:adjustRightInd w:val="0"/>
              <w:spacing w:after="0"/>
              <w:ind w:left="132"/>
              <w:jc w:val="both"/>
              <w:rPr>
                <w:rFonts w:ascii="Tahoma" w:hAnsi="Tahoma" w:cs="Tahoma"/>
                <w:sz w:val="20"/>
                <w:szCs w:val="20"/>
                <w:lang w:val="pl-PL"/>
              </w:rPr>
            </w:pPr>
            <w:r w:rsidRPr="000E0901">
              <w:rPr>
                <w:rFonts w:ascii="Tahoma" w:hAnsi="Tahoma" w:cs="Tahoma"/>
                <w:sz w:val="20"/>
                <w:szCs w:val="20"/>
                <w:lang w:val="pl-PL"/>
              </w:rPr>
              <w:t>Łącznie wymaga to opłacenia odbioru 7120 l odpadów, które nie są wytwarzane</w:t>
            </w:r>
            <w:r w:rsidRPr="00E647CC">
              <w:rPr>
                <w:rFonts w:ascii="Tahoma" w:hAnsi="Tahoma" w:cs="Tahoma"/>
                <w:sz w:val="20"/>
                <w:szCs w:val="20"/>
                <w:lang w:val="pl-PL"/>
              </w:rPr>
              <w:t xml:space="preserve">!. </w:t>
            </w:r>
            <w:r w:rsidRPr="00E647CC">
              <w:rPr>
                <w:rFonts w:ascii="Tahoma" w:hAnsi="Tahoma" w:cs="Tahoma"/>
                <w:b/>
                <w:bCs/>
                <w:sz w:val="20"/>
                <w:szCs w:val="20"/>
                <w:u w:val="single"/>
                <w:lang w:val="pl-PL"/>
              </w:rPr>
              <w:t>Jest to miesięczny koszt około 6200 zł zamiast 4600 zł (aż o 1600 zł/miesiąc, a prawie 20 000 zł rocznie więcej za puste pojemniki!).</w:t>
            </w:r>
            <w:r w:rsidRPr="000E0901">
              <w:rPr>
                <w:rFonts w:ascii="Tahoma" w:hAnsi="Tahoma" w:cs="Tahoma"/>
                <w:b/>
                <w:bCs/>
                <w:sz w:val="20"/>
                <w:szCs w:val="20"/>
                <w:u w:val="single"/>
                <w:lang w:val="pl-PL"/>
              </w:rPr>
              <w:t xml:space="preserve"> </w:t>
            </w:r>
          </w:p>
          <w:p w14:paraId="77D6D0E8" w14:textId="77777777" w:rsidR="00096CD1" w:rsidRPr="000E0901" w:rsidRDefault="00096CD1" w:rsidP="00096CD1">
            <w:pPr>
              <w:pStyle w:val="Akapitzlist"/>
              <w:autoSpaceDE w:val="0"/>
              <w:autoSpaceDN w:val="0"/>
              <w:adjustRightInd w:val="0"/>
              <w:spacing w:after="0"/>
              <w:ind w:left="132"/>
              <w:jc w:val="both"/>
              <w:rPr>
                <w:rFonts w:ascii="Tahoma" w:hAnsi="Tahoma" w:cs="Tahoma"/>
                <w:sz w:val="20"/>
                <w:szCs w:val="20"/>
                <w:lang w:val="pl-PL"/>
              </w:rPr>
            </w:pPr>
            <w:r w:rsidRPr="000E0901">
              <w:rPr>
                <w:rFonts w:ascii="Tahoma" w:hAnsi="Tahoma" w:cs="Tahoma"/>
                <w:b/>
                <w:bCs/>
                <w:sz w:val="20"/>
                <w:szCs w:val="20"/>
                <w:u w:val="single"/>
                <w:lang w:val="pl-PL"/>
              </w:rPr>
              <w:t>Dodatkowo pojemniki te należy zapewnić mimo, iż stoją puste.</w:t>
            </w:r>
            <w:r w:rsidRPr="000E0901">
              <w:rPr>
                <w:rFonts w:ascii="Tahoma" w:hAnsi="Tahoma" w:cs="Tahoma"/>
                <w:sz w:val="20"/>
                <w:szCs w:val="20"/>
                <w:lang w:val="pl-PL"/>
              </w:rPr>
              <w:t xml:space="preserve"> Pojemniki trzeba zabezpieczyć, co zwyczajowo oznacza postawienie </w:t>
            </w:r>
            <w:r w:rsidRPr="000E0901">
              <w:rPr>
                <w:rFonts w:ascii="Tahoma" w:hAnsi="Tahoma" w:cs="Tahoma"/>
                <w:sz w:val="20"/>
                <w:szCs w:val="20"/>
                <w:lang w:val="pl-PL"/>
              </w:rPr>
              <w:lastRenderedPageBreak/>
              <w:t xml:space="preserve">wiaty śmietnikowej przez właściciela </w:t>
            </w:r>
            <w:r w:rsidRPr="00E647CC">
              <w:rPr>
                <w:rFonts w:ascii="Tahoma" w:hAnsi="Tahoma" w:cs="Tahoma"/>
                <w:b/>
                <w:bCs/>
                <w:sz w:val="20"/>
                <w:szCs w:val="20"/>
                <w:u w:val="single"/>
                <w:lang w:val="pl-PL"/>
              </w:rPr>
              <w:t>nieruchomości co stanowi wydatek rzędu 30-50 tys. zł</w:t>
            </w:r>
            <w:r w:rsidRPr="000E0901">
              <w:rPr>
                <w:rFonts w:ascii="Tahoma" w:hAnsi="Tahoma" w:cs="Tahoma"/>
                <w:sz w:val="20"/>
                <w:szCs w:val="20"/>
                <w:lang w:val="pl-PL"/>
              </w:rPr>
              <w:t xml:space="preserve"> (projekt, uzyskanie </w:t>
            </w:r>
            <w:proofErr w:type="spellStart"/>
            <w:r w:rsidRPr="000E0901">
              <w:rPr>
                <w:rFonts w:ascii="Tahoma" w:hAnsi="Tahoma" w:cs="Tahoma"/>
                <w:sz w:val="20"/>
                <w:szCs w:val="20"/>
                <w:lang w:val="pl-PL"/>
              </w:rPr>
              <w:t>PnB</w:t>
            </w:r>
            <w:proofErr w:type="spellEnd"/>
            <w:r w:rsidRPr="000E0901">
              <w:rPr>
                <w:rFonts w:ascii="Tahoma" w:hAnsi="Tahoma" w:cs="Tahoma"/>
                <w:sz w:val="20"/>
                <w:szCs w:val="20"/>
                <w:lang w:val="pl-PL"/>
              </w:rPr>
              <w:t xml:space="preserve"> lub zgłoszenia, wykonanie utwardzenia, zakup i montaż wiaty). </w:t>
            </w:r>
          </w:p>
          <w:p w14:paraId="07195D2E" w14:textId="77777777" w:rsidR="00096CD1" w:rsidRPr="000E0901" w:rsidRDefault="00096CD1" w:rsidP="00096CD1">
            <w:pPr>
              <w:pStyle w:val="Akapitzlist"/>
              <w:autoSpaceDE w:val="0"/>
              <w:autoSpaceDN w:val="0"/>
              <w:adjustRightInd w:val="0"/>
              <w:spacing w:after="0"/>
              <w:ind w:left="132"/>
              <w:jc w:val="both"/>
              <w:rPr>
                <w:rFonts w:ascii="Tahoma" w:hAnsi="Tahoma" w:cs="Tahoma"/>
                <w:sz w:val="20"/>
                <w:szCs w:val="20"/>
                <w:lang w:val="pl-PL"/>
              </w:rPr>
            </w:pPr>
          </w:p>
          <w:p w14:paraId="73185BCA" w14:textId="77777777" w:rsidR="00096CD1" w:rsidRPr="000E0901" w:rsidRDefault="00096CD1" w:rsidP="00096CD1">
            <w:pPr>
              <w:pStyle w:val="Akapitzlist"/>
              <w:autoSpaceDE w:val="0"/>
              <w:autoSpaceDN w:val="0"/>
              <w:adjustRightInd w:val="0"/>
              <w:spacing w:after="0"/>
              <w:ind w:left="132"/>
              <w:jc w:val="both"/>
              <w:rPr>
                <w:rFonts w:ascii="Tahoma" w:hAnsi="Tahoma" w:cs="Tahoma"/>
                <w:sz w:val="20"/>
                <w:szCs w:val="20"/>
                <w:lang w:val="pl-PL"/>
              </w:rPr>
            </w:pPr>
            <w:r w:rsidRPr="000E0901">
              <w:rPr>
                <w:rFonts w:ascii="Tahoma" w:hAnsi="Tahoma" w:cs="Tahoma"/>
                <w:sz w:val="20"/>
                <w:szCs w:val="20"/>
                <w:lang w:val="pl-PL"/>
              </w:rPr>
              <w:t xml:space="preserve">Ponadto częstą zasadą jest uzależnianie pojemności i liczby pojemników od powierzchni nieruchomości niezamieszkałej. </w:t>
            </w:r>
          </w:p>
          <w:p w14:paraId="0886496D" w14:textId="77777777" w:rsidR="00096CD1" w:rsidRPr="000E0901" w:rsidRDefault="00096CD1" w:rsidP="00096CD1">
            <w:pPr>
              <w:pStyle w:val="Akapitzlist"/>
              <w:autoSpaceDE w:val="0"/>
              <w:autoSpaceDN w:val="0"/>
              <w:adjustRightInd w:val="0"/>
              <w:spacing w:after="0"/>
              <w:ind w:left="132"/>
              <w:jc w:val="both"/>
              <w:rPr>
                <w:rFonts w:ascii="Tahoma" w:hAnsi="Tahoma" w:cs="Tahoma"/>
                <w:sz w:val="20"/>
                <w:szCs w:val="20"/>
                <w:lang w:val="pl-PL"/>
              </w:rPr>
            </w:pPr>
            <w:r w:rsidRPr="000E0901">
              <w:rPr>
                <w:rFonts w:ascii="Tahoma" w:hAnsi="Tahoma" w:cs="Tahoma"/>
                <w:sz w:val="20"/>
                <w:szCs w:val="20"/>
                <w:lang w:val="pl-PL"/>
              </w:rPr>
              <w:t xml:space="preserve">Przykład – gmina wymaga naliczenia liczby pojemników dla lokali handlowych (w tym hurtowych) od ich powierzchni (załóżmy 5 l x powierzchnia lokalu). Dla porównania Zakłady usługowe obliczane są wg liczby pracowników (załóżmy 50 l x pracownika). </w:t>
            </w:r>
            <w:bookmarkStart w:id="2" w:name="_Hlk214614025"/>
            <w:r w:rsidRPr="000E0901">
              <w:rPr>
                <w:rFonts w:ascii="Tahoma" w:hAnsi="Tahoma" w:cs="Tahoma"/>
                <w:sz w:val="20"/>
                <w:szCs w:val="20"/>
                <w:lang w:val="pl-PL"/>
              </w:rPr>
              <w:t>W tej samej gminie, ta sama nieruchomość (na przykładzie magazynu hurtowni o powierzchni 60 tys. m</w:t>
            </w:r>
            <w:r w:rsidRPr="000E0901">
              <w:rPr>
                <w:rFonts w:ascii="Tahoma" w:hAnsi="Tahoma" w:cs="Tahoma"/>
                <w:sz w:val="20"/>
                <w:szCs w:val="20"/>
                <w:vertAlign w:val="superscript"/>
                <w:lang w:val="pl-PL"/>
              </w:rPr>
              <w:t>2</w:t>
            </w:r>
            <w:r w:rsidRPr="000E0901">
              <w:rPr>
                <w:rFonts w:ascii="Tahoma" w:hAnsi="Tahoma" w:cs="Tahoma"/>
                <w:sz w:val="20"/>
                <w:szCs w:val="20"/>
                <w:lang w:val="pl-PL"/>
              </w:rPr>
              <w:t xml:space="preserve"> obsługiwanego przez około 200 pracowników), obliczenie liczby pojemników zaklasyfikowana </w:t>
            </w:r>
            <w:bookmarkEnd w:id="2"/>
            <w:r w:rsidRPr="000E0901">
              <w:rPr>
                <w:rFonts w:ascii="Tahoma" w:hAnsi="Tahoma" w:cs="Tahoma"/>
                <w:sz w:val="20"/>
                <w:szCs w:val="20"/>
                <w:lang w:val="pl-PL"/>
              </w:rPr>
              <w:t>do innej grupy musi zapewnić:</w:t>
            </w:r>
          </w:p>
          <w:p w14:paraId="22BB8396" w14:textId="77777777" w:rsidR="00096CD1" w:rsidRPr="00E647CC" w:rsidRDefault="00096CD1" w:rsidP="00096CD1">
            <w:pPr>
              <w:pStyle w:val="Akapitzlist"/>
              <w:autoSpaceDE w:val="0"/>
              <w:autoSpaceDN w:val="0"/>
              <w:adjustRightInd w:val="0"/>
              <w:spacing w:after="0"/>
              <w:ind w:left="132"/>
              <w:jc w:val="both"/>
              <w:rPr>
                <w:rFonts w:ascii="Tahoma" w:hAnsi="Tahoma" w:cs="Tahoma"/>
                <w:sz w:val="20"/>
                <w:szCs w:val="20"/>
                <w:lang w:val="pl-PL"/>
              </w:rPr>
            </w:pPr>
            <w:r w:rsidRPr="000E0901">
              <w:rPr>
                <w:rFonts w:ascii="Tahoma" w:hAnsi="Tahoma" w:cs="Tahoma"/>
                <w:sz w:val="20"/>
                <w:szCs w:val="20"/>
                <w:lang w:val="pl-PL"/>
              </w:rPr>
              <w:t xml:space="preserve">- 300 000l pojemników- około </w:t>
            </w:r>
            <w:r w:rsidRPr="00E647CC">
              <w:rPr>
                <w:rFonts w:ascii="Tahoma" w:hAnsi="Tahoma" w:cs="Tahoma"/>
                <w:b/>
                <w:bCs/>
                <w:sz w:val="20"/>
                <w:szCs w:val="20"/>
                <w:lang w:val="pl-PL"/>
              </w:rPr>
              <w:t xml:space="preserve">273 pojemniki 1100l!, </w:t>
            </w:r>
            <w:r w:rsidRPr="00E647CC">
              <w:rPr>
                <w:rFonts w:ascii="Tahoma" w:hAnsi="Tahoma" w:cs="Tahoma"/>
                <w:sz w:val="20"/>
                <w:szCs w:val="20"/>
                <w:lang w:val="pl-PL"/>
              </w:rPr>
              <w:t>albo:</w:t>
            </w:r>
          </w:p>
          <w:p w14:paraId="0EB3D2AF" w14:textId="77777777" w:rsidR="00096CD1" w:rsidRPr="000E0901" w:rsidRDefault="00096CD1" w:rsidP="00096CD1">
            <w:pPr>
              <w:pStyle w:val="Akapitzlist"/>
              <w:autoSpaceDE w:val="0"/>
              <w:autoSpaceDN w:val="0"/>
              <w:adjustRightInd w:val="0"/>
              <w:spacing w:after="0"/>
              <w:ind w:left="132"/>
              <w:jc w:val="both"/>
              <w:rPr>
                <w:rFonts w:ascii="Tahoma" w:hAnsi="Tahoma" w:cs="Tahoma"/>
                <w:sz w:val="20"/>
                <w:szCs w:val="20"/>
                <w:lang w:val="pl-PL"/>
              </w:rPr>
            </w:pPr>
            <w:r w:rsidRPr="00E647CC">
              <w:rPr>
                <w:rFonts w:ascii="Tahoma" w:hAnsi="Tahoma" w:cs="Tahoma"/>
                <w:sz w:val="20"/>
                <w:szCs w:val="20"/>
                <w:lang w:val="pl-PL"/>
              </w:rPr>
              <w:t xml:space="preserve">- </w:t>
            </w:r>
            <w:r w:rsidRPr="00E647CC">
              <w:rPr>
                <w:rFonts w:ascii="Tahoma" w:hAnsi="Tahoma" w:cs="Tahoma"/>
                <w:b/>
                <w:bCs/>
                <w:sz w:val="20"/>
                <w:szCs w:val="20"/>
                <w:lang w:val="pl-PL"/>
              </w:rPr>
              <w:t>10000 l – około 9 pojemników 1100 l</w:t>
            </w:r>
            <w:r w:rsidRPr="00E647CC">
              <w:rPr>
                <w:rFonts w:ascii="Tahoma" w:hAnsi="Tahoma" w:cs="Tahoma"/>
                <w:sz w:val="20"/>
                <w:szCs w:val="20"/>
                <w:lang w:val="pl-PL"/>
              </w:rPr>
              <w:t>.</w:t>
            </w:r>
            <w:r w:rsidRPr="000E0901">
              <w:rPr>
                <w:rFonts w:ascii="Tahoma" w:hAnsi="Tahoma" w:cs="Tahoma"/>
                <w:sz w:val="20"/>
                <w:szCs w:val="20"/>
                <w:lang w:val="pl-PL"/>
              </w:rPr>
              <w:t xml:space="preserve"> </w:t>
            </w:r>
            <w:bookmarkStart w:id="3" w:name="_Hlk214614102"/>
            <w:r w:rsidRPr="000E0901">
              <w:rPr>
                <w:rFonts w:ascii="Tahoma" w:hAnsi="Tahoma" w:cs="Tahoma"/>
                <w:sz w:val="20"/>
                <w:szCs w:val="20"/>
                <w:lang w:val="pl-PL"/>
              </w:rPr>
              <w:t>To różnica ponad 260 sztuk pojemników!</w:t>
            </w:r>
            <w:bookmarkEnd w:id="3"/>
          </w:p>
          <w:p w14:paraId="176451DE" w14:textId="23A6381A" w:rsidR="00096CD1" w:rsidRPr="000E0901" w:rsidRDefault="00096CD1" w:rsidP="00096CD1">
            <w:pPr>
              <w:jc w:val="both"/>
              <w:rPr>
                <w:rFonts w:ascii="Tahoma" w:hAnsi="Tahoma" w:cs="Tahoma"/>
                <w:sz w:val="20"/>
                <w:szCs w:val="20"/>
              </w:rPr>
            </w:pPr>
            <w:r w:rsidRPr="000E0901">
              <w:rPr>
                <w:rFonts w:ascii="Tahoma" w:hAnsi="Tahoma" w:cs="Tahoma"/>
                <w:sz w:val="20"/>
                <w:szCs w:val="20"/>
              </w:rPr>
              <w:t xml:space="preserve">Stosowanie odniesienia do powierzchni jest jawnie krzywdzące i nie ma odzwierciedlenia w rzeczywistej masie wytwarzanych odpadów. </w:t>
            </w:r>
          </w:p>
        </w:tc>
        <w:tc>
          <w:tcPr>
            <w:tcW w:w="4252" w:type="dxa"/>
          </w:tcPr>
          <w:p w14:paraId="11C4BF94" w14:textId="77777777" w:rsidR="00096CD1" w:rsidRPr="000E0901" w:rsidRDefault="00096CD1" w:rsidP="00096CD1">
            <w:pPr>
              <w:jc w:val="both"/>
              <w:rPr>
                <w:rFonts w:ascii="Tahoma" w:hAnsi="Tahoma"/>
                <w:sz w:val="20"/>
                <w:szCs w:val="20"/>
              </w:rPr>
            </w:pPr>
            <w:r w:rsidRPr="000E0901">
              <w:rPr>
                <w:rFonts w:ascii="Tahoma" w:hAnsi="Tahoma"/>
                <w:sz w:val="20"/>
                <w:szCs w:val="20"/>
              </w:rPr>
              <w:lastRenderedPageBreak/>
              <w:t>art. 4 ust. 2b:</w:t>
            </w:r>
          </w:p>
          <w:p w14:paraId="43F6557A" w14:textId="77777777" w:rsidR="00096CD1" w:rsidRPr="000E0901" w:rsidRDefault="00096CD1" w:rsidP="00096CD1">
            <w:pPr>
              <w:jc w:val="both"/>
              <w:rPr>
                <w:rFonts w:ascii="Tahoma" w:hAnsi="Tahoma"/>
                <w:b/>
                <w:bCs/>
                <w:sz w:val="20"/>
                <w:szCs w:val="20"/>
              </w:rPr>
            </w:pPr>
            <w:r w:rsidRPr="000E0901">
              <w:rPr>
                <w:rFonts w:ascii="Tahoma" w:hAnsi="Tahoma"/>
                <w:sz w:val="20"/>
                <w:szCs w:val="20"/>
              </w:rPr>
              <w:t xml:space="preserve">„2b) warunków uznania, że odpady, o których mowa w pkt 1 lit. a i b oraz ust. 2a pkt 1, są zbierane selektywnie; </w:t>
            </w:r>
            <w:r w:rsidRPr="000E0901">
              <w:rPr>
                <w:rFonts w:ascii="Tahoma" w:hAnsi="Tahoma"/>
                <w:b/>
                <w:bCs/>
                <w:sz w:val="20"/>
                <w:szCs w:val="20"/>
              </w:rPr>
              <w:t>z zastrzeżeniem, że:</w:t>
            </w:r>
          </w:p>
          <w:p w14:paraId="5C39F273" w14:textId="77777777" w:rsidR="00096CD1" w:rsidRPr="000E0901" w:rsidRDefault="00096CD1" w:rsidP="00096CD1">
            <w:pPr>
              <w:jc w:val="both"/>
              <w:rPr>
                <w:rFonts w:ascii="Tahoma" w:hAnsi="Tahoma"/>
                <w:b/>
                <w:bCs/>
                <w:sz w:val="20"/>
                <w:szCs w:val="20"/>
              </w:rPr>
            </w:pPr>
            <w:r w:rsidRPr="000E0901">
              <w:rPr>
                <w:rFonts w:ascii="Tahoma" w:hAnsi="Tahoma"/>
                <w:b/>
                <w:bCs/>
                <w:sz w:val="20"/>
                <w:szCs w:val="20"/>
              </w:rPr>
              <w:t>- warunkiem uznania spełnienia obowiązku selektywnego zbierania nie może być proporcja wagi, liczby ani objętości niesegregowanych odpadów komunalnych do odpadów gromadzonych selektywnie przez nieruchomości ani wagi, liczby ani objętości pojemników wykorzystywanych do gromadzenia przedmiotowych odpadów</w:t>
            </w:r>
          </w:p>
          <w:p w14:paraId="7EA5724F" w14:textId="36170A68" w:rsidR="00096CD1" w:rsidRPr="000E0901" w:rsidRDefault="00096CD1" w:rsidP="00096CD1">
            <w:pPr>
              <w:jc w:val="both"/>
              <w:rPr>
                <w:rFonts w:ascii="Tahoma" w:hAnsi="Tahoma"/>
                <w:sz w:val="20"/>
                <w:szCs w:val="20"/>
              </w:rPr>
            </w:pPr>
            <w:r w:rsidRPr="000E0901">
              <w:rPr>
                <w:rFonts w:ascii="Tahoma" w:hAnsi="Tahoma"/>
                <w:b/>
                <w:bCs/>
                <w:sz w:val="20"/>
                <w:szCs w:val="20"/>
              </w:rPr>
              <w:t>- liczba pojemników nie może być uzależniana od powierzchni nieruchomości niezamieszkałej.</w:t>
            </w:r>
          </w:p>
        </w:tc>
        <w:tc>
          <w:tcPr>
            <w:tcW w:w="1428" w:type="dxa"/>
          </w:tcPr>
          <w:p w14:paraId="2C1F3789" w14:textId="77777777" w:rsidR="00096CD1" w:rsidRPr="000E0901" w:rsidRDefault="00096CD1" w:rsidP="00096CD1">
            <w:pPr>
              <w:jc w:val="both"/>
              <w:rPr>
                <w:rFonts w:ascii="Lato" w:hAnsi="Lato" w:cs="Times New Roman"/>
                <w:sz w:val="20"/>
                <w:szCs w:val="20"/>
              </w:rPr>
            </w:pPr>
          </w:p>
        </w:tc>
      </w:tr>
      <w:tr w:rsidR="00096CD1" w:rsidRPr="000E0901" w14:paraId="318BD3AE" w14:textId="77777777" w:rsidTr="009B5AD6">
        <w:tc>
          <w:tcPr>
            <w:tcW w:w="562" w:type="dxa"/>
          </w:tcPr>
          <w:p w14:paraId="2E68B194" w14:textId="3C29C4F3" w:rsidR="00096CD1" w:rsidRPr="000E0901" w:rsidRDefault="008654EE" w:rsidP="00096CD1">
            <w:pPr>
              <w:jc w:val="center"/>
              <w:rPr>
                <w:rFonts w:ascii="Lato" w:hAnsi="Lato" w:cs="Times New Roman"/>
                <w:sz w:val="20"/>
                <w:szCs w:val="20"/>
              </w:rPr>
            </w:pPr>
            <w:r>
              <w:rPr>
                <w:rFonts w:ascii="Lato" w:hAnsi="Lato" w:cs="Times New Roman"/>
                <w:sz w:val="20"/>
                <w:szCs w:val="20"/>
              </w:rPr>
              <w:lastRenderedPageBreak/>
              <w:t>4</w:t>
            </w:r>
            <w:r w:rsidR="00096CD1" w:rsidRPr="000E0901">
              <w:rPr>
                <w:rFonts w:ascii="Lato" w:hAnsi="Lato" w:cs="Times New Roman"/>
                <w:sz w:val="20"/>
                <w:szCs w:val="20"/>
              </w:rPr>
              <w:t>.</w:t>
            </w:r>
          </w:p>
        </w:tc>
        <w:tc>
          <w:tcPr>
            <w:tcW w:w="1701" w:type="dxa"/>
          </w:tcPr>
          <w:p w14:paraId="0171355D" w14:textId="222E2BB1" w:rsidR="00096CD1" w:rsidRPr="000E0901" w:rsidRDefault="00096CD1" w:rsidP="00096CD1">
            <w:pPr>
              <w:jc w:val="both"/>
              <w:rPr>
                <w:rFonts w:ascii="Lato" w:hAnsi="Lato" w:cs="Times New Roman"/>
                <w:sz w:val="20"/>
                <w:szCs w:val="20"/>
              </w:rPr>
            </w:pPr>
            <w:r w:rsidRPr="000E0901">
              <w:rPr>
                <w:rFonts w:ascii="Lato" w:hAnsi="Lato" w:cs="Times New Roman"/>
                <w:sz w:val="20"/>
                <w:szCs w:val="20"/>
              </w:rPr>
              <w:t>Konfederacja Lewiatan</w:t>
            </w:r>
          </w:p>
        </w:tc>
        <w:tc>
          <w:tcPr>
            <w:tcW w:w="2694" w:type="dxa"/>
          </w:tcPr>
          <w:p w14:paraId="6F18E5E8" w14:textId="02110109" w:rsidR="00096CD1" w:rsidRPr="000E0901" w:rsidRDefault="00096CD1" w:rsidP="00096CD1">
            <w:pPr>
              <w:jc w:val="both"/>
              <w:rPr>
                <w:rFonts w:ascii="Tahoma" w:hAnsi="Tahoma"/>
                <w:sz w:val="20"/>
                <w:szCs w:val="20"/>
              </w:rPr>
            </w:pPr>
            <w:r w:rsidRPr="000E0901">
              <w:rPr>
                <w:rFonts w:ascii="Tahoma" w:hAnsi="Tahoma"/>
                <w:sz w:val="20"/>
                <w:szCs w:val="20"/>
              </w:rPr>
              <w:t>Art. 6c</w:t>
            </w:r>
          </w:p>
        </w:tc>
        <w:tc>
          <w:tcPr>
            <w:tcW w:w="5103" w:type="dxa"/>
          </w:tcPr>
          <w:p w14:paraId="671AE7D0" w14:textId="77777777" w:rsidR="00096CD1" w:rsidRPr="000E0901" w:rsidRDefault="00096CD1" w:rsidP="00096CD1">
            <w:pPr>
              <w:jc w:val="both"/>
              <w:rPr>
                <w:rFonts w:ascii="Tahoma" w:hAnsi="Tahoma"/>
                <w:sz w:val="20"/>
                <w:szCs w:val="20"/>
              </w:rPr>
            </w:pPr>
            <w:r w:rsidRPr="000E0901">
              <w:rPr>
                <w:rFonts w:ascii="Tahoma" w:hAnsi="Tahoma"/>
                <w:sz w:val="20"/>
                <w:szCs w:val="20"/>
              </w:rPr>
              <w:t xml:space="preserve">Obowiązek ten jest realizowany w praktyce przez publikację na stronie internetowej urzędu gminy lub/i w Biuletynie Informacji Publicznej (BIP). W Polsce mamy jednak blisko 2500 gmin. W praktyce oznacza to, że istnieje blisko </w:t>
            </w:r>
            <w:r w:rsidRPr="000E0901">
              <w:rPr>
                <w:rFonts w:ascii="Tahoma" w:hAnsi="Tahoma"/>
                <w:b/>
                <w:bCs/>
                <w:sz w:val="20"/>
                <w:szCs w:val="20"/>
                <w:u w:val="single"/>
              </w:rPr>
              <w:t>2500 odrębnych miejsc publikacji (stron BIP i witryn urzędowych), z których każde posiada inną strukturę, nawigację i system archiwizacji danych.</w:t>
            </w:r>
            <w:r w:rsidRPr="000E0901">
              <w:rPr>
                <w:rFonts w:ascii="Tahoma" w:hAnsi="Tahoma"/>
                <w:sz w:val="20"/>
                <w:szCs w:val="20"/>
              </w:rPr>
              <w:t xml:space="preserve"> </w:t>
            </w:r>
          </w:p>
          <w:p w14:paraId="0E3C0AC8" w14:textId="77777777" w:rsidR="00096CD1" w:rsidRPr="000E0901" w:rsidRDefault="00096CD1" w:rsidP="00096CD1">
            <w:pPr>
              <w:jc w:val="both"/>
              <w:rPr>
                <w:rFonts w:ascii="Tahoma" w:hAnsi="Tahoma"/>
                <w:sz w:val="20"/>
                <w:szCs w:val="20"/>
              </w:rPr>
            </w:pPr>
            <w:r w:rsidRPr="000E0901">
              <w:rPr>
                <w:rFonts w:ascii="Tahoma" w:hAnsi="Tahoma"/>
                <w:sz w:val="20"/>
                <w:szCs w:val="20"/>
              </w:rPr>
              <w:t xml:space="preserve">Takie rozproszenie informacji stanowi znaczącą barierę, w szczególności dla przedsiębiorców prowadzących działalność w formie sieciowej lub posiadających </w:t>
            </w:r>
            <w:r w:rsidRPr="000E0901">
              <w:rPr>
                <w:rFonts w:ascii="Tahoma" w:hAnsi="Tahoma"/>
                <w:sz w:val="20"/>
                <w:szCs w:val="20"/>
              </w:rPr>
              <w:lastRenderedPageBreak/>
              <w:t>oddziały na terenie wielu gmin. Podmioty te, aby dochować należytej staranności i zapewnić ciągłość odbioru odpadów (poprzez zawarcie umowy z podmiotem prywatnym, zgodnie z art. 6c ust. 2), zmuszone są do stałego, aktywnego monitorowania tysięcy różnych stron internetowych.</w:t>
            </w:r>
          </w:p>
          <w:p w14:paraId="30764392" w14:textId="77777777" w:rsidR="00096CD1" w:rsidRPr="000E0901" w:rsidRDefault="00096CD1" w:rsidP="00096CD1">
            <w:pPr>
              <w:jc w:val="both"/>
              <w:rPr>
                <w:rFonts w:ascii="Tahoma" w:hAnsi="Tahoma"/>
                <w:sz w:val="20"/>
                <w:szCs w:val="20"/>
              </w:rPr>
            </w:pPr>
            <w:r w:rsidRPr="000E0901">
              <w:rPr>
                <w:rFonts w:ascii="Tahoma" w:hAnsi="Tahoma"/>
                <w:sz w:val="20"/>
                <w:szCs w:val="20"/>
              </w:rPr>
              <w:t>Jest to proces wysoce czasochłonny, kosztowny i nieefektywny. Biorąc pod uwagę, że okres na dostosowanie się (tj. na zawarcie nowej, indywidualnej umowy) jest często bardzo krótki – nierzadko ograniczony jedynie do 14-dniowego vacatio legis uchwały – ryzyko przeoczenia informacji i pozostania bez ważnej umowy na odbiór odpadów jest wysokie.</w:t>
            </w:r>
          </w:p>
          <w:p w14:paraId="440AF242" w14:textId="77777777" w:rsidR="00096CD1" w:rsidRPr="000E0901" w:rsidRDefault="00096CD1" w:rsidP="00096CD1">
            <w:pPr>
              <w:jc w:val="both"/>
              <w:rPr>
                <w:rFonts w:ascii="Tahoma" w:hAnsi="Tahoma"/>
                <w:sz w:val="20"/>
                <w:szCs w:val="20"/>
              </w:rPr>
            </w:pPr>
            <w:r w:rsidRPr="000E0901">
              <w:rPr>
                <w:rFonts w:ascii="Tahoma" w:hAnsi="Tahoma"/>
                <w:sz w:val="20"/>
                <w:szCs w:val="20"/>
              </w:rPr>
              <w:t xml:space="preserve">Proponujemy </w:t>
            </w:r>
            <w:r w:rsidRPr="000E0901">
              <w:rPr>
                <w:rFonts w:ascii="Tahoma" w:hAnsi="Tahoma"/>
                <w:b/>
                <w:bCs/>
                <w:sz w:val="20"/>
                <w:szCs w:val="20"/>
              </w:rPr>
              <w:t>dodanie nowego, obowiązkowego miejsca publikacji</w:t>
            </w:r>
            <w:r w:rsidRPr="000E0901">
              <w:rPr>
                <w:rFonts w:ascii="Tahoma" w:hAnsi="Tahoma"/>
                <w:sz w:val="20"/>
                <w:szCs w:val="20"/>
              </w:rPr>
              <w:t xml:space="preserve"> przedmiotowej informacji tj. w </w:t>
            </w:r>
            <w:r w:rsidRPr="000E0901">
              <w:rPr>
                <w:rFonts w:ascii="Tahoma" w:hAnsi="Tahoma"/>
                <w:b/>
                <w:bCs/>
                <w:sz w:val="20"/>
                <w:szCs w:val="20"/>
              </w:rPr>
              <w:t>Bazie danych o produktach i opakowaniach oraz o gospodarce odpadami (BDO)</w:t>
            </w:r>
            <w:r w:rsidRPr="000E0901">
              <w:rPr>
                <w:rFonts w:ascii="Tahoma" w:hAnsi="Tahoma"/>
                <w:sz w:val="20"/>
                <w:szCs w:val="20"/>
              </w:rPr>
              <w:t>. Publikacja w BDO nie zastępowałaby dotychczasowych obowiązków (publikacji na BIP i stronie gminy), lecz stanowiłaby ich uzupełnienie.</w:t>
            </w:r>
          </w:p>
          <w:p w14:paraId="72FCACFC" w14:textId="77777777" w:rsidR="00096CD1" w:rsidRPr="000E0901" w:rsidRDefault="00096CD1" w:rsidP="00096CD1">
            <w:pPr>
              <w:jc w:val="both"/>
              <w:rPr>
                <w:rFonts w:ascii="Tahoma" w:hAnsi="Tahoma"/>
                <w:sz w:val="20"/>
                <w:szCs w:val="20"/>
              </w:rPr>
            </w:pPr>
            <w:r w:rsidRPr="000E0901">
              <w:rPr>
                <w:rFonts w:ascii="Tahoma" w:hAnsi="Tahoma"/>
                <w:sz w:val="20"/>
                <w:szCs w:val="20"/>
              </w:rPr>
              <w:t>Korzyści ze zmiany:</w:t>
            </w:r>
          </w:p>
          <w:p w14:paraId="628525AC" w14:textId="2C96BDDF" w:rsidR="00096CD1" w:rsidRPr="000E0901" w:rsidRDefault="00096CD1" w:rsidP="00096CD1">
            <w:pPr>
              <w:jc w:val="both"/>
              <w:rPr>
                <w:rFonts w:ascii="Tahoma" w:hAnsi="Tahoma"/>
                <w:sz w:val="20"/>
                <w:szCs w:val="20"/>
              </w:rPr>
            </w:pPr>
            <w:r w:rsidRPr="000E0901">
              <w:rPr>
                <w:rFonts w:ascii="Tahoma" w:hAnsi="Tahoma"/>
                <w:b/>
                <w:bCs/>
                <w:sz w:val="20"/>
                <w:szCs w:val="20"/>
              </w:rPr>
              <w:t>1. Centralizacja i standaryzacja informacji:</w:t>
            </w:r>
            <w:r w:rsidRPr="000E0901">
              <w:rPr>
                <w:rFonts w:ascii="Tahoma" w:hAnsi="Tahoma"/>
                <w:sz w:val="20"/>
                <w:szCs w:val="20"/>
              </w:rPr>
              <w:t xml:space="preserve"> BDO stałoby się </w:t>
            </w:r>
            <w:r w:rsidRPr="000E0901">
              <w:rPr>
                <w:rFonts w:ascii="Tahoma" w:hAnsi="Tahoma"/>
                <w:b/>
                <w:bCs/>
                <w:sz w:val="20"/>
                <w:szCs w:val="20"/>
              </w:rPr>
              <w:t>centralnym repozytorium</w:t>
            </w:r>
            <w:r w:rsidRPr="000E0901">
              <w:rPr>
                <w:rFonts w:ascii="Tahoma" w:hAnsi="Tahoma"/>
                <w:sz w:val="20"/>
                <w:szCs w:val="20"/>
              </w:rPr>
              <w:t xml:space="preserve"> informacji o zasadach odbioru odpadów komunalnych z nieruchomości niezamieszkałych w każdej gminie w Polsce. Przedsiębiorca nie musiałby już przeszukiwać tysięcy stron BIP, a jedynie zweryfikować status interesujących go gmin w jednym, znanym mu systemie.</w:t>
            </w:r>
          </w:p>
          <w:p w14:paraId="29032781" w14:textId="50281411" w:rsidR="00096CD1" w:rsidRPr="000E0901" w:rsidRDefault="00096CD1" w:rsidP="00096CD1">
            <w:pPr>
              <w:jc w:val="both"/>
              <w:rPr>
                <w:rFonts w:ascii="Tahoma" w:hAnsi="Tahoma"/>
                <w:sz w:val="20"/>
                <w:szCs w:val="20"/>
              </w:rPr>
            </w:pPr>
            <w:r w:rsidRPr="000E0901">
              <w:rPr>
                <w:rFonts w:ascii="Tahoma" w:hAnsi="Tahoma"/>
                <w:b/>
                <w:bCs/>
                <w:sz w:val="20"/>
                <w:szCs w:val="20"/>
              </w:rPr>
              <w:t>2. Ułatwienie dla przedsiębiorców:</w:t>
            </w:r>
            <w:r w:rsidRPr="000E0901">
              <w:rPr>
                <w:rFonts w:ascii="Tahoma" w:hAnsi="Tahoma"/>
                <w:sz w:val="20"/>
                <w:szCs w:val="20"/>
              </w:rPr>
              <w:t xml:space="preserve"> Właściciele nieruchomości niezamieszkałych (przedsiębiorcy) są już zarejestrowani i aktywnie korzystają z systemu BDO. Umieszczenie tej kluczowej informacji w narzędziu, z którego i tak korzystają na co dzień, jest rozwiązaniem naturalnym i znacząco obniżającym obciążenia administracyjne.</w:t>
            </w:r>
          </w:p>
          <w:p w14:paraId="790F488A" w14:textId="77777777" w:rsidR="00096CD1" w:rsidRPr="000E0901" w:rsidRDefault="00096CD1" w:rsidP="00096CD1">
            <w:pPr>
              <w:jc w:val="both"/>
              <w:rPr>
                <w:rFonts w:ascii="Tahoma" w:hAnsi="Tahoma"/>
                <w:sz w:val="20"/>
                <w:szCs w:val="20"/>
              </w:rPr>
            </w:pPr>
            <w:r w:rsidRPr="000E0901">
              <w:rPr>
                <w:rFonts w:ascii="Tahoma" w:hAnsi="Tahoma"/>
                <w:b/>
                <w:bCs/>
                <w:sz w:val="20"/>
                <w:szCs w:val="20"/>
              </w:rPr>
              <w:t>3. Zwiększenie transparentności systemu:</w:t>
            </w:r>
            <w:r w:rsidRPr="000E0901">
              <w:rPr>
                <w:rFonts w:ascii="Tahoma" w:hAnsi="Tahoma"/>
                <w:sz w:val="20"/>
                <w:szCs w:val="20"/>
              </w:rPr>
              <w:t xml:space="preserve"> Utworzenie centralnej bazy danych o uchwałach podjętych na podstawie art. 6c ust. 1 ułatwi również organom administracji (np. Ministerstwu Klimatu i </w:t>
            </w:r>
            <w:r w:rsidRPr="000E0901">
              <w:rPr>
                <w:rFonts w:ascii="Tahoma" w:hAnsi="Tahoma"/>
                <w:sz w:val="20"/>
                <w:szCs w:val="20"/>
              </w:rPr>
              <w:lastRenderedPageBreak/>
              <w:t>Środowiska, organom kontrolnym jak WIOŚ) monitorowanie i analizowanie skali włączeń w kraju.</w:t>
            </w:r>
          </w:p>
          <w:p w14:paraId="5A5EDDAD" w14:textId="2E92C8A4" w:rsidR="00096CD1" w:rsidRPr="000E0901" w:rsidRDefault="00096CD1" w:rsidP="00096CD1">
            <w:pPr>
              <w:jc w:val="both"/>
              <w:rPr>
                <w:rFonts w:ascii="Tahoma" w:hAnsi="Tahoma"/>
                <w:sz w:val="20"/>
                <w:szCs w:val="20"/>
              </w:rPr>
            </w:pPr>
            <w:r w:rsidRPr="000E0901">
              <w:rPr>
                <w:rFonts w:ascii="Tahoma" w:hAnsi="Tahoma"/>
                <w:b/>
                <w:bCs/>
                <w:sz w:val="20"/>
                <w:szCs w:val="20"/>
              </w:rPr>
              <w:t>4. Efektywniejsze uszczelnienie systemu:</w:t>
            </w:r>
            <w:r w:rsidRPr="000E0901">
              <w:rPr>
                <w:rFonts w:ascii="Tahoma" w:hAnsi="Tahoma"/>
                <w:sz w:val="20"/>
                <w:szCs w:val="20"/>
              </w:rPr>
              <w:t xml:space="preserve"> Szybki i łatwy dostęp do informacji pozwoli przedsiębiorcom na terminowe zawieranie umów indywidualnych, co bezpośrednio przełoży się na zmniejszenie ryzyka powstawania "dzikich wysypisk" lub nielegalnego pozbywania się odpadów w okresie przejściowym.</w:t>
            </w:r>
          </w:p>
          <w:p w14:paraId="2938ED2B" w14:textId="77777777" w:rsidR="00096CD1" w:rsidRPr="000E0901" w:rsidRDefault="00096CD1" w:rsidP="00096CD1">
            <w:pPr>
              <w:jc w:val="both"/>
              <w:rPr>
                <w:rFonts w:ascii="Tahoma" w:hAnsi="Tahoma"/>
                <w:sz w:val="20"/>
                <w:szCs w:val="20"/>
              </w:rPr>
            </w:pPr>
          </w:p>
        </w:tc>
        <w:tc>
          <w:tcPr>
            <w:tcW w:w="4252" w:type="dxa"/>
          </w:tcPr>
          <w:p w14:paraId="4B2BFDE9" w14:textId="77777777" w:rsidR="00096CD1" w:rsidRPr="000E0901" w:rsidRDefault="00096CD1" w:rsidP="00096CD1">
            <w:pPr>
              <w:jc w:val="both"/>
              <w:rPr>
                <w:rFonts w:ascii="Tahoma" w:hAnsi="Tahoma"/>
                <w:bCs/>
                <w:i/>
                <w:iCs/>
                <w:sz w:val="20"/>
                <w:szCs w:val="20"/>
              </w:rPr>
            </w:pPr>
            <w:r w:rsidRPr="000E0901">
              <w:rPr>
                <w:rFonts w:ascii="Tahoma" w:hAnsi="Tahoma"/>
                <w:bCs/>
                <w:i/>
                <w:iCs/>
                <w:sz w:val="20"/>
                <w:szCs w:val="20"/>
              </w:rPr>
              <w:lastRenderedPageBreak/>
              <w:t>w art. 6c:</w:t>
            </w:r>
          </w:p>
          <w:p w14:paraId="71B8BEB7" w14:textId="77777777" w:rsidR="00096CD1" w:rsidRPr="000E0901" w:rsidRDefault="00096CD1" w:rsidP="00096CD1">
            <w:pPr>
              <w:jc w:val="both"/>
              <w:rPr>
                <w:rFonts w:ascii="Tahoma" w:hAnsi="Tahoma"/>
                <w:bCs/>
                <w:i/>
                <w:iCs/>
                <w:sz w:val="20"/>
                <w:szCs w:val="20"/>
              </w:rPr>
            </w:pPr>
            <w:r w:rsidRPr="000E0901">
              <w:rPr>
                <w:rFonts w:ascii="Tahoma" w:hAnsi="Tahoma"/>
                <w:bCs/>
                <w:i/>
                <w:iCs/>
                <w:sz w:val="20"/>
                <w:szCs w:val="20"/>
              </w:rPr>
              <w:t>a)</w:t>
            </w:r>
            <w:r w:rsidRPr="000E0901">
              <w:rPr>
                <w:rFonts w:ascii="Tahoma" w:hAnsi="Tahoma"/>
                <w:bCs/>
                <w:i/>
                <w:iCs/>
                <w:sz w:val="20"/>
                <w:szCs w:val="20"/>
              </w:rPr>
              <w:tab/>
              <w:t>w ust. 3a w zdaniu pierwszym po wyrazach „na  W której nie zamieszkują mieszkańcy” dodaje się wyrazy „ , z wyłączeniem  właściciela nieruchomości, o której mowa w art. 6j ust. 3b”,</w:t>
            </w:r>
          </w:p>
          <w:p w14:paraId="577961F9" w14:textId="77777777" w:rsidR="00096CD1" w:rsidRPr="000E0901" w:rsidRDefault="00096CD1" w:rsidP="00096CD1">
            <w:pPr>
              <w:jc w:val="both"/>
              <w:rPr>
                <w:rFonts w:ascii="Tahoma" w:hAnsi="Tahoma"/>
                <w:bCs/>
                <w:i/>
                <w:iCs/>
                <w:sz w:val="20"/>
                <w:szCs w:val="20"/>
              </w:rPr>
            </w:pPr>
            <w:r w:rsidRPr="000E0901">
              <w:rPr>
                <w:rFonts w:ascii="Tahoma" w:hAnsi="Tahoma"/>
                <w:bCs/>
                <w:i/>
                <w:iCs/>
                <w:sz w:val="20"/>
                <w:szCs w:val="20"/>
              </w:rPr>
              <w:t xml:space="preserve">b) ust. 3c przyjmuje brzmienie:  Wójt, burmistrz lub prezydent miasta jest obowiązany do zamieszczenia na stronie podmiotowej Biuletynu Informacji Publicznej urzędu gminy, na stronie internetowej urzędu </w:t>
            </w:r>
            <w:r w:rsidRPr="000E0901">
              <w:rPr>
                <w:rFonts w:ascii="Tahoma" w:hAnsi="Tahoma"/>
                <w:bCs/>
                <w:i/>
                <w:iCs/>
                <w:sz w:val="20"/>
                <w:szCs w:val="20"/>
              </w:rPr>
              <w:lastRenderedPageBreak/>
              <w:t xml:space="preserve">gminy </w:t>
            </w:r>
            <w:r w:rsidRPr="000E0901">
              <w:rPr>
                <w:rFonts w:ascii="Tahoma" w:hAnsi="Tahoma"/>
                <w:b/>
                <w:i/>
                <w:iCs/>
                <w:sz w:val="20"/>
                <w:szCs w:val="20"/>
                <w:u w:val="single"/>
              </w:rPr>
              <w:t>za pośrednictwem Bazy danych o produktach i opakowaniach oraz o gospodarce odpadami</w:t>
            </w:r>
            <w:r w:rsidRPr="000E0901">
              <w:rPr>
                <w:rFonts w:ascii="Tahoma" w:hAnsi="Tahoma"/>
                <w:bCs/>
                <w:i/>
                <w:iCs/>
                <w:sz w:val="20"/>
                <w:szCs w:val="20"/>
              </w:rPr>
              <w:t xml:space="preserve"> oraz w sposób zwyczajowo przyjęty informacji o zamiarze przeprowadzenia postępowania o udzielenie zamówienia publicznego na odbieranie odpadów komunalnych od właścicieli nieruchomości, na których nie zamieszkują mieszkańcy, wyznaczając jednocześnie termin, nie krótszy niż 60 dni od dnia zamieszczenia tej informacji na stronie podmiotowej Biuletynu Informacji Publicznej urzędu gminy, na:</w:t>
            </w:r>
          </w:p>
          <w:p w14:paraId="66B07215" w14:textId="77777777" w:rsidR="00096CD1" w:rsidRPr="000E0901" w:rsidRDefault="00096CD1" w:rsidP="00096CD1">
            <w:pPr>
              <w:jc w:val="both"/>
              <w:rPr>
                <w:rFonts w:ascii="Tahoma" w:hAnsi="Tahoma"/>
                <w:bCs/>
                <w:i/>
                <w:iCs/>
                <w:sz w:val="20"/>
                <w:szCs w:val="20"/>
              </w:rPr>
            </w:pPr>
            <w:r w:rsidRPr="000E0901">
              <w:rPr>
                <w:rFonts w:ascii="Tahoma" w:hAnsi="Tahoma"/>
                <w:bCs/>
                <w:i/>
                <w:iCs/>
                <w:sz w:val="20"/>
                <w:szCs w:val="20"/>
              </w:rPr>
              <w:t>1) odwołanie przez właściciela nieruchomości oświadczenia o wyłączeniu się z systemu odbierania odpadów komunalnych zorganizowanego przez gminę, jeżeli nieruchomość jest wyłączona z tego systemu na podstawie tego oświadczenia;</w:t>
            </w:r>
          </w:p>
          <w:p w14:paraId="1A158DA9" w14:textId="77777777" w:rsidR="00096CD1" w:rsidRPr="000E0901" w:rsidRDefault="00096CD1" w:rsidP="00096CD1">
            <w:pPr>
              <w:jc w:val="both"/>
              <w:rPr>
                <w:rFonts w:ascii="Tahoma" w:hAnsi="Tahoma"/>
                <w:bCs/>
                <w:i/>
                <w:iCs/>
                <w:sz w:val="20"/>
                <w:szCs w:val="20"/>
              </w:rPr>
            </w:pPr>
            <w:r w:rsidRPr="000E0901">
              <w:rPr>
                <w:rFonts w:ascii="Tahoma" w:hAnsi="Tahoma"/>
                <w:bCs/>
                <w:i/>
                <w:iCs/>
                <w:sz w:val="20"/>
                <w:szCs w:val="20"/>
              </w:rPr>
              <w:t>2) złożenie przez właściciela nieruchomości oświadczenia spełniającego wymagania, o których mowa w ust. 3a, o wyłączeniu się z systemu odbierania odpadów komunalnych zorganizowanego przez gminę, jeżeli właściciel nieruchomości jest objęty tym systemem.</w:t>
            </w:r>
          </w:p>
          <w:p w14:paraId="47E853CD" w14:textId="77777777" w:rsidR="00096CD1" w:rsidRPr="000E0901" w:rsidRDefault="00096CD1" w:rsidP="00096CD1">
            <w:pPr>
              <w:jc w:val="both"/>
              <w:rPr>
                <w:rFonts w:ascii="Tahoma" w:hAnsi="Tahoma"/>
                <w:bCs/>
                <w:i/>
                <w:iCs/>
                <w:sz w:val="20"/>
                <w:szCs w:val="20"/>
              </w:rPr>
            </w:pPr>
          </w:p>
          <w:p w14:paraId="07EF619E" w14:textId="36E3BD49" w:rsidR="00096CD1" w:rsidRPr="000E0901" w:rsidRDefault="00096CD1" w:rsidP="00096CD1">
            <w:pPr>
              <w:jc w:val="both"/>
              <w:rPr>
                <w:rFonts w:ascii="Tahoma" w:hAnsi="Tahoma"/>
                <w:sz w:val="20"/>
                <w:szCs w:val="20"/>
              </w:rPr>
            </w:pPr>
            <w:r w:rsidRPr="000E0901">
              <w:rPr>
                <w:rFonts w:ascii="Tahoma" w:hAnsi="Tahoma"/>
                <w:bCs/>
                <w:i/>
                <w:iCs/>
                <w:strike/>
                <w:sz w:val="20"/>
                <w:szCs w:val="20"/>
              </w:rPr>
              <w:t>b)</w:t>
            </w:r>
            <w:r w:rsidRPr="000E0901">
              <w:rPr>
                <w:rFonts w:ascii="Tahoma" w:hAnsi="Tahoma"/>
                <w:bCs/>
                <w:i/>
                <w:iCs/>
                <w:sz w:val="20"/>
                <w:szCs w:val="20"/>
              </w:rPr>
              <w:t xml:space="preserve"> </w:t>
            </w:r>
            <w:r w:rsidRPr="000E0901">
              <w:rPr>
                <w:rFonts w:ascii="Tahoma" w:hAnsi="Tahoma"/>
                <w:b/>
                <w:i/>
                <w:iCs/>
                <w:sz w:val="20"/>
                <w:szCs w:val="20"/>
              </w:rPr>
              <w:t>c)</w:t>
            </w:r>
            <w:r w:rsidRPr="000E0901">
              <w:rPr>
                <w:rFonts w:ascii="Tahoma" w:hAnsi="Tahoma"/>
                <w:bCs/>
                <w:i/>
                <w:iCs/>
                <w:sz w:val="20"/>
                <w:szCs w:val="20"/>
              </w:rPr>
              <w:tab/>
              <w:t>w ust. 3d po wyrazach „jest obowiązany” dodaje się wyrazy „w terminie 7  dni odpowiednio od dnia podjęcia uchwały, o której mowa w ust. 2, albo zamieszczenia informacji, o której mowa w ust. 3c,”;</w:t>
            </w:r>
          </w:p>
        </w:tc>
        <w:tc>
          <w:tcPr>
            <w:tcW w:w="1428" w:type="dxa"/>
          </w:tcPr>
          <w:p w14:paraId="05809975" w14:textId="77777777" w:rsidR="00096CD1" w:rsidRPr="000E0901" w:rsidRDefault="00096CD1" w:rsidP="00096CD1">
            <w:pPr>
              <w:jc w:val="both"/>
              <w:rPr>
                <w:rFonts w:ascii="Lato" w:hAnsi="Lato" w:cs="Times New Roman"/>
                <w:sz w:val="20"/>
                <w:szCs w:val="20"/>
              </w:rPr>
            </w:pPr>
          </w:p>
        </w:tc>
      </w:tr>
      <w:tr w:rsidR="00096CD1" w:rsidRPr="000E0901" w14:paraId="50E6FC26" w14:textId="77777777" w:rsidTr="009B5AD6">
        <w:tc>
          <w:tcPr>
            <w:tcW w:w="562" w:type="dxa"/>
          </w:tcPr>
          <w:p w14:paraId="72CBEA22" w14:textId="3D820B3E" w:rsidR="00096CD1" w:rsidRPr="000E0901" w:rsidRDefault="008654EE" w:rsidP="00096CD1">
            <w:pPr>
              <w:jc w:val="center"/>
              <w:rPr>
                <w:rFonts w:ascii="Lato" w:hAnsi="Lato" w:cs="Times New Roman"/>
                <w:sz w:val="20"/>
                <w:szCs w:val="20"/>
              </w:rPr>
            </w:pPr>
            <w:r>
              <w:rPr>
                <w:rFonts w:ascii="Lato" w:hAnsi="Lato" w:cs="Times New Roman"/>
                <w:sz w:val="20"/>
                <w:szCs w:val="20"/>
              </w:rPr>
              <w:lastRenderedPageBreak/>
              <w:t>5</w:t>
            </w:r>
            <w:r w:rsidR="00096CD1" w:rsidRPr="000E0901">
              <w:rPr>
                <w:rFonts w:ascii="Lato" w:hAnsi="Lato" w:cs="Times New Roman"/>
                <w:sz w:val="20"/>
                <w:szCs w:val="20"/>
              </w:rPr>
              <w:t>.</w:t>
            </w:r>
          </w:p>
        </w:tc>
        <w:tc>
          <w:tcPr>
            <w:tcW w:w="1701" w:type="dxa"/>
          </w:tcPr>
          <w:p w14:paraId="13E20248" w14:textId="6667430E" w:rsidR="00096CD1" w:rsidRPr="000E0901" w:rsidRDefault="00096CD1" w:rsidP="00096CD1">
            <w:pPr>
              <w:jc w:val="both"/>
              <w:rPr>
                <w:rFonts w:ascii="Lato" w:hAnsi="Lato" w:cs="Times New Roman"/>
                <w:sz w:val="20"/>
                <w:szCs w:val="20"/>
              </w:rPr>
            </w:pPr>
            <w:r w:rsidRPr="000E0901">
              <w:rPr>
                <w:rFonts w:ascii="Lato" w:hAnsi="Lato" w:cs="Times New Roman"/>
                <w:sz w:val="20"/>
                <w:szCs w:val="20"/>
              </w:rPr>
              <w:t>Konfederacja Lewiatan</w:t>
            </w:r>
          </w:p>
        </w:tc>
        <w:tc>
          <w:tcPr>
            <w:tcW w:w="2694" w:type="dxa"/>
          </w:tcPr>
          <w:p w14:paraId="607E353C" w14:textId="6FC2EA50" w:rsidR="00096CD1" w:rsidRPr="000E0901" w:rsidRDefault="00096CD1" w:rsidP="00096CD1">
            <w:pPr>
              <w:jc w:val="both"/>
              <w:rPr>
                <w:rFonts w:ascii="Lato" w:hAnsi="Lato" w:cs="Times New Roman"/>
                <w:sz w:val="20"/>
                <w:szCs w:val="20"/>
              </w:rPr>
            </w:pPr>
            <w:r w:rsidRPr="000E0901">
              <w:rPr>
                <w:rFonts w:ascii="Tahoma" w:hAnsi="Tahoma"/>
                <w:sz w:val="20"/>
                <w:szCs w:val="20"/>
              </w:rPr>
              <w:t>Art. 6k ust. 4 d</w:t>
            </w:r>
          </w:p>
        </w:tc>
        <w:tc>
          <w:tcPr>
            <w:tcW w:w="5103" w:type="dxa"/>
          </w:tcPr>
          <w:p w14:paraId="23A3EBB6" w14:textId="77777777" w:rsidR="00096CD1" w:rsidRPr="000E0901" w:rsidRDefault="00096CD1" w:rsidP="00096CD1">
            <w:pPr>
              <w:rPr>
                <w:rFonts w:ascii="Tahoma" w:hAnsi="Tahoma"/>
                <w:sz w:val="20"/>
                <w:szCs w:val="20"/>
              </w:rPr>
            </w:pPr>
            <w:r w:rsidRPr="000E0901">
              <w:rPr>
                <w:rFonts w:ascii="Tahoma" w:hAnsi="Tahoma"/>
                <w:sz w:val="20"/>
                <w:szCs w:val="20"/>
              </w:rPr>
              <w:t>Usunięcie zapisu.</w:t>
            </w:r>
          </w:p>
          <w:p w14:paraId="64CD17A9" w14:textId="62966747" w:rsidR="00096CD1" w:rsidRPr="000E0901" w:rsidRDefault="00096CD1" w:rsidP="00096CD1">
            <w:pPr>
              <w:jc w:val="both"/>
              <w:rPr>
                <w:rFonts w:ascii="Lato" w:hAnsi="Lato" w:cs="Times New Roman"/>
                <w:sz w:val="20"/>
                <w:szCs w:val="20"/>
              </w:rPr>
            </w:pPr>
            <w:r w:rsidRPr="000E0901">
              <w:rPr>
                <w:rFonts w:ascii="Tahoma" w:hAnsi="Tahoma"/>
                <w:sz w:val="20"/>
                <w:szCs w:val="20"/>
              </w:rPr>
              <w:t>Wprowadzenie elementu socjalnego do systemu opłat, który dotychczas był czysto ekonomiczny spowoduje wzrost stawki dla płacących faktycznie płacących. Im szerszy zakres zwolnień i im większa grupa objęta ulgami, tym większa część kosztów zostanie rozłożona na mniejszą liczbę płatników. Przeniesienie kosztów może prowadzić do sprzeciwu i poczucia niesprawiedliwości wśród mieszkańców, którzy nie korzystają ze zwolnień. Choć intencje ustawodawcy są pozytywne (wsparcie najsłabszych), konsekwencją na poziomie lokalnym jest niemal pewne obciążenie pozostałych mieszkańców wyższymi opłatami, co stanowi główne ryzyko tych regulacji.</w:t>
            </w:r>
          </w:p>
        </w:tc>
        <w:tc>
          <w:tcPr>
            <w:tcW w:w="4252" w:type="dxa"/>
          </w:tcPr>
          <w:p w14:paraId="2B119892" w14:textId="3F04F78B" w:rsidR="00096CD1" w:rsidRPr="000E0901" w:rsidRDefault="00096CD1" w:rsidP="00096CD1">
            <w:pPr>
              <w:jc w:val="both"/>
              <w:rPr>
                <w:rFonts w:ascii="Lato" w:hAnsi="Lato" w:cs="Times New Roman"/>
                <w:sz w:val="20"/>
                <w:szCs w:val="20"/>
              </w:rPr>
            </w:pPr>
            <w:r w:rsidRPr="000E0901">
              <w:rPr>
                <w:rFonts w:ascii="Tahoma" w:hAnsi="Tahoma"/>
                <w:sz w:val="20"/>
                <w:szCs w:val="20"/>
              </w:rPr>
              <w:t xml:space="preserve"> brak</w:t>
            </w:r>
          </w:p>
        </w:tc>
        <w:tc>
          <w:tcPr>
            <w:tcW w:w="1428" w:type="dxa"/>
          </w:tcPr>
          <w:p w14:paraId="5D16DB46" w14:textId="77777777" w:rsidR="00096CD1" w:rsidRPr="000E0901" w:rsidRDefault="00096CD1" w:rsidP="00096CD1">
            <w:pPr>
              <w:jc w:val="both"/>
              <w:rPr>
                <w:rFonts w:ascii="Lato" w:hAnsi="Lato" w:cs="Times New Roman"/>
                <w:sz w:val="20"/>
                <w:szCs w:val="20"/>
              </w:rPr>
            </w:pPr>
          </w:p>
        </w:tc>
      </w:tr>
      <w:tr w:rsidR="00096CD1" w:rsidRPr="000E0901" w14:paraId="0B5199B1" w14:textId="77777777" w:rsidTr="009B5AD6">
        <w:tc>
          <w:tcPr>
            <w:tcW w:w="562" w:type="dxa"/>
          </w:tcPr>
          <w:p w14:paraId="486410FA" w14:textId="3E0514F7" w:rsidR="00096CD1" w:rsidRPr="000E0901" w:rsidRDefault="008654EE" w:rsidP="00096CD1">
            <w:pPr>
              <w:jc w:val="center"/>
              <w:rPr>
                <w:rFonts w:ascii="Lato" w:hAnsi="Lato" w:cs="Times New Roman"/>
                <w:sz w:val="20"/>
                <w:szCs w:val="20"/>
              </w:rPr>
            </w:pPr>
            <w:r>
              <w:rPr>
                <w:rFonts w:ascii="Lato" w:hAnsi="Lato" w:cs="Times New Roman"/>
                <w:sz w:val="20"/>
                <w:szCs w:val="20"/>
              </w:rPr>
              <w:t>6</w:t>
            </w:r>
            <w:r w:rsidR="00096CD1" w:rsidRPr="000E0901">
              <w:rPr>
                <w:rFonts w:ascii="Lato" w:hAnsi="Lato" w:cs="Times New Roman"/>
                <w:sz w:val="20"/>
                <w:szCs w:val="20"/>
              </w:rPr>
              <w:t>.</w:t>
            </w:r>
          </w:p>
        </w:tc>
        <w:tc>
          <w:tcPr>
            <w:tcW w:w="1701" w:type="dxa"/>
          </w:tcPr>
          <w:p w14:paraId="41EC1220" w14:textId="297A5799" w:rsidR="00096CD1" w:rsidRPr="000E0901" w:rsidRDefault="00096CD1" w:rsidP="00096CD1">
            <w:pPr>
              <w:jc w:val="both"/>
              <w:rPr>
                <w:rFonts w:ascii="Lato" w:hAnsi="Lato" w:cs="Times New Roman"/>
                <w:sz w:val="20"/>
                <w:szCs w:val="20"/>
              </w:rPr>
            </w:pPr>
            <w:r w:rsidRPr="000E0901">
              <w:rPr>
                <w:rFonts w:ascii="Lato" w:hAnsi="Lato" w:cs="Times New Roman"/>
                <w:sz w:val="20"/>
                <w:szCs w:val="20"/>
              </w:rPr>
              <w:t>Konfederacja Lewiatan</w:t>
            </w:r>
          </w:p>
        </w:tc>
        <w:tc>
          <w:tcPr>
            <w:tcW w:w="2694" w:type="dxa"/>
          </w:tcPr>
          <w:p w14:paraId="18801E29" w14:textId="3C9966CA" w:rsidR="00096CD1" w:rsidRPr="000E0901" w:rsidRDefault="00096CD1" w:rsidP="00096CD1">
            <w:pPr>
              <w:jc w:val="both"/>
              <w:rPr>
                <w:rFonts w:ascii="Lato" w:hAnsi="Lato" w:cs="Times New Roman"/>
                <w:sz w:val="20"/>
                <w:szCs w:val="20"/>
              </w:rPr>
            </w:pPr>
            <w:r w:rsidRPr="000E0901">
              <w:rPr>
                <w:rFonts w:ascii="Tahoma" w:hAnsi="Tahoma"/>
                <w:sz w:val="20"/>
                <w:szCs w:val="20"/>
              </w:rPr>
              <w:t> Art. 6ka. Ust.1</w:t>
            </w:r>
          </w:p>
        </w:tc>
        <w:tc>
          <w:tcPr>
            <w:tcW w:w="5103" w:type="dxa"/>
          </w:tcPr>
          <w:p w14:paraId="0611B7C8" w14:textId="64091E4F" w:rsidR="00096CD1" w:rsidRPr="000E0901" w:rsidRDefault="00096CD1" w:rsidP="00096CD1">
            <w:pPr>
              <w:jc w:val="both"/>
              <w:rPr>
                <w:rFonts w:ascii="Lato" w:hAnsi="Lato" w:cs="Times New Roman"/>
                <w:sz w:val="20"/>
                <w:szCs w:val="20"/>
              </w:rPr>
            </w:pPr>
            <w:r w:rsidRPr="000E0901">
              <w:rPr>
                <w:rFonts w:ascii="Tahoma" w:hAnsi="Tahoma"/>
                <w:sz w:val="20"/>
                <w:szCs w:val="20"/>
              </w:rPr>
              <w:t>Doprecyzowanie w jaki sposób wójt, burmistrz lub prezydent miasta oraz właściciel nieruchomości mają być powiadomieni. W celu zapewnienia skuteczności i transparentności procesu, powiadomienie zarówno wójta/burmistrza/prezydenta miasta, jak i właściciela nieruchomości o stwierdzeniu niedopełnienia obowiązku selektywnego zbierania odpadów powinno odbyć się w sposób formalny i terminowy.</w:t>
            </w:r>
          </w:p>
        </w:tc>
        <w:tc>
          <w:tcPr>
            <w:tcW w:w="4252" w:type="dxa"/>
          </w:tcPr>
          <w:p w14:paraId="4CDCAF1D" w14:textId="77777777" w:rsidR="00096CD1" w:rsidRPr="000E0901" w:rsidRDefault="00096CD1" w:rsidP="00096CD1">
            <w:pPr>
              <w:jc w:val="both"/>
              <w:rPr>
                <w:rFonts w:ascii="Tahoma" w:hAnsi="Tahoma"/>
                <w:sz w:val="20"/>
                <w:szCs w:val="20"/>
              </w:rPr>
            </w:pPr>
            <w:r w:rsidRPr="000E0901">
              <w:rPr>
                <w:rFonts w:ascii="Tahoma" w:hAnsi="Tahoma"/>
                <w:sz w:val="20"/>
                <w:szCs w:val="20"/>
              </w:rPr>
              <w:t>„W przypadku niedopełnienia przez właściciela nieruchomości obowiązku selektywnego zbierania danej frakcji odpadów komunalnych, podmiot odbierający odpady komunalne przyjmuje je w sposób określony w regulaminie danej gminy i powiadamia o tym wójta, burmistrza lub prezydenta miasta oraz właściciela nieruchomości.</w:t>
            </w:r>
          </w:p>
          <w:p w14:paraId="4936D363" w14:textId="77777777" w:rsidR="00096CD1" w:rsidRPr="000E0901" w:rsidRDefault="00096CD1" w:rsidP="00096CD1">
            <w:pPr>
              <w:jc w:val="both"/>
              <w:rPr>
                <w:rFonts w:ascii="Tahoma" w:hAnsi="Tahoma"/>
                <w:sz w:val="20"/>
                <w:szCs w:val="20"/>
              </w:rPr>
            </w:pPr>
            <w:r w:rsidRPr="000E0901">
              <w:rPr>
                <w:rFonts w:ascii="Tahoma" w:hAnsi="Tahoma"/>
                <w:sz w:val="20"/>
                <w:szCs w:val="20"/>
              </w:rPr>
              <w:t xml:space="preserve">1a) Powiadomienie, o którym mowa w ust. 1, powinno nastąpić niezwłocznie, jednak nie później niż w następnym dniu roboczym po stwierdzeniu nieprawidłowości, i musi zawierać co najmniej: a) w odniesieniu do wójta, burmistrza lub prezydenta miasta: * dokładny adres nieruchomości i datę stwierdzenia naruszenia; * szczegółowy opis frakcji odpadów oraz stwierdzonego </w:t>
            </w:r>
            <w:r w:rsidRPr="000E0901">
              <w:rPr>
                <w:rFonts w:ascii="Tahoma" w:hAnsi="Tahoma"/>
                <w:sz w:val="20"/>
                <w:szCs w:val="20"/>
              </w:rPr>
              <w:lastRenderedPageBreak/>
              <w:t>naruszenia (np. zanieczyszczenia frakcji odpadami zmieszanymi); * dokumentację fotograficzną naruszenia (w formie załącznika); b) w odniesieniu do właściciela nieruchomości: * bezpośrednio na pojemniku lub worku – informację pisaną (np. w formie naklejki lub zawieszki) o stwierdzeniu naruszenia wraz ze wskazaniem nieprawidłowo zebranej frakcji oraz pouczeniem o możliwości uznania odpadów za zmieszane i nałożenia podwyższonej opłaty; * pisemne powiadomienie (np. listem zwykłym lub elektronicznie, jeśli gmina posiada taką formę komunikacji) będące formalnym potwierdzeniem naruszenia, wraz ze wskazaniem konsekwencji prawnych i pouczeniem o prawidłowym sposobie segregacji.</w:t>
            </w:r>
          </w:p>
          <w:p w14:paraId="70C41F90" w14:textId="57584D5D" w:rsidR="00096CD1" w:rsidRPr="000E0901" w:rsidRDefault="00096CD1" w:rsidP="00096CD1">
            <w:pPr>
              <w:jc w:val="both"/>
              <w:rPr>
                <w:rFonts w:ascii="Lato" w:hAnsi="Lato" w:cs="Times New Roman"/>
                <w:sz w:val="20"/>
                <w:szCs w:val="20"/>
              </w:rPr>
            </w:pPr>
            <w:r w:rsidRPr="000E0901">
              <w:rPr>
                <w:rFonts w:ascii="Tahoma" w:hAnsi="Tahoma"/>
                <w:sz w:val="20"/>
                <w:szCs w:val="20"/>
              </w:rPr>
              <w:t>1b) Sposób przyjęcia odpadów w przypadku, o którym mowa w ust. 1, powinien przewidywać ich traktowanie jako odpadów zmieszanych, co stanowi podstawę do naliczenia podwyższonej opłaty za gospodarowanie odpadami komunalnymi, zgodnie z art. 6k ust. 3.”</w:t>
            </w:r>
          </w:p>
        </w:tc>
        <w:tc>
          <w:tcPr>
            <w:tcW w:w="1428" w:type="dxa"/>
          </w:tcPr>
          <w:p w14:paraId="2EFBC216" w14:textId="77777777" w:rsidR="00096CD1" w:rsidRPr="000E0901" w:rsidRDefault="00096CD1" w:rsidP="00096CD1">
            <w:pPr>
              <w:jc w:val="both"/>
              <w:rPr>
                <w:rFonts w:ascii="Lato" w:hAnsi="Lato" w:cs="Times New Roman"/>
                <w:sz w:val="20"/>
                <w:szCs w:val="20"/>
              </w:rPr>
            </w:pPr>
          </w:p>
        </w:tc>
      </w:tr>
      <w:tr w:rsidR="00096CD1" w:rsidRPr="000E0901" w14:paraId="7CB14118" w14:textId="77777777" w:rsidTr="009B5AD6">
        <w:tc>
          <w:tcPr>
            <w:tcW w:w="562" w:type="dxa"/>
          </w:tcPr>
          <w:p w14:paraId="40E2995D" w14:textId="415009E4" w:rsidR="00096CD1" w:rsidRPr="000E0901" w:rsidRDefault="008654EE" w:rsidP="00096CD1">
            <w:pPr>
              <w:jc w:val="center"/>
              <w:rPr>
                <w:rFonts w:ascii="Lato" w:hAnsi="Lato" w:cs="Times New Roman"/>
                <w:sz w:val="20"/>
                <w:szCs w:val="20"/>
              </w:rPr>
            </w:pPr>
            <w:r>
              <w:rPr>
                <w:rFonts w:ascii="Lato" w:hAnsi="Lato" w:cs="Times New Roman"/>
                <w:sz w:val="20"/>
                <w:szCs w:val="20"/>
              </w:rPr>
              <w:t>7</w:t>
            </w:r>
            <w:r w:rsidR="00096CD1" w:rsidRPr="000E0901">
              <w:rPr>
                <w:rFonts w:ascii="Lato" w:hAnsi="Lato" w:cs="Times New Roman"/>
                <w:sz w:val="20"/>
                <w:szCs w:val="20"/>
              </w:rPr>
              <w:t>.</w:t>
            </w:r>
          </w:p>
        </w:tc>
        <w:tc>
          <w:tcPr>
            <w:tcW w:w="1701" w:type="dxa"/>
          </w:tcPr>
          <w:p w14:paraId="5022545C" w14:textId="406D3659" w:rsidR="00096CD1" w:rsidRPr="000E0901" w:rsidRDefault="00096CD1" w:rsidP="00096CD1">
            <w:pPr>
              <w:jc w:val="both"/>
              <w:rPr>
                <w:rFonts w:ascii="Lato" w:hAnsi="Lato" w:cs="Times New Roman"/>
                <w:sz w:val="20"/>
                <w:szCs w:val="20"/>
              </w:rPr>
            </w:pPr>
            <w:r w:rsidRPr="000E0901">
              <w:rPr>
                <w:rFonts w:ascii="Lato" w:hAnsi="Lato" w:cs="Times New Roman"/>
                <w:sz w:val="20"/>
                <w:szCs w:val="20"/>
              </w:rPr>
              <w:t>Konfederacja Lewiatan</w:t>
            </w:r>
          </w:p>
        </w:tc>
        <w:tc>
          <w:tcPr>
            <w:tcW w:w="2694" w:type="dxa"/>
          </w:tcPr>
          <w:p w14:paraId="500B2384" w14:textId="371B3087" w:rsidR="00096CD1" w:rsidRPr="000E0901" w:rsidRDefault="00096CD1" w:rsidP="00096CD1">
            <w:pPr>
              <w:jc w:val="both"/>
              <w:rPr>
                <w:rFonts w:ascii="Tahoma" w:hAnsi="Tahoma"/>
                <w:sz w:val="20"/>
                <w:szCs w:val="20"/>
              </w:rPr>
            </w:pPr>
            <w:r w:rsidRPr="000E0901">
              <w:rPr>
                <w:rFonts w:ascii="Tahoma" w:hAnsi="Tahoma"/>
                <w:sz w:val="20"/>
                <w:szCs w:val="20"/>
              </w:rPr>
              <w:t> Art. 6ka. Ust.2</w:t>
            </w:r>
          </w:p>
        </w:tc>
        <w:tc>
          <w:tcPr>
            <w:tcW w:w="5103" w:type="dxa"/>
          </w:tcPr>
          <w:p w14:paraId="565E4D7A" w14:textId="292179CB" w:rsidR="00096CD1" w:rsidRPr="000E0901" w:rsidRDefault="00096CD1" w:rsidP="00096CD1">
            <w:pPr>
              <w:jc w:val="both"/>
              <w:rPr>
                <w:rFonts w:ascii="Tahoma" w:hAnsi="Tahoma"/>
                <w:sz w:val="20"/>
                <w:szCs w:val="20"/>
              </w:rPr>
            </w:pPr>
            <w:r w:rsidRPr="000E0901">
              <w:rPr>
                <w:rFonts w:ascii="Tahoma" w:hAnsi="Tahoma"/>
                <w:sz w:val="20"/>
                <w:szCs w:val="20"/>
              </w:rPr>
              <w:t xml:space="preserve">Wszczęcie postępowania w sprawie określenia wysokości podwyższonej opłaty powinno być obligatoryjne w każdym przypadku, gdy organ wykonawczy gminy posiada informację o niedopełnieniu obowiązku selektywnego zbierania odpadów komunalnych. Uznaniowość w zakresie wszczęcia postępowania o nałożenie podwyższonej opłaty za brak segregacji jest z punktu widzenia efektywności systemu odpadami rozwiązaniem niedobrym, ponieważ osłabia to mechanizm egzekwowania podstawowego obowiązku mieszkańców. </w:t>
            </w:r>
          </w:p>
        </w:tc>
        <w:tc>
          <w:tcPr>
            <w:tcW w:w="4252" w:type="dxa"/>
          </w:tcPr>
          <w:p w14:paraId="7ACF28F1" w14:textId="044A36EB" w:rsidR="00096CD1" w:rsidRPr="000E0901" w:rsidRDefault="00096CD1" w:rsidP="00096CD1">
            <w:pPr>
              <w:jc w:val="both"/>
              <w:rPr>
                <w:rFonts w:ascii="Tahoma" w:hAnsi="Tahoma"/>
                <w:sz w:val="20"/>
                <w:szCs w:val="20"/>
              </w:rPr>
            </w:pPr>
            <w:r w:rsidRPr="000E0901">
              <w:rPr>
                <w:rFonts w:ascii="Tahoma" w:hAnsi="Tahoma"/>
                <w:sz w:val="20"/>
                <w:szCs w:val="20"/>
              </w:rPr>
              <w:t>„Wójt, burmistrz lub prezydent miasta, w przypadku powiadomienia o niedopełnieniu przez właściciela nieruchomości obowiązku selektywnego zbierania odpadów komunalnych, o którym mowa w ust. 1, wszczyna postępowanie w sprawie określenia wysokości opłaty za gospodarowanie odpadami komunalnymi.”</w:t>
            </w:r>
          </w:p>
        </w:tc>
        <w:tc>
          <w:tcPr>
            <w:tcW w:w="1428" w:type="dxa"/>
          </w:tcPr>
          <w:p w14:paraId="7862ADC4" w14:textId="77777777" w:rsidR="00096CD1" w:rsidRPr="000E0901" w:rsidRDefault="00096CD1" w:rsidP="00096CD1">
            <w:pPr>
              <w:jc w:val="both"/>
              <w:rPr>
                <w:rFonts w:ascii="Lato" w:hAnsi="Lato" w:cs="Times New Roman"/>
                <w:sz w:val="20"/>
                <w:szCs w:val="20"/>
              </w:rPr>
            </w:pPr>
          </w:p>
        </w:tc>
      </w:tr>
      <w:tr w:rsidR="00096CD1" w:rsidRPr="000E0901" w14:paraId="2AFE6306" w14:textId="77777777" w:rsidTr="009B5AD6">
        <w:tc>
          <w:tcPr>
            <w:tcW w:w="562" w:type="dxa"/>
          </w:tcPr>
          <w:p w14:paraId="08A38D87" w14:textId="0C320C94" w:rsidR="00096CD1" w:rsidRPr="000E0901" w:rsidRDefault="008654EE" w:rsidP="00096CD1">
            <w:pPr>
              <w:jc w:val="center"/>
              <w:rPr>
                <w:rFonts w:ascii="Lato" w:hAnsi="Lato" w:cs="Times New Roman"/>
                <w:sz w:val="20"/>
                <w:szCs w:val="20"/>
              </w:rPr>
            </w:pPr>
            <w:r>
              <w:rPr>
                <w:rFonts w:ascii="Lato" w:hAnsi="Lato" w:cs="Times New Roman"/>
                <w:sz w:val="20"/>
                <w:szCs w:val="20"/>
              </w:rPr>
              <w:t>8</w:t>
            </w:r>
            <w:r w:rsidR="00096CD1" w:rsidRPr="000E0901">
              <w:rPr>
                <w:rFonts w:ascii="Lato" w:hAnsi="Lato" w:cs="Times New Roman"/>
                <w:sz w:val="20"/>
                <w:szCs w:val="20"/>
              </w:rPr>
              <w:t>.</w:t>
            </w:r>
          </w:p>
        </w:tc>
        <w:tc>
          <w:tcPr>
            <w:tcW w:w="1701" w:type="dxa"/>
          </w:tcPr>
          <w:p w14:paraId="05792068" w14:textId="6D9A3762" w:rsidR="00096CD1" w:rsidRPr="000E0901" w:rsidRDefault="00096CD1" w:rsidP="00096CD1">
            <w:pPr>
              <w:jc w:val="both"/>
              <w:rPr>
                <w:rFonts w:ascii="Lato" w:hAnsi="Lato" w:cs="Times New Roman"/>
                <w:sz w:val="20"/>
                <w:szCs w:val="20"/>
              </w:rPr>
            </w:pPr>
            <w:r w:rsidRPr="000E0901">
              <w:rPr>
                <w:rFonts w:ascii="Lato" w:hAnsi="Lato" w:cs="Times New Roman"/>
                <w:sz w:val="20"/>
                <w:szCs w:val="20"/>
              </w:rPr>
              <w:t>Konfederacja Lewiatan</w:t>
            </w:r>
          </w:p>
        </w:tc>
        <w:tc>
          <w:tcPr>
            <w:tcW w:w="2694" w:type="dxa"/>
          </w:tcPr>
          <w:p w14:paraId="12DCD747" w14:textId="5C6B16DA" w:rsidR="00096CD1" w:rsidRPr="000E0901" w:rsidRDefault="00096CD1" w:rsidP="00096CD1">
            <w:pPr>
              <w:jc w:val="both"/>
              <w:rPr>
                <w:rFonts w:ascii="Tahoma" w:hAnsi="Tahoma"/>
                <w:sz w:val="20"/>
                <w:szCs w:val="20"/>
              </w:rPr>
            </w:pPr>
            <w:r w:rsidRPr="000E0901">
              <w:rPr>
                <w:rFonts w:ascii="Tahoma" w:hAnsi="Tahoma"/>
                <w:sz w:val="20"/>
                <w:szCs w:val="20"/>
              </w:rPr>
              <w:t>Art. 6n</w:t>
            </w:r>
          </w:p>
        </w:tc>
        <w:tc>
          <w:tcPr>
            <w:tcW w:w="5103" w:type="dxa"/>
          </w:tcPr>
          <w:p w14:paraId="7F369B76" w14:textId="77777777" w:rsidR="00096CD1" w:rsidRPr="000E0901" w:rsidRDefault="00096CD1" w:rsidP="00096CD1">
            <w:pPr>
              <w:autoSpaceDE w:val="0"/>
              <w:autoSpaceDN w:val="0"/>
              <w:adjustRightInd w:val="0"/>
              <w:jc w:val="both"/>
              <w:rPr>
                <w:rFonts w:ascii="Tahoma" w:hAnsi="Tahoma" w:cs="Tahoma"/>
                <w:iCs/>
                <w:sz w:val="20"/>
                <w:szCs w:val="20"/>
              </w:rPr>
            </w:pPr>
            <w:r w:rsidRPr="000E0901">
              <w:rPr>
                <w:rFonts w:ascii="Tahoma" w:hAnsi="Tahoma" w:cs="Tahoma"/>
                <w:iCs/>
                <w:sz w:val="20"/>
                <w:szCs w:val="20"/>
              </w:rPr>
              <w:t xml:space="preserve">Proponowana zmiana art. 6n ma na celu </w:t>
            </w:r>
            <w:r w:rsidRPr="000E0901">
              <w:rPr>
                <w:rFonts w:ascii="Tahoma" w:hAnsi="Tahoma" w:cs="Tahoma"/>
                <w:b/>
                <w:bCs/>
                <w:iCs/>
                <w:sz w:val="20"/>
                <w:szCs w:val="20"/>
              </w:rPr>
              <w:t>ujednolicenie, standaryzację oraz dalszą cyfryzację</w:t>
            </w:r>
            <w:r w:rsidRPr="000E0901">
              <w:rPr>
                <w:rFonts w:ascii="Tahoma" w:hAnsi="Tahoma" w:cs="Tahoma"/>
                <w:iCs/>
                <w:sz w:val="20"/>
                <w:szCs w:val="20"/>
              </w:rPr>
              <w:t xml:space="preserve"> obowiązku składania deklaracji o wysokości opłaty za gospodarowanie odpadami komunalnymi. </w:t>
            </w:r>
            <w:r w:rsidRPr="000E0901">
              <w:rPr>
                <w:rFonts w:ascii="Tahoma" w:hAnsi="Tahoma" w:cs="Tahoma"/>
                <w:iCs/>
                <w:sz w:val="20"/>
                <w:szCs w:val="20"/>
              </w:rPr>
              <w:lastRenderedPageBreak/>
              <w:t>Głównym założeniem jest przeniesienie kompetencji do ustalania wzoru deklaracji z poziomu gminy na poziom centralny (ministra właściwego ds. klimatu i środowiska) oraz integracja tego procesu z Bazą danych o produktach i opakowaniach oraz o gospodarce odpadami (BDO).</w:t>
            </w:r>
          </w:p>
          <w:p w14:paraId="6CF6FAEC" w14:textId="77777777" w:rsidR="00096CD1" w:rsidRPr="000E0901" w:rsidRDefault="00096CD1" w:rsidP="00096CD1">
            <w:pPr>
              <w:autoSpaceDE w:val="0"/>
              <w:autoSpaceDN w:val="0"/>
              <w:adjustRightInd w:val="0"/>
              <w:jc w:val="both"/>
              <w:rPr>
                <w:rFonts w:ascii="Tahoma" w:hAnsi="Tahoma" w:cs="Tahoma"/>
                <w:iCs/>
                <w:sz w:val="20"/>
                <w:szCs w:val="20"/>
              </w:rPr>
            </w:pPr>
            <w:r w:rsidRPr="000E0901">
              <w:rPr>
                <w:rFonts w:ascii="Tahoma" w:hAnsi="Tahoma" w:cs="Tahoma"/>
                <w:iCs/>
                <w:sz w:val="20"/>
                <w:szCs w:val="20"/>
              </w:rPr>
              <w:t xml:space="preserve">W Polsce funkcjonuje blisko 2500 gmin. Obecna delegacja ustawowa prowadzi do sytuacji, w której w obrocie prawnym istnieje </w:t>
            </w:r>
            <w:r w:rsidRPr="000E0901">
              <w:rPr>
                <w:rFonts w:ascii="Tahoma" w:hAnsi="Tahoma" w:cs="Tahoma"/>
                <w:b/>
                <w:bCs/>
                <w:iCs/>
                <w:sz w:val="20"/>
                <w:szCs w:val="20"/>
              </w:rPr>
              <w:t>ponad 2000 różnych wzorów formularzy</w:t>
            </w:r>
            <w:r w:rsidRPr="000E0901">
              <w:rPr>
                <w:rFonts w:ascii="Tahoma" w:hAnsi="Tahoma" w:cs="Tahoma"/>
                <w:iCs/>
                <w:sz w:val="20"/>
                <w:szCs w:val="20"/>
              </w:rPr>
              <w:t xml:space="preserve"> służących do realizacji tego samego obowiązku publicznoprawnego.</w:t>
            </w:r>
          </w:p>
          <w:p w14:paraId="5A050FB7" w14:textId="77777777" w:rsidR="00096CD1" w:rsidRPr="000E0901" w:rsidRDefault="00096CD1" w:rsidP="00096CD1">
            <w:pPr>
              <w:autoSpaceDE w:val="0"/>
              <w:autoSpaceDN w:val="0"/>
              <w:adjustRightInd w:val="0"/>
              <w:jc w:val="both"/>
              <w:rPr>
                <w:rFonts w:ascii="Tahoma" w:hAnsi="Tahoma" w:cs="Tahoma"/>
                <w:iCs/>
                <w:sz w:val="20"/>
                <w:szCs w:val="20"/>
              </w:rPr>
            </w:pPr>
            <w:r w:rsidRPr="000E0901">
              <w:rPr>
                <w:rFonts w:ascii="Tahoma" w:hAnsi="Tahoma" w:cs="Tahoma"/>
                <w:iCs/>
                <w:sz w:val="20"/>
                <w:szCs w:val="20"/>
              </w:rPr>
              <w:t>Taka dywersyfikacja przepisów prawa miejscowego:</w:t>
            </w:r>
          </w:p>
          <w:p w14:paraId="0F38D38C" w14:textId="77777777" w:rsidR="00096CD1" w:rsidRPr="000E0901" w:rsidRDefault="00096CD1" w:rsidP="00096CD1">
            <w:pPr>
              <w:autoSpaceDE w:val="0"/>
              <w:autoSpaceDN w:val="0"/>
              <w:adjustRightInd w:val="0"/>
              <w:jc w:val="both"/>
              <w:rPr>
                <w:rFonts w:ascii="Tahoma" w:hAnsi="Tahoma" w:cs="Tahoma"/>
                <w:iCs/>
                <w:sz w:val="20"/>
                <w:szCs w:val="20"/>
              </w:rPr>
            </w:pPr>
            <w:r w:rsidRPr="000E0901">
              <w:rPr>
                <w:rFonts w:ascii="Tahoma" w:hAnsi="Tahoma" w:cs="Tahoma"/>
                <w:b/>
                <w:bCs/>
                <w:iCs/>
                <w:sz w:val="20"/>
                <w:szCs w:val="20"/>
              </w:rPr>
              <w:t>- Stanowi znaczące obciążenie administracyjne</w:t>
            </w:r>
            <w:r w:rsidRPr="000E0901">
              <w:rPr>
                <w:rFonts w:ascii="Tahoma" w:hAnsi="Tahoma" w:cs="Tahoma"/>
                <w:iCs/>
                <w:sz w:val="20"/>
                <w:szCs w:val="20"/>
              </w:rPr>
              <w:t xml:space="preserve"> dla przedsiębiorców, w szczególności dla podmiotów prowadzących działalność sieciową (np. banki, sklepy, placówki usługowe) na terenie wielu gmin.</w:t>
            </w:r>
          </w:p>
          <w:p w14:paraId="12186333" w14:textId="77777777" w:rsidR="00096CD1" w:rsidRPr="000E0901" w:rsidRDefault="00096CD1" w:rsidP="00096CD1">
            <w:pPr>
              <w:autoSpaceDE w:val="0"/>
              <w:autoSpaceDN w:val="0"/>
              <w:adjustRightInd w:val="0"/>
              <w:jc w:val="both"/>
              <w:rPr>
                <w:rFonts w:ascii="Tahoma" w:hAnsi="Tahoma" w:cs="Tahoma"/>
                <w:iCs/>
                <w:sz w:val="20"/>
                <w:szCs w:val="20"/>
              </w:rPr>
            </w:pPr>
            <w:r w:rsidRPr="000E0901">
              <w:rPr>
                <w:rFonts w:ascii="Tahoma" w:hAnsi="Tahoma" w:cs="Tahoma"/>
                <w:b/>
                <w:bCs/>
                <w:iCs/>
                <w:sz w:val="20"/>
                <w:szCs w:val="20"/>
              </w:rPr>
              <w:t>- Wymusza na przedsiębiorcach</w:t>
            </w:r>
            <w:r w:rsidRPr="000E0901">
              <w:rPr>
                <w:rFonts w:ascii="Tahoma" w:hAnsi="Tahoma" w:cs="Tahoma"/>
                <w:iCs/>
                <w:sz w:val="20"/>
                <w:szCs w:val="20"/>
              </w:rPr>
              <w:t xml:space="preserve"> analizowanie i dostosowywanie się do odmiennych wymogów formalnych w każdej lokalizacji, co generuje koszty i zwiększa ryzyko błędów.</w:t>
            </w:r>
          </w:p>
          <w:p w14:paraId="4CA25DFD" w14:textId="77777777" w:rsidR="00096CD1" w:rsidRPr="000E0901" w:rsidRDefault="00096CD1" w:rsidP="00096CD1">
            <w:pPr>
              <w:autoSpaceDE w:val="0"/>
              <w:autoSpaceDN w:val="0"/>
              <w:adjustRightInd w:val="0"/>
              <w:jc w:val="both"/>
              <w:rPr>
                <w:rFonts w:ascii="Tahoma" w:hAnsi="Tahoma" w:cs="Tahoma"/>
                <w:iCs/>
                <w:sz w:val="20"/>
                <w:szCs w:val="20"/>
              </w:rPr>
            </w:pPr>
            <w:r w:rsidRPr="000E0901">
              <w:rPr>
                <w:rFonts w:ascii="Tahoma" w:hAnsi="Tahoma" w:cs="Tahoma"/>
                <w:b/>
                <w:bCs/>
                <w:iCs/>
                <w:sz w:val="20"/>
                <w:szCs w:val="20"/>
              </w:rPr>
              <w:t>- Utrudnia organom nadzoru</w:t>
            </w:r>
            <w:r w:rsidRPr="000E0901">
              <w:rPr>
                <w:rFonts w:ascii="Tahoma" w:hAnsi="Tahoma" w:cs="Tahoma"/>
                <w:iCs/>
                <w:sz w:val="20"/>
                <w:szCs w:val="20"/>
              </w:rPr>
              <w:t xml:space="preserve"> (np. WIOŚ) jednolitą kontrolę i weryfikację danych w skali kraju.</w:t>
            </w:r>
          </w:p>
          <w:p w14:paraId="0BFC912C" w14:textId="77777777" w:rsidR="00096CD1" w:rsidRPr="000E0901" w:rsidRDefault="00096CD1" w:rsidP="00096CD1">
            <w:pPr>
              <w:autoSpaceDE w:val="0"/>
              <w:autoSpaceDN w:val="0"/>
              <w:adjustRightInd w:val="0"/>
              <w:jc w:val="both"/>
              <w:rPr>
                <w:rFonts w:ascii="Tahoma" w:hAnsi="Tahoma" w:cs="Tahoma"/>
                <w:iCs/>
                <w:sz w:val="20"/>
                <w:szCs w:val="20"/>
              </w:rPr>
            </w:pPr>
            <w:r w:rsidRPr="000E0901">
              <w:rPr>
                <w:rFonts w:ascii="Tahoma" w:hAnsi="Tahoma" w:cs="Tahoma"/>
                <w:iCs/>
                <w:sz w:val="20"/>
                <w:szCs w:val="20"/>
              </w:rPr>
              <w:t>- Prowadzi do skrajnie różnej interpretacji wymogów ustawowych przez poszczególne gminy co naraża przedsiębiorców na kary finansowe.</w:t>
            </w:r>
          </w:p>
          <w:p w14:paraId="735A0BCA" w14:textId="77777777" w:rsidR="00096CD1" w:rsidRPr="000E0901" w:rsidRDefault="00096CD1" w:rsidP="00096CD1">
            <w:pPr>
              <w:autoSpaceDE w:val="0"/>
              <w:autoSpaceDN w:val="0"/>
              <w:adjustRightInd w:val="0"/>
              <w:jc w:val="both"/>
              <w:rPr>
                <w:rFonts w:ascii="Tahoma" w:hAnsi="Tahoma" w:cs="Tahoma"/>
                <w:iCs/>
                <w:sz w:val="20"/>
                <w:szCs w:val="20"/>
              </w:rPr>
            </w:pPr>
            <w:r w:rsidRPr="000E0901">
              <w:rPr>
                <w:rFonts w:ascii="Tahoma" w:hAnsi="Tahoma" w:cs="Tahoma"/>
                <w:iCs/>
                <w:sz w:val="20"/>
                <w:szCs w:val="20"/>
              </w:rPr>
              <w:t>Ujednolicenie wzoru będzie miało dodatkowy pozytywny wpływ na:</w:t>
            </w:r>
          </w:p>
          <w:p w14:paraId="6083372C" w14:textId="77777777" w:rsidR="00096CD1" w:rsidRPr="000E0901" w:rsidRDefault="00096CD1" w:rsidP="00096CD1">
            <w:pPr>
              <w:autoSpaceDE w:val="0"/>
              <w:autoSpaceDN w:val="0"/>
              <w:adjustRightInd w:val="0"/>
              <w:jc w:val="both"/>
              <w:rPr>
                <w:rFonts w:ascii="Tahoma" w:hAnsi="Tahoma" w:cs="Tahoma"/>
                <w:iCs/>
                <w:sz w:val="20"/>
                <w:szCs w:val="20"/>
              </w:rPr>
            </w:pPr>
            <w:r w:rsidRPr="000E0901">
              <w:rPr>
                <w:rFonts w:ascii="Tahoma" w:hAnsi="Tahoma" w:cs="Tahoma"/>
                <w:b/>
                <w:bCs/>
                <w:iCs/>
                <w:sz w:val="20"/>
                <w:szCs w:val="20"/>
              </w:rPr>
              <w:t>- Efektywność i transparentność:</w:t>
            </w:r>
            <w:r w:rsidRPr="000E0901">
              <w:rPr>
                <w:rFonts w:ascii="Tahoma" w:hAnsi="Tahoma" w:cs="Tahoma"/>
                <w:iCs/>
                <w:sz w:val="20"/>
                <w:szCs w:val="20"/>
              </w:rPr>
              <w:t xml:space="preserve"> Zgromadzenie deklaracji (szczególnie od podmiotów gospodarczych) w centralnym systemie BDO znacząco ułatwi gminom oraz organom kontrolnym weryfikację danych, prowadzenie analiz i procesy windykacyjne.</w:t>
            </w:r>
          </w:p>
          <w:p w14:paraId="24E87751" w14:textId="77777777" w:rsidR="00096CD1" w:rsidRPr="000E0901" w:rsidRDefault="00096CD1" w:rsidP="00096CD1">
            <w:pPr>
              <w:autoSpaceDE w:val="0"/>
              <w:autoSpaceDN w:val="0"/>
              <w:adjustRightInd w:val="0"/>
              <w:jc w:val="both"/>
              <w:rPr>
                <w:rFonts w:ascii="Tahoma" w:hAnsi="Tahoma" w:cs="Tahoma"/>
                <w:iCs/>
                <w:sz w:val="20"/>
                <w:szCs w:val="20"/>
              </w:rPr>
            </w:pPr>
            <w:r w:rsidRPr="000E0901">
              <w:rPr>
                <w:rFonts w:ascii="Tahoma" w:hAnsi="Tahoma" w:cs="Tahoma"/>
                <w:iCs/>
                <w:sz w:val="20"/>
                <w:szCs w:val="20"/>
              </w:rPr>
              <w:t xml:space="preserve">- </w:t>
            </w:r>
            <w:r w:rsidRPr="000E0901">
              <w:rPr>
                <w:rFonts w:ascii="Tahoma" w:hAnsi="Tahoma" w:cs="Tahoma"/>
                <w:b/>
                <w:bCs/>
                <w:iCs/>
                <w:sz w:val="20"/>
                <w:szCs w:val="20"/>
              </w:rPr>
              <w:t>Mieszkańców</w:t>
            </w:r>
            <w:r w:rsidRPr="000E0901">
              <w:rPr>
                <w:rFonts w:ascii="Tahoma" w:hAnsi="Tahoma" w:cs="Tahoma"/>
                <w:iCs/>
                <w:sz w:val="20"/>
                <w:szCs w:val="20"/>
              </w:rPr>
              <w:t xml:space="preserve"> - ten sam wzór niezależnie od miejsca zamieszkania, pozostawienie dotychczasowych sposobów składania deklaracji dla nieruchomości zamieszkałych. </w:t>
            </w:r>
          </w:p>
          <w:p w14:paraId="05361A39" w14:textId="77777777" w:rsidR="00096CD1" w:rsidRPr="000E0901" w:rsidRDefault="00096CD1" w:rsidP="00096CD1">
            <w:pPr>
              <w:autoSpaceDE w:val="0"/>
              <w:autoSpaceDN w:val="0"/>
              <w:adjustRightInd w:val="0"/>
              <w:jc w:val="both"/>
              <w:rPr>
                <w:rFonts w:ascii="Tahoma" w:hAnsi="Tahoma" w:cs="Tahoma"/>
                <w:i/>
                <w:sz w:val="20"/>
                <w:szCs w:val="20"/>
              </w:rPr>
            </w:pPr>
          </w:p>
          <w:p w14:paraId="3D3B79B0" w14:textId="77777777" w:rsidR="00096CD1" w:rsidRPr="000E0901" w:rsidRDefault="00096CD1" w:rsidP="00096CD1">
            <w:pPr>
              <w:jc w:val="both"/>
              <w:rPr>
                <w:rFonts w:ascii="Tahoma" w:hAnsi="Tahoma" w:cs="Tahoma"/>
                <w:sz w:val="20"/>
                <w:szCs w:val="20"/>
              </w:rPr>
            </w:pPr>
          </w:p>
        </w:tc>
        <w:tc>
          <w:tcPr>
            <w:tcW w:w="4252" w:type="dxa"/>
          </w:tcPr>
          <w:p w14:paraId="4E98A003" w14:textId="77777777" w:rsidR="00096CD1" w:rsidRPr="000E0901" w:rsidRDefault="00096CD1" w:rsidP="00096CD1">
            <w:pPr>
              <w:autoSpaceDE w:val="0"/>
              <w:autoSpaceDN w:val="0"/>
              <w:adjustRightInd w:val="0"/>
              <w:jc w:val="both"/>
              <w:rPr>
                <w:rFonts w:ascii="Tahoma" w:hAnsi="Tahoma" w:cs="Tahoma"/>
                <w:bCs/>
                <w:i/>
                <w:iCs/>
                <w:sz w:val="20"/>
                <w:szCs w:val="20"/>
              </w:rPr>
            </w:pPr>
            <w:r w:rsidRPr="000E0901">
              <w:rPr>
                <w:rFonts w:ascii="Tahoma" w:hAnsi="Tahoma" w:cs="Tahoma"/>
                <w:bCs/>
                <w:i/>
                <w:iCs/>
                <w:sz w:val="20"/>
                <w:szCs w:val="20"/>
              </w:rPr>
              <w:lastRenderedPageBreak/>
              <w:t xml:space="preserve">Art.  6n. 1. </w:t>
            </w:r>
            <w:r w:rsidRPr="000E0901">
              <w:rPr>
                <w:rFonts w:ascii="Tahoma" w:hAnsi="Tahoma" w:cs="Tahoma"/>
                <w:b/>
                <w:i/>
                <w:iCs/>
                <w:sz w:val="20"/>
                <w:szCs w:val="20"/>
                <w:u w:val="single"/>
              </w:rPr>
              <w:t xml:space="preserve">Minister właściwy do spraw klimatu i środowiska </w:t>
            </w:r>
            <w:r w:rsidRPr="000E0901">
              <w:rPr>
                <w:rFonts w:ascii="Tahoma" w:hAnsi="Tahoma" w:cs="Tahoma"/>
                <w:bCs/>
                <w:i/>
                <w:iCs/>
                <w:strike/>
                <w:sz w:val="20"/>
                <w:szCs w:val="20"/>
              </w:rPr>
              <w:t xml:space="preserve">Rada gminy, </w:t>
            </w:r>
            <w:r w:rsidRPr="000E0901">
              <w:rPr>
                <w:rFonts w:ascii="Tahoma" w:hAnsi="Tahoma" w:cs="Tahoma"/>
                <w:bCs/>
                <w:i/>
                <w:iCs/>
                <w:sz w:val="20"/>
                <w:szCs w:val="20"/>
              </w:rPr>
              <w:t xml:space="preserve">uwzględniając konieczność zapewnienia prawidłowego obliczenia wysokości opłaty za </w:t>
            </w:r>
            <w:r w:rsidRPr="000E0901">
              <w:rPr>
                <w:rFonts w:ascii="Tahoma" w:hAnsi="Tahoma" w:cs="Tahoma"/>
                <w:bCs/>
                <w:i/>
                <w:iCs/>
                <w:sz w:val="20"/>
                <w:szCs w:val="20"/>
              </w:rPr>
              <w:lastRenderedPageBreak/>
              <w:t xml:space="preserve">gospodarowanie odpadami komunalnymi oraz ułatwienia składania deklaracji, określi, w drodze </w:t>
            </w:r>
            <w:r w:rsidRPr="000E0901">
              <w:rPr>
                <w:rFonts w:ascii="Tahoma" w:hAnsi="Tahoma" w:cs="Tahoma"/>
                <w:b/>
                <w:i/>
                <w:iCs/>
                <w:sz w:val="20"/>
                <w:szCs w:val="20"/>
                <w:u w:val="single"/>
              </w:rPr>
              <w:t>rozporządzenia</w:t>
            </w:r>
            <w:r w:rsidRPr="000E0901">
              <w:rPr>
                <w:rFonts w:ascii="Tahoma" w:hAnsi="Tahoma" w:cs="Tahoma"/>
                <w:bCs/>
                <w:i/>
                <w:iCs/>
                <w:sz w:val="20"/>
                <w:szCs w:val="20"/>
              </w:rPr>
              <w:t xml:space="preserve"> </w:t>
            </w:r>
            <w:r w:rsidRPr="000E0901">
              <w:rPr>
                <w:rFonts w:ascii="Tahoma" w:hAnsi="Tahoma" w:cs="Tahoma"/>
                <w:bCs/>
                <w:i/>
                <w:iCs/>
                <w:strike/>
                <w:sz w:val="20"/>
                <w:szCs w:val="20"/>
              </w:rPr>
              <w:t>uchwały stanowiącej akt prawa miejscowego</w:t>
            </w:r>
            <w:r w:rsidRPr="000E0901">
              <w:rPr>
                <w:rFonts w:ascii="Tahoma" w:hAnsi="Tahoma" w:cs="Tahoma"/>
                <w:bCs/>
                <w:i/>
                <w:iCs/>
                <w:sz w:val="20"/>
                <w:szCs w:val="20"/>
              </w:rPr>
              <w:t>:</w:t>
            </w:r>
          </w:p>
          <w:p w14:paraId="503F789E" w14:textId="77777777" w:rsidR="00096CD1" w:rsidRPr="000E0901" w:rsidRDefault="00096CD1" w:rsidP="00096CD1">
            <w:pPr>
              <w:autoSpaceDE w:val="0"/>
              <w:autoSpaceDN w:val="0"/>
              <w:adjustRightInd w:val="0"/>
              <w:jc w:val="both"/>
              <w:rPr>
                <w:rFonts w:ascii="Tahoma" w:hAnsi="Tahoma" w:cs="Tahoma"/>
                <w:bCs/>
                <w:i/>
                <w:iCs/>
                <w:sz w:val="20"/>
                <w:szCs w:val="20"/>
              </w:rPr>
            </w:pPr>
            <w:r w:rsidRPr="000E0901">
              <w:rPr>
                <w:rFonts w:ascii="Tahoma" w:hAnsi="Tahoma" w:cs="Tahoma"/>
                <w:bCs/>
                <w:i/>
                <w:iCs/>
                <w:sz w:val="20"/>
                <w:szCs w:val="20"/>
              </w:rPr>
              <w:t>1) (…..)</w:t>
            </w:r>
          </w:p>
          <w:p w14:paraId="2E0323F6" w14:textId="77777777" w:rsidR="00096CD1" w:rsidRPr="000E0901" w:rsidRDefault="00096CD1" w:rsidP="00096CD1">
            <w:pPr>
              <w:autoSpaceDE w:val="0"/>
              <w:autoSpaceDN w:val="0"/>
              <w:adjustRightInd w:val="0"/>
              <w:jc w:val="both"/>
              <w:rPr>
                <w:rFonts w:ascii="Tahoma" w:hAnsi="Tahoma" w:cs="Tahoma"/>
                <w:bCs/>
                <w:i/>
                <w:iCs/>
                <w:sz w:val="20"/>
                <w:szCs w:val="20"/>
              </w:rPr>
            </w:pPr>
            <w:r w:rsidRPr="000E0901">
              <w:rPr>
                <w:rFonts w:ascii="Tahoma" w:hAnsi="Tahoma" w:cs="Tahoma"/>
                <w:bCs/>
                <w:i/>
                <w:iCs/>
                <w:sz w:val="20"/>
                <w:szCs w:val="20"/>
              </w:rPr>
              <w:t>2) warunki i tryb składania deklaracji za pomocą środków komunikacji elektronicznej, w szczególności:</w:t>
            </w:r>
          </w:p>
          <w:p w14:paraId="498750AF" w14:textId="6CC09B27" w:rsidR="00096CD1" w:rsidRPr="000E0901" w:rsidRDefault="00096CD1" w:rsidP="00096CD1">
            <w:pPr>
              <w:autoSpaceDE w:val="0"/>
              <w:autoSpaceDN w:val="0"/>
              <w:adjustRightInd w:val="0"/>
              <w:jc w:val="both"/>
              <w:rPr>
                <w:rFonts w:ascii="Tahoma" w:hAnsi="Tahoma" w:cs="Tahoma"/>
                <w:bCs/>
                <w:i/>
                <w:iCs/>
                <w:sz w:val="20"/>
                <w:szCs w:val="20"/>
              </w:rPr>
            </w:pPr>
            <w:r w:rsidRPr="000E0901">
              <w:rPr>
                <w:rFonts w:ascii="Tahoma" w:hAnsi="Tahoma" w:cs="Tahoma"/>
                <w:bCs/>
                <w:i/>
                <w:iCs/>
                <w:sz w:val="20"/>
                <w:szCs w:val="20"/>
              </w:rPr>
              <w:t>a) ich format elektroniczny oraz układ informacji i powiązań między nimi zgodnie z przepisami o informatyzacji działalności podmiotów realizujących zadania publiczne,</w:t>
            </w:r>
          </w:p>
          <w:p w14:paraId="672F2BE1" w14:textId="77777777" w:rsidR="00096CD1" w:rsidRPr="000E0901" w:rsidRDefault="00096CD1" w:rsidP="00096CD1">
            <w:pPr>
              <w:autoSpaceDE w:val="0"/>
              <w:autoSpaceDN w:val="0"/>
              <w:adjustRightInd w:val="0"/>
              <w:jc w:val="both"/>
              <w:rPr>
                <w:rFonts w:ascii="Tahoma" w:hAnsi="Tahoma" w:cs="Tahoma"/>
                <w:bCs/>
                <w:i/>
                <w:iCs/>
                <w:sz w:val="20"/>
                <w:szCs w:val="20"/>
              </w:rPr>
            </w:pPr>
            <w:r w:rsidRPr="000E0901">
              <w:rPr>
                <w:rFonts w:ascii="Tahoma" w:hAnsi="Tahoma" w:cs="Tahoma"/>
                <w:bCs/>
                <w:i/>
                <w:iCs/>
                <w:sz w:val="20"/>
                <w:szCs w:val="20"/>
              </w:rPr>
              <w:t>b) sposób ich przesyłania za pomocą środków komunikacji elektronicznej,</w:t>
            </w:r>
          </w:p>
          <w:p w14:paraId="17B33C92" w14:textId="77777777" w:rsidR="00096CD1" w:rsidRPr="000E0901" w:rsidRDefault="00096CD1" w:rsidP="00096CD1">
            <w:pPr>
              <w:autoSpaceDE w:val="0"/>
              <w:autoSpaceDN w:val="0"/>
              <w:adjustRightInd w:val="0"/>
              <w:jc w:val="both"/>
              <w:rPr>
                <w:rFonts w:ascii="Tahoma" w:hAnsi="Tahoma" w:cs="Tahoma"/>
                <w:bCs/>
                <w:i/>
                <w:iCs/>
                <w:sz w:val="20"/>
                <w:szCs w:val="20"/>
              </w:rPr>
            </w:pPr>
            <w:r w:rsidRPr="000E0901">
              <w:rPr>
                <w:rFonts w:ascii="Tahoma" w:hAnsi="Tahoma" w:cs="Tahoma"/>
                <w:bCs/>
                <w:i/>
                <w:iCs/>
                <w:sz w:val="20"/>
                <w:szCs w:val="20"/>
              </w:rPr>
              <w:t>c) rodzaje podpisu elektronicznego, którym powinny być opatrzone</w:t>
            </w:r>
          </w:p>
          <w:p w14:paraId="52275ABF" w14:textId="77777777" w:rsidR="00096CD1" w:rsidRPr="000E0901" w:rsidRDefault="00096CD1" w:rsidP="00096CD1">
            <w:pPr>
              <w:autoSpaceDE w:val="0"/>
              <w:autoSpaceDN w:val="0"/>
              <w:adjustRightInd w:val="0"/>
              <w:jc w:val="both"/>
              <w:rPr>
                <w:rFonts w:ascii="Tahoma" w:hAnsi="Tahoma" w:cs="Tahoma"/>
                <w:b/>
                <w:i/>
                <w:iCs/>
                <w:sz w:val="20"/>
                <w:szCs w:val="20"/>
                <w:u w:val="single"/>
              </w:rPr>
            </w:pPr>
            <w:r w:rsidRPr="000E0901">
              <w:rPr>
                <w:rFonts w:ascii="Tahoma" w:hAnsi="Tahoma" w:cs="Tahoma"/>
                <w:b/>
                <w:i/>
                <w:iCs/>
                <w:sz w:val="20"/>
                <w:szCs w:val="20"/>
                <w:u w:val="single"/>
              </w:rPr>
              <w:t>d) udostępnienie możliwości składania deklaracji za pośrednictwem Bazy danych o produktach i opakowaniach oraz o gospodarce odpadami dla nieruchomości niezamieszkałych.</w:t>
            </w:r>
          </w:p>
          <w:p w14:paraId="4AD12395" w14:textId="77777777" w:rsidR="00096CD1" w:rsidRPr="000E0901" w:rsidRDefault="00096CD1" w:rsidP="00096CD1">
            <w:pPr>
              <w:autoSpaceDE w:val="0"/>
              <w:autoSpaceDN w:val="0"/>
              <w:adjustRightInd w:val="0"/>
              <w:jc w:val="both"/>
              <w:rPr>
                <w:rFonts w:ascii="Tahoma" w:hAnsi="Tahoma" w:cs="Tahoma"/>
                <w:bCs/>
                <w:i/>
                <w:iCs/>
                <w:sz w:val="20"/>
                <w:szCs w:val="20"/>
              </w:rPr>
            </w:pPr>
          </w:p>
          <w:p w14:paraId="544EEEEF" w14:textId="77777777" w:rsidR="00096CD1" w:rsidRPr="000E0901" w:rsidRDefault="00096CD1" w:rsidP="00096CD1">
            <w:pPr>
              <w:autoSpaceDE w:val="0"/>
              <w:autoSpaceDN w:val="0"/>
              <w:adjustRightInd w:val="0"/>
              <w:jc w:val="both"/>
              <w:rPr>
                <w:rFonts w:ascii="Tahoma" w:hAnsi="Tahoma" w:cs="Tahoma"/>
                <w:bCs/>
                <w:i/>
                <w:iCs/>
                <w:sz w:val="20"/>
                <w:szCs w:val="20"/>
              </w:rPr>
            </w:pPr>
            <w:r w:rsidRPr="000E0901">
              <w:rPr>
                <w:rFonts w:ascii="Tahoma" w:hAnsi="Tahoma" w:cs="Tahoma"/>
                <w:bCs/>
                <w:i/>
                <w:iCs/>
                <w:sz w:val="20"/>
                <w:szCs w:val="20"/>
              </w:rPr>
              <w:t>2.</w:t>
            </w:r>
            <w:r w:rsidRPr="000E0901">
              <w:rPr>
                <w:rFonts w:ascii="Tahoma" w:hAnsi="Tahoma" w:cs="Tahoma"/>
                <w:bCs/>
                <w:i/>
                <w:iCs/>
                <w:sz w:val="20"/>
                <w:szCs w:val="20"/>
              </w:rPr>
              <w:tab/>
            </w:r>
            <w:r w:rsidRPr="000E0901">
              <w:rPr>
                <w:rFonts w:ascii="Tahoma" w:hAnsi="Tahoma" w:cs="Tahoma"/>
                <w:b/>
                <w:i/>
                <w:iCs/>
                <w:sz w:val="20"/>
                <w:szCs w:val="20"/>
                <w:u w:val="single"/>
              </w:rPr>
              <w:t>Minister właściwy do spraw klimatu i środowiska w rozporządzeniu</w:t>
            </w:r>
            <w:r w:rsidRPr="000E0901">
              <w:rPr>
                <w:rFonts w:ascii="Tahoma" w:hAnsi="Tahoma" w:cs="Tahoma"/>
                <w:bCs/>
                <w:i/>
                <w:iCs/>
                <w:sz w:val="20"/>
                <w:szCs w:val="20"/>
              </w:rPr>
              <w:t xml:space="preserve"> </w:t>
            </w:r>
            <w:r w:rsidRPr="000E0901">
              <w:rPr>
                <w:rFonts w:ascii="Tahoma" w:hAnsi="Tahoma" w:cs="Tahoma"/>
                <w:bCs/>
                <w:i/>
                <w:iCs/>
                <w:strike/>
                <w:sz w:val="20"/>
                <w:szCs w:val="20"/>
              </w:rPr>
              <w:t>Rada gminy w uchwale</w:t>
            </w:r>
            <w:r w:rsidRPr="000E0901">
              <w:rPr>
                <w:rFonts w:ascii="Tahoma" w:hAnsi="Tahoma" w:cs="Tahoma"/>
                <w:bCs/>
                <w:i/>
                <w:iCs/>
                <w:sz w:val="20"/>
                <w:szCs w:val="20"/>
              </w:rPr>
              <w:t xml:space="preserve">, o </w:t>
            </w:r>
            <w:proofErr w:type="spellStart"/>
            <w:r w:rsidRPr="000E0901">
              <w:rPr>
                <w:rFonts w:ascii="Tahoma" w:hAnsi="Tahoma" w:cs="Tahoma"/>
                <w:bCs/>
                <w:i/>
                <w:iCs/>
                <w:sz w:val="20"/>
                <w:szCs w:val="20"/>
              </w:rPr>
              <w:t>któr</w:t>
            </w:r>
            <w:r w:rsidRPr="000E0901">
              <w:rPr>
                <w:rFonts w:ascii="Tahoma" w:hAnsi="Tahoma" w:cs="Tahoma"/>
                <w:b/>
                <w:i/>
                <w:iCs/>
                <w:sz w:val="20"/>
                <w:szCs w:val="20"/>
              </w:rPr>
              <w:t>ym</w:t>
            </w:r>
            <w:r w:rsidRPr="000E0901">
              <w:rPr>
                <w:rFonts w:ascii="Tahoma" w:hAnsi="Tahoma" w:cs="Tahoma"/>
                <w:bCs/>
                <w:i/>
                <w:iCs/>
                <w:strike/>
                <w:sz w:val="20"/>
                <w:szCs w:val="20"/>
              </w:rPr>
              <w:t>ej</w:t>
            </w:r>
            <w:proofErr w:type="spellEnd"/>
            <w:r w:rsidRPr="000E0901">
              <w:rPr>
                <w:rFonts w:ascii="Tahoma" w:hAnsi="Tahoma" w:cs="Tahoma"/>
                <w:bCs/>
                <w:i/>
                <w:iCs/>
                <w:strike/>
                <w:sz w:val="20"/>
                <w:szCs w:val="20"/>
              </w:rPr>
              <w:t xml:space="preserve"> </w:t>
            </w:r>
            <w:r w:rsidRPr="000E0901">
              <w:rPr>
                <w:rFonts w:ascii="Tahoma" w:hAnsi="Tahoma" w:cs="Tahoma"/>
                <w:bCs/>
                <w:i/>
                <w:iCs/>
                <w:sz w:val="20"/>
                <w:szCs w:val="20"/>
              </w:rPr>
              <w:t>mowa w ust. 1, może określić wykaz dokumentów potwierdzających dane zawarte w deklaracji o wysokości opłaty za gospodarowanie odpadami komunalnymi.</w:t>
            </w:r>
          </w:p>
          <w:p w14:paraId="73311E90" w14:textId="77777777" w:rsidR="00096CD1" w:rsidRPr="000E0901" w:rsidRDefault="00096CD1" w:rsidP="00096CD1">
            <w:pPr>
              <w:autoSpaceDE w:val="0"/>
              <w:autoSpaceDN w:val="0"/>
              <w:adjustRightInd w:val="0"/>
              <w:jc w:val="both"/>
              <w:rPr>
                <w:rFonts w:ascii="Tahoma" w:hAnsi="Tahoma" w:cs="Tahoma"/>
                <w:bCs/>
                <w:i/>
                <w:sz w:val="20"/>
                <w:szCs w:val="20"/>
              </w:rPr>
            </w:pPr>
          </w:p>
          <w:p w14:paraId="2DB825F0" w14:textId="3E6E6F0D" w:rsidR="00096CD1" w:rsidRPr="000E0901" w:rsidRDefault="00096CD1" w:rsidP="00096CD1">
            <w:pPr>
              <w:jc w:val="both"/>
              <w:rPr>
                <w:rFonts w:ascii="Tahoma" w:hAnsi="Tahoma" w:cs="Tahoma"/>
                <w:sz w:val="20"/>
                <w:szCs w:val="20"/>
              </w:rPr>
            </w:pPr>
            <w:r w:rsidRPr="000E0901">
              <w:rPr>
                <w:rFonts w:ascii="Tahoma" w:hAnsi="Tahoma" w:cs="Tahoma"/>
                <w:b/>
                <w:bCs/>
                <w:i/>
                <w:sz w:val="20"/>
                <w:szCs w:val="20"/>
              </w:rPr>
              <w:t xml:space="preserve">Ar. 4 a. </w:t>
            </w:r>
            <w:r w:rsidRPr="000E0901">
              <w:rPr>
                <w:rFonts w:ascii="Tahoma" w:hAnsi="Tahoma" w:cs="Tahoma"/>
                <w:b/>
                <w:i/>
                <w:iCs/>
                <w:sz w:val="20"/>
                <w:szCs w:val="20"/>
                <w:u w:val="single"/>
              </w:rPr>
              <w:t>Minister właściwy do spraw klimatu i środowiska wyda rozporządzenie w którym mowa w art. 6n ust. 1 w terminie 6 miesięcy od dnia wejścia w życie niniejszej ustawy.</w:t>
            </w:r>
          </w:p>
        </w:tc>
        <w:tc>
          <w:tcPr>
            <w:tcW w:w="1428" w:type="dxa"/>
          </w:tcPr>
          <w:p w14:paraId="0C94293B" w14:textId="77777777" w:rsidR="00096CD1" w:rsidRPr="000E0901" w:rsidRDefault="00096CD1" w:rsidP="00096CD1">
            <w:pPr>
              <w:jc w:val="both"/>
              <w:rPr>
                <w:rFonts w:ascii="Lato" w:hAnsi="Lato" w:cs="Times New Roman"/>
                <w:sz w:val="20"/>
                <w:szCs w:val="20"/>
              </w:rPr>
            </w:pPr>
          </w:p>
        </w:tc>
      </w:tr>
      <w:tr w:rsidR="008654EE" w:rsidRPr="000E0901" w14:paraId="1BF83BF2" w14:textId="77777777" w:rsidTr="009B5AD6">
        <w:tc>
          <w:tcPr>
            <w:tcW w:w="562" w:type="dxa"/>
          </w:tcPr>
          <w:p w14:paraId="5582678A" w14:textId="213203F6" w:rsidR="008654EE" w:rsidRPr="000E0901" w:rsidRDefault="008654EE" w:rsidP="008654EE">
            <w:pPr>
              <w:jc w:val="center"/>
              <w:rPr>
                <w:rFonts w:ascii="Lato" w:hAnsi="Lato" w:cs="Times New Roman"/>
                <w:sz w:val="20"/>
                <w:szCs w:val="20"/>
              </w:rPr>
            </w:pPr>
            <w:r>
              <w:rPr>
                <w:rFonts w:ascii="Lato" w:hAnsi="Lato" w:cs="Times New Roman"/>
                <w:sz w:val="20"/>
                <w:szCs w:val="20"/>
              </w:rPr>
              <w:t>9.</w:t>
            </w:r>
          </w:p>
        </w:tc>
        <w:tc>
          <w:tcPr>
            <w:tcW w:w="1701" w:type="dxa"/>
          </w:tcPr>
          <w:p w14:paraId="06CAEC3B" w14:textId="66FD5A5B" w:rsidR="008654EE" w:rsidRPr="000E0901" w:rsidRDefault="008654EE" w:rsidP="008654EE">
            <w:pPr>
              <w:jc w:val="both"/>
              <w:rPr>
                <w:rFonts w:ascii="Lato" w:hAnsi="Lato" w:cs="Times New Roman"/>
                <w:sz w:val="20"/>
                <w:szCs w:val="20"/>
              </w:rPr>
            </w:pPr>
            <w:r w:rsidRPr="000E0901">
              <w:rPr>
                <w:rFonts w:ascii="Lato" w:hAnsi="Lato" w:cs="Times New Roman"/>
                <w:sz w:val="20"/>
                <w:szCs w:val="20"/>
              </w:rPr>
              <w:t>Konfederacja Lewiatan</w:t>
            </w:r>
          </w:p>
        </w:tc>
        <w:tc>
          <w:tcPr>
            <w:tcW w:w="2694" w:type="dxa"/>
          </w:tcPr>
          <w:p w14:paraId="31D557C5" w14:textId="20803D36" w:rsidR="008654EE" w:rsidRPr="000E0901" w:rsidRDefault="008654EE" w:rsidP="008654EE">
            <w:pPr>
              <w:jc w:val="both"/>
              <w:rPr>
                <w:rFonts w:ascii="Tahoma" w:hAnsi="Tahoma"/>
                <w:sz w:val="20"/>
                <w:szCs w:val="20"/>
              </w:rPr>
            </w:pPr>
            <w:r w:rsidRPr="000E0901">
              <w:rPr>
                <w:rFonts w:ascii="Tahoma" w:hAnsi="Tahoma"/>
                <w:sz w:val="20"/>
                <w:szCs w:val="20"/>
              </w:rPr>
              <w:t xml:space="preserve">Art. 9g </w:t>
            </w:r>
          </w:p>
        </w:tc>
        <w:tc>
          <w:tcPr>
            <w:tcW w:w="5103" w:type="dxa"/>
          </w:tcPr>
          <w:p w14:paraId="72B90686" w14:textId="77777777" w:rsidR="008654EE" w:rsidRPr="000E0901" w:rsidRDefault="008654EE" w:rsidP="008654EE">
            <w:pPr>
              <w:pStyle w:val="pf0"/>
              <w:jc w:val="both"/>
              <w:rPr>
                <w:rFonts w:ascii="Tahoma" w:eastAsiaTheme="minorHAnsi" w:hAnsi="Tahoma" w:cstheme="minorBidi"/>
                <w:kern w:val="2"/>
                <w:sz w:val="20"/>
                <w:szCs w:val="20"/>
                <w:lang w:val="pl-PL" w:eastAsia="en-US"/>
                <w14:ligatures w14:val="standardContextual"/>
              </w:rPr>
            </w:pPr>
            <w:r w:rsidRPr="000E0901">
              <w:rPr>
                <w:rFonts w:ascii="Tahoma" w:eastAsiaTheme="minorHAnsi" w:hAnsi="Tahoma" w:cstheme="minorBidi"/>
                <w:kern w:val="2"/>
                <w:sz w:val="20"/>
                <w:szCs w:val="20"/>
                <w:lang w:val="pl-PL" w:eastAsia="en-US"/>
                <w14:ligatures w14:val="standardContextual"/>
              </w:rPr>
              <w:t xml:space="preserve">Wnosimy o obniżenie celów osiągnięcia poziomów przygotowania do ponownego użycia i recyklingu </w:t>
            </w:r>
            <w:r w:rsidRPr="000E0901">
              <w:rPr>
                <w:rFonts w:ascii="Tahoma" w:eastAsiaTheme="minorHAnsi" w:hAnsi="Tahoma" w:cstheme="minorBidi"/>
                <w:kern w:val="2"/>
                <w:sz w:val="20"/>
                <w:szCs w:val="20"/>
                <w:lang w:val="pl-PL" w:eastAsia="en-US"/>
                <w14:ligatures w14:val="standardContextual"/>
              </w:rPr>
              <w:lastRenderedPageBreak/>
              <w:t xml:space="preserve">odpadów komunalnych odbieranych od właścicieli nieruchomości niezamieszkałych w ramach umowy z właścicielem nieruchomości, </w:t>
            </w:r>
          </w:p>
          <w:p w14:paraId="6094ED37" w14:textId="3F3C2E94" w:rsidR="008654EE" w:rsidRPr="000E0901" w:rsidRDefault="008654EE" w:rsidP="008654EE">
            <w:pPr>
              <w:jc w:val="both"/>
              <w:rPr>
                <w:rFonts w:ascii="Tahoma" w:hAnsi="Tahoma"/>
                <w:sz w:val="20"/>
                <w:szCs w:val="20"/>
              </w:rPr>
            </w:pPr>
            <w:r w:rsidRPr="000E0901">
              <w:rPr>
                <w:rFonts w:ascii="Tahoma" w:hAnsi="Tahoma"/>
                <w:kern w:val="2"/>
                <w:sz w:val="20"/>
                <w:szCs w:val="20"/>
                <w14:ligatures w14:val="standardContextual"/>
              </w:rPr>
              <w:t>W związku z wejściem w życie sytemu kaucyjnego i prognozowanym zmniejszeniem się strumienia odpadów selektywnie zbieranych oraz zróżnicowaniem sposobu obliczania osiągniętych poziomów przez gminę względem osiąganych przez podmioty odbierające odpady na podstawie umowy z właścicielem nieruchomości. Gminy mogą zaliczać przydomowe kompostowniki, podmioty odbierające odpady na podstawie umowy z właścicielami nieruchomości nie mają takiej możliwości, a bioodpady stanowią często ponad 30% wytwarzanego strumienia odpadów komunalnych.</w:t>
            </w:r>
            <w:r w:rsidRPr="000E0901">
              <w:rPr>
                <w:rFonts w:ascii="Tahoma" w:hAnsi="Tahoma"/>
                <w:kern w:val="2"/>
                <w:sz w:val="20"/>
                <w:szCs w:val="20"/>
                <w14:ligatures w14:val="standardContextual"/>
              </w:rPr>
              <w:br/>
              <w:t xml:space="preserve">Zaproponowane wielkości w brzmieniu przepisu uwzględniają fakt dążenia do wielokrotności opakowań i trwałości oraz nadawania się do naprawy rzeczy użytkowych. W związku z tym, w przyszłości odpadami będą w mniejszym udziale przedmioty i substancje nadające się do przygotowania do ponownego użycia i recyklingu. Nie można zatem oczekiwać równoczesnego wzrostu ponownego używania, trwałości i recyklingu. </w:t>
            </w:r>
          </w:p>
        </w:tc>
        <w:tc>
          <w:tcPr>
            <w:tcW w:w="4252" w:type="dxa"/>
          </w:tcPr>
          <w:p w14:paraId="02D3ACD3" w14:textId="77777777" w:rsidR="008654EE" w:rsidRPr="000E0901" w:rsidRDefault="008654EE" w:rsidP="008654EE">
            <w:pPr>
              <w:jc w:val="both"/>
              <w:rPr>
                <w:rFonts w:ascii="Tahoma" w:hAnsi="Tahoma"/>
                <w:sz w:val="20"/>
                <w:szCs w:val="20"/>
              </w:rPr>
            </w:pPr>
            <w:r w:rsidRPr="000E0901">
              <w:rPr>
                <w:rFonts w:ascii="Tahoma" w:hAnsi="Tahoma"/>
                <w:sz w:val="20"/>
                <w:szCs w:val="20"/>
              </w:rPr>
              <w:lastRenderedPageBreak/>
              <w:t>Przepisowi Art. 9g ust 1 nadać brzmienie:</w:t>
            </w:r>
          </w:p>
          <w:p w14:paraId="0D99D1F4" w14:textId="77777777" w:rsidR="008654EE" w:rsidRPr="000E0901" w:rsidRDefault="008654EE" w:rsidP="008654EE">
            <w:pPr>
              <w:jc w:val="both"/>
              <w:rPr>
                <w:rFonts w:ascii="Tahoma" w:hAnsi="Tahoma"/>
                <w:sz w:val="20"/>
                <w:szCs w:val="20"/>
              </w:rPr>
            </w:pPr>
            <w:r w:rsidRPr="000E0901">
              <w:rPr>
                <w:rFonts w:ascii="Tahoma" w:hAnsi="Tahoma"/>
                <w:sz w:val="20"/>
                <w:szCs w:val="20"/>
              </w:rPr>
              <w:lastRenderedPageBreak/>
              <w:t>1 przygotowania do ponownego użycia i recyklingu określonych na poziomie:</w:t>
            </w:r>
            <w:r w:rsidRPr="000E0901">
              <w:rPr>
                <w:rFonts w:ascii="Tahoma" w:hAnsi="Tahoma"/>
                <w:sz w:val="20"/>
                <w:szCs w:val="20"/>
              </w:rPr>
              <w:br/>
              <w:t>1) 35% wagowo - za lata 2026 -2030;</w:t>
            </w:r>
          </w:p>
          <w:p w14:paraId="61183311" w14:textId="77777777" w:rsidR="008654EE" w:rsidRPr="000E0901" w:rsidRDefault="008654EE" w:rsidP="008654EE">
            <w:pPr>
              <w:jc w:val="both"/>
              <w:rPr>
                <w:rFonts w:ascii="Tahoma" w:hAnsi="Tahoma"/>
                <w:sz w:val="20"/>
                <w:szCs w:val="20"/>
              </w:rPr>
            </w:pPr>
            <w:r w:rsidRPr="000E0901">
              <w:rPr>
                <w:rFonts w:ascii="Tahoma" w:hAnsi="Tahoma"/>
                <w:sz w:val="20"/>
                <w:szCs w:val="20"/>
              </w:rPr>
              <w:t>2) 30% wagowo - za rok 2035 i za każdy kolejny rok;</w:t>
            </w:r>
          </w:p>
          <w:p w14:paraId="4C5D5037" w14:textId="77777777" w:rsidR="008654EE" w:rsidRPr="000E0901" w:rsidRDefault="008654EE" w:rsidP="008654EE">
            <w:pPr>
              <w:jc w:val="both"/>
              <w:rPr>
                <w:rFonts w:ascii="Tahoma" w:hAnsi="Tahoma"/>
                <w:sz w:val="20"/>
                <w:szCs w:val="20"/>
              </w:rPr>
            </w:pPr>
          </w:p>
        </w:tc>
        <w:tc>
          <w:tcPr>
            <w:tcW w:w="1428" w:type="dxa"/>
          </w:tcPr>
          <w:p w14:paraId="32DB23C6" w14:textId="77777777" w:rsidR="008654EE" w:rsidRPr="000E0901" w:rsidRDefault="008654EE" w:rsidP="008654EE">
            <w:pPr>
              <w:jc w:val="both"/>
              <w:rPr>
                <w:rFonts w:ascii="Lato" w:hAnsi="Lato" w:cs="Times New Roman"/>
                <w:sz w:val="20"/>
                <w:szCs w:val="20"/>
              </w:rPr>
            </w:pPr>
          </w:p>
        </w:tc>
      </w:tr>
      <w:tr w:rsidR="008654EE" w:rsidRPr="000E0901" w14:paraId="3B348ADA" w14:textId="77777777" w:rsidTr="009B5AD6">
        <w:tc>
          <w:tcPr>
            <w:tcW w:w="562" w:type="dxa"/>
          </w:tcPr>
          <w:p w14:paraId="0F1B2C7B" w14:textId="279CD704" w:rsidR="008654EE" w:rsidRPr="000E0901" w:rsidRDefault="008654EE" w:rsidP="008654EE">
            <w:pPr>
              <w:jc w:val="center"/>
              <w:rPr>
                <w:rFonts w:ascii="Lato" w:hAnsi="Lato" w:cs="Times New Roman"/>
                <w:sz w:val="20"/>
                <w:szCs w:val="20"/>
              </w:rPr>
            </w:pPr>
            <w:r w:rsidRPr="000E0901">
              <w:rPr>
                <w:rFonts w:ascii="Lato" w:hAnsi="Lato" w:cs="Times New Roman"/>
                <w:sz w:val="20"/>
                <w:szCs w:val="20"/>
              </w:rPr>
              <w:t>10.</w:t>
            </w:r>
          </w:p>
        </w:tc>
        <w:tc>
          <w:tcPr>
            <w:tcW w:w="1701" w:type="dxa"/>
          </w:tcPr>
          <w:p w14:paraId="208630AB" w14:textId="7C1BEB98" w:rsidR="008654EE" w:rsidRPr="000E0901" w:rsidRDefault="008654EE" w:rsidP="008654EE">
            <w:pPr>
              <w:jc w:val="both"/>
              <w:rPr>
                <w:rFonts w:ascii="Lato" w:hAnsi="Lato" w:cs="Times New Roman"/>
                <w:sz w:val="20"/>
                <w:szCs w:val="20"/>
              </w:rPr>
            </w:pPr>
            <w:r w:rsidRPr="000E0901">
              <w:rPr>
                <w:rFonts w:ascii="Lato" w:hAnsi="Lato" w:cs="Times New Roman"/>
                <w:sz w:val="20"/>
                <w:szCs w:val="20"/>
              </w:rPr>
              <w:t>Konfederacja Lewiatan</w:t>
            </w:r>
          </w:p>
        </w:tc>
        <w:tc>
          <w:tcPr>
            <w:tcW w:w="2694" w:type="dxa"/>
          </w:tcPr>
          <w:p w14:paraId="5705DC9F" w14:textId="69BFB066" w:rsidR="008654EE" w:rsidRPr="000E0901" w:rsidRDefault="008654EE" w:rsidP="008654EE">
            <w:pPr>
              <w:jc w:val="both"/>
              <w:rPr>
                <w:rFonts w:ascii="Tahoma" w:hAnsi="Tahoma"/>
                <w:sz w:val="20"/>
                <w:szCs w:val="20"/>
              </w:rPr>
            </w:pPr>
            <w:r w:rsidRPr="000E0901">
              <w:rPr>
                <w:rFonts w:ascii="Tahoma" w:hAnsi="Tahoma"/>
                <w:sz w:val="20"/>
                <w:szCs w:val="20"/>
              </w:rPr>
              <w:t> Art. 9taa</w:t>
            </w:r>
          </w:p>
        </w:tc>
        <w:tc>
          <w:tcPr>
            <w:tcW w:w="5103" w:type="dxa"/>
          </w:tcPr>
          <w:p w14:paraId="16EDAB10" w14:textId="79DF25C6" w:rsidR="008654EE" w:rsidRPr="000E0901" w:rsidRDefault="008654EE" w:rsidP="008654EE">
            <w:pPr>
              <w:jc w:val="both"/>
              <w:rPr>
                <w:rFonts w:ascii="Tahoma" w:hAnsi="Tahoma"/>
                <w:sz w:val="20"/>
                <w:szCs w:val="20"/>
              </w:rPr>
            </w:pPr>
            <w:r w:rsidRPr="000E0901">
              <w:rPr>
                <w:rFonts w:ascii="Tahoma" w:hAnsi="Tahoma"/>
                <w:sz w:val="20"/>
                <w:szCs w:val="20"/>
              </w:rPr>
              <w:t>Należy dodać do Art. 9taa wyjątek od zasady dwuletniego terminu na dokonanie korekty sprawozdań. Jeśli organ kontrolny wszcznie postępowanie np. po 3 latach od złożenia sprawozdania i w jego trakcie stwierdzi, że zawiera ono błędne, zaniżone lub nieprawdziwe dane, które skutkują nałożeniem na podmiot kary administracyjnej lub naliczeniem zaległych opłat – nie będzie już prawnej możliwości skorygowania tego sprawozdania w celu zmniejszenia lub uniknięcia kary. Podmiot zostanie obciążony konsekwencjami na podstawie pierwotnie złożonego, błędnego dokumentu.</w:t>
            </w:r>
          </w:p>
        </w:tc>
        <w:tc>
          <w:tcPr>
            <w:tcW w:w="4252" w:type="dxa"/>
          </w:tcPr>
          <w:p w14:paraId="36C83C7C" w14:textId="00B90C47" w:rsidR="008654EE" w:rsidRPr="000E0901" w:rsidRDefault="008654EE" w:rsidP="008654EE">
            <w:pPr>
              <w:jc w:val="both"/>
              <w:rPr>
                <w:rFonts w:ascii="Tahoma" w:hAnsi="Tahoma"/>
                <w:sz w:val="20"/>
                <w:szCs w:val="20"/>
              </w:rPr>
            </w:pPr>
            <w:r w:rsidRPr="000E0901">
              <w:rPr>
                <w:rFonts w:ascii="Tahoma" w:hAnsi="Tahoma"/>
                <w:sz w:val="20"/>
                <w:szCs w:val="20"/>
              </w:rPr>
              <w:t>„Nie dokonuje się korekty sprawozdań, o których mowa w art. 9n ust. 1, art. 9na ust. 1, art. 9nb ust. 1, art. 9o ust. 1, art. 9q ust. 1 i art. 9s ust. 1, po upływie 2 lat od terminu ich przekazania określonego odpowiednio w art. 9n ust. 2, art. 9na ust. 2, art. 9nb ust. 2, art. 9o ust. 2, art. 9q ust. 2 i art. 9s ust. 2, chyba że konieczność dokonania korekty wynika ze stwierdzeń lub ustaleń dokonanych w toku prowadzonego przez organ kontrolny postępowania kontrolnego lub administracyjnego, o ile korekta jest składana w terminie wyznaczonym przez ten organ.”</w:t>
            </w:r>
          </w:p>
        </w:tc>
        <w:tc>
          <w:tcPr>
            <w:tcW w:w="1428" w:type="dxa"/>
          </w:tcPr>
          <w:p w14:paraId="3AC53950" w14:textId="77777777" w:rsidR="008654EE" w:rsidRPr="000E0901" w:rsidRDefault="008654EE" w:rsidP="008654EE">
            <w:pPr>
              <w:jc w:val="both"/>
              <w:rPr>
                <w:rFonts w:ascii="Lato" w:hAnsi="Lato" w:cs="Times New Roman"/>
                <w:sz w:val="20"/>
                <w:szCs w:val="20"/>
              </w:rPr>
            </w:pPr>
          </w:p>
        </w:tc>
      </w:tr>
      <w:tr w:rsidR="008654EE" w:rsidRPr="000E0901" w14:paraId="7064E5E6" w14:textId="77777777" w:rsidTr="009B5AD6">
        <w:tc>
          <w:tcPr>
            <w:tcW w:w="562" w:type="dxa"/>
          </w:tcPr>
          <w:p w14:paraId="7FA04B42" w14:textId="6AF84685" w:rsidR="008654EE" w:rsidRPr="000E0901" w:rsidRDefault="008654EE" w:rsidP="008654EE">
            <w:pPr>
              <w:jc w:val="center"/>
              <w:rPr>
                <w:rFonts w:ascii="Lato" w:hAnsi="Lato" w:cs="Times New Roman"/>
                <w:sz w:val="20"/>
                <w:szCs w:val="20"/>
              </w:rPr>
            </w:pPr>
            <w:r w:rsidRPr="000E0901">
              <w:rPr>
                <w:rFonts w:ascii="Lato" w:hAnsi="Lato" w:cs="Times New Roman"/>
                <w:sz w:val="20"/>
                <w:szCs w:val="20"/>
              </w:rPr>
              <w:t>11.</w:t>
            </w:r>
          </w:p>
        </w:tc>
        <w:tc>
          <w:tcPr>
            <w:tcW w:w="1701" w:type="dxa"/>
          </w:tcPr>
          <w:p w14:paraId="437424D4" w14:textId="10DFA18C" w:rsidR="008654EE" w:rsidRPr="000E0901" w:rsidRDefault="008654EE" w:rsidP="008654EE">
            <w:pPr>
              <w:jc w:val="both"/>
              <w:rPr>
                <w:rFonts w:ascii="Lato" w:hAnsi="Lato" w:cs="Times New Roman"/>
                <w:sz w:val="20"/>
                <w:szCs w:val="20"/>
              </w:rPr>
            </w:pPr>
            <w:r w:rsidRPr="000E0901">
              <w:rPr>
                <w:rFonts w:ascii="Lato" w:hAnsi="Lato" w:cs="Times New Roman"/>
                <w:sz w:val="20"/>
                <w:szCs w:val="20"/>
              </w:rPr>
              <w:t>Konfederacja Lewiatan</w:t>
            </w:r>
          </w:p>
        </w:tc>
        <w:tc>
          <w:tcPr>
            <w:tcW w:w="2694" w:type="dxa"/>
          </w:tcPr>
          <w:p w14:paraId="59B5AA9C" w14:textId="69D49E0A" w:rsidR="008654EE" w:rsidRPr="000E0901" w:rsidRDefault="008654EE" w:rsidP="008654EE">
            <w:pPr>
              <w:jc w:val="both"/>
              <w:rPr>
                <w:rFonts w:ascii="Tahoma" w:hAnsi="Tahoma"/>
                <w:sz w:val="20"/>
                <w:szCs w:val="20"/>
              </w:rPr>
            </w:pPr>
            <w:r w:rsidRPr="000E0901">
              <w:rPr>
                <w:rFonts w:ascii="Tahoma" w:hAnsi="Tahoma"/>
                <w:sz w:val="20"/>
                <w:szCs w:val="20"/>
              </w:rPr>
              <w:t xml:space="preserve">Art. 9oa ust.5 </w:t>
            </w:r>
          </w:p>
        </w:tc>
        <w:tc>
          <w:tcPr>
            <w:tcW w:w="5103" w:type="dxa"/>
          </w:tcPr>
          <w:p w14:paraId="1CBFDEA5" w14:textId="77777777" w:rsidR="008654EE" w:rsidRPr="000E0901" w:rsidRDefault="008654EE" w:rsidP="008654EE">
            <w:pPr>
              <w:jc w:val="both"/>
              <w:rPr>
                <w:rFonts w:ascii="Tahoma" w:hAnsi="Tahoma"/>
                <w:sz w:val="20"/>
                <w:szCs w:val="20"/>
              </w:rPr>
            </w:pPr>
            <w:r w:rsidRPr="000E0901">
              <w:rPr>
                <w:rFonts w:ascii="Tahoma" w:hAnsi="Tahoma"/>
                <w:sz w:val="20"/>
                <w:szCs w:val="20"/>
              </w:rPr>
              <w:t xml:space="preserve">W proponowanym zapisie, wniosek o informację powinien dotyczyć okresu minionego, nieuwzględniające miesiąca, w którym został złożony </w:t>
            </w:r>
            <w:r w:rsidRPr="000E0901">
              <w:rPr>
                <w:rFonts w:ascii="Tahoma" w:hAnsi="Tahoma"/>
                <w:sz w:val="20"/>
                <w:szCs w:val="20"/>
              </w:rPr>
              <w:lastRenderedPageBreak/>
              <w:t>wniosek (np. wniosek złożony 15 grudnia za okres całego roku, tj. od 01.01.-31.12. danego roku nie będzie możliwy do przygotowania w ustawowym terminie).</w:t>
            </w:r>
          </w:p>
          <w:p w14:paraId="295F1B75" w14:textId="07CD20D5" w:rsidR="008654EE" w:rsidRPr="000E0901" w:rsidRDefault="008654EE" w:rsidP="008654EE">
            <w:pPr>
              <w:jc w:val="both"/>
              <w:rPr>
                <w:rFonts w:ascii="Tahoma" w:hAnsi="Tahoma"/>
                <w:sz w:val="20"/>
                <w:szCs w:val="20"/>
              </w:rPr>
            </w:pPr>
            <w:r w:rsidRPr="000E0901">
              <w:rPr>
                <w:rFonts w:ascii="Tahoma" w:hAnsi="Tahoma"/>
                <w:sz w:val="20"/>
                <w:szCs w:val="20"/>
              </w:rPr>
              <w:t>W przypadku braku ograniczenia ilości składanych wniosków, może to spowodować nadmierną i nieuzasadnioną ilość przedmiotowych wniosków, co wpłynie na pracę instalacji.</w:t>
            </w:r>
          </w:p>
        </w:tc>
        <w:tc>
          <w:tcPr>
            <w:tcW w:w="4252" w:type="dxa"/>
          </w:tcPr>
          <w:p w14:paraId="40AD29DA" w14:textId="63714A64" w:rsidR="008654EE" w:rsidRPr="000E0901" w:rsidRDefault="008654EE" w:rsidP="008654EE">
            <w:pPr>
              <w:jc w:val="both"/>
              <w:rPr>
                <w:rFonts w:ascii="Tahoma" w:hAnsi="Tahoma"/>
                <w:sz w:val="20"/>
                <w:szCs w:val="20"/>
              </w:rPr>
            </w:pPr>
            <w:r w:rsidRPr="000E0901">
              <w:rPr>
                <w:rFonts w:ascii="Tahoma" w:hAnsi="Tahoma"/>
                <w:sz w:val="20"/>
                <w:szCs w:val="20"/>
              </w:rPr>
              <w:lastRenderedPageBreak/>
              <w:t xml:space="preserve">„Informacje, o których mowa w ust. 1 i 6, są przekazywane na wniosek niezwłocznie, nie później niż w terminie 14 dni od jego złożenia </w:t>
            </w:r>
            <w:r w:rsidRPr="000E0901">
              <w:rPr>
                <w:rFonts w:ascii="Tahoma" w:hAnsi="Tahoma"/>
                <w:sz w:val="20"/>
                <w:szCs w:val="20"/>
              </w:rPr>
              <w:lastRenderedPageBreak/>
              <w:t>za okres wskazany we wniosku, jednak nieobejmujący miesiąca, w którym został on złożony. Wniosek nie może być składany częściej niż dwa razy do roku.”</w:t>
            </w:r>
          </w:p>
        </w:tc>
        <w:tc>
          <w:tcPr>
            <w:tcW w:w="1428" w:type="dxa"/>
          </w:tcPr>
          <w:p w14:paraId="4E2B5B93" w14:textId="77777777" w:rsidR="008654EE" w:rsidRPr="000E0901" w:rsidRDefault="008654EE" w:rsidP="008654EE">
            <w:pPr>
              <w:jc w:val="both"/>
              <w:rPr>
                <w:rFonts w:ascii="Lato" w:hAnsi="Lato" w:cs="Times New Roman"/>
                <w:sz w:val="20"/>
                <w:szCs w:val="20"/>
              </w:rPr>
            </w:pPr>
          </w:p>
        </w:tc>
      </w:tr>
      <w:tr w:rsidR="008654EE" w:rsidRPr="000E0901" w14:paraId="5650A653" w14:textId="77777777" w:rsidTr="009B5AD6">
        <w:tc>
          <w:tcPr>
            <w:tcW w:w="562" w:type="dxa"/>
          </w:tcPr>
          <w:p w14:paraId="24AB49F1" w14:textId="1D1C15F4" w:rsidR="008654EE" w:rsidRPr="000E0901" w:rsidRDefault="008654EE" w:rsidP="008654EE">
            <w:pPr>
              <w:jc w:val="center"/>
              <w:rPr>
                <w:rFonts w:ascii="Lato" w:hAnsi="Lato" w:cs="Times New Roman"/>
                <w:sz w:val="20"/>
                <w:szCs w:val="20"/>
              </w:rPr>
            </w:pPr>
            <w:r w:rsidRPr="000E0901">
              <w:rPr>
                <w:rFonts w:ascii="Lato" w:hAnsi="Lato" w:cs="Times New Roman"/>
                <w:sz w:val="20"/>
                <w:szCs w:val="20"/>
              </w:rPr>
              <w:t>12.</w:t>
            </w:r>
          </w:p>
        </w:tc>
        <w:tc>
          <w:tcPr>
            <w:tcW w:w="1701" w:type="dxa"/>
          </w:tcPr>
          <w:p w14:paraId="5A4073B2" w14:textId="3E8BF7E2" w:rsidR="008654EE" w:rsidRPr="000E0901" w:rsidRDefault="008654EE" w:rsidP="008654EE">
            <w:pPr>
              <w:jc w:val="both"/>
              <w:rPr>
                <w:rFonts w:ascii="Lato" w:hAnsi="Lato" w:cs="Times New Roman"/>
                <w:sz w:val="20"/>
                <w:szCs w:val="20"/>
              </w:rPr>
            </w:pPr>
            <w:r w:rsidRPr="000E0901">
              <w:rPr>
                <w:rFonts w:ascii="Lato" w:hAnsi="Lato" w:cs="Times New Roman"/>
                <w:sz w:val="20"/>
                <w:szCs w:val="20"/>
              </w:rPr>
              <w:t>Konfederacja Lewiatan</w:t>
            </w:r>
          </w:p>
        </w:tc>
        <w:tc>
          <w:tcPr>
            <w:tcW w:w="2694" w:type="dxa"/>
          </w:tcPr>
          <w:p w14:paraId="75A36900" w14:textId="4C697BE4" w:rsidR="008654EE" w:rsidRPr="000E0901" w:rsidRDefault="008654EE" w:rsidP="008654EE">
            <w:pPr>
              <w:jc w:val="both"/>
              <w:rPr>
                <w:rFonts w:ascii="Tahoma" w:hAnsi="Tahoma"/>
                <w:sz w:val="20"/>
                <w:szCs w:val="20"/>
              </w:rPr>
            </w:pPr>
            <w:r w:rsidRPr="000E0901">
              <w:rPr>
                <w:rFonts w:ascii="Tahoma" w:hAnsi="Tahoma"/>
                <w:sz w:val="20"/>
                <w:szCs w:val="20"/>
              </w:rPr>
              <w:t>Art. 9nb</w:t>
            </w:r>
          </w:p>
        </w:tc>
        <w:tc>
          <w:tcPr>
            <w:tcW w:w="5103" w:type="dxa"/>
          </w:tcPr>
          <w:p w14:paraId="352E5A0C" w14:textId="77777777" w:rsidR="008654EE" w:rsidRPr="000E0901" w:rsidRDefault="008654EE" w:rsidP="008654EE">
            <w:pPr>
              <w:autoSpaceDE w:val="0"/>
              <w:autoSpaceDN w:val="0"/>
              <w:adjustRightInd w:val="0"/>
              <w:jc w:val="both"/>
              <w:rPr>
                <w:rFonts w:ascii="Tahoma" w:hAnsi="Tahoma" w:cs="Tahoma"/>
                <w:sz w:val="20"/>
                <w:szCs w:val="20"/>
              </w:rPr>
            </w:pPr>
            <w:r w:rsidRPr="000E0901">
              <w:rPr>
                <w:rFonts w:ascii="Tahoma" w:hAnsi="Tahoma" w:cs="Tahoma"/>
                <w:sz w:val="20"/>
                <w:szCs w:val="20"/>
              </w:rPr>
              <w:t>Wnosimy o wycofanie propozycji dodania ust. 2a w art. 9nb ustawy o utrzymaniu czystości i porządku w gminach (</w:t>
            </w:r>
            <w:proofErr w:type="spellStart"/>
            <w:r w:rsidRPr="000E0901">
              <w:rPr>
                <w:rFonts w:ascii="Tahoma" w:hAnsi="Tahoma" w:cs="Tahoma"/>
                <w:sz w:val="20"/>
                <w:szCs w:val="20"/>
              </w:rPr>
              <w:t>ucipg</w:t>
            </w:r>
            <w:proofErr w:type="spellEnd"/>
            <w:r w:rsidRPr="000E0901">
              <w:rPr>
                <w:rFonts w:ascii="Tahoma" w:hAnsi="Tahoma" w:cs="Tahoma"/>
                <w:sz w:val="20"/>
                <w:szCs w:val="20"/>
              </w:rPr>
              <w:t>). Proponowany przepis nakłada na podmioty zbierające odpady obowiązek sprawozdawczy, który w praktyce jest niemożliwy do wykonania i opiera się na błędnym założeniu co do możliwości pozyskania danych o pochodzeniu odpadów.</w:t>
            </w:r>
          </w:p>
          <w:p w14:paraId="4E4147A4" w14:textId="77777777" w:rsidR="008654EE" w:rsidRPr="000E0901" w:rsidRDefault="008654EE" w:rsidP="008654EE">
            <w:pPr>
              <w:autoSpaceDE w:val="0"/>
              <w:autoSpaceDN w:val="0"/>
              <w:adjustRightInd w:val="0"/>
              <w:jc w:val="both"/>
              <w:rPr>
                <w:rFonts w:ascii="Tahoma" w:hAnsi="Tahoma" w:cs="Tahoma"/>
                <w:sz w:val="20"/>
                <w:szCs w:val="20"/>
              </w:rPr>
            </w:pPr>
            <w:r w:rsidRPr="000E0901">
              <w:rPr>
                <w:rFonts w:ascii="Tahoma" w:hAnsi="Tahoma" w:cs="Tahoma"/>
                <w:sz w:val="20"/>
                <w:szCs w:val="20"/>
              </w:rPr>
              <w:t xml:space="preserve">1. </w:t>
            </w:r>
            <w:r w:rsidRPr="000E0901">
              <w:rPr>
                <w:rFonts w:ascii="Tahoma" w:hAnsi="Tahoma" w:cs="Tahoma"/>
                <w:b/>
                <w:bCs/>
                <w:sz w:val="20"/>
                <w:szCs w:val="20"/>
              </w:rPr>
              <w:t>Brak możliwości weryfikacji pochodzenia odpadu -</w:t>
            </w:r>
          </w:p>
          <w:p w14:paraId="39662AC8" w14:textId="77777777" w:rsidR="008654EE" w:rsidRPr="000E0901" w:rsidRDefault="008654EE" w:rsidP="008654EE">
            <w:pPr>
              <w:autoSpaceDE w:val="0"/>
              <w:autoSpaceDN w:val="0"/>
              <w:adjustRightInd w:val="0"/>
              <w:jc w:val="both"/>
              <w:rPr>
                <w:rFonts w:ascii="Tahoma" w:hAnsi="Tahoma" w:cs="Tahoma"/>
                <w:sz w:val="20"/>
                <w:szCs w:val="20"/>
              </w:rPr>
            </w:pPr>
            <w:r w:rsidRPr="000E0901">
              <w:rPr>
                <w:rFonts w:ascii="Tahoma" w:hAnsi="Tahoma" w:cs="Tahoma"/>
                <w:sz w:val="20"/>
                <w:szCs w:val="20"/>
              </w:rPr>
              <w:t>Proponowany przepis zakłada, że podmiot zbierający (dalej: "Zbierający") posiada wiedzę na temat tego, z terenu "więcej niż jednej gminy" pochodzą zebrane przez niego odpady. W rzeczywistości Zbierający nie ma żadnych podstaw prawnych ani faktycznych możliwości, aby taką informację ustalić. Problem jest szczególnie widoczny w przypadku zbierania odpadów komunalnych (np. zużytego sprzętu elektrycznego i elektronicznego (</w:t>
            </w:r>
            <w:proofErr w:type="spellStart"/>
            <w:r w:rsidRPr="000E0901">
              <w:rPr>
                <w:rFonts w:ascii="Tahoma" w:hAnsi="Tahoma" w:cs="Tahoma"/>
                <w:sz w:val="20"/>
                <w:szCs w:val="20"/>
              </w:rPr>
              <w:t>ZSEiE</w:t>
            </w:r>
            <w:proofErr w:type="spellEnd"/>
            <w:r w:rsidRPr="000E0901">
              <w:rPr>
                <w:rFonts w:ascii="Tahoma" w:hAnsi="Tahoma" w:cs="Tahoma"/>
                <w:sz w:val="20"/>
                <w:szCs w:val="20"/>
              </w:rPr>
              <w:t>) czy baterii) od tzw. nieprofesjonalnych punktów zbierania. Przykład praktyczny (</w:t>
            </w:r>
            <w:proofErr w:type="spellStart"/>
            <w:r w:rsidRPr="000E0901">
              <w:rPr>
                <w:rFonts w:ascii="Tahoma" w:hAnsi="Tahoma" w:cs="Tahoma"/>
                <w:sz w:val="20"/>
                <w:szCs w:val="20"/>
              </w:rPr>
              <w:t>ZSEiE</w:t>
            </w:r>
            <w:proofErr w:type="spellEnd"/>
            <w:r w:rsidRPr="000E0901">
              <w:rPr>
                <w:rFonts w:ascii="Tahoma" w:hAnsi="Tahoma" w:cs="Tahoma"/>
                <w:sz w:val="20"/>
                <w:szCs w:val="20"/>
              </w:rPr>
              <w:t xml:space="preserve"> i baterie w handlu):</w:t>
            </w:r>
          </w:p>
          <w:p w14:paraId="1F840A15" w14:textId="77777777" w:rsidR="008654EE" w:rsidRPr="000E0901" w:rsidRDefault="008654EE" w:rsidP="008654EE">
            <w:pPr>
              <w:autoSpaceDE w:val="0"/>
              <w:autoSpaceDN w:val="0"/>
              <w:adjustRightInd w:val="0"/>
              <w:jc w:val="both"/>
              <w:rPr>
                <w:rFonts w:ascii="Tahoma" w:hAnsi="Tahoma" w:cs="Tahoma"/>
                <w:sz w:val="20"/>
                <w:szCs w:val="20"/>
              </w:rPr>
            </w:pPr>
            <w:r w:rsidRPr="000E0901">
              <w:rPr>
                <w:rFonts w:ascii="Tahoma" w:hAnsi="Tahoma" w:cs="Tahoma"/>
                <w:sz w:val="20"/>
                <w:szCs w:val="20"/>
              </w:rPr>
              <w:t xml:space="preserve">- Sklep - ustawia w swojej placówce pojemniki na zużyte baterie lub przyjmuje </w:t>
            </w:r>
            <w:proofErr w:type="spellStart"/>
            <w:r w:rsidRPr="000E0901">
              <w:rPr>
                <w:rFonts w:ascii="Tahoma" w:hAnsi="Tahoma" w:cs="Tahoma"/>
                <w:sz w:val="20"/>
                <w:szCs w:val="20"/>
              </w:rPr>
              <w:t>ZSEiE</w:t>
            </w:r>
            <w:proofErr w:type="spellEnd"/>
            <w:r w:rsidRPr="000E0901">
              <w:rPr>
                <w:rFonts w:ascii="Tahoma" w:hAnsi="Tahoma" w:cs="Tahoma"/>
                <w:sz w:val="20"/>
                <w:szCs w:val="20"/>
              </w:rPr>
              <w:t xml:space="preserve"> w ramach dostawy nowego sprzętu.</w:t>
            </w:r>
          </w:p>
          <w:p w14:paraId="27838FC9" w14:textId="77777777" w:rsidR="008654EE" w:rsidRPr="000E0901" w:rsidRDefault="008654EE" w:rsidP="008654EE">
            <w:pPr>
              <w:autoSpaceDE w:val="0"/>
              <w:autoSpaceDN w:val="0"/>
              <w:adjustRightInd w:val="0"/>
              <w:jc w:val="both"/>
              <w:rPr>
                <w:rFonts w:ascii="Tahoma" w:hAnsi="Tahoma" w:cs="Tahoma"/>
                <w:sz w:val="20"/>
                <w:szCs w:val="20"/>
              </w:rPr>
            </w:pPr>
            <w:r w:rsidRPr="000E0901">
              <w:rPr>
                <w:rFonts w:ascii="Tahoma" w:hAnsi="Tahoma" w:cs="Tahoma"/>
                <w:sz w:val="20"/>
                <w:szCs w:val="20"/>
              </w:rPr>
              <w:t>-  Klient (mieszkaniec) wrzuca odpady do pojemnika. Klient ten jest anonimowy. Nie jest w żaden sposób "legitymowany".</w:t>
            </w:r>
          </w:p>
          <w:p w14:paraId="7D2FE8C8" w14:textId="77777777" w:rsidR="008654EE" w:rsidRPr="000E0901" w:rsidRDefault="008654EE" w:rsidP="008654EE">
            <w:pPr>
              <w:autoSpaceDE w:val="0"/>
              <w:autoSpaceDN w:val="0"/>
              <w:adjustRightInd w:val="0"/>
              <w:jc w:val="both"/>
              <w:rPr>
                <w:rFonts w:ascii="Tahoma" w:hAnsi="Tahoma" w:cs="Tahoma"/>
                <w:sz w:val="20"/>
                <w:szCs w:val="20"/>
              </w:rPr>
            </w:pPr>
            <w:r w:rsidRPr="000E0901">
              <w:rPr>
                <w:rFonts w:ascii="Tahoma" w:hAnsi="Tahoma" w:cs="Tahoma"/>
                <w:sz w:val="20"/>
                <w:szCs w:val="20"/>
              </w:rPr>
              <w:t>- Sklep zlokalizowany jest np.: na granicy dwóch lub więcej gmin i obsługuje klientów z różnych jurysdykcji. Klient może być również osobą przejezdną, niebędącą mieszkańcem żadnej z okolicznych gmin.</w:t>
            </w:r>
          </w:p>
          <w:p w14:paraId="32024DE6" w14:textId="77777777" w:rsidR="008654EE" w:rsidRPr="000E0901" w:rsidRDefault="008654EE" w:rsidP="008654EE">
            <w:pPr>
              <w:autoSpaceDE w:val="0"/>
              <w:autoSpaceDN w:val="0"/>
              <w:adjustRightInd w:val="0"/>
              <w:jc w:val="both"/>
              <w:rPr>
                <w:rFonts w:ascii="Tahoma" w:hAnsi="Tahoma" w:cs="Tahoma"/>
                <w:sz w:val="20"/>
                <w:szCs w:val="20"/>
              </w:rPr>
            </w:pPr>
          </w:p>
          <w:p w14:paraId="1D73332B" w14:textId="77777777" w:rsidR="008654EE" w:rsidRPr="000E0901" w:rsidRDefault="008654EE" w:rsidP="008654EE">
            <w:pPr>
              <w:autoSpaceDE w:val="0"/>
              <w:autoSpaceDN w:val="0"/>
              <w:adjustRightInd w:val="0"/>
              <w:jc w:val="both"/>
              <w:rPr>
                <w:rFonts w:ascii="Tahoma" w:hAnsi="Tahoma" w:cs="Tahoma"/>
                <w:sz w:val="20"/>
                <w:szCs w:val="20"/>
              </w:rPr>
            </w:pPr>
            <w:r w:rsidRPr="000E0901">
              <w:rPr>
                <w:rFonts w:ascii="Tahoma" w:hAnsi="Tahoma" w:cs="Tahoma"/>
                <w:sz w:val="20"/>
                <w:szCs w:val="20"/>
              </w:rPr>
              <w:lastRenderedPageBreak/>
              <w:t>- Sklep, jako podmiot nieprofesjonalny, jest zwolniony z prowadzenia ewidencji (np. wystawiania Kart Przekazania Odpadów - KPO) dla tych odpadów.</w:t>
            </w:r>
          </w:p>
          <w:p w14:paraId="677EBE74" w14:textId="77777777" w:rsidR="008654EE" w:rsidRPr="000E0901" w:rsidRDefault="008654EE" w:rsidP="008654EE">
            <w:pPr>
              <w:autoSpaceDE w:val="0"/>
              <w:autoSpaceDN w:val="0"/>
              <w:adjustRightInd w:val="0"/>
              <w:jc w:val="both"/>
              <w:rPr>
                <w:rFonts w:ascii="Tahoma" w:hAnsi="Tahoma" w:cs="Tahoma"/>
                <w:sz w:val="20"/>
                <w:szCs w:val="20"/>
              </w:rPr>
            </w:pPr>
            <w:r w:rsidRPr="000E0901">
              <w:rPr>
                <w:rFonts w:ascii="Tahoma" w:hAnsi="Tahoma" w:cs="Tahoma"/>
                <w:sz w:val="20"/>
                <w:szCs w:val="20"/>
              </w:rPr>
              <w:t xml:space="preserve">- Sklep przekazuje odpady do profesjonalnego zbierającego, który musi złożyć sprawozdanie. </w:t>
            </w:r>
          </w:p>
          <w:p w14:paraId="045D4D13" w14:textId="77777777" w:rsidR="008654EE" w:rsidRPr="000E0901" w:rsidRDefault="008654EE" w:rsidP="008654EE">
            <w:pPr>
              <w:autoSpaceDE w:val="0"/>
              <w:autoSpaceDN w:val="0"/>
              <w:adjustRightInd w:val="0"/>
              <w:jc w:val="both"/>
              <w:rPr>
                <w:rFonts w:ascii="Tahoma" w:hAnsi="Tahoma" w:cs="Tahoma"/>
                <w:b/>
                <w:bCs/>
                <w:sz w:val="20"/>
                <w:szCs w:val="20"/>
              </w:rPr>
            </w:pPr>
            <w:r w:rsidRPr="000E0901">
              <w:rPr>
                <w:rFonts w:ascii="Tahoma" w:hAnsi="Tahoma" w:cs="Tahoma"/>
                <w:b/>
                <w:bCs/>
                <w:sz w:val="20"/>
                <w:szCs w:val="20"/>
              </w:rPr>
              <w:t>2. Fikcja prawna obowiązku sprawozdawczego</w:t>
            </w:r>
          </w:p>
          <w:p w14:paraId="0A6278B8" w14:textId="77777777" w:rsidR="008654EE" w:rsidRPr="000E0901" w:rsidRDefault="008654EE" w:rsidP="008654EE">
            <w:pPr>
              <w:autoSpaceDE w:val="0"/>
              <w:autoSpaceDN w:val="0"/>
              <w:adjustRightInd w:val="0"/>
              <w:jc w:val="both"/>
              <w:rPr>
                <w:rFonts w:ascii="Tahoma" w:hAnsi="Tahoma" w:cs="Tahoma"/>
                <w:sz w:val="20"/>
                <w:szCs w:val="20"/>
              </w:rPr>
            </w:pPr>
            <w:r w:rsidRPr="000E0901">
              <w:rPr>
                <w:rFonts w:ascii="Tahoma" w:hAnsi="Tahoma" w:cs="Tahoma"/>
                <w:sz w:val="20"/>
                <w:szCs w:val="20"/>
              </w:rPr>
              <w:t>W opisanym wyżej scenariuszu Zbierający (profesjonalna firma odbierająca odpady) przyjeżdża pod adres sklepu i odbiera od niego zgromadzone odpady (np. zapełniony pojemnik z bateriami).</w:t>
            </w:r>
          </w:p>
          <w:p w14:paraId="7EBDE1C3" w14:textId="77777777" w:rsidR="008654EE" w:rsidRPr="000E0901" w:rsidRDefault="008654EE" w:rsidP="008654EE">
            <w:pPr>
              <w:autoSpaceDE w:val="0"/>
              <w:autoSpaceDN w:val="0"/>
              <w:adjustRightInd w:val="0"/>
              <w:jc w:val="both"/>
              <w:rPr>
                <w:rFonts w:ascii="Tahoma" w:hAnsi="Tahoma" w:cs="Tahoma"/>
                <w:sz w:val="20"/>
                <w:szCs w:val="20"/>
              </w:rPr>
            </w:pPr>
            <w:r w:rsidRPr="000E0901">
              <w:rPr>
                <w:rFonts w:ascii="Tahoma" w:hAnsi="Tahoma" w:cs="Tahoma"/>
                <w:sz w:val="20"/>
                <w:szCs w:val="20"/>
              </w:rPr>
              <w:t>Jedyną informacją, jaką dysponuje Zbierający, jest adres sklepu, z którego fizycznie odebrał odpady.</w:t>
            </w:r>
          </w:p>
          <w:p w14:paraId="558AFB83" w14:textId="77777777" w:rsidR="008654EE" w:rsidRPr="000E0901" w:rsidRDefault="008654EE" w:rsidP="008654EE">
            <w:pPr>
              <w:autoSpaceDE w:val="0"/>
              <w:autoSpaceDN w:val="0"/>
              <w:adjustRightInd w:val="0"/>
              <w:jc w:val="both"/>
              <w:rPr>
                <w:rFonts w:ascii="Tahoma" w:hAnsi="Tahoma" w:cs="Tahoma"/>
                <w:sz w:val="20"/>
                <w:szCs w:val="20"/>
              </w:rPr>
            </w:pPr>
            <w:r w:rsidRPr="000E0901">
              <w:rPr>
                <w:rFonts w:ascii="Tahoma" w:hAnsi="Tahoma" w:cs="Tahoma"/>
                <w:sz w:val="20"/>
                <w:szCs w:val="20"/>
              </w:rPr>
              <w:t>Zbierający nie ma absolutnie żadnej możliwości, by ustalić, czy baterie w pojemniku pochodzą od klientów z gminy A, gminy B, czy gminy C.</w:t>
            </w:r>
          </w:p>
          <w:p w14:paraId="4FDFAC3A" w14:textId="77777777" w:rsidR="008654EE" w:rsidRPr="000E0901" w:rsidRDefault="008654EE" w:rsidP="008654EE">
            <w:pPr>
              <w:autoSpaceDE w:val="0"/>
              <w:autoSpaceDN w:val="0"/>
              <w:adjustRightInd w:val="0"/>
              <w:jc w:val="both"/>
              <w:rPr>
                <w:rFonts w:ascii="Tahoma" w:hAnsi="Tahoma" w:cs="Tahoma"/>
                <w:sz w:val="20"/>
                <w:szCs w:val="20"/>
              </w:rPr>
            </w:pPr>
            <w:r w:rsidRPr="000E0901">
              <w:rPr>
                <w:rFonts w:ascii="Tahoma" w:hAnsi="Tahoma" w:cs="Tahoma"/>
                <w:sz w:val="20"/>
                <w:szCs w:val="20"/>
              </w:rPr>
              <w:t>Proponowany art. 9nb ust. 2a de facto zmuszałby Zbierającego do złożenia sprawozdania do każdej gminy, z terenu której mogły pochodzić odpady. W przypadku sklepu na granicy gmin, Zbierający musiałby arbitralnie (i fikcyjnie) podzielić masę odpadów między te gminy, nie mając ku temu żadnych podstaw merytorycznych.</w:t>
            </w:r>
          </w:p>
          <w:p w14:paraId="52DF0C87" w14:textId="77777777" w:rsidR="008654EE" w:rsidRPr="000E0901" w:rsidRDefault="008654EE" w:rsidP="008654EE">
            <w:pPr>
              <w:autoSpaceDE w:val="0"/>
              <w:autoSpaceDN w:val="0"/>
              <w:adjustRightInd w:val="0"/>
              <w:jc w:val="both"/>
              <w:rPr>
                <w:rFonts w:ascii="Tahoma" w:hAnsi="Tahoma" w:cs="Tahoma"/>
                <w:b/>
                <w:bCs/>
                <w:sz w:val="20"/>
                <w:szCs w:val="20"/>
              </w:rPr>
            </w:pPr>
            <w:r w:rsidRPr="000E0901">
              <w:rPr>
                <w:rFonts w:ascii="Tahoma" w:hAnsi="Tahoma" w:cs="Tahoma"/>
                <w:b/>
                <w:bCs/>
                <w:sz w:val="20"/>
                <w:szCs w:val="20"/>
              </w:rPr>
              <w:t>3. Nieuzasadnione obciążenie administracyjne</w:t>
            </w:r>
          </w:p>
          <w:p w14:paraId="51F0809E" w14:textId="77777777" w:rsidR="008654EE" w:rsidRPr="000E0901" w:rsidRDefault="008654EE" w:rsidP="008654EE">
            <w:pPr>
              <w:autoSpaceDE w:val="0"/>
              <w:autoSpaceDN w:val="0"/>
              <w:adjustRightInd w:val="0"/>
              <w:jc w:val="both"/>
              <w:rPr>
                <w:rFonts w:ascii="Tahoma" w:hAnsi="Tahoma" w:cs="Tahoma"/>
                <w:sz w:val="20"/>
                <w:szCs w:val="20"/>
              </w:rPr>
            </w:pPr>
            <w:r w:rsidRPr="000E0901">
              <w:rPr>
                <w:rFonts w:ascii="Tahoma" w:hAnsi="Tahoma" w:cs="Tahoma"/>
                <w:sz w:val="20"/>
                <w:szCs w:val="20"/>
              </w:rPr>
              <w:t>Nałożenie tego obowiązku przerzuca na podmiot zbierający odpowiedzialność za ustalenie pochodzenia odpadu, co jest zadaniem niewykonalnym. Zmusza to przedsiębiorców do tworzenia fikcyjnych danych sprawozdawczych lub naraża ich na sankcje za niezłożenie sprawozdania w gminach, o których nie mógł wiedzieć.</w:t>
            </w:r>
          </w:p>
          <w:p w14:paraId="49DA5E66" w14:textId="77777777" w:rsidR="008654EE" w:rsidRPr="000E0901" w:rsidRDefault="008654EE" w:rsidP="008654EE">
            <w:pPr>
              <w:autoSpaceDE w:val="0"/>
              <w:autoSpaceDN w:val="0"/>
              <w:adjustRightInd w:val="0"/>
              <w:jc w:val="both"/>
              <w:rPr>
                <w:rFonts w:ascii="Tahoma" w:hAnsi="Tahoma" w:cs="Tahoma"/>
                <w:sz w:val="20"/>
                <w:szCs w:val="20"/>
              </w:rPr>
            </w:pPr>
          </w:p>
          <w:p w14:paraId="76FFAE5A" w14:textId="68820321" w:rsidR="008654EE" w:rsidRPr="000E0901" w:rsidRDefault="008654EE" w:rsidP="008654EE">
            <w:pPr>
              <w:autoSpaceDE w:val="0"/>
              <w:autoSpaceDN w:val="0"/>
              <w:adjustRightInd w:val="0"/>
              <w:jc w:val="both"/>
              <w:rPr>
                <w:rFonts w:ascii="Tahoma" w:hAnsi="Tahoma" w:cs="Tahoma"/>
                <w:sz w:val="20"/>
                <w:szCs w:val="20"/>
              </w:rPr>
            </w:pPr>
            <w:r w:rsidRPr="000E0901">
              <w:rPr>
                <w:rFonts w:ascii="Tahoma" w:hAnsi="Tahoma" w:cs="Tahoma"/>
                <w:sz w:val="20"/>
                <w:szCs w:val="20"/>
              </w:rPr>
              <w:t>W związku z powyższym Zbierający powinien, jak dotychczas składać sprawozdanie do gminy, w której prowadzi on działalność zbiórki. Wszelkie próby „dzielenia” wymagałyby jasnych wytycznych jak to robić, a takich wytycznych nie ma i nie są realne do wdrożenia.</w:t>
            </w:r>
          </w:p>
          <w:p w14:paraId="19001013" w14:textId="77777777" w:rsidR="008654EE" w:rsidRPr="000E0901" w:rsidRDefault="008654EE" w:rsidP="008654EE">
            <w:pPr>
              <w:spacing w:before="26"/>
              <w:jc w:val="both"/>
              <w:rPr>
                <w:rFonts w:ascii="Tahoma" w:hAnsi="Tahoma" w:cs="Tahoma"/>
                <w:sz w:val="20"/>
                <w:szCs w:val="20"/>
              </w:rPr>
            </w:pPr>
          </w:p>
        </w:tc>
        <w:tc>
          <w:tcPr>
            <w:tcW w:w="4252" w:type="dxa"/>
          </w:tcPr>
          <w:p w14:paraId="5EC3DB62" w14:textId="77777777" w:rsidR="008654EE" w:rsidRPr="000E0901" w:rsidRDefault="008654EE" w:rsidP="008654EE">
            <w:pPr>
              <w:autoSpaceDE w:val="0"/>
              <w:autoSpaceDN w:val="0"/>
              <w:adjustRightInd w:val="0"/>
              <w:jc w:val="both"/>
              <w:rPr>
                <w:rFonts w:ascii="Tahoma" w:hAnsi="Tahoma" w:cs="Tahoma"/>
                <w:bCs/>
                <w:i/>
                <w:iCs/>
                <w:strike/>
                <w:sz w:val="20"/>
                <w:szCs w:val="20"/>
              </w:rPr>
            </w:pPr>
            <w:r w:rsidRPr="000E0901">
              <w:rPr>
                <w:rFonts w:ascii="Tahoma" w:hAnsi="Tahoma" w:cs="Tahoma"/>
                <w:bCs/>
                <w:i/>
                <w:iCs/>
                <w:strike/>
                <w:sz w:val="20"/>
                <w:szCs w:val="20"/>
              </w:rPr>
              <w:lastRenderedPageBreak/>
              <w:t>w art. 9nb:</w:t>
            </w:r>
          </w:p>
          <w:p w14:paraId="1AC433CB" w14:textId="77777777" w:rsidR="008654EE" w:rsidRPr="000E0901" w:rsidRDefault="008654EE" w:rsidP="008654EE">
            <w:pPr>
              <w:autoSpaceDE w:val="0"/>
              <w:autoSpaceDN w:val="0"/>
              <w:adjustRightInd w:val="0"/>
              <w:jc w:val="both"/>
              <w:rPr>
                <w:rFonts w:ascii="Tahoma" w:hAnsi="Tahoma" w:cs="Tahoma"/>
                <w:bCs/>
                <w:i/>
                <w:iCs/>
                <w:strike/>
                <w:sz w:val="20"/>
                <w:szCs w:val="20"/>
              </w:rPr>
            </w:pPr>
            <w:r w:rsidRPr="000E0901">
              <w:rPr>
                <w:rFonts w:ascii="Tahoma" w:hAnsi="Tahoma" w:cs="Tahoma"/>
                <w:bCs/>
                <w:i/>
                <w:iCs/>
                <w:strike/>
                <w:sz w:val="20"/>
                <w:szCs w:val="20"/>
              </w:rPr>
              <w:t>a)</w:t>
            </w:r>
            <w:r w:rsidRPr="000E0901">
              <w:rPr>
                <w:rFonts w:ascii="Tahoma" w:hAnsi="Tahoma" w:cs="Tahoma"/>
                <w:bCs/>
                <w:i/>
                <w:iCs/>
                <w:strike/>
                <w:sz w:val="20"/>
                <w:szCs w:val="20"/>
              </w:rPr>
              <w:tab/>
              <w:t xml:space="preserve">po ust. 2 dodaje się ust. 2a w brzmieniu: </w:t>
            </w:r>
          </w:p>
          <w:p w14:paraId="3275721C" w14:textId="7403A984" w:rsidR="008654EE" w:rsidRPr="000E0901" w:rsidRDefault="008654EE" w:rsidP="008654EE">
            <w:pPr>
              <w:pStyle w:val="pf0"/>
              <w:jc w:val="both"/>
              <w:rPr>
                <w:rFonts w:ascii="Tahoma" w:eastAsiaTheme="minorHAnsi" w:hAnsi="Tahoma" w:cs="Tahoma"/>
                <w:kern w:val="2"/>
                <w:sz w:val="20"/>
                <w:szCs w:val="20"/>
                <w:lang w:val="pl-PL" w:eastAsia="en-US"/>
                <w14:ligatures w14:val="standardContextual"/>
              </w:rPr>
            </w:pPr>
            <w:r w:rsidRPr="000E0901">
              <w:rPr>
                <w:rFonts w:ascii="Tahoma" w:eastAsiaTheme="minorHAnsi" w:hAnsi="Tahoma" w:cs="Tahoma"/>
                <w:bCs/>
                <w:i/>
                <w:iCs/>
                <w:strike/>
                <w:sz w:val="20"/>
                <w:szCs w:val="20"/>
                <w:lang w:val="pl-PL" w:eastAsia="en-US"/>
              </w:rPr>
              <w:t>„2a. W przypadku zbierania odpadów z terenu więcej niż jednej gminy sprawozdanie, o którym mowa w ust. 1, należy złożyć w terminie wskazanym w ust. 2 wójtowi, burmistrzowi lub prezydentowi miasta każdej gminy, z terenu której zostały zebrane odpady.”,</w:t>
            </w:r>
          </w:p>
        </w:tc>
        <w:tc>
          <w:tcPr>
            <w:tcW w:w="1428" w:type="dxa"/>
          </w:tcPr>
          <w:p w14:paraId="5EA76167" w14:textId="77777777" w:rsidR="008654EE" w:rsidRPr="000E0901" w:rsidRDefault="008654EE" w:rsidP="008654EE">
            <w:pPr>
              <w:jc w:val="both"/>
              <w:rPr>
                <w:rFonts w:ascii="Lato" w:hAnsi="Lato" w:cs="Times New Roman"/>
                <w:sz w:val="20"/>
                <w:szCs w:val="20"/>
              </w:rPr>
            </w:pPr>
          </w:p>
        </w:tc>
      </w:tr>
      <w:tr w:rsidR="008654EE" w:rsidRPr="000E0901" w14:paraId="7295C93A" w14:textId="77777777" w:rsidTr="009B5AD6">
        <w:tc>
          <w:tcPr>
            <w:tcW w:w="562" w:type="dxa"/>
          </w:tcPr>
          <w:p w14:paraId="1C8DF09B" w14:textId="3B5D9D1D" w:rsidR="008654EE" w:rsidRPr="000E0901" w:rsidRDefault="008654EE" w:rsidP="008654EE">
            <w:pPr>
              <w:jc w:val="center"/>
              <w:rPr>
                <w:rFonts w:ascii="Lato" w:hAnsi="Lato" w:cs="Times New Roman"/>
                <w:sz w:val="20"/>
                <w:szCs w:val="20"/>
              </w:rPr>
            </w:pPr>
            <w:r w:rsidRPr="000E0901">
              <w:rPr>
                <w:rFonts w:ascii="Lato" w:hAnsi="Lato" w:cs="Times New Roman"/>
                <w:sz w:val="20"/>
                <w:szCs w:val="20"/>
              </w:rPr>
              <w:lastRenderedPageBreak/>
              <w:t>13.</w:t>
            </w:r>
          </w:p>
        </w:tc>
        <w:tc>
          <w:tcPr>
            <w:tcW w:w="1701" w:type="dxa"/>
          </w:tcPr>
          <w:p w14:paraId="0C5430E5" w14:textId="3B6E12FE" w:rsidR="008654EE" w:rsidRPr="000E0901" w:rsidRDefault="008654EE" w:rsidP="008654EE">
            <w:pPr>
              <w:jc w:val="both"/>
              <w:rPr>
                <w:rFonts w:ascii="Lato" w:hAnsi="Lato" w:cs="Times New Roman"/>
                <w:sz w:val="20"/>
                <w:szCs w:val="20"/>
              </w:rPr>
            </w:pPr>
            <w:r w:rsidRPr="000E0901">
              <w:rPr>
                <w:rFonts w:ascii="Lato" w:hAnsi="Lato" w:cs="Times New Roman"/>
                <w:sz w:val="20"/>
                <w:szCs w:val="20"/>
              </w:rPr>
              <w:t>Konfederacja Lewiatan</w:t>
            </w:r>
          </w:p>
        </w:tc>
        <w:tc>
          <w:tcPr>
            <w:tcW w:w="2694" w:type="dxa"/>
          </w:tcPr>
          <w:p w14:paraId="14E478B7" w14:textId="7755A842" w:rsidR="008654EE" w:rsidRPr="000E0901" w:rsidRDefault="008654EE" w:rsidP="008654EE">
            <w:pPr>
              <w:jc w:val="both"/>
              <w:rPr>
                <w:rFonts w:ascii="Tahoma" w:hAnsi="Tahoma"/>
                <w:sz w:val="20"/>
                <w:szCs w:val="20"/>
              </w:rPr>
            </w:pPr>
            <w:r w:rsidRPr="000E0901">
              <w:rPr>
                <w:rFonts w:ascii="Tahoma" w:hAnsi="Tahoma"/>
                <w:sz w:val="20"/>
                <w:szCs w:val="20"/>
              </w:rPr>
              <w:t>Art.. 9x  ust.2</w:t>
            </w:r>
          </w:p>
        </w:tc>
        <w:tc>
          <w:tcPr>
            <w:tcW w:w="5103" w:type="dxa"/>
          </w:tcPr>
          <w:p w14:paraId="2C24E549" w14:textId="77777777" w:rsidR="008654EE" w:rsidRPr="000E0901" w:rsidRDefault="008654EE" w:rsidP="008654EE">
            <w:pPr>
              <w:spacing w:before="26"/>
              <w:jc w:val="both"/>
              <w:rPr>
                <w:rFonts w:ascii="Tahoma" w:hAnsi="Tahoma"/>
                <w:sz w:val="20"/>
                <w:szCs w:val="20"/>
              </w:rPr>
            </w:pPr>
            <w:r w:rsidRPr="000E0901">
              <w:rPr>
                <w:rFonts w:ascii="Tahoma" w:hAnsi="Tahoma"/>
                <w:sz w:val="20"/>
                <w:szCs w:val="20"/>
              </w:rPr>
              <w:t xml:space="preserve"> W obecnym brzmieniu tego artykułu przedsiębiorca odbierający odpady komunalne na podstawie umowy z właścicielem nieruchomości </w:t>
            </w:r>
            <w:r w:rsidRPr="000E0901">
              <w:rPr>
                <w:sz w:val="20"/>
                <w:szCs w:val="20"/>
              </w:rPr>
              <w:t xml:space="preserve">który </w:t>
            </w:r>
            <w:r w:rsidRPr="000E0901">
              <w:rPr>
                <w:rFonts w:ascii="Tahoma" w:hAnsi="Tahoma"/>
                <w:sz w:val="20"/>
                <w:szCs w:val="20"/>
              </w:rPr>
              <w:t>nie wykonuje obowiązku określonego w art. 9g - podlega karze pieniężnej, obliczonej odrębnie dla wymaganego poziomu:</w:t>
            </w:r>
          </w:p>
          <w:p w14:paraId="1E7CFE5C" w14:textId="77777777" w:rsidR="008654EE" w:rsidRPr="000E0901" w:rsidRDefault="008654EE" w:rsidP="008654EE">
            <w:pPr>
              <w:spacing w:before="26"/>
              <w:ind w:left="373"/>
              <w:jc w:val="both"/>
              <w:rPr>
                <w:rFonts w:ascii="Tahoma" w:hAnsi="Tahoma"/>
                <w:sz w:val="20"/>
                <w:szCs w:val="20"/>
              </w:rPr>
            </w:pPr>
            <w:r w:rsidRPr="000E0901">
              <w:rPr>
                <w:rFonts w:ascii="Tahoma" w:hAnsi="Tahoma"/>
                <w:sz w:val="20"/>
                <w:szCs w:val="20"/>
              </w:rPr>
              <w:t>1) przygotowania do ponownego użycia i recyklingu;</w:t>
            </w:r>
          </w:p>
          <w:p w14:paraId="3C36C4EC" w14:textId="77777777" w:rsidR="008654EE" w:rsidRPr="000E0901" w:rsidRDefault="008654EE" w:rsidP="008654EE">
            <w:pPr>
              <w:spacing w:before="26"/>
              <w:ind w:left="373"/>
              <w:jc w:val="both"/>
              <w:rPr>
                <w:rFonts w:ascii="Tahoma" w:hAnsi="Tahoma"/>
                <w:sz w:val="20"/>
                <w:szCs w:val="20"/>
              </w:rPr>
            </w:pPr>
            <w:r w:rsidRPr="000E0901">
              <w:rPr>
                <w:rFonts w:ascii="Tahoma" w:hAnsi="Tahoma"/>
                <w:sz w:val="20"/>
                <w:szCs w:val="20"/>
              </w:rPr>
              <w:t>2) ograniczenia masy odpadów komunalnych ulegających biodegradacji przekazywanych do składowania;</w:t>
            </w:r>
          </w:p>
          <w:p w14:paraId="1C2D5FBD" w14:textId="77777777" w:rsidR="008654EE" w:rsidRPr="000E0901" w:rsidRDefault="008654EE" w:rsidP="008654EE">
            <w:pPr>
              <w:spacing w:before="26"/>
              <w:ind w:left="373"/>
              <w:jc w:val="both"/>
              <w:rPr>
                <w:rFonts w:ascii="Tahoma" w:hAnsi="Tahoma"/>
                <w:sz w:val="20"/>
                <w:szCs w:val="20"/>
              </w:rPr>
            </w:pPr>
            <w:r w:rsidRPr="000E0901">
              <w:rPr>
                <w:rFonts w:ascii="Tahoma" w:hAnsi="Tahoma"/>
                <w:sz w:val="20"/>
                <w:szCs w:val="20"/>
              </w:rPr>
              <w:t>3) składowania.</w:t>
            </w:r>
          </w:p>
          <w:p w14:paraId="1BF7CED0" w14:textId="13BE8C83" w:rsidR="008654EE" w:rsidRPr="000E0901" w:rsidRDefault="008654EE" w:rsidP="008654EE">
            <w:pPr>
              <w:jc w:val="both"/>
              <w:rPr>
                <w:rFonts w:ascii="Tahoma" w:hAnsi="Tahoma"/>
                <w:sz w:val="20"/>
                <w:szCs w:val="20"/>
              </w:rPr>
            </w:pPr>
            <w:r w:rsidRPr="000E0901">
              <w:rPr>
                <w:rFonts w:ascii="Tahoma" w:hAnsi="Tahoma"/>
                <w:sz w:val="20"/>
                <w:szCs w:val="20"/>
              </w:rPr>
              <w:t>Określenie bezwzględnego obowiązku nałożenia kary przez gminę na przedsiębiorcę w przypadku osiągania przez gminę wymaganych poziomów recyklingu uznać należy jako niesprawiedliwe.</w:t>
            </w:r>
          </w:p>
        </w:tc>
        <w:tc>
          <w:tcPr>
            <w:tcW w:w="4252" w:type="dxa"/>
          </w:tcPr>
          <w:p w14:paraId="10212F92" w14:textId="77777777" w:rsidR="008654EE" w:rsidRPr="000E0901" w:rsidRDefault="008654EE" w:rsidP="008654EE">
            <w:pPr>
              <w:pStyle w:val="pf0"/>
              <w:jc w:val="both"/>
              <w:rPr>
                <w:rFonts w:ascii="Tahoma" w:eastAsiaTheme="minorHAnsi" w:hAnsi="Tahoma" w:cstheme="minorBidi"/>
                <w:kern w:val="2"/>
                <w:sz w:val="20"/>
                <w:szCs w:val="20"/>
                <w:lang w:val="pl-PL" w:eastAsia="en-US"/>
                <w14:ligatures w14:val="standardContextual"/>
              </w:rPr>
            </w:pPr>
            <w:r w:rsidRPr="000E0901">
              <w:rPr>
                <w:rFonts w:ascii="Tahoma" w:eastAsiaTheme="minorHAnsi" w:hAnsi="Tahoma" w:cstheme="minorBidi"/>
                <w:kern w:val="2"/>
                <w:sz w:val="20"/>
                <w:szCs w:val="20"/>
                <w:lang w:val="pl-PL" w:eastAsia="en-US"/>
                <w14:ligatures w14:val="standardContextual"/>
              </w:rPr>
              <w:t>Propozycja dodania zapisu umożliwiającego gminie odstąpienie od wymierzenia kary w przypadku gdy dana gmina realizuje obowiązki określone w art.9g.</w:t>
            </w:r>
          </w:p>
          <w:p w14:paraId="0CC5BC3C" w14:textId="642AAD6F" w:rsidR="008654EE" w:rsidRPr="000E0901" w:rsidRDefault="008654EE" w:rsidP="008654EE">
            <w:pPr>
              <w:jc w:val="both"/>
              <w:rPr>
                <w:rFonts w:ascii="Tahoma" w:hAnsi="Tahoma"/>
                <w:sz w:val="20"/>
                <w:szCs w:val="20"/>
              </w:rPr>
            </w:pPr>
            <w:r w:rsidRPr="000E0901">
              <w:rPr>
                <w:rFonts w:ascii="Tahoma" w:hAnsi="Tahoma"/>
                <w:sz w:val="20"/>
                <w:szCs w:val="20"/>
              </w:rPr>
              <w:t>„ art. 9x ust.5 Gmina nie ma obowiązku wszczynania postępowania w sprawie wymierzenia kary dla podmiotów prowadzących działalność odbierania odpadów komunalnych na podstawie umowy z właścicielem nieruchomości  na terenie danej gminy, który nie wypełnił obowiązku określonego w art.9g, jeżeli w danym roku kalendarzowym obowiązki określone w art.3 b zostały spełnione przez daną gminę.”</w:t>
            </w:r>
          </w:p>
        </w:tc>
        <w:tc>
          <w:tcPr>
            <w:tcW w:w="1428" w:type="dxa"/>
          </w:tcPr>
          <w:p w14:paraId="18D305E4" w14:textId="77777777" w:rsidR="008654EE" w:rsidRPr="000E0901" w:rsidRDefault="008654EE" w:rsidP="008654EE">
            <w:pPr>
              <w:jc w:val="both"/>
              <w:rPr>
                <w:rFonts w:ascii="Lato" w:hAnsi="Lato" w:cs="Times New Roman"/>
                <w:sz w:val="20"/>
                <w:szCs w:val="20"/>
              </w:rPr>
            </w:pPr>
          </w:p>
        </w:tc>
      </w:tr>
      <w:tr w:rsidR="008654EE" w:rsidRPr="000E0901" w14:paraId="6B8A6EDE" w14:textId="77777777" w:rsidTr="009B5AD6">
        <w:tc>
          <w:tcPr>
            <w:tcW w:w="562" w:type="dxa"/>
          </w:tcPr>
          <w:p w14:paraId="4AF80429" w14:textId="5A9CDEA2" w:rsidR="008654EE" w:rsidRPr="000E0901" w:rsidRDefault="008654EE" w:rsidP="008654EE">
            <w:pPr>
              <w:jc w:val="center"/>
              <w:rPr>
                <w:rFonts w:ascii="Lato" w:hAnsi="Lato" w:cs="Times New Roman"/>
                <w:sz w:val="20"/>
                <w:szCs w:val="20"/>
              </w:rPr>
            </w:pPr>
            <w:r w:rsidRPr="000E0901">
              <w:rPr>
                <w:rFonts w:ascii="Lato" w:hAnsi="Lato" w:cs="Times New Roman"/>
                <w:sz w:val="20"/>
                <w:szCs w:val="20"/>
              </w:rPr>
              <w:t>14.</w:t>
            </w:r>
          </w:p>
        </w:tc>
        <w:tc>
          <w:tcPr>
            <w:tcW w:w="1701" w:type="dxa"/>
          </w:tcPr>
          <w:p w14:paraId="27C46878" w14:textId="4AE22926" w:rsidR="008654EE" w:rsidRPr="000E0901" w:rsidRDefault="008654EE" w:rsidP="008654EE">
            <w:pPr>
              <w:jc w:val="both"/>
              <w:rPr>
                <w:rFonts w:ascii="Lato" w:hAnsi="Lato" w:cs="Times New Roman"/>
                <w:sz w:val="20"/>
                <w:szCs w:val="20"/>
              </w:rPr>
            </w:pPr>
            <w:r w:rsidRPr="000E0901">
              <w:rPr>
                <w:rFonts w:ascii="Lato" w:hAnsi="Lato" w:cs="Times New Roman"/>
                <w:sz w:val="20"/>
                <w:szCs w:val="20"/>
              </w:rPr>
              <w:t>Konfederacja Lewiatan</w:t>
            </w:r>
          </w:p>
        </w:tc>
        <w:tc>
          <w:tcPr>
            <w:tcW w:w="2694" w:type="dxa"/>
          </w:tcPr>
          <w:p w14:paraId="34E899B0" w14:textId="38CC2785" w:rsidR="008654EE" w:rsidRPr="000E0901" w:rsidRDefault="008654EE" w:rsidP="008654EE">
            <w:pPr>
              <w:jc w:val="both"/>
              <w:rPr>
                <w:rFonts w:ascii="Tahoma" w:hAnsi="Tahoma"/>
                <w:sz w:val="20"/>
                <w:szCs w:val="20"/>
              </w:rPr>
            </w:pPr>
            <w:r w:rsidRPr="000E0901">
              <w:rPr>
                <w:rFonts w:ascii="Tahoma" w:hAnsi="Tahoma"/>
                <w:sz w:val="20"/>
                <w:szCs w:val="20"/>
              </w:rPr>
              <w:t>Art. 9zaa</w:t>
            </w:r>
          </w:p>
        </w:tc>
        <w:tc>
          <w:tcPr>
            <w:tcW w:w="5103" w:type="dxa"/>
          </w:tcPr>
          <w:p w14:paraId="5A5CC376" w14:textId="0B14F050" w:rsidR="008654EE" w:rsidRPr="000E0901" w:rsidRDefault="008654EE" w:rsidP="008654EE">
            <w:pPr>
              <w:spacing w:before="26"/>
              <w:jc w:val="both"/>
              <w:rPr>
                <w:rFonts w:ascii="Tahoma" w:hAnsi="Tahoma"/>
                <w:sz w:val="20"/>
                <w:szCs w:val="20"/>
              </w:rPr>
            </w:pPr>
            <w:r w:rsidRPr="000E0901">
              <w:rPr>
                <w:rFonts w:ascii="Tahoma" w:hAnsi="Tahoma"/>
                <w:sz w:val="20"/>
                <w:szCs w:val="20"/>
              </w:rPr>
              <w:t>Proponowany zapis ograniczający się do nałożenia jednorazowej kary 1000 zł, nie będzie wystarczająco skuteczny w wyegzekwowaniu obowiązku przekazania informacji, która ma zasadnicze znaczenie przy opracowywaniu sprawozdań przez podmioty przekazujące odpady komunalne do instalacji przetwarzania.</w:t>
            </w:r>
          </w:p>
        </w:tc>
        <w:tc>
          <w:tcPr>
            <w:tcW w:w="4252" w:type="dxa"/>
          </w:tcPr>
          <w:p w14:paraId="33C36D7E" w14:textId="3D53DC1E" w:rsidR="008654EE" w:rsidRPr="000E0901" w:rsidRDefault="008654EE" w:rsidP="008654EE">
            <w:pPr>
              <w:pStyle w:val="Tekstprzypisudolnego"/>
              <w:jc w:val="both"/>
              <w:rPr>
                <w:rFonts w:ascii="Tahoma" w:hAnsi="Tahoma"/>
                <w:kern w:val="2"/>
                <w14:ligatures w14:val="standardContextual"/>
              </w:rPr>
            </w:pPr>
            <w:r w:rsidRPr="000E0901">
              <w:rPr>
                <w:rFonts w:ascii="Tahoma" w:hAnsi="Tahoma"/>
                <w:kern w:val="2"/>
                <w14:ligatures w14:val="standardContextual"/>
              </w:rPr>
              <w:t>„Podmiot prowadzący przetwarzanie odpadów komunalnych oraz podmiot prowadzący przetwarzanie odpadów powstałych z przetwarzania odpadów komunalnych, który nie przekazuje informacji, o której mowa w art. 9oa ust. 5, podlega karze pieniężnej w wysokości 1000 zł za każdy dzień opóźnienia, nie więcej jednak niż za 365 dni.”</w:t>
            </w:r>
          </w:p>
        </w:tc>
        <w:tc>
          <w:tcPr>
            <w:tcW w:w="1428" w:type="dxa"/>
          </w:tcPr>
          <w:p w14:paraId="6B4C5CA1" w14:textId="77777777" w:rsidR="008654EE" w:rsidRPr="000E0901" w:rsidRDefault="008654EE" w:rsidP="008654EE">
            <w:pPr>
              <w:jc w:val="both"/>
              <w:rPr>
                <w:rFonts w:ascii="Lato" w:hAnsi="Lato" w:cs="Times New Roman"/>
                <w:sz w:val="20"/>
                <w:szCs w:val="20"/>
              </w:rPr>
            </w:pPr>
          </w:p>
        </w:tc>
      </w:tr>
      <w:bookmarkEnd w:id="0"/>
    </w:tbl>
    <w:p w14:paraId="4A485AB3" w14:textId="77777777" w:rsidR="00CA2841" w:rsidRPr="000E0901" w:rsidRDefault="00CA2841" w:rsidP="008B766F">
      <w:pPr>
        <w:spacing w:after="0" w:line="240" w:lineRule="auto"/>
        <w:rPr>
          <w:rFonts w:ascii="Lato" w:hAnsi="Lato" w:cs="Times New Roman"/>
          <w:sz w:val="20"/>
          <w:szCs w:val="20"/>
        </w:rPr>
      </w:pPr>
    </w:p>
    <w:sectPr w:rsidR="00CA2841" w:rsidRPr="000E0901" w:rsidSect="00B91BB7">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D89219" w14:textId="77777777" w:rsidR="00120B5B" w:rsidRDefault="00120B5B" w:rsidP="00CA2841">
      <w:pPr>
        <w:spacing w:after="0" w:line="240" w:lineRule="auto"/>
      </w:pPr>
      <w:r>
        <w:separator/>
      </w:r>
    </w:p>
  </w:endnote>
  <w:endnote w:type="continuationSeparator" w:id="0">
    <w:p w14:paraId="1F3A4DCE" w14:textId="77777777" w:rsidR="00120B5B" w:rsidRDefault="00120B5B" w:rsidP="00CA28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ato">
    <w:charset w:val="00"/>
    <w:family w:val="swiss"/>
    <w:pitch w:val="variable"/>
    <w:sig w:usb0="E10002FF" w:usb1="5000ECFF" w:usb2="00000021"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A2A6F8" w14:textId="77777777" w:rsidR="00120B5B" w:rsidRDefault="00120B5B" w:rsidP="00CA2841">
      <w:pPr>
        <w:spacing w:after="0" w:line="240" w:lineRule="auto"/>
      </w:pPr>
      <w:r>
        <w:separator/>
      </w:r>
    </w:p>
  </w:footnote>
  <w:footnote w:type="continuationSeparator" w:id="0">
    <w:p w14:paraId="148EE0D4" w14:textId="77777777" w:rsidR="00120B5B" w:rsidRDefault="00120B5B" w:rsidP="00CA2841">
      <w:pPr>
        <w:spacing w:after="0" w:line="240" w:lineRule="auto"/>
      </w:pPr>
      <w:r>
        <w:continuationSeparator/>
      </w:r>
    </w:p>
  </w:footnote>
  <w:footnote w:id="1">
    <w:p w14:paraId="722C9D04" w14:textId="76DFC1E6" w:rsidR="004F2D1D" w:rsidRPr="00EE16A3" w:rsidRDefault="004F2D1D">
      <w:pPr>
        <w:pStyle w:val="Tekstprzypisudolnego"/>
        <w:rPr>
          <w:rFonts w:ascii="Lato" w:hAnsi="Lato" w:cs="Times New Roman"/>
          <w:sz w:val="16"/>
          <w:szCs w:val="16"/>
        </w:rPr>
      </w:pPr>
      <w:r w:rsidRPr="00EE16A3">
        <w:rPr>
          <w:rStyle w:val="Odwoanieprzypisudolnego"/>
          <w:rFonts w:ascii="Lato" w:hAnsi="Lato" w:cs="Times New Roman"/>
          <w:sz w:val="14"/>
          <w:szCs w:val="14"/>
        </w:rPr>
        <w:t>1)</w:t>
      </w:r>
      <w:r w:rsidRPr="00EE16A3">
        <w:rPr>
          <w:rFonts w:ascii="Lato" w:hAnsi="Lato" w:cs="Times New Roman"/>
          <w:sz w:val="14"/>
          <w:szCs w:val="14"/>
        </w:rPr>
        <w:t xml:space="preserve"> </w:t>
      </w:r>
      <w:r w:rsidR="00B91BB7" w:rsidRPr="00EE16A3">
        <w:rPr>
          <w:rFonts w:ascii="Lato" w:hAnsi="Lato" w:cs="Times New Roman"/>
          <w:sz w:val="14"/>
          <w:szCs w:val="14"/>
        </w:rPr>
        <w:t>W przypadku aktu nowelizującego n</w:t>
      </w:r>
      <w:r w:rsidRPr="00EE16A3">
        <w:rPr>
          <w:rFonts w:ascii="Lato" w:hAnsi="Lato" w:cs="Times New Roman"/>
          <w:sz w:val="14"/>
          <w:szCs w:val="14"/>
        </w:rPr>
        <w:t xml:space="preserve">ależy wskazać jednostkę redakcyjną projektu </w:t>
      </w:r>
      <w:r w:rsidR="00EB31B4" w:rsidRPr="00EE16A3">
        <w:rPr>
          <w:rFonts w:ascii="Lato" w:hAnsi="Lato" w:cs="Times New Roman"/>
          <w:sz w:val="14"/>
          <w:szCs w:val="14"/>
        </w:rPr>
        <w:t>oraz jednostkę redakcyjną zmienianego aktu prawnego.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90B86"/>
    <w:multiLevelType w:val="hybridMultilevel"/>
    <w:tmpl w:val="9182B3B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69792461"/>
    <w:multiLevelType w:val="hybridMultilevel"/>
    <w:tmpl w:val="9182B3B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198854169">
    <w:abstractNumId w:val="1"/>
  </w:num>
  <w:num w:numId="2" w16cid:durableId="12480334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841"/>
    <w:rsid w:val="00002944"/>
    <w:rsid w:val="00030D91"/>
    <w:rsid w:val="000379A0"/>
    <w:rsid w:val="00066138"/>
    <w:rsid w:val="00073419"/>
    <w:rsid w:val="000961D3"/>
    <w:rsid w:val="00096CD1"/>
    <w:rsid w:val="000B4823"/>
    <w:rsid w:val="000B70D9"/>
    <w:rsid w:val="000E0901"/>
    <w:rsid w:val="00120B5B"/>
    <w:rsid w:val="00147BC2"/>
    <w:rsid w:val="0019568F"/>
    <w:rsid w:val="001B2700"/>
    <w:rsid w:val="001B734F"/>
    <w:rsid w:val="001C4EAA"/>
    <w:rsid w:val="001D3445"/>
    <w:rsid w:val="001E4824"/>
    <w:rsid w:val="002062FF"/>
    <w:rsid w:val="0021757B"/>
    <w:rsid w:val="00261A7F"/>
    <w:rsid w:val="002D3A02"/>
    <w:rsid w:val="002F19CA"/>
    <w:rsid w:val="002F3928"/>
    <w:rsid w:val="00351501"/>
    <w:rsid w:val="0037790A"/>
    <w:rsid w:val="00382DF4"/>
    <w:rsid w:val="003969D0"/>
    <w:rsid w:val="003D5B74"/>
    <w:rsid w:val="004013EA"/>
    <w:rsid w:val="00423C80"/>
    <w:rsid w:val="00435D45"/>
    <w:rsid w:val="00446ADF"/>
    <w:rsid w:val="0046170D"/>
    <w:rsid w:val="004819F3"/>
    <w:rsid w:val="004A75C7"/>
    <w:rsid w:val="004B03CE"/>
    <w:rsid w:val="004D19E3"/>
    <w:rsid w:val="004F2D1D"/>
    <w:rsid w:val="005021B1"/>
    <w:rsid w:val="00505271"/>
    <w:rsid w:val="00550794"/>
    <w:rsid w:val="005553BE"/>
    <w:rsid w:val="0057581A"/>
    <w:rsid w:val="005952E3"/>
    <w:rsid w:val="00600A7F"/>
    <w:rsid w:val="006248EE"/>
    <w:rsid w:val="0062739B"/>
    <w:rsid w:val="0065784C"/>
    <w:rsid w:val="00667A01"/>
    <w:rsid w:val="006E6A4B"/>
    <w:rsid w:val="007240B4"/>
    <w:rsid w:val="00726A19"/>
    <w:rsid w:val="0076616A"/>
    <w:rsid w:val="00773DAD"/>
    <w:rsid w:val="007C6691"/>
    <w:rsid w:val="00836D93"/>
    <w:rsid w:val="008416F0"/>
    <w:rsid w:val="008654EE"/>
    <w:rsid w:val="008808AC"/>
    <w:rsid w:val="00894E5C"/>
    <w:rsid w:val="008B1756"/>
    <w:rsid w:val="008B766F"/>
    <w:rsid w:val="008D5BFF"/>
    <w:rsid w:val="0090574C"/>
    <w:rsid w:val="009133EF"/>
    <w:rsid w:val="00923361"/>
    <w:rsid w:val="00976E2D"/>
    <w:rsid w:val="009B5AD6"/>
    <w:rsid w:val="009E504D"/>
    <w:rsid w:val="00A32279"/>
    <w:rsid w:val="00A45302"/>
    <w:rsid w:val="00A84BBA"/>
    <w:rsid w:val="00B24EF6"/>
    <w:rsid w:val="00B817EA"/>
    <w:rsid w:val="00B829F8"/>
    <w:rsid w:val="00B91BB7"/>
    <w:rsid w:val="00BA638B"/>
    <w:rsid w:val="00C139EF"/>
    <w:rsid w:val="00C342BB"/>
    <w:rsid w:val="00C34A2E"/>
    <w:rsid w:val="00C37DCE"/>
    <w:rsid w:val="00C46B11"/>
    <w:rsid w:val="00C63760"/>
    <w:rsid w:val="00C93278"/>
    <w:rsid w:val="00CA2841"/>
    <w:rsid w:val="00CC6CD9"/>
    <w:rsid w:val="00CD3075"/>
    <w:rsid w:val="00D056AF"/>
    <w:rsid w:val="00D235B2"/>
    <w:rsid w:val="00D35962"/>
    <w:rsid w:val="00DD49E8"/>
    <w:rsid w:val="00DF00E7"/>
    <w:rsid w:val="00E02E09"/>
    <w:rsid w:val="00E40E3D"/>
    <w:rsid w:val="00E51742"/>
    <w:rsid w:val="00E559AC"/>
    <w:rsid w:val="00E55CC6"/>
    <w:rsid w:val="00E61164"/>
    <w:rsid w:val="00E647CC"/>
    <w:rsid w:val="00E80E86"/>
    <w:rsid w:val="00E93CED"/>
    <w:rsid w:val="00EB31B4"/>
    <w:rsid w:val="00EB346E"/>
    <w:rsid w:val="00EC4C43"/>
    <w:rsid w:val="00EE16A3"/>
    <w:rsid w:val="00EF494C"/>
    <w:rsid w:val="00EF7928"/>
    <w:rsid w:val="00F209BC"/>
    <w:rsid w:val="00FB2DB4"/>
    <w:rsid w:val="00FF027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43F60"/>
  <w15:chartTrackingRefBased/>
  <w15:docId w15:val="{6BE2EF6E-7A57-45BA-8729-04A92DBED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CA2841"/>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CA2841"/>
    <w:rPr>
      <w:sz w:val="20"/>
      <w:szCs w:val="20"/>
    </w:rPr>
  </w:style>
  <w:style w:type="character" w:styleId="Odwoanieprzypisudolnego">
    <w:name w:val="footnote reference"/>
    <w:basedOn w:val="Domylnaczcionkaakapitu"/>
    <w:uiPriority w:val="99"/>
    <w:semiHidden/>
    <w:unhideWhenUsed/>
    <w:rsid w:val="00CA2841"/>
    <w:rPr>
      <w:vertAlign w:val="superscript"/>
    </w:rPr>
  </w:style>
  <w:style w:type="table" w:styleId="Tabela-Siatka">
    <w:name w:val="Table Grid"/>
    <w:basedOn w:val="Standardowy"/>
    <w:uiPriority w:val="39"/>
    <w:rsid w:val="00CA28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4F2D1D"/>
    <w:rPr>
      <w:sz w:val="16"/>
      <w:szCs w:val="16"/>
    </w:rPr>
  </w:style>
  <w:style w:type="paragraph" w:styleId="Tekstkomentarza">
    <w:name w:val="annotation text"/>
    <w:basedOn w:val="Normalny"/>
    <w:link w:val="TekstkomentarzaZnak"/>
    <w:uiPriority w:val="99"/>
    <w:unhideWhenUsed/>
    <w:rsid w:val="004F2D1D"/>
    <w:pPr>
      <w:spacing w:line="240" w:lineRule="auto"/>
    </w:pPr>
    <w:rPr>
      <w:sz w:val="20"/>
      <w:szCs w:val="20"/>
    </w:rPr>
  </w:style>
  <w:style w:type="character" w:customStyle="1" w:styleId="TekstkomentarzaZnak">
    <w:name w:val="Tekst komentarza Znak"/>
    <w:basedOn w:val="Domylnaczcionkaakapitu"/>
    <w:link w:val="Tekstkomentarza"/>
    <w:uiPriority w:val="99"/>
    <w:rsid w:val="004F2D1D"/>
    <w:rPr>
      <w:sz w:val="20"/>
      <w:szCs w:val="20"/>
    </w:rPr>
  </w:style>
  <w:style w:type="paragraph" w:styleId="Tematkomentarza">
    <w:name w:val="annotation subject"/>
    <w:basedOn w:val="Tekstkomentarza"/>
    <w:next w:val="Tekstkomentarza"/>
    <w:link w:val="TematkomentarzaZnak"/>
    <w:uiPriority w:val="99"/>
    <w:semiHidden/>
    <w:unhideWhenUsed/>
    <w:rsid w:val="004F2D1D"/>
    <w:rPr>
      <w:b/>
      <w:bCs/>
    </w:rPr>
  </w:style>
  <w:style w:type="character" w:customStyle="1" w:styleId="TematkomentarzaZnak">
    <w:name w:val="Temat komentarza Znak"/>
    <w:basedOn w:val="TekstkomentarzaZnak"/>
    <w:link w:val="Tematkomentarza"/>
    <w:uiPriority w:val="99"/>
    <w:semiHidden/>
    <w:rsid w:val="004F2D1D"/>
    <w:rPr>
      <w:b/>
      <w:bCs/>
      <w:sz w:val="20"/>
      <w:szCs w:val="20"/>
    </w:rPr>
  </w:style>
  <w:style w:type="paragraph" w:customStyle="1" w:styleId="pf0">
    <w:name w:val="pf0"/>
    <w:basedOn w:val="Normalny"/>
    <w:rsid w:val="000B70D9"/>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styleId="Akapitzlist">
    <w:name w:val="List Paragraph"/>
    <w:basedOn w:val="Normalny"/>
    <w:link w:val="AkapitzlistZnak"/>
    <w:uiPriority w:val="34"/>
    <w:qFormat/>
    <w:rsid w:val="00550794"/>
    <w:pPr>
      <w:spacing w:after="200" w:line="276" w:lineRule="auto"/>
      <w:ind w:left="720"/>
      <w:contextualSpacing/>
    </w:pPr>
    <w:rPr>
      <w:rFonts w:ascii="Calibri" w:hAnsi="Calibri" w:cs="Times New Roman"/>
      <w:lang w:val="en-US"/>
    </w:rPr>
  </w:style>
  <w:style w:type="character" w:customStyle="1" w:styleId="AkapitzlistZnak">
    <w:name w:val="Akapit z listą Znak"/>
    <w:basedOn w:val="Domylnaczcionkaakapitu"/>
    <w:link w:val="Akapitzlist"/>
    <w:uiPriority w:val="34"/>
    <w:locked/>
    <w:rsid w:val="00550794"/>
    <w:rPr>
      <w:rFonts w:ascii="Calibri" w:hAnsi="Calibri" w:cs="Times New Roman"/>
      <w:lang w:val="en-US"/>
    </w:rPr>
  </w:style>
  <w:style w:type="character" w:styleId="Hipercze">
    <w:name w:val="Hyperlink"/>
    <w:basedOn w:val="Domylnaczcionkaakapitu"/>
    <w:uiPriority w:val="99"/>
    <w:unhideWhenUsed/>
    <w:rsid w:val="00073419"/>
    <w:rPr>
      <w:color w:val="0563C1" w:themeColor="hyperlink"/>
      <w:u w:val="single"/>
    </w:rPr>
  </w:style>
  <w:style w:type="paragraph" w:styleId="Nagwek">
    <w:name w:val="header"/>
    <w:basedOn w:val="Normalny"/>
    <w:link w:val="NagwekZnak"/>
    <w:uiPriority w:val="99"/>
    <w:semiHidden/>
    <w:unhideWhenUsed/>
    <w:rsid w:val="00C37DCE"/>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C37DCE"/>
  </w:style>
  <w:style w:type="paragraph" w:styleId="Stopka">
    <w:name w:val="footer"/>
    <w:basedOn w:val="Normalny"/>
    <w:link w:val="StopkaZnak"/>
    <w:uiPriority w:val="99"/>
    <w:semiHidden/>
    <w:unhideWhenUsed/>
    <w:rsid w:val="00C37DCE"/>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C37D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468A9B-02CF-49B8-B19D-07AFA93A73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14</Pages>
  <Words>4306</Words>
  <Characters>25839</Characters>
  <Application>Microsoft Office Word</Application>
  <DocSecurity>0</DocSecurity>
  <Lines>215</Lines>
  <Paragraphs>60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Wójcikiewicz-Kawa Agata</dc:creator>
  <cp:keywords/>
  <dc:description/>
  <cp:lastModifiedBy>Magdalena Widlicka</cp:lastModifiedBy>
  <cp:revision>65</cp:revision>
  <dcterms:created xsi:type="dcterms:W3CDTF">2025-10-29T08:41:00Z</dcterms:created>
  <dcterms:modified xsi:type="dcterms:W3CDTF">2025-11-28T13:00:00Z</dcterms:modified>
</cp:coreProperties>
</file>