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1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544"/>
        <w:gridCol w:w="5528"/>
        <w:gridCol w:w="5529"/>
      </w:tblGrid>
      <w:tr w:rsidR="009717B7" w:rsidRPr="00A06425" w14:paraId="6BA14475" w14:textId="77777777" w:rsidTr="696DDDCF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D33A2A8" w14:textId="77777777" w:rsidR="009717B7" w:rsidRPr="00A06425" w:rsidRDefault="009717B7" w:rsidP="009717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p.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762988C" w14:textId="61BC25F2" w:rsidR="009717B7" w:rsidRPr="00A06425" w:rsidRDefault="009717B7" w:rsidP="009717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Jednostka redakcyjna</w:t>
            </w:r>
            <w:r w:rsidR="00EA6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, do której wnoszon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jest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uwag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a/ str. uzasadnienia/ pkt OSR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11033521" w14:textId="2B020735" w:rsidR="009717B7" w:rsidRPr="00A06425" w:rsidRDefault="009717B7" w:rsidP="009717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Treść uwagi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5C82FB77" w14:textId="562A7738" w:rsidR="009717B7" w:rsidRPr="00A06425" w:rsidRDefault="009717B7" w:rsidP="009717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Propozycja brzmienia przepisu</w:t>
            </w:r>
          </w:p>
        </w:tc>
      </w:tr>
      <w:tr w:rsidR="00686DC3" w:rsidRPr="002F2665" w14:paraId="2773F3DE" w14:textId="77777777" w:rsidTr="696DDDCF">
        <w:tc>
          <w:tcPr>
            <w:tcW w:w="562" w:type="dxa"/>
          </w:tcPr>
          <w:p w14:paraId="0E853C21" w14:textId="77777777" w:rsidR="00686DC3" w:rsidRPr="00183F8A" w:rsidRDefault="00686DC3" w:rsidP="00686DC3">
            <w:pPr>
              <w:pStyle w:val="Akapitzlist"/>
              <w:numPr>
                <w:ilvl w:val="0"/>
                <w:numId w:val="10"/>
              </w:numPr>
              <w:spacing w:before="120" w:after="120"/>
              <w:ind w:left="357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28607AAF" w14:textId="73F2B626" w:rsidR="00686DC3" w:rsidRDefault="00686DC3" w:rsidP="00686D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Uwaga ogólna</w:t>
            </w:r>
          </w:p>
        </w:tc>
        <w:tc>
          <w:tcPr>
            <w:tcW w:w="5528" w:type="dxa"/>
          </w:tcPr>
          <w:p w14:paraId="184F43FF" w14:textId="4142C25F" w:rsidR="00686DC3" w:rsidRPr="00E30DC8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</w:rPr>
            </w:pPr>
            <w:r w:rsidRPr="00F4626B">
              <w:rPr>
                <w:rFonts w:ascii="Aptos" w:eastAsia="Aptos" w:hAnsi="Aptos" w:cs="Aptos"/>
                <w:color w:val="242424"/>
                <w:sz w:val="22"/>
                <w:szCs w:val="22"/>
              </w:rPr>
              <w:t>Z uwagi na niejasność przepisów, brak praktyk rynkowych, przy jednoczesnym rozbudowanym systemie kar postulujemy wprowadzenie zinstytucjonalizowanej zasady dialogu podmiotów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, objętych wymogami </w:t>
            </w:r>
            <w:r w:rsidRPr="00F4626B">
              <w:rPr>
                <w:rFonts w:ascii="Aptos" w:eastAsia="Aptos" w:hAnsi="Aptos" w:cs="Aptos"/>
                <w:color w:val="242424"/>
                <w:sz w:val="22"/>
                <w:szCs w:val="22"/>
              </w:rPr>
              <w:t>D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ata </w:t>
            </w:r>
            <w:proofErr w:type="spellStart"/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>Act</w:t>
            </w:r>
            <w:proofErr w:type="spellEnd"/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 z</w:t>
            </w:r>
            <w:r w:rsidRPr="00F4626B"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 właściwym organem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 nadzoru.</w:t>
            </w:r>
          </w:p>
        </w:tc>
        <w:tc>
          <w:tcPr>
            <w:tcW w:w="5529" w:type="dxa"/>
          </w:tcPr>
          <w:p w14:paraId="33F05EDC" w14:textId="39278603" w:rsidR="00686DC3" w:rsidRPr="002F2665" w:rsidRDefault="00686DC3" w:rsidP="00686DC3">
            <w:pPr>
              <w:rPr>
                <w:rFonts w:asciiTheme="minorHAnsi" w:hAnsiTheme="minorHAnsi" w:cstheme="minorBid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val="pl"/>
              </w:rPr>
              <w:t xml:space="preserve">Dodanie przepisu zobowiązującego organ nadzoru do dialogu z podmiotami zobowiązanymi do stosowania przepisów Data </w:t>
            </w:r>
            <w:proofErr w:type="spellStart"/>
            <w:r>
              <w:rPr>
                <w:rFonts w:asciiTheme="minorHAnsi" w:hAnsiTheme="minorHAnsi" w:cstheme="minorBidi"/>
                <w:sz w:val="22"/>
                <w:szCs w:val="22"/>
                <w:lang w:val="pl"/>
              </w:rPr>
              <w:t>Act</w:t>
            </w:r>
            <w:proofErr w:type="spellEnd"/>
            <w:r>
              <w:rPr>
                <w:rFonts w:asciiTheme="minorHAnsi" w:hAnsiTheme="minorHAnsi" w:cstheme="minorBidi"/>
                <w:sz w:val="22"/>
                <w:szCs w:val="22"/>
                <w:lang w:val="pl"/>
              </w:rPr>
              <w:t>.</w:t>
            </w:r>
          </w:p>
        </w:tc>
      </w:tr>
      <w:tr w:rsidR="00686DC3" w:rsidRPr="002F2665" w14:paraId="0D460C99" w14:textId="77777777" w:rsidTr="696DDDCF">
        <w:tc>
          <w:tcPr>
            <w:tcW w:w="562" w:type="dxa"/>
          </w:tcPr>
          <w:p w14:paraId="706F47EE" w14:textId="77777777" w:rsidR="00686DC3" w:rsidRPr="00183F8A" w:rsidRDefault="00686DC3" w:rsidP="00686DC3">
            <w:pPr>
              <w:pStyle w:val="Akapitzlist"/>
              <w:numPr>
                <w:ilvl w:val="0"/>
                <w:numId w:val="10"/>
              </w:numPr>
              <w:spacing w:before="120" w:after="120"/>
              <w:ind w:left="357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7C0531BC" w14:textId="77777777" w:rsidR="00686DC3" w:rsidRDefault="00686DC3" w:rsidP="00686D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Dodanie nowych przepisów</w:t>
            </w:r>
          </w:p>
          <w:p w14:paraId="5653FDE9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1E4F4B1A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34F1ED2E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5EC4A108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3C643B58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417A6063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71EA665A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76D4163C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7F8D08A9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65B4865D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0BE209F6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43DD6EF1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16925C24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0AE74F97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7AE41EB8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49834039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7FD82053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0BAAD4D4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06712E52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1A8312BF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1FA6AF6A" w14:textId="77777777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30099796" w14:textId="77777777" w:rsidR="00534D6B" w:rsidRPr="00534D6B" w:rsidRDefault="00534D6B" w:rsidP="00E46ADF">
            <w:pPr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78276DDE" w14:textId="1DB2BAB6" w:rsidR="00534D6B" w:rsidRPr="00534D6B" w:rsidRDefault="00534D6B" w:rsidP="00E46ADF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528" w:type="dxa"/>
          </w:tcPr>
          <w:p w14:paraId="56564815" w14:textId="66A814AF" w:rsidR="00686DC3" w:rsidRPr="002F2665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</w:rPr>
            </w:pPr>
            <w:r w:rsidRPr="00E30DC8">
              <w:rPr>
                <w:rFonts w:ascii="Aptos" w:eastAsia="Aptos" w:hAnsi="Aptos" w:cs="Aptos"/>
                <w:color w:val="242424"/>
                <w:sz w:val="22"/>
                <w:szCs w:val="22"/>
              </w:rPr>
              <w:lastRenderedPageBreak/>
              <w:t xml:space="preserve">Przepisy Data </w:t>
            </w:r>
            <w:proofErr w:type="spellStart"/>
            <w:r w:rsidRPr="00E30DC8">
              <w:rPr>
                <w:rFonts w:ascii="Aptos" w:eastAsia="Aptos" w:hAnsi="Aptos" w:cs="Aptos"/>
                <w:color w:val="242424"/>
                <w:sz w:val="22"/>
                <w:szCs w:val="22"/>
              </w:rPr>
              <w:t>Act</w:t>
            </w:r>
            <w:proofErr w:type="spellEnd"/>
            <w:r w:rsidRPr="00E30DC8"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 s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ą niejasne i wzbudzają liczne wątpliwości interpretacyjne. Nie ma utrwalonych praktyk rynkowych, które ułatwiałyby ich zrozumienie, a sama Komisja Europejska przewiduje kształtowanie się interpretacji na podstawie orzecznictwa TSUE. Rodzi to istotne ryzyka dla podmiotów gospodarczych, które są już objęte przepisami Data </w:t>
            </w:r>
            <w:proofErr w:type="spellStart"/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>Act</w:t>
            </w:r>
            <w:proofErr w:type="spellEnd"/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 lub mogą za takie być uznane przez organ. Postulujemy dodanie przepisów wprowadzających </w:t>
            </w:r>
            <w:r w:rsidRPr="002F2665">
              <w:rPr>
                <w:rFonts w:ascii="Aptos" w:eastAsia="Aptos" w:hAnsi="Aptos" w:cs="Aptos"/>
                <w:color w:val="242424"/>
                <w:sz w:val="22"/>
                <w:szCs w:val="22"/>
              </w:rPr>
              <w:t>możliwość wydawania przez Prezesa UKE opinii indywidualnych i wyjaśnień.</w:t>
            </w:r>
          </w:p>
          <w:p w14:paraId="47181F73" w14:textId="3D20FE70" w:rsidR="00686DC3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 Taka forma prawna działania organów administracji funkcjonuje już w innych przepisach polskiego prawa.</w:t>
            </w:r>
          </w:p>
          <w:p w14:paraId="358EBD55" w14:textId="13B3F874" w:rsidR="00686DC3" w:rsidRPr="002F2665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W odniesieniu do projektu UC114 proponujemy wzorowanie się na przepisach zawartych w projekcie </w:t>
            </w:r>
            <w:r w:rsidRPr="005051F4">
              <w:rPr>
                <w:rFonts w:ascii="Aptos" w:eastAsia="Aptos" w:hAnsi="Aptos" w:cs="Aptos"/>
                <w:color w:val="242424"/>
                <w:sz w:val="22"/>
                <w:szCs w:val="22"/>
              </w:rPr>
              <w:t>ustawy o systemach sztucznej inteligencji (zwanego dalej „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projekt </w:t>
            </w:r>
            <w:proofErr w:type="spellStart"/>
            <w:r w:rsidRPr="00E30DC8">
              <w:rPr>
                <w:rFonts w:ascii="Aptos" w:eastAsia="Aptos" w:hAnsi="Aptos" w:cs="Aptos"/>
                <w:i/>
                <w:iCs/>
                <w:color w:val="242424"/>
                <w:sz w:val="22"/>
                <w:szCs w:val="22"/>
              </w:rPr>
              <w:t>ussi</w:t>
            </w:r>
            <w:proofErr w:type="spellEnd"/>
            <w:r w:rsidRPr="005051F4">
              <w:rPr>
                <w:rFonts w:ascii="Aptos" w:eastAsia="Aptos" w:hAnsi="Aptos" w:cs="Aptos"/>
                <w:color w:val="242424"/>
                <w:sz w:val="22"/>
                <w:szCs w:val="22"/>
              </w:rPr>
              <w:t>”).</w:t>
            </w:r>
          </w:p>
          <w:p w14:paraId="1BAED9F5" w14:textId="3008DFCB" w:rsidR="00686DC3" w:rsidRPr="00E30DC8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</w:rPr>
            </w:pPr>
          </w:p>
        </w:tc>
        <w:tc>
          <w:tcPr>
            <w:tcW w:w="5529" w:type="dxa"/>
          </w:tcPr>
          <w:p w14:paraId="0F175C6F" w14:textId="43EF7956" w:rsidR="00686DC3" w:rsidRPr="002F2665" w:rsidRDefault="00686DC3" w:rsidP="00686DC3">
            <w:p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bookmarkStart w:id="0" w:name="_Hlk179393087"/>
            <w:r w:rsidRPr="002F2665">
              <w:rPr>
                <w:rFonts w:asciiTheme="minorHAnsi" w:hAnsiTheme="minorHAnsi" w:cstheme="minorBidi"/>
                <w:bCs/>
                <w:sz w:val="22"/>
                <w:szCs w:val="22"/>
              </w:rPr>
              <w:t>„</w:t>
            </w:r>
            <w:r w:rsidRPr="002F2665">
              <w:rPr>
                <w:rFonts w:asciiTheme="minorHAnsi" w:hAnsiTheme="minorHAnsi" w:cstheme="minorBidi"/>
                <w:b/>
                <w:i/>
                <w:iCs/>
                <w:sz w:val="22"/>
                <w:szCs w:val="22"/>
              </w:rPr>
              <w:t xml:space="preserve">Art. </w:t>
            </w:r>
            <w:r>
              <w:rPr>
                <w:rFonts w:asciiTheme="minorHAnsi" w:hAnsiTheme="minorHAnsi" w:cstheme="minorBidi"/>
                <w:b/>
                <w:i/>
                <w:iCs/>
                <w:sz w:val="22"/>
                <w:szCs w:val="22"/>
              </w:rPr>
              <w:t>…</w:t>
            </w:r>
            <w:r w:rsidRPr="002F2665">
              <w:rPr>
                <w:rFonts w:asciiTheme="minorHAnsi" w:hAnsiTheme="minorHAnsi" w:cstheme="minorBidi"/>
                <w:b/>
                <w:i/>
                <w:iCs/>
                <w:sz w:val="22"/>
                <w:szCs w:val="22"/>
              </w:rPr>
              <w:t>.</w:t>
            </w:r>
            <w:r w:rsidRPr="002F2665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</w:t>
            </w:r>
            <w:bookmarkEnd w:id="0"/>
            <w:r w:rsidRPr="002F2665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1. Prezes UKE może wydawać opinie indywidualne i wyjaśnienia w sprawach objętych zakresem jego działania.</w:t>
            </w:r>
          </w:p>
          <w:p w14:paraId="0E41C7A6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</w:p>
          <w:p w14:paraId="0C94DD0F" w14:textId="0E0956C4" w:rsidR="00686DC3" w:rsidRPr="002F2665" w:rsidRDefault="00686DC3" w:rsidP="00686DC3">
            <w:p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/>
                <w:i/>
                <w:iCs/>
                <w:sz w:val="22"/>
                <w:szCs w:val="22"/>
              </w:rPr>
              <w:t xml:space="preserve">Art. </w:t>
            </w:r>
            <w:r>
              <w:rPr>
                <w:rFonts w:asciiTheme="minorHAnsi" w:hAnsiTheme="minorHAnsi" w:cstheme="minorBidi"/>
                <w:b/>
                <w:i/>
                <w:iCs/>
                <w:sz w:val="22"/>
                <w:szCs w:val="22"/>
              </w:rPr>
              <w:t>…</w:t>
            </w:r>
            <w:r w:rsidRPr="002F2665">
              <w:rPr>
                <w:rFonts w:asciiTheme="minorHAnsi" w:hAnsiTheme="minorHAnsi" w:cstheme="minorBidi"/>
                <w:b/>
                <w:i/>
                <w:iCs/>
                <w:sz w:val="22"/>
                <w:szCs w:val="22"/>
              </w:rPr>
              <w:t>.</w:t>
            </w:r>
            <w:r w:rsidRPr="002F2665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1. Podmiot obowiązany do stosowania rozporządzenia 2023/2854 oraz ustawy lub podmiot, który planuje podjąć działania, na skutek których zostanie objęty zakresem stosowania tych przepisów, może zwrócić się do Prezesa UKE z wnioskiem o wydanie opinii indywidualnej w zakresie stosowania tych przepisów w jego indywidualnej sprawie, zwanej dalej „opinią indywidualną”.</w:t>
            </w:r>
          </w:p>
          <w:p w14:paraId="45F1534D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 xml:space="preserve">2. Wniosek o wydanie opinii indywidualnej może dotyczyć zaistniałego stanu faktycznego lub zdarzenia przyszłego w zakresie objętym przepisami </w:t>
            </w:r>
            <w:r w:rsidRPr="002F2665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rozporządzenia 2023/2854 </w:t>
            </w: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 xml:space="preserve">lub ustawy. </w:t>
            </w:r>
          </w:p>
          <w:p w14:paraId="56159C6B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3. Wniosek o wydanie opinii indywidualnej zawiera:</w:t>
            </w:r>
          </w:p>
          <w:p w14:paraId="161EA0D8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1)</w:t>
            </w: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ab/>
              <w:t>wyczerpujący opis stanu faktycznego lub zdarzenia przyszłego, którego ma dotyczyć opinia indywidualna;</w:t>
            </w:r>
          </w:p>
          <w:p w14:paraId="300D4E7E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2)</w:t>
            </w: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ab/>
              <w:t>własne stanowisko podmiotu składającego wniosek o wydanie opinii indywidualnej w zakresie oceny prawnej tego stanu faktycznego lub zdarzenia przyszłego;</w:t>
            </w:r>
          </w:p>
          <w:p w14:paraId="09891151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3)</w:t>
            </w: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ab/>
              <w:t xml:space="preserve">oznaczenie podmiotu składającego wniosek, w tym imię i nazwisko osoby składającej wniosek, a w przypadku </w:t>
            </w: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lastRenderedPageBreak/>
              <w:t>przedsiębiorcy jego nazwę i siedzibę, oraz adres do korespondencji;</w:t>
            </w:r>
          </w:p>
          <w:p w14:paraId="6A6A0639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4)</w:t>
            </w: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ab/>
              <w:t>dowód uiszczenia opłaty, o której mowa w ust. 4.</w:t>
            </w:r>
          </w:p>
          <w:p w14:paraId="007DA296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4. Wniosek o wydanie opinii indywidualnej podlega opłacie w wysokości 150 zł, którą uiszcza się przed złożeniem wniosku. Opłata stanowi dochód urzędu obsługującego ministra właściwego do spraw informatyzacji.</w:t>
            </w:r>
          </w:p>
          <w:p w14:paraId="6ED2FADA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5. W przypadku wystąpienia z jednym wnioskiem o wydanie opinii indywidualnej dla odrębnych stanów faktycznych lub zdarzeń przyszłych opłatę uiszcza się od każdego przedstawionego we wniosku odrębnego stanu faktycznego lub zdarzenia przyszłego.</w:t>
            </w:r>
          </w:p>
          <w:p w14:paraId="2EEE7D66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6. W przypadku, gdy wniosek o wydanie opinii indywidualnej nie spełnia wymogów określonych w ust. 2 i 3, Prezes UKE wzywa podmiot, który go złożył, do uzupełnienia braków w terminie 7 dni od dnia doręczenia wezwania. W przypadku nieuzupełnienia braków w wyznaczonym terminie wniosek pozostawia się bez rozpoznania.</w:t>
            </w:r>
          </w:p>
          <w:p w14:paraId="0E4D8F58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7. Opłata za wniosek o wydanie opinii indywidualnej podlega zwrotowi wyłącznie w przypadku:</w:t>
            </w:r>
          </w:p>
          <w:p w14:paraId="5080DBEA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1)</w:t>
            </w: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ab/>
              <w:t>wycofania wniosku – w całości;</w:t>
            </w:r>
          </w:p>
          <w:p w14:paraId="7A817BA4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2)</w:t>
            </w: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ab/>
              <w:t>uiszczenia jej w kwocie wyższej od należnej – w odpowiedniej części;</w:t>
            </w:r>
          </w:p>
          <w:p w14:paraId="54714866" w14:textId="77777777" w:rsidR="00686DC3" w:rsidRPr="002F2665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3)</w:t>
            </w:r>
            <w:r w:rsidRPr="002F2665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ab/>
              <w:t>niewydania przez Prezesa UKE opinii w terminach, o których mowa w ust. 9 – w całości.</w:t>
            </w:r>
          </w:p>
          <w:p w14:paraId="732DD6F2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8. Zwrot nienależnej opłaty następuje, w przypadku, o którym mowa w ust. 7:</w:t>
            </w:r>
          </w:p>
          <w:p w14:paraId="409BEF4F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1)</w:t>
            </w: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ab/>
              <w:t>pkt 1 – w terminie 30 dni od dnia wycofania wniosku;</w:t>
            </w:r>
          </w:p>
          <w:p w14:paraId="39388B08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2)</w:t>
            </w: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ab/>
              <w:t>pkt 2 – w terminie 30 dni od dnia uiszczenia opłaty;</w:t>
            </w:r>
          </w:p>
          <w:p w14:paraId="493A89DF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lastRenderedPageBreak/>
              <w:t>3)</w:t>
            </w: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ab/>
              <w:t>pkt 3 –w terminie 30 dni od dnia upływu terminu na wydanie opinii.</w:t>
            </w:r>
          </w:p>
          <w:p w14:paraId="65C8134A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9. Prezes UKE wydaje i doręcza opinię indywidualną bez zbędnej zwłoki, jednak nie później niż w terminie 30 dni od dnia uiszczenia opłaty za wniosek, o której mowa w ust. 4, a w przypadkach szczególnie skomplikowanych – nie później niż w terminie 60 dni od dnia uiszczenia tej opłaty. Prezes UKE informuje podmiot, który złożył wniosek o wydanie opinii indywidualnej, o tym, że uznaje przypadek za szczególnie skomplikowany.</w:t>
            </w:r>
          </w:p>
          <w:p w14:paraId="4798F192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 xml:space="preserve">10. Wydając opinię indywidualną Prezes UKE może zasięgnąć opinii innych organów państwowych i jednostek organizacyjnych. </w:t>
            </w:r>
          </w:p>
          <w:p w14:paraId="51785943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11. Niewydanie opinii indywidualnej w terminach, o których mowa w ust. 9, uznaje się za wydanie opinii indywidualnej zgodnie ze stanowiskiem podmiotu, które przedstawił we wniosku o wydanie opinii indywidualnej.</w:t>
            </w:r>
          </w:p>
          <w:p w14:paraId="11053669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12. Opinia indywidualna zawiera w szczególności opis zagadnienia, w związku, z którym jest dokonywana, i ocenę stanowiska podmiotu, o którym mowa w ust. 3 pkt 2, wraz z uzasadnieniem prawnym.</w:t>
            </w:r>
          </w:p>
          <w:p w14:paraId="1005102C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13. Opinia indywidualna jest wiążąca dla Prezesa UKE i innych organów państwowych oraz jednostek organizacyjnych, o których mowa w ust. 10, w zakresie danej sprawy we wskazanym we wniosku stanie faktycznym lub zdarzeniu przyszłym. Opinia nie może być zmieniona, jeżeli w wyniku jej wydania wystąpiły lub mogą wystąpić nieodwracalne skutki.</w:t>
            </w:r>
          </w:p>
          <w:p w14:paraId="2D4A1A0A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 xml:space="preserve">14. Nie wydaje się opinii indywidualnej w zakresie tych elementów stanu faktycznego, które w dniu złożenia wniosku o wydanie opinii indywidualnej są przedmiotem toczącego się postępowania przed Prezesem UKE lub przed </w:t>
            </w: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lastRenderedPageBreak/>
              <w:t>innymi organami, w tym postępowania sądowego lub sądowo administracyjnego, albo gdy w tym zakresie sprawa została rozstrzygnięta.</w:t>
            </w:r>
          </w:p>
          <w:p w14:paraId="0ED5B200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15. Podmiot, o którym mowa w ust. 1, występując z wnioskiem o wydanie opinii indywidualnej, składa oświadczenie, że w dniu złożenia wniosku elementy stanu faktycznego objęte wnioskiem nie są przedmiotem postępowań, o których mowa w ust. 14, prowadzonych w stosunku do niego przed innymi organami i sądami.</w:t>
            </w:r>
          </w:p>
          <w:p w14:paraId="371A5E9A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16. W razie złożenia fałszywego oświadczenia, o którym mowa w ust. 15, opinia indywidualna nie wywołuje skutków prawnych.</w:t>
            </w:r>
          </w:p>
          <w:p w14:paraId="09AC010E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 xml:space="preserve">17. Prezes UKE może: </w:t>
            </w:r>
          </w:p>
          <w:p w14:paraId="26B13806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1)</w:t>
            </w: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ab/>
              <w:t xml:space="preserve">zmienić lub uchylić wydaną opinię indywidualną, jeżeli stwierdzi jej nieprawidłowość, uwzględniając w szczególności zmiany stanu prawnego, orzecznictwo sądów, jak również </w:t>
            </w:r>
            <w:r w:rsidRPr="008D3917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akty delegowane lub wykonawcze,</w:t>
            </w: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 xml:space="preserve"> wytyczne, interpretacje, rekomendacje i wyjaśnienia Komisji Europejskiej wydane w oparciu o przepisy </w:t>
            </w:r>
            <w:r w:rsidRPr="008D3917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rozporządzenia 2023/2854</w:t>
            </w: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;</w:t>
            </w:r>
          </w:p>
          <w:p w14:paraId="77BF1205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2)</w:t>
            </w: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ab/>
              <w:t>uchylić wydaną opinię indywidualną z uwagi na wystąpienie przesłanki wymienionej w ust. 14;</w:t>
            </w:r>
          </w:p>
          <w:p w14:paraId="782353D5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3)</w:t>
            </w: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ab/>
              <w:t>stwierdzić wygaśnięcie opinii indywidualnej, jeżeli jest ona niezgodna z wyjaśnieniami, o których mowa w art. 14, wydanymi w takim samym stanie prawnym.</w:t>
            </w:r>
          </w:p>
          <w:p w14:paraId="7E5402B1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18. Zmiana opinii indywidualnej następuje w odniesieniu do opisanego we wniosku stanu faktycznego lub zdarzenia przyszłego, na podstawie którego wydana została zmieniona opinia.</w:t>
            </w:r>
          </w:p>
          <w:p w14:paraId="77F84B4A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19. Uchylenie lub stwierdzenie wygaśnięcia opinii indywidualnej następuje w formie postanowienia, na które nie służy zażalenie.</w:t>
            </w:r>
          </w:p>
          <w:p w14:paraId="71DC86E0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lastRenderedPageBreak/>
              <w:t>20. Zmianę opinii indywidualnej albo postanowienie, o którym mowa w ust. 19, doręcza się podmiotowi, któremu w danej sprawie została wydana opinia indywidualna, albo jego następcy prawnemu.</w:t>
            </w:r>
          </w:p>
          <w:p w14:paraId="342F2C79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 xml:space="preserve">21. Zastosowanie się do opinii indywidualnej przed jej zmianą, stwierdzeniem nieważności albo uchyleniem nie może szkodzić podmiotowi, któremu opinia indywidualna została wydana. </w:t>
            </w:r>
          </w:p>
          <w:p w14:paraId="10C9E36B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</w:p>
          <w:p w14:paraId="2C2641F6" w14:textId="08EF8EA2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/>
                <w:i/>
                <w:iCs/>
                <w:sz w:val="22"/>
                <w:szCs w:val="22"/>
              </w:rPr>
              <w:t xml:space="preserve">Art. </w:t>
            </w:r>
            <w:r>
              <w:rPr>
                <w:rFonts w:asciiTheme="minorHAnsi" w:hAnsiTheme="minorHAnsi" w:cstheme="minorBidi"/>
                <w:b/>
                <w:i/>
                <w:iCs/>
                <w:sz w:val="22"/>
                <w:szCs w:val="22"/>
              </w:rPr>
              <w:t>…</w:t>
            </w: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 xml:space="preserve">. 1. Prezes UKE dąży do zapewnienia jednolitego stosowania przepisów </w:t>
            </w:r>
            <w:r w:rsidRPr="008D3917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rozporządzenia 2023/2854</w:t>
            </w: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 xml:space="preserve"> oraz ustawy, w szczególności wydając, z urzędu lub na wniosek, wyjaśnienia mające istotne znaczenie dla stosowania przepisów tego rozporządzenia oraz ustawy w sprawach objętych zakresem działania Prezesa UKE. </w:t>
            </w:r>
          </w:p>
          <w:p w14:paraId="52BD35C9" w14:textId="77777777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</w:p>
          <w:p w14:paraId="3FC53B6F" w14:textId="003A3CEF" w:rsidR="00686DC3" w:rsidRPr="008D3917" w:rsidRDefault="00686DC3" w:rsidP="00686DC3">
            <w:pP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/>
                <w:i/>
                <w:iCs/>
                <w:sz w:val="22"/>
                <w:szCs w:val="22"/>
              </w:rPr>
              <w:t xml:space="preserve">Art. </w:t>
            </w:r>
            <w:r>
              <w:rPr>
                <w:rFonts w:asciiTheme="minorHAnsi" w:hAnsiTheme="minorHAnsi" w:cstheme="minorBidi"/>
                <w:b/>
                <w:i/>
                <w:iCs/>
                <w:sz w:val="22"/>
                <w:szCs w:val="22"/>
              </w:rPr>
              <w:t>…</w:t>
            </w:r>
            <w:r w:rsidRPr="008D3917">
              <w:rPr>
                <w:rFonts w:asciiTheme="minorHAnsi" w:hAnsiTheme="minorHAnsi" w:cstheme="minorBidi"/>
                <w:b/>
                <w:i/>
                <w:iCs/>
                <w:sz w:val="22"/>
                <w:szCs w:val="22"/>
              </w:rPr>
              <w:t>.</w:t>
            </w: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 xml:space="preserve"> 1. Opinie indywidualne i wyjaśnienia, o których mowa w art. X-X, po ich </w:t>
            </w:r>
            <w:proofErr w:type="spellStart"/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anonimizacji</w:t>
            </w:r>
            <w:proofErr w:type="spellEnd"/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 xml:space="preserve"> oraz usunięciu danych zawierających tajemnice prawnie chronione, w tym tajemnice przedsiębiorstwa, są udostępniane w Biuletynie Informacji Publicznej na stronie urzędu Prezesa UKE, wraz z informacją o ich aktualności.</w:t>
            </w:r>
          </w:p>
          <w:p w14:paraId="1DEC4CAB" w14:textId="7E129E82" w:rsidR="00686DC3" w:rsidRPr="002F2665" w:rsidRDefault="00686DC3" w:rsidP="00686DC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2. Prezes UKE udostępnia w Biuletynie Informacji Publicznej na stronie urzędu Prezesa UKE komunikat dotyczący zmiany stanu prawnego, w szczególności orzecznictwa sądów, aktów delegowanych lub</w:t>
            </w:r>
            <w:r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 xml:space="preserve"> </w:t>
            </w:r>
            <w:r w:rsidRPr="008D3917">
              <w:rPr>
                <w:rFonts w:asciiTheme="minorHAnsi" w:hAnsiTheme="minorHAnsi" w:cstheme="minorBidi"/>
                <w:bCs/>
                <w:i/>
                <w:iCs/>
                <w:sz w:val="22"/>
                <w:szCs w:val="22"/>
              </w:rPr>
              <w:t>wykonawczych, wytycznych, interpretacji, rekomendacji i wyjaśnień Komisji Europejskiej wydanych w oparciu o przepisy rozporządzenia 2023/2854, które mają wpływ na aktualność wydanych opinii indywidulanych i wytycznych”.</w:t>
            </w:r>
          </w:p>
        </w:tc>
      </w:tr>
      <w:tr w:rsidR="00686DC3" w:rsidRPr="00A06425" w14:paraId="74CC4172" w14:textId="77777777" w:rsidTr="696DDDCF">
        <w:tc>
          <w:tcPr>
            <w:tcW w:w="562" w:type="dxa"/>
          </w:tcPr>
          <w:p w14:paraId="4747F161" w14:textId="77777777" w:rsidR="00686DC3" w:rsidRPr="002F2665" w:rsidRDefault="00686DC3" w:rsidP="00686DC3">
            <w:pPr>
              <w:pStyle w:val="Akapitzlist"/>
              <w:numPr>
                <w:ilvl w:val="0"/>
                <w:numId w:val="10"/>
              </w:numPr>
              <w:spacing w:before="120" w:after="120"/>
              <w:ind w:left="357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2E03EC2F" w14:textId="580D1D0C" w:rsidR="00686DC3" w:rsidRPr="002F2665" w:rsidRDefault="00686DC3" w:rsidP="00686D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Rozdział 9 Kary</w:t>
            </w:r>
          </w:p>
        </w:tc>
        <w:tc>
          <w:tcPr>
            <w:tcW w:w="5528" w:type="dxa"/>
          </w:tcPr>
          <w:p w14:paraId="2DB527E1" w14:textId="6D6F75AF" w:rsidR="00686DC3" w:rsidRPr="00F4626B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</w:rPr>
            </w:pPr>
            <w:r w:rsidRPr="00F4626B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Data </w:t>
            </w:r>
            <w:proofErr w:type="spellStart"/>
            <w:r w:rsidRPr="00F4626B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Act</w:t>
            </w:r>
            <w:proofErr w:type="spellEnd"/>
            <w:r w:rsidRPr="00F4626B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 (motyw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 109)</w:t>
            </w:r>
            <w:r w:rsidRPr="00F4626B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 </w:t>
            </w:r>
            <w:r w:rsidRPr="00F4626B">
              <w:rPr>
                <w:rFonts w:ascii="Aptos" w:eastAsia="Aptos" w:hAnsi="Aptos" w:cs="Aptos"/>
                <w:color w:val="242424"/>
                <w:sz w:val="22"/>
                <w:szCs w:val="22"/>
              </w:rPr>
              <w:t>nie ogranicza systemu kar jedynie do kar pieniężnych</w:t>
            </w:r>
            <w:r w:rsidRPr="005745F5"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</w:rPr>
              <w:t>.</w:t>
            </w:r>
            <w:r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Postulujemy uzupełnienie 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lastRenderedPageBreak/>
              <w:t xml:space="preserve">przepisów sankcyjnych </w:t>
            </w:r>
            <w:r w:rsidRPr="00F4626B">
              <w:rPr>
                <w:rFonts w:ascii="Aptos" w:eastAsia="Aptos" w:hAnsi="Aptos" w:cs="Aptos"/>
                <w:color w:val="242424"/>
                <w:sz w:val="22"/>
                <w:szCs w:val="22"/>
              </w:rPr>
              <w:t>o ostrzeżenia, nagany oraz nakazy uzgodnienia praktyk biznesowych z obowiązkami nałożonymi przez D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ata </w:t>
            </w:r>
            <w:proofErr w:type="spellStart"/>
            <w:r w:rsidRPr="00F4626B">
              <w:rPr>
                <w:rFonts w:ascii="Aptos" w:eastAsia="Aptos" w:hAnsi="Aptos" w:cs="Aptos"/>
                <w:color w:val="242424"/>
                <w:sz w:val="22"/>
                <w:szCs w:val="22"/>
              </w:rPr>
              <w:t>A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>ct</w:t>
            </w:r>
            <w:proofErr w:type="spellEnd"/>
            <w:r w:rsidRPr="00F4626B">
              <w:rPr>
                <w:rFonts w:ascii="Aptos" w:eastAsia="Aptos" w:hAnsi="Aptos" w:cs="Aptos"/>
                <w:color w:val="242424"/>
                <w:sz w:val="22"/>
                <w:szCs w:val="22"/>
              </w:rPr>
              <w:t>.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 Celem organu powinno być doprowadzenie produktu/usługi do stanu zgodności z Data </w:t>
            </w:r>
            <w:proofErr w:type="spellStart"/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>Act</w:t>
            </w:r>
            <w:proofErr w:type="spellEnd"/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>. Po stronie przedsiębiorcy wymagać to będzie zawsze wprowadzenia zmian technicznych i systemowych, które wymagają czasu. Samo nałożenie kary pieniężnej będzie zatem nieefektywne.</w:t>
            </w:r>
          </w:p>
          <w:p w14:paraId="19C7AF8B" w14:textId="77777777" w:rsidR="00686DC3" w:rsidRPr="00F4626B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</w:rPr>
            </w:pPr>
          </w:p>
          <w:p w14:paraId="75909E39" w14:textId="2C70E81A" w:rsidR="00686DC3" w:rsidRPr="005745F5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</w:rPr>
            </w:pPr>
          </w:p>
          <w:p w14:paraId="678887A9" w14:textId="4812E42C" w:rsidR="00686DC3" w:rsidRPr="00F4626B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5529" w:type="dxa"/>
          </w:tcPr>
          <w:p w14:paraId="7BC94E42" w14:textId="3D0EC794" w:rsidR="00686DC3" w:rsidRPr="696DDDCF" w:rsidRDefault="001C4623" w:rsidP="00686DC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lastRenderedPageBreak/>
              <w:t>Rozbudowanie przepisów o system nie oparty wyłącznie na karach.</w:t>
            </w:r>
          </w:p>
        </w:tc>
      </w:tr>
      <w:tr w:rsidR="00686DC3" w:rsidRPr="00A06425" w14:paraId="33652063" w14:textId="77777777" w:rsidTr="696DDDCF">
        <w:tc>
          <w:tcPr>
            <w:tcW w:w="562" w:type="dxa"/>
          </w:tcPr>
          <w:p w14:paraId="798E2E0B" w14:textId="77777777" w:rsidR="00686DC3" w:rsidRPr="002F2665" w:rsidRDefault="00686DC3" w:rsidP="00686DC3">
            <w:pPr>
              <w:pStyle w:val="Akapitzlist"/>
              <w:numPr>
                <w:ilvl w:val="0"/>
                <w:numId w:val="10"/>
              </w:numPr>
              <w:spacing w:before="120" w:after="120"/>
              <w:ind w:left="357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5E89644A" w14:textId="0DF022EB" w:rsidR="00686DC3" w:rsidRPr="002F2665" w:rsidRDefault="00686DC3" w:rsidP="00686D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Rozdział 9  - zawieszenie sankcji przez rok</w:t>
            </w:r>
          </w:p>
        </w:tc>
        <w:tc>
          <w:tcPr>
            <w:tcW w:w="5528" w:type="dxa"/>
          </w:tcPr>
          <w:p w14:paraId="3CD55104" w14:textId="77777777" w:rsidR="00686DC3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</w:rPr>
            </w:pPr>
            <w:r w:rsidRPr="004746D6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Postulujemy </w:t>
            </w:r>
            <w:r w:rsidRPr="00273C1D">
              <w:rPr>
                <w:rFonts w:ascii="Aptos" w:eastAsia="Aptos" w:hAnsi="Aptos" w:cs="Aptos"/>
                <w:color w:val="242424"/>
                <w:sz w:val="22"/>
                <w:szCs w:val="22"/>
              </w:rPr>
              <w:t>zawieszenie możliwości nakładania sankcji przez okres 1 roku od dnia wejścia w życie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 przepisów projektowanej ustawy. </w:t>
            </w:r>
          </w:p>
          <w:p w14:paraId="57D9544E" w14:textId="111D3228" w:rsidR="00686DC3" w:rsidRPr="004746D6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</w:pPr>
            <w: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Tego typu moratorium na stosowanie sankcji jest jak najbardziej uzasadnione w przypadku przepisów, które są niejasne, wprowadzają kompletnie nowe zasady wprowadzania do obrotu niektórych produktów lub świadczenia niektórych usług i pociągają za sobą skomplikowane zmiany w systemach przedsiębiorców. Moratorium takie jest już znane z innych przepisów, np. dotyczących </w:t>
            </w:r>
            <w:proofErr w:type="spellStart"/>
            <w: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KseF</w:t>
            </w:r>
            <w:proofErr w:type="spellEnd"/>
            <w: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, lub w niedawno zaproponowanym przez Komisję Europejską projekcie rozporządzenia zmieniającego rozporządzenia 2023/116 (tzw. EUDR)</w:t>
            </w:r>
          </w:p>
        </w:tc>
        <w:tc>
          <w:tcPr>
            <w:tcW w:w="5529" w:type="dxa"/>
          </w:tcPr>
          <w:p w14:paraId="478423FB" w14:textId="1F662133" w:rsidR="00686DC3" w:rsidRPr="696DDDCF" w:rsidRDefault="00686DC3" w:rsidP="00686DC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4746D6">
              <w:rPr>
                <w:rFonts w:asciiTheme="minorHAnsi" w:hAnsiTheme="minorHAnsi" w:cstheme="minorBidi"/>
                <w:sz w:val="22"/>
                <w:szCs w:val="22"/>
              </w:rPr>
              <w:t>Kary, o których mowa w art. 20 będą stosowane po upływie roku od dnia wejścia w życie ustawy.</w:t>
            </w:r>
          </w:p>
        </w:tc>
      </w:tr>
      <w:tr w:rsidR="00686DC3" w:rsidRPr="00A06425" w14:paraId="5014F1AA" w14:textId="77777777" w:rsidTr="696DDDCF">
        <w:tc>
          <w:tcPr>
            <w:tcW w:w="562" w:type="dxa"/>
          </w:tcPr>
          <w:p w14:paraId="36DFFE6D" w14:textId="77777777" w:rsidR="00686DC3" w:rsidRPr="002F2665" w:rsidRDefault="00686DC3" w:rsidP="00686DC3">
            <w:pPr>
              <w:pStyle w:val="Akapitzlist"/>
              <w:numPr>
                <w:ilvl w:val="0"/>
                <w:numId w:val="10"/>
              </w:numPr>
              <w:spacing w:before="120" w:after="120"/>
              <w:ind w:left="357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4A3061CE" w14:textId="5D9C6A50" w:rsidR="00686DC3" w:rsidRPr="002F2665" w:rsidRDefault="00686DC3" w:rsidP="00686D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Rozdział 9 - dodanie przepisów dot. ostrzeżeń</w:t>
            </w:r>
          </w:p>
        </w:tc>
        <w:tc>
          <w:tcPr>
            <w:tcW w:w="5528" w:type="dxa"/>
          </w:tcPr>
          <w:p w14:paraId="5D7F370C" w14:textId="62370D83" w:rsidR="00686DC3" w:rsidRPr="004746D6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</w:rPr>
            </w:pPr>
            <w:r w:rsidRPr="004746D6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Postulujemy wprowadzenie 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instytucji </w:t>
            </w:r>
            <w:r w:rsidRPr="004746D6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ostrzeże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nia, które zawierałoby zalecenia działań naprawczych - n</w:t>
            </w:r>
            <w:r w:rsidRPr="004746D6"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a wzór art. 46 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 xml:space="preserve">projektu </w:t>
            </w:r>
            <w:proofErr w:type="spellStart"/>
            <w:r w:rsidRPr="00E30DC8">
              <w:rPr>
                <w:rFonts w:ascii="Aptos" w:eastAsia="Aptos" w:hAnsi="Aptos" w:cs="Aptos"/>
                <w:i/>
                <w:iCs/>
                <w:color w:val="242424"/>
                <w:sz w:val="22"/>
                <w:szCs w:val="22"/>
              </w:rPr>
              <w:t>ussi</w:t>
            </w:r>
            <w:proofErr w:type="spellEnd"/>
            <w:r>
              <w:rPr>
                <w:rFonts w:ascii="Aptos" w:eastAsia="Aptos" w:hAnsi="Aptos" w:cs="Aptos"/>
                <w:color w:val="242424"/>
                <w:sz w:val="22"/>
                <w:szCs w:val="22"/>
              </w:rPr>
              <w:t>.</w:t>
            </w:r>
          </w:p>
          <w:p w14:paraId="3D24FD3E" w14:textId="746FAC96" w:rsidR="00686DC3" w:rsidRPr="00E30DC8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5529" w:type="dxa"/>
          </w:tcPr>
          <w:p w14:paraId="4F141275" w14:textId="2841067E" w:rsidR="00686DC3" w:rsidRPr="696DDDCF" w:rsidRDefault="00686DC3" w:rsidP="00686DC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Treść zgodna z art.46 projektu </w:t>
            </w:r>
            <w:proofErr w:type="spellStart"/>
            <w:r w:rsidRPr="00E30DC8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ussi</w:t>
            </w:r>
            <w:proofErr w:type="spellEnd"/>
          </w:p>
        </w:tc>
      </w:tr>
      <w:tr w:rsidR="00686DC3" w:rsidRPr="00A06425" w14:paraId="269BD913" w14:textId="77777777" w:rsidTr="696DDDCF">
        <w:tc>
          <w:tcPr>
            <w:tcW w:w="562" w:type="dxa"/>
          </w:tcPr>
          <w:p w14:paraId="5B372E9C" w14:textId="77777777" w:rsidR="00686DC3" w:rsidRPr="002F2665" w:rsidRDefault="00686DC3" w:rsidP="00686DC3">
            <w:pPr>
              <w:pStyle w:val="Akapitzlist"/>
              <w:numPr>
                <w:ilvl w:val="0"/>
                <w:numId w:val="10"/>
              </w:numPr>
              <w:spacing w:before="120" w:after="120"/>
              <w:ind w:left="357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6F03F1A2" w14:textId="0DD91EFA" w:rsidR="00686DC3" w:rsidRPr="002F2665" w:rsidRDefault="00686DC3" w:rsidP="00686D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Rozdział 9 – dodanie przepisów dot. postępowań kontrolnych.</w:t>
            </w:r>
          </w:p>
        </w:tc>
        <w:tc>
          <w:tcPr>
            <w:tcW w:w="5528" w:type="dxa"/>
          </w:tcPr>
          <w:p w14:paraId="0559C153" w14:textId="352DC1FB" w:rsidR="00686DC3" w:rsidRPr="00E46ADF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</w:pPr>
            <w:r w:rsidRPr="00E30DC8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Obecny projekt ustawy nie p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r</w:t>
            </w:r>
            <w:r w:rsidRPr="00E30DC8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zewiduje procedury postepowania kontrolnego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. Postulujemy dodanie </w:t>
            </w:r>
            <w:r w:rsidR="001C4623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takich 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przepisów, które dadzą jednocześnie organowi </w:t>
            </w:r>
            <w: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lastRenderedPageBreak/>
              <w:t xml:space="preserve">możliwość zbierania materiału dowodowego. W opinii członków Konfederacji Lewiatan wprowadzenie procedury postępowania kontrolnego przyczyni się do lepszego i bardziej spójnego stosowania przepisów Data </w:t>
            </w:r>
            <w:proofErr w:type="spellStart"/>
            <w: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Act</w:t>
            </w:r>
            <w:proofErr w:type="spellEnd"/>
            <w: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, które nastręczają licznych wątpliwości interpretacyjnych.</w:t>
            </w:r>
          </w:p>
        </w:tc>
        <w:tc>
          <w:tcPr>
            <w:tcW w:w="5529" w:type="dxa"/>
          </w:tcPr>
          <w:p w14:paraId="5F5A4F2A" w14:textId="25DD8A2C" w:rsidR="00686DC3" w:rsidRPr="696DDDCF" w:rsidRDefault="00686DC3" w:rsidP="00686DC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lastRenderedPageBreak/>
              <w:t xml:space="preserve">Treść zgodna z art. 32-42 projektu </w:t>
            </w:r>
            <w:proofErr w:type="spellStart"/>
            <w:r w:rsidRPr="00E30DC8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ussi</w:t>
            </w:r>
            <w:proofErr w:type="spellEnd"/>
            <w:r w:rsidRPr="00E30DC8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.</w:t>
            </w:r>
          </w:p>
        </w:tc>
      </w:tr>
      <w:tr w:rsidR="00686DC3" w:rsidRPr="00A06425" w14:paraId="42FDB4C0" w14:textId="77777777" w:rsidTr="696DDDCF">
        <w:tc>
          <w:tcPr>
            <w:tcW w:w="562" w:type="dxa"/>
          </w:tcPr>
          <w:p w14:paraId="24CC32F8" w14:textId="19EC56C8" w:rsidR="00686DC3" w:rsidRPr="002F2665" w:rsidRDefault="00686DC3" w:rsidP="00686DC3">
            <w:pPr>
              <w:pStyle w:val="Akapitzlist"/>
              <w:numPr>
                <w:ilvl w:val="0"/>
                <w:numId w:val="10"/>
              </w:numPr>
              <w:spacing w:before="120" w:after="120"/>
              <w:ind w:left="357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574DF212" w14:textId="66003AE7" w:rsidR="00686DC3" w:rsidRPr="002F2665" w:rsidRDefault="00686DC3" w:rsidP="00686D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528" w:type="dxa"/>
          </w:tcPr>
          <w:p w14:paraId="4136CB77" w14:textId="0557263F" w:rsidR="00686DC3" w:rsidRPr="00A06425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</w:pPr>
            <w:r w:rsidRPr="09D1A5EE"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  <w:lang w:val="pl"/>
              </w:rPr>
              <w:t>Zwiększone obciążenia biurokratyczne i proceduralne</w:t>
            </w:r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 – ustawa tworzy nowe obowiązki sprawozdawcze i proceduralne, które będą wymagały określonych zasobów. Ponadto każda skarga złożona do Prezesa UKE będzie inicjować formalne postępowanie administracyjne, w którym przedsiębiorca stanie się stroną. Wymaga to zaangażowania prawnego, przygotowywania pism i potencjalnie udziału w długotrwałych procedurach.</w:t>
            </w:r>
          </w:p>
        </w:tc>
        <w:tc>
          <w:tcPr>
            <w:tcW w:w="5529" w:type="dxa"/>
          </w:tcPr>
          <w:p w14:paraId="644C82AA" w14:textId="33651DA9" w:rsidR="00686DC3" w:rsidRPr="00A06425" w:rsidRDefault="00686DC3" w:rsidP="00686DC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96DDDCF">
              <w:rPr>
                <w:rFonts w:asciiTheme="minorHAnsi" w:hAnsiTheme="minorHAnsi" w:cstheme="minorBidi"/>
                <w:sz w:val="22"/>
                <w:szCs w:val="22"/>
              </w:rPr>
              <w:t>Wdrożenie uproszczonej ścieżki rozpatrywania skarg, która nie będzie obciążać i ograniczać wydajności podstawowego trybu postępowań administracyjnych UKE.</w:t>
            </w:r>
          </w:p>
        </w:tc>
      </w:tr>
      <w:tr w:rsidR="00686DC3" w:rsidRPr="00A06425" w14:paraId="51DDD080" w14:textId="77777777" w:rsidTr="696DDDCF">
        <w:tc>
          <w:tcPr>
            <w:tcW w:w="562" w:type="dxa"/>
          </w:tcPr>
          <w:p w14:paraId="1A0BF368" w14:textId="68FF2F95" w:rsidR="00686DC3" w:rsidRPr="00183F8A" w:rsidRDefault="00686DC3" w:rsidP="00686DC3">
            <w:pPr>
              <w:pStyle w:val="Akapitzlist"/>
              <w:numPr>
                <w:ilvl w:val="0"/>
                <w:numId w:val="10"/>
              </w:numPr>
              <w:spacing w:before="120" w:after="120"/>
              <w:ind w:left="357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3D29810D" w14:textId="77777777" w:rsidR="00686DC3" w:rsidRPr="00A06425" w:rsidRDefault="00686DC3" w:rsidP="0068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03B18564" w14:textId="6F675A5F" w:rsidR="00686DC3" w:rsidRPr="00A06425" w:rsidRDefault="00686DC3" w:rsidP="00686DC3">
            <w:pP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</w:pPr>
            <w:r w:rsidRPr="09D1A5EE"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  <w:lang w:val="pl"/>
              </w:rPr>
              <w:t>Ryzyko związane z ochroną tajemnicy przedsiębiorstwa</w:t>
            </w:r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 – mimo że Data </w:t>
            </w:r>
            <w:proofErr w:type="spellStart"/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Act</w:t>
            </w:r>
            <w:proofErr w:type="spellEnd"/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 i ustawa wprowadzają mechanizmy ochrony tajemnic handlowych, ich praktyczne zastosowanie wiąże się z ryzykiem. Posiadacz danych, odmawiając udostępnienia danych w celu ochrony tajemnicy, musi wykazać, że ujawnienie "z dużym prawdopodobieństwem poskutkuje poważną szkodą ekonomiczną". Jest to przesłanka </w:t>
            </w:r>
            <w:proofErr w:type="spellStart"/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ocenna</w:t>
            </w:r>
            <w:proofErr w:type="spellEnd"/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, która może być przedmiotem sporu z użytkownikiem lub organem, co stwarza niepewność prawną.</w:t>
            </w:r>
          </w:p>
        </w:tc>
        <w:tc>
          <w:tcPr>
            <w:tcW w:w="5529" w:type="dxa"/>
          </w:tcPr>
          <w:p w14:paraId="7C4899C0" w14:textId="21772F21" w:rsidR="00686DC3" w:rsidRPr="00A06425" w:rsidRDefault="00686DC3" w:rsidP="00686DC3">
            <w:pPr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</w:pPr>
            <w:r w:rsidRPr="696DDDCF">
              <w:rPr>
                <w:rFonts w:asciiTheme="minorHAnsi" w:hAnsiTheme="minorHAnsi" w:cstheme="minorBidi"/>
                <w:sz w:val="22"/>
                <w:szCs w:val="22"/>
              </w:rPr>
              <w:t xml:space="preserve">Doprecyzowanie zapisów związanych z </w:t>
            </w:r>
            <w:r w:rsidRPr="696DDDCF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odmową udostępnienia danych w celu ochrony tajemnicy handlowej.</w:t>
            </w:r>
          </w:p>
        </w:tc>
      </w:tr>
      <w:tr w:rsidR="00686DC3" w:rsidRPr="00A06425" w14:paraId="2F64E0EA" w14:textId="77777777" w:rsidTr="696DDDCF">
        <w:tc>
          <w:tcPr>
            <w:tcW w:w="562" w:type="dxa"/>
          </w:tcPr>
          <w:p w14:paraId="45949471" w14:textId="1A06743C" w:rsidR="00686DC3" w:rsidRPr="00183F8A" w:rsidRDefault="00686DC3" w:rsidP="00686DC3">
            <w:pPr>
              <w:pStyle w:val="Akapitzlist"/>
              <w:numPr>
                <w:ilvl w:val="0"/>
                <w:numId w:val="10"/>
              </w:numPr>
              <w:spacing w:before="120" w:after="120"/>
              <w:ind w:left="357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2193E1DF" w14:textId="77777777" w:rsidR="00686DC3" w:rsidRPr="00A06425" w:rsidRDefault="00686DC3" w:rsidP="0068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70496D84" w14:textId="5213153B" w:rsidR="00686DC3" w:rsidRPr="00A06425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</w:pPr>
            <w:r w:rsidRPr="09D1A5EE"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  <w:lang w:val="pl"/>
              </w:rPr>
              <w:t>Ryzyko udostępniania danych konkurencji</w:t>
            </w:r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 – firmy z sektora logistyki czy e-commerce generują dane, które stanowią o ich przewadze konkurencyjnej (np. zoptymalizowane trasy, profilowanie zachowań klientów). Obowiązek udostępniania tych danych (nawet zanonimizowanych) stronie trzeciej (np. firmie </w:t>
            </w:r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lastRenderedPageBreak/>
              <w:t>oferującej usługi analityczne lub naprawcze) może prowadzić do utraty tej przewagi, szczególnie jeśli ta strona trzecia jest potencjalnym konkurentem.</w:t>
            </w:r>
          </w:p>
        </w:tc>
        <w:tc>
          <w:tcPr>
            <w:tcW w:w="5529" w:type="dxa"/>
          </w:tcPr>
          <w:p w14:paraId="414CE2D5" w14:textId="34AFC4A4" w:rsidR="00686DC3" w:rsidRPr="00A06425" w:rsidRDefault="00686DC3" w:rsidP="00686DC3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  <w:r w:rsidRPr="09D1A5EE">
              <w:rPr>
                <w:rFonts w:asciiTheme="minorHAnsi" w:eastAsiaTheme="minorEastAsia" w:hAnsiTheme="minorHAnsi" w:cstheme="minorBidi"/>
                <w:sz w:val="22"/>
                <w:szCs w:val="22"/>
              </w:rPr>
              <w:lastRenderedPageBreak/>
              <w:t>Wprowadzenie zapisów gwarantujących, że dane stanowiące o przewadze konkurencyjnej (</w:t>
            </w:r>
            <w:r w:rsidRPr="09D1A5E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np. zoptymalizowane trasy, profilowanie zachowań klientów) nie będą musiałby być udostępniane (nawet zanonimizowane) stronom trzecim prowadzącym działalność konkurencyjną.</w:t>
            </w:r>
          </w:p>
        </w:tc>
      </w:tr>
      <w:tr w:rsidR="00686DC3" w14:paraId="66CFC6FA" w14:textId="77777777" w:rsidTr="696DDDCF">
        <w:trPr>
          <w:trHeight w:val="300"/>
        </w:trPr>
        <w:tc>
          <w:tcPr>
            <w:tcW w:w="562" w:type="dxa"/>
          </w:tcPr>
          <w:p w14:paraId="7070AB9E" w14:textId="141B4306" w:rsidR="00686DC3" w:rsidRDefault="00686DC3" w:rsidP="00686DC3">
            <w:pPr>
              <w:ind w:left="708"/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712CEDB9" w14:textId="1A3CB707" w:rsidR="00686DC3" w:rsidRDefault="00686DC3" w:rsidP="00686D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4D9A8F17" w14:textId="2EF42B3F" w:rsidR="00686DC3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</w:pPr>
            <w:r w:rsidRPr="09D1A5EE"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  <w:lang w:val="pl"/>
              </w:rPr>
              <w:t>Nowe obowiązki i koszty dla dostawców usług cyfrowych i e-commerce</w:t>
            </w:r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 – przedsiębiorcy, którzy dotychczas swobodnie zarządzali danymi generowanymi przez ich produkty i usługi, muszą dostosować swoje modele biznesowe. Artykuł 3 Data </w:t>
            </w:r>
            <w:proofErr w:type="spellStart"/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Act</w:t>
            </w:r>
            <w:proofErr w:type="spellEnd"/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 nakłada obowiązek projektowania produktów i usług tak, aby dane były domyślnie, łatwo i bezpłatnie dostępne dla użytkownika. Dla firm logistycznych i e-commerce, których systemy opierają się na skomplikowanych </w:t>
            </w:r>
            <w:proofErr w:type="spellStart"/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architekturach</w:t>
            </w:r>
            <w:proofErr w:type="spellEnd"/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 danych, może to oznaczać konieczność kosztownego przeprojektowania istniejących rozwiązań i procesów.</w:t>
            </w:r>
          </w:p>
        </w:tc>
        <w:tc>
          <w:tcPr>
            <w:tcW w:w="5529" w:type="dxa"/>
          </w:tcPr>
          <w:p w14:paraId="63B5DAEB" w14:textId="7AAA3A46" w:rsidR="00686DC3" w:rsidRDefault="00686DC3" w:rsidP="00686DC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96DDDCF">
              <w:rPr>
                <w:rFonts w:asciiTheme="minorHAnsi" w:hAnsiTheme="minorHAnsi" w:cstheme="minorBidi"/>
                <w:sz w:val="22"/>
                <w:szCs w:val="22"/>
              </w:rPr>
              <w:t>Rozwiązanie do wypracowania w toku prac ustawodawczych.</w:t>
            </w:r>
          </w:p>
        </w:tc>
      </w:tr>
      <w:tr w:rsidR="00686DC3" w:rsidRPr="00A06425" w14:paraId="4863EA94" w14:textId="77777777" w:rsidTr="696DDDCF">
        <w:tc>
          <w:tcPr>
            <w:tcW w:w="562" w:type="dxa"/>
          </w:tcPr>
          <w:p w14:paraId="4C153CE9" w14:textId="2850A20F" w:rsidR="00686DC3" w:rsidRPr="00183F8A" w:rsidRDefault="00686DC3" w:rsidP="00686DC3">
            <w:pPr>
              <w:pStyle w:val="Akapitzlist"/>
              <w:spacing w:before="120" w:after="120"/>
              <w:ind w:left="357" w:hanging="357"/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9D1A5E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544" w:type="dxa"/>
          </w:tcPr>
          <w:p w14:paraId="408C9697" w14:textId="77777777" w:rsidR="00686DC3" w:rsidRPr="00A06425" w:rsidRDefault="00686DC3" w:rsidP="0068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47A69B35" w14:textId="0616CA9C" w:rsidR="00686DC3" w:rsidRPr="00A06425" w:rsidRDefault="00686DC3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</w:pPr>
            <w:r w:rsidRPr="09D1A5EE"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  <w:lang w:val="pl"/>
              </w:rPr>
              <w:t>Zarządzanie wnioskami</w:t>
            </w:r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 – obsługa wniosków o udostępnienie danych stanie się nowym, stałym procesem operacyjnym. Firmy będą musiały stworzyć lub dostosować interfejsy i procedury, aby realizować te żądania w sposób bezpieczny i terminowy, co generuje koszty wdrożeniowe i utrzymaniowe.</w:t>
            </w:r>
          </w:p>
        </w:tc>
        <w:tc>
          <w:tcPr>
            <w:tcW w:w="5529" w:type="dxa"/>
          </w:tcPr>
          <w:p w14:paraId="6C79F41F" w14:textId="708FDB31" w:rsidR="00686DC3" w:rsidRPr="00A06425" w:rsidRDefault="00686DC3" w:rsidP="00686DC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96DDDCF">
              <w:rPr>
                <w:rFonts w:asciiTheme="minorHAnsi" w:hAnsiTheme="minorHAnsi" w:cstheme="minorBidi"/>
                <w:sz w:val="22"/>
                <w:szCs w:val="22"/>
              </w:rPr>
              <w:t>Rozwiązanie do wypracowania w toku prac ustawodawczych.</w:t>
            </w:r>
          </w:p>
        </w:tc>
      </w:tr>
      <w:tr w:rsidR="00BE3CEC" w14:paraId="213D90BE" w14:textId="77777777" w:rsidTr="696DDDCF">
        <w:trPr>
          <w:trHeight w:val="840"/>
        </w:trPr>
        <w:tc>
          <w:tcPr>
            <w:tcW w:w="562" w:type="dxa"/>
          </w:tcPr>
          <w:p w14:paraId="7C8567AE" w14:textId="47381C35" w:rsidR="00BE3CEC" w:rsidRDefault="00BE3CEC" w:rsidP="00686DC3">
            <w:pPr>
              <w:pStyle w:val="Akapitzlist"/>
              <w:ind w:left="1080"/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64526F77" w14:textId="58AB421D" w:rsidR="00BE3CEC" w:rsidRDefault="00BE3CEC" w:rsidP="00686D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7243E21A" w14:textId="768EA2AB" w:rsidR="00BE3CEC" w:rsidRDefault="00BE3CEC" w:rsidP="00686DC3">
            <w:pPr>
              <w:shd w:val="clear" w:color="auto" w:fill="FFFFFF" w:themeFill="background1"/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</w:pPr>
            <w:r w:rsidRPr="09D1A5EE"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  <w:lang w:val="pl"/>
              </w:rPr>
              <w:t>Dotkliwość kar</w:t>
            </w:r>
            <w:r w:rsidRPr="09D1A5EE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 – możliwość nałożenia kary do 4% rocznego obrotu to sankcja bardzo dotkliwa, porównywalna z karami za naruszenie RODO. Dla dużych firm może to oznaczać kary liczone w milionach złotych.</w:t>
            </w:r>
          </w:p>
        </w:tc>
        <w:tc>
          <w:tcPr>
            <w:tcW w:w="5529" w:type="dxa"/>
            <w:vMerge w:val="restart"/>
          </w:tcPr>
          <w:p w14:paraId="6BB79032" w14:textId="77777777" w:rsidR="00BE3CEC" w:rsidRDefault="00BE3CEC" w:rsidP="00686DC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96DDDCF">
              <w:rPr>
                <w:rFonts w:asciiTheme="minorHAnsi" w:hAnsiTheme="minorHAnsi" w:cstheme="minorBidi"/>
                <w:sz w:val="22"/>
                <w:szCs w:val="22"/>
              </w:rPr>
              <w:t>Zastosowanie kar kwotowych niezależnych od obrotu spółki i instytucjonalne zróżnicowanie kar w zależności od stopnia naruszenia.</w:t>
            </w:r>
          </w:p>
          <w:p w14:paraId="745DB13F" w14:textId="77777777" w:rsidR="00BE3CEC" w:rsidRDefault="00BE3CEC" w:rsidP="00521E83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7C23B2CA" w14:textId="46D1DC22" w:rsidR="00BE3CEC" w:rsidRDefault="00BE3CEC" w:rsidP="00521E8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Zasadnym byłoby również wprowadzenie niefinansowych sankcji, jak nagana, czy ostrzeżenie, co pozwoliłoby osiągnąć cele ustawy bez nadmiernego obciążenia przedsiębiorców w przypadkach mniejszej wagi.</w:t>
            </w:r>
          </w:p>
          <w:p w14:paraId="6FAB4ACF" w14:textId="4D61AD10" w:rsidR="00BE3CEC" w:rsidRDefault="00BE3CEC" w:rsidP="00521E83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E3CEC" w14:paraId="1E1AD354" w14:textId="77777777" w:rsidTr="696DDDCF">
        <w:trPr>
          <w:trHeight w:val="840"/>
        </w:trPr>
        <w:tc>
          <w:tcPr>
            <w:tcW w:w="562" w:type="dxa"/>
          </w:tcPr>
          <w:p w14:paraId="6F166DFD" w14:textId="77777777" w:rsidR="00BE3CEC" w:rsidRDefault="00BE3CEC" w:rsidP="00521E83">
            <w:pPr>
              <w:pStyle w:val="Akapitzlist"/>
              <w:ind w:left="1080"/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4A867F84" w14:textId="77777777" w:rsidR="00BE3CEC" w:rsidRDefault="00BE3CEC" w:rsidP="00521E8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24D6C77E" w14:textId="038C2668" w:rsidR="00BE3CEC" w:rsidRPr="09D1A5EE" w:rsidRDefault="00BE3CEC" w:rsidP="00521E83">
            <w:pPr>
              <w:shd w:val="clear" w:color="auto" w:fill="FFFFFF" w:themeFill="background1"/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  <w:lang w:val="pl"/>
              </w:rPr>
            </w:pPr>
            <w:r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  <w:lang w:val="pl"/>
              </w:rPr>
              <w:t xml:space="preserve">Brak zróżnicowania sankcji. </w:t>
            </w:r>
            <w:r w:rsidRPr="0070649B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Ustawa przewiduje wyłącznie pieniężne kary administracyjne, odnosząc je do szerokiego zakresu naruszeń. Nie bez znaczenia pozostaje tutaj także nieprecyzyjność niektórych postanowień Data </w:t>
            </w:r>
            <w:proofErr w:type="spellStart"/>
            <w:r w:rsidRPr="0070649B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>Act</w:t>
            </w:r>
            <w:proofErr w:type="spellEnd"/>
            <w:r w:rsidRPr="0070649B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t xml:space="preserve">, wobec czego wiele elementów </w:t>
            </w:r>
            <w:r w:rsidRPr="0070649B">
              <w:rPr>
                <w:rFonts w:ascii="Aptos" w:eastAsia="Aptos" w:hAnsi="Aptos" w:cs="Aptos"/>
                <w:color w:val="242424"/>
                <w:sz w:val="22"/>
                <w:szCs w:val="22"/>
                <w:lang w:val="pl"/>
              </w:rPr>
              <w:lastRenderedPageBreak/>
              <w:t>będzie musiało być wypracowanych przez doktrynę i sądownictwo.</w:t>
            </w:r>
            <w:r>
              <w:rPr>
                <w:rFonts w:ascii="Aptos" w:eastAsia="Aptos" w:hAnsi="Aptos" w:cs="Aptos"/>
                <w:b/>
                <w:bCs/>
                <w:color w:val="242424"/>
                <w:sz w:val="22"/>
                <w:szCs w:val="22"/>
                <w:lang w:val="pl"/>
              </w:rPr>
              <w:t xml:space="preserve"> </w:t>
            </w:r>
          </w:p>
        </w:tc>
        <w:tc>
          <w:tcPr>
            <w:tcW w:w="5529" w:type="dxa"/>
            <w:vMerge/>
          </w:tcPr>
          <w:p w14:paraId="5EAFECC3" w14:textId="77777777" w:rsidR="00BE3CEC" w:rsidRPr="696DDDCF" w:rsidRDefault="00BE3CEC" w:rsidP="00521E83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14:paraId="62DC78B8" w14:textId="6585E0FF" w:rsidR="009717B7" w:rsidRPr="009717B7" w:rsidRDefault="009717B7" w:rsidP="09D1A5EE">
      <w:pPr>
        <w:jc w:val="center"/>
        <w:rPr>
          <w:rFonts w:ascii="Calibri" w:hAnsi="Calibri" w:cs="Calibri"/>
          <w:b/>
          <w:bCs/>
        </w:rPr>
      </w:pPr>
    </w:p>
    <w:p w14:paraId="0E3249D3" w14:textId="7030AE65" w:rsidR="00E5678F" w:rsidRDefault="00E5678F" w:rsidP="09D1A5EE">
      <w:pPr>
        <w:tabs>
          <w:tab w:val="left" w:pos="12715"/>
        </w:tabs>
        <w:jc w:val="center"/>
        <w:rPr>
          <w:rFonts w:ascii="Calibri" w:hAnsi="Calibri" w:cs="Calibri"/>
          <w:b/>
          <w:bCs/>
        </w:rPr>
      </w:pPr>
    </w:p>
    <w:p w14:paraId="39A66197" w14:textId="3F03F1A9" w:rsidR="00467F53" w:rsidRPr="00121517" w:rsidRDefault="00467F53" w:rsidP="00467F53">
      <w:pPr>
        <w:tabs>
          <w:tab w:val="left" w:pos="12715"/>
        </w:tabs>
        <w:rPr>
          <w:rFonts w:ascii="Calibri" w:hAnsi="Calibri" w:cs="Calibri"/>
          <w:b/>
          <w:bCs/>
          <w:i/>
          <w:iCs/>
        </w:rPr>
      </w:pPr>
      <w:r w:rsidRPr="00121517">
        <w:rPr>
          <w:rFonts w:ascii="Calibri" w:hAnsi="Calibri" w:cs="Calibri"/>
          <w:b/>
          <w:bCs/>
          <w:i/>
          <w:iCs/>
        </w:rPr>
        <w:t>KL/</w:t>
      </w:r>
      <w:r w:rsidR="00121517" w:rsidRPr="00121517">
        <w:rPr>
          <w:rFonts w:ascii="Calibri" w:hAnsi="Calibri" w:cs="Calibri"/>
          <w:b/>
          <w:bCs/>
          <w:i/>
          <w:iCs/>
        </w:rPr>
        <w:t>597/205/AM/2025</w:t>
      </w:r>
    </w:p>
    <w:sectPr w:rsidR="00467F53" w:rsidRPr="00121517" w:rsidSect="00A06425"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21E6B" w14:textId="77777777" w:rsidR="00445198" w:rsidRDefault="00445198" w:rsidP="0006390F">
      <w:r>
        <w:separator/>
      </w:r>
    </w:p>
  </w:endnote>
  <w:endnote w:type="continuationSeparator" w:id="0">
    <w:p w14:paraId="556267AD" w14:textId="77777777" w:rsidR="00445198" w:rsidRDefault="00445198" w:rsidP="0006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D09B" w14:textId="409750DE" w:rsidR="00E30DC8" w:rsidRDefault="00E30DC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061B62" wp14:editId="7F96546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61225" cy="314325"/>
              <wp:effectExtent l="0" t="0" r="15875" b="0"/>
              <wp:wrapNone/>
              <wp:docPr id="1101075628" name="Pole tekstowe 2" descr="TAJEMNICA PRZEDSIĘBIORSTWA w rozumieniu art. 11 ust. 2 ustawy z dnia 16 kwietnia 1993 r. o zwalczaniu nieuczciwej konkurencji – DO UŻYTKU SŁUŻBOWEG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12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0E87D" w14:textId="5603C678" w:rsidR="00E30DC8" w:rsidRPr="00E30DC8" w:rsidRDefault="00E30DC8" w:rsidP="00E30DC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30DC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TAJEMNICA PRZEDSIĘBIORSTWA w rozumieniu art. 11 ust. 2 ustawy z dnia 16 kwietnia 1993 r. o zwalczaniu nieuczciwej konkurencji – DO UŻYTKU SŁUŻBOWEGO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61B6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TAJEMNICA PRZEDSIĘBIORSTWA w rozumieniu art. 11 ust. 2 ustawy z dnia 16 kwietnia 1993 r. o zwalczaniu nieuczciwej konkurencji – DO UŻYTKU SŁUŻBOWEGO" style="position:absolute;margin-left:0;margin-top:0;width:571.7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" filled="f" stroked="f">
              <v:textbox style="mso-fit-shape-to-text:t" inset="20pt,0,0,15pt">
                <w:txbxContent>
                  <w:p w14:paraId="36A0E87D" w14:textId="5603C678" w:rsidR="00E30DC8" w:rsidRPr="00E30DC8" w:rsidRDefault="00E30DC8" w:rsidP="00E30DC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30DC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TAJEMNICA PRZEDSIĘBIORSTWA w rozumieniu art. 11 ust. 2 ustawy z dnia 16 kwietnia 1993 r. o zwalczaniu nieuczciwej konkurencji – DO UŻYTKU SŁUŻBOWEGO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9D1A5EE" w14:paraId="41F7AA69" w14:textId="77777777" w:rsidTr="09D1A5EE">
      <w:trPr>
        <w:trHeight w:val="300"/>
      </w:trPr>
      <w:tc>
        <w:tcPr>
          <w:tcW w:w="5130" w:type="dxa"/>
        </w:tcPr>
        <w:p w14:paraId="7FE178CD" w14:textId="7364CBBF" w:rsidR="09D1A5EE" w:rsidRDefault="09D1A5EE" w:rsidP="09D1A5EE">
          <w:pPr>
            <w:pStyle w:val="Nagwek"/>
            <w:ind w:left="-115"/>
          </w:pPr>
        </w:p>
      </w:tc>
      <w:tc>
        <w:tcPr>
          <w:tcW w:w="5130" w:type="dxa"/>
        </w:tcPr>
        <w:p w14:paraId="6BEC9654" w14:textId="30457D59" w:rsidR="09D1A5EE" w:rsidRDefault="09D1A5EE" w:rsidP="09D1A5EE">
          <w:pPr>
            <w:pStyle w:val="Nagwek"/>
            <w:jc w:val="center"/>
          </w:pPr>
        </w:p>
      </w:tc>
      <w:tc>
        <w:tcPr>
          <w:tcW w:w="5130" w:type="dxa"/>
        </w:tcPr>
        <w:p w14:paraId="1E4DD032" w14:textId="25698F19" w:rsidR="09D1A5EE" w:rsidRDefault="09D1A5EE" w:rsidP="09D1A5EE">
          <w:pPr>
            <w:pStyle w:val="Nagwek"/>
            <w:ind w:right="-115"/>
            <w:jc w:val="right"/>
          </w:pPr>
        </w:p>
      </w:tc>
    </w:tr>
  </w:tbl>
  <w:p w14:paraId="55323BC3" w14:textId="78A79178" w:rsidR="09D1A5EE" w:rsidRDefault="09D1A5EE" w:rsidP="09D1A5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D46D" w14:textId="0AFD8740" w:rsidR="00E30DC8" w:rsidRDefault="00E30DC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3A5B6C" wp14:editId="55A588D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61225" cy="314325"/>
              <wp:effectExtent l="0" t="0" r="15875" b="0"/>
              <wp:wrapNone/>
              <wp:docPr id="928681509" name="Pole tekstowe 1" descr="TAJEMNICA PRZEDSIĘBIORSTWA w rozumieniu art. 11 ust. 2 ustawy z dnia 16 kwietnia 1993 r. o zwalczaniu nieuczciwej konkurencji – DO UŻYTKU SŁUŻBOWEG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12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007A4" w14:textId="6F721197" w:rsidR="00E30DC8" w:rsidRPr="00E30DC8" w:rsidRDefault="00E30DC8" w:rsidP="00E30DC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30DC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TAJEMNICA PRZEDSIĘBIORSTWA w rozumieniu art. 11 ust. 2 ustawy z dnia 16 kwietnia 1993 r. o zwalczaniu nieuczciwej konkurencji – DO UŻYTKU SŁUŻBOWEGO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A5B6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TAJEMNICA PRZEDSIĘBIORSTWA w rozumieniu art. 11 ust. 2 ustawy z dnia 16 kwietnia 1993 r. o zwalczaniu nieuczciwej konkurencji – DO UŻYTKU SŁUŻBOWEGO" style="position:absolute;margin-left:0;margin-top:0;width:571.7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" filled="f" stroked="f">
              <v:textbox style="mso-fit-shape-to-text:t" inset="20pt,0,0,15pt">
                <w:txbxContent>
                  <w:p w14:paraId="6C4007A4" w14:textId="6F721197" w:rsidR="00E30DC8" w:rsidRPr="00E30DC8" w:rsidRDefault="00E30DC8" w:rsidP="00E30DC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30DC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TAJEMNICA PRZEDSIĘBIORSTWA w rozumieniu art. 11 ust. 2 ustawy z dnia 16 kwietnia 1993 r. o zwalczaniu nieuczciwej konkurencji – DO UŻYTKU SŁUŻBOWEGO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E952D" w14:textId="77777777" w:rsidR="00445198" w:rsidRDefault="00445198" w:rsidP="0006390F">
      <w:r>
        <w:separator/>
      </w:r>
    </w:p>
  </w:footnote>
  <w:footnote w:type="continuationSeparator" w:id="0">
    <w:p w14:paraId="6C1DFE3E" w14:textId="77777777" w:rsidR="00445198" w:rsidRDefault="00445198" w:rsidP="00063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15390"/>
    </w:tblGrid>
    <w:tr w:rsidR="09D1A5EE" w14:paraId="77BD88CD" w14:textId="77777777" w:rsidTr="09D1A5EE">
      <w:trPr>
        <w:trHeight w:val="300"/>
      </w:trPr>
      <w:tc>
        <w:tcPr>
          <w:tcW w:w="15390" w:type="dxa"/>
        </w:tcPr>
        <w:p w14:paraId="6A91FD4D" w14:textId="6CE7167C" w:rsidR="09D1A5EE" w:rsidRDefault="00CF6A28" w:rsidP="09D1A5EE">
          <w:pPr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  <w:b/>
              <w:bCs/>
            </w:rPr>
            <w:t>Stanowisko</w:t>
          </w:r>
          <w:r w:rsidR="09D1A5EE" w:rsidRPr="09D1A5EE">
            <w:rPr>
              <w:rFonts w:ascii="Calibri" w:hAnsi="Calibri" w:cs="Calibri"/>
              <w:b/>
              <w:bCs/>
            </w:rPr>
            <w:t xml:space="preserve"> </w:t>
          </w:r>
          <w:r>
            <w:rPr>
              <w:rFonts w:ascii="Calibri" w:hAnsi="Calibri" w:cs="Calibri"/>
              <w:b/>
              <w:bCs/>
            </w:rPr>
            <w:t>Konfederacji Lewiatan</w:t>
          </w:r>
        </w:p>
        <w:p w14:paraId="48EE76CC" w14:textId="3F100B94" w:rsidR="09D1A5EE" w:rsidRDefault="09D1A5EE" w:rsidP="09D1A5EE">
          <w:pPr>
            <w:tabs>
              <w:tab w:val="left" w:pos="12715"/>
            </w:tabs>
            <w:jc w:val="center"/>
          </w:pPr>
          <w:r w:rsidRPr="09D1A5EE">
            <w:rPr>
              <w:rFonts w:ascii="Calibri" w:hAnsi="Calibri" w:cs="Calibri"/>
              <w:b/>
              <w:bCs/>
            </w:rPr>
            <w:t>do projektu ustawy o sprawiedliwym dostępie do danych i ich wykorzystywaniu (UC114)</w:t>
          </w:r>
        </w:p>
        <w:p w14:paraId="0CA2B2AB" w14:textId="159DD589" w:rsidR="09D1A5EE" w:rsidRDefault="09D1A5EE" w:rsidP="09D1A5EE">
          <w:pPr>
            <w:pStyle w:val="Nagwek"/>
            <w:ind w:left="-115"/>
          </w:pPr>
        </w:p>
      </w:tc>
    </w:tr>
  </w:tbl>
  <w:p w14:paraId="10FD2FD2" w14:textId="2D0E075F" w:rsidR="09D1A5EE" w:rsidRDefault="09D1A5EE" w:rsidP="09D1A5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12BE2"/>
    <w:multiLevelType w:val="hybridMultilevel"/>
    <w:tmpl w:val="3C26F5F0"/>
    <w:lvl w:ilvl="0" w:tplc="C0761EBA">
      <w:start w:val="1"/>
      <w:numFmt w:val="decimal"/>
      <w:lvlText w:val="%1."/>
      <w:lvlJc w:val="left"/>
      <w:pPr>
        <w:ind w:left="720" w:hanging="360"/>
      </w:pPr>
    </w:lvl>
    <w:lvl w:ilvl="1" w:tplc="488485BA">
      <w:start w:val="1"/>
      <w:numFmt w:val="lowerLetter"/>
      <w:lvlText w:val="%2."/>
      <w:lvlJc w:val="left"/>
      <w:pPr>
        <w:ind w:left="1440" w:hanging="360"/>
      </w:pPr>
    </w:lvl>
    <w:lvl w:ilvl="2" w:tplc="C2663384">
      <w:start w:val="1"/>
      <w:numFmt w:val="lowerRoman"/>
      <w:lvlText w:val="%3."/>
      <w:lvlJc w:val="right"/>
      <w:pPr>
        <w:ind w:left="2160" w:hanging="180"/>
      </w:pPr>
    </w:lvl>
    <w:lvl w:ilvl="3" w:tplc="BFA8419C">
      <w:start w:val="1"/>
      <w:numFmt w:val="decimal"/>
      <w:lvlText w:val="%4."/>
      <w:lvlJc w:val="left"/>
      <w:pPr>
        <w:ind w:left="2880" w:hanging="360"/>
      </w:pPr>
    </w:lvl>
    <w:lvl w:ilvl="4" w:tplc="486E2A02">
      <w:start w:val="1"/>
      <w:numFmt w:val="lowerLetter"/>
      <w:lvlText w:val="%5."/>
      <w:lvlJc w:val="left"/>
      <w:pPr>
        <w:ind w:left="3600" w:hanging="360"/>
      </w:pPr>
    </w:lvl>
    <w:lvl w:ilvl="5" w:tplc="1DA6C61E">
      <w:start w:val="1"/>
      <w:numFmt w:val="lowerRoman"/>
      <w:lvlText w:val="%6."/>
      <w:lvlJc w:val="right"/>
      <w:pPr>
        <w:ind w:left="4320" w:hanging="180"/>
      </w:pPr>
    </w:lvl>
    <w:lvl w:ilvl="6" w:tplc="18165A7A">
      <w:start w:val="1"/>
      <w:numFmt w:val="decimal"/>
      <w:lvlText w:val="%7."/>
      <w:lvlJc w:val="left"/>
      <w:pPr>
        <w:ind w:left="5040" w:hanging="360"/>
      </w:pPr>
    </w:lvl>
    <w:lvl w:ilvl="7" w:tplc="6B4EEEAE">
      <w:start w:val="1"/>
      <w:numFmt w:val="lowerLetter"/>
      <w:lvlText w:val="%8."/>
      <w:lvlJc w:val="left"/>
      <w:pPr>
        <w:ind w:left="5760" w:hanging="360"/>
      </w:pPr>
    </w:lvl>
    <w:lvl w:ilvl="8" w:tplc="0AC0CE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ACCFF"/>
    <w:multiLevelType w:val="hybridMultilevel"/>
    <w:tmpl w:val="FB06ADFE"/>
    <w:lvl w:ilvl="0" w:tplc="75FEFE20">
      <w:start w:val="6"/>
      <w:numFmt w:val="decimal"/>
      <w:lvlText w:val="%1."/>
      <w:lvlJc w:val="left"/>
      <w:pPr>
        <w:ind w:left="720" w:hanging="360"/>
      </w:pPr>
    </w:lvl>
    <w:lvl w:ilvl="1" w:tplc="CF9875D8">
      <w:start w:val="1"/>
      <w:numFmt w:val="lowerLetter"/>
      <w:lvlText w:val="%2."/>
      <w:lvlJc w:val="left"/>
      <w:pPr>
        <w:ind w:left="1440" w:hanging="360"/>
      </w:pPr>
    </w:lvl>
    <w:lvl w:ilvl="2" w:tplc="3D0C6C16">
      <w:start w:val="1"/>
      <w:numFmt w:val="lowerRoman"/>
      <w:lvlText w:val="%3."/>
      <w:lvlJc w:val="right"/>
      <w:pPr>
        <w:ind w:left="2160" w:hanging="180"/>
      </w:pPr>
    </w:lvl>
    <w:lvl w:ilvl="3" w:tplc="10ECA274">
      <w:start w:val="1"/>
      <w:numFmt w:val="decimal"/>
      <w:lvlText w:val="%4."/>
      <w:lvlJc w:val="left"/>
      <w:pPr>
        <w:ind w:left="2880" w:hanging="360"/>
      </w:pPr>
    </w:lvl>
    <w:lvl w:ilvl="4" w:tplc="D806184A">
      <w:start w:val="1"/>
      <w:numFmt w:val="lowerLetter"/>
      <w:lvlText w:val="%5."/>
      <w:lvlJc w:val="left"/>
      <w:pPr>
        <w:ind w:left="3600" w:hanging="360"/>
      </w:pPr>
    </w:lvl>
    <w:lvl w:ilvl="5" w:tplc="1842219C">
      <w:start w:val="1"/>
      <w:numFmt w:val="lowerRoman"/>
      <w:lvlText w:val="%6."/>
      <w:lvlJc w:val="right"/>
      <w:pPr>
        <w:ind w:left="4320" w:hanging="180"/>
      </w:pPr>
    </w:lvl>
    <w:lvl w:ilvl="6" w:tplc="AA44A382">
      <w:start w:val="1"/>
      <w:numFmt w:val="decimal"/>
      <w:lvlText w:val="%7."/>
      <w:lvlJc w:val="left"/>
      <w:pPr>
        <w:ind w:left="5040" w:hanging="360"/>
      </w:pPr>
    </w:lvl>
    <w:lvl w:ilvl="7" w:tplc="322292EC">
      <w:start w:val="1"/>
      <w:numFmt w:val="lowerLetter"/>
      <w:lvlText w:val="%8."/>
      <w:lvlJc w:val="left"/>
      <w:pPr>
        <w:ind w:left="5760" w:hanging="360"/>
      </w:pPr>
    </w:lvl>
    <w:lvl w:ilvl="8" w:tplc="13F2A6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F7BA2"/>
    <w:multiLevelType w:val="hybridMultilevel"/>
    <w:tmpl w:val="A47A82A2"/>
    <w:lvl w:ilvl="0" w:tplc="1A186A02">
      <w:start w:val="1"/>
      <w:numFmt w:val="decimal"/>
      <w:lvlText w:val="%1."/>
      <w:lvlJc w:val="left"/>
      <w:pPr>
        <w:ind w:left="1080" w:hanging="360"/>
      </w:pPr>
    </w:lvl>
    <w:lvl w:ilvl="1" w:tplc="2F762494">
      <w:start w:val="1"/>
      <w:numFmt w:val="lowerLetter"/>
      <w:lvlText w:val="%2."/>
      <w:lvlJc w:val="left"/>
      <w:pPr>
        <w:ind w:left="1800" w:hanging="360"/>
      </w:pPr>
    </w:lvl>
    <w:lvl w:ilvl="2" w:tplc="92F06CA6">
      <w:start w:val="1"/>
      <w:numFmt w:val="lowerRoman"/>
      <w:lvlText w:val="%3."/>
      <w:lvlJc w:val="right"/>
      <w:pPr>
        <w:ind w:left="2520" w:hanging="180"/>
      </w:pPr>
    </w:lvl>
    <w:lvl w:ilvl="3" w:tplc="A5ECD63C">
      <w:start w:val="1"/>
      <w:numFmt w:val="decimal"/>
      <w:lvlText w:val="%4."/>
      <w:lvlJc w:val="left"/>
      <w:pPr>
        <w:ind w:left="3240" w:hanging="360"/>
      </w:pPr>
    </w:lvl>
    <w:lvl w:ilvl="4" w:tplc="3650FBA0">
      <w:start w:val="1"/>
      <w:numFmt w:val="lowerLetter"/>
      <w:lvlText w:val="%5."/>
      <w:lvlJc w:val="left"/>
      <w:pPr>
        <w:ind w:left="3960" w:hanging="360"/>
      </w:pPr>
    </w:lvl>
    <w:lvl w:ilvl="5" w:tplc="EE70033A">
      <w:start w:val="1"/>
      <w:numFmt w:val="lowerRoman"/>
      <w:lvlText w:val="%6."/>
      <w:lvlJc w:val="right"/>
      <w:pPr>
        <w:ind w:left="4680" w:hanging="180"/>
      </w:pPr>
    </w:lvl>
    <w:lvl w:ilvl="6" w:tplc="030C257E">
      <w:start w:val="1"/>
      <w:numFmt w:val="decimal"/>
      <w:lvlText w:val="%7."/>
      <w:lvlJc w:val="left"/>
      <w:pPr>
        <w:ind w:left="5400" w:hanging="360"/>
      </w:pPr>
    </w:lvl>
    <w:lvl w:ilvl="7" w:tplc="C7DCDF48">
      <w:start w:val="1"/>
      <w:numFmt w:val="lowerLetter"/>
      <w:lvlText w:val="%8."/>
      <w:lvlJc w:val="left"/>
      <w:pPr>
        <w:ind w:left="6120" w:hanging="360"/>
      </w:pPr>
    </w:lvl>
    <w:lvl w:ilvl="8" w:tplc="8E2CC3CE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5BC670"/>
    <w:multiLevelType w:val="hybridMultilevel"/>
    <w:tmpl w:val="FC56F5CA"/>
    <w:lvl w:ilvl="0" w:tplc="0246B2E8">
      <w:start w:val="5"/>
      <w:numFmt w:val="decimal"/>
      <w:lvlText w:val="%1."/>
      <w:lvlJc w:val="left"/>
      <w:pPr>
        <w:ind w:left="720" w:hanging="360"/>
      </w:pPr>
    </w:lvl>
    <w:lvl w:ilvl="1" w:tplc="0E74F262">
      <w:start w:val="1"/>
      <w:numFmt w:val="lowerLetter"/>
      <w:lvlText w:val="%2."/>
      <w:lvlJc w:val="left"/>
      <w:pPr>
        <w:ind w:left="1440" w:hanging="360"/>
      </w:pPr>
    </w:lvl>
    <w:lvl w:ilvl="2" w:tplc="3BF8290A">
      <w:start w:val="1"/>
      <w:numFmt w:val="lowerRoman"/>
      <w:lvlText w:val="%3."/>
      <w:lvlJc w:val="right"/>
      <w:pPr>
        <w:ind w:left="2160" w:hanging="180"/>
      </w:pPr>
    </w:lvl>
    <w:lvl w:ilvl="3" w:tplc="E75C6C66">
      <w:start w:val="1"/>
      <w:numFmt w:val="decimal"/>
      <w:lvlText w:val="%4."/>
      <w:lvlJc w:val="left"/>
      <w:pPr>
        <w:ind w:left="2880" w:hanging="360"/>
      </w:pPr>
    </w:lvl>
    <w:lvl w:ilvl="4" w:tplc="E1D41B9E">
      <w:start w:val="1"/>
      <w:numFmt w:val="lowerLetter"/>
      <w:lvlText w:val="%5."/>
      <w:lvlJc w:val="left"/>
      <w:pPr>
        <w:ind w:left="3600" w:hanging="360"/>
      </w:pPr>
    </w:lvl>
    <w:lvl w:ilvl="5" w:tplc="E8049E62">
      <w:start w:val="1"/>
      <w:numFmt w:val="lowerRoman"/>
      <w:lvlText w:val="%6."/>
      <w:lvlJc w:val="right"/>
      <w:pPr>
        <w:ind w:left="4320" w:hanging="180"/>
      </w:pPr>
    </w:lvl>
    <w:lvl w:ilvl="6" w:tplc="AC805A0C">
      <w:start w:val="1"/>
      <w:numFmt w:val="decimal"/>
      <w:lvlText w:val="%7."/>
      <w:lvlJc w:val="left"/>
      <w:pPr>
        <w:ind w:left="5040" w:hanging="360"/>
      </w:pPr>
    </w:lvl>
    <w:lvl w:ilvl="7" w:tplc="181A1886">
      <w:start w:val="1"/>
      <w:numFmt w:val="lowerLetter"/>
      <w:lvlText w:val="%8."/>
      <w:lvlJc w:val="left"/>
      <w:pPr>
        <w:ind w:left="5760" w:hanging="360"/>
      </w:pPr>
    </w:lvl>
    <w:lvl w:ilvl="8" w:tplc="4CF4AFF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BE687"/>
    <w:multiLevelType w:val="hybridMultilevel"/>
    <w:tmpl w:val="7944C82A"/>
    <w:lvl w:ilvl="0" w:tplc="7ED2B84E">
      <w:start w:val="1"/>
      <w:numFmt w:val="decimal"/>
      <w:lvlText w:val="%1."/>
      <w:lvlJc w:val="left"/>
      <w:pPr>
        <w:ind w:left="1080" w:hanging="360"/>
      </w:pPr>
    </w:lvl>
    <w:lvl w:ilvl="1" w:tplc="FB98ABA6">
      <w:start w:val="1"/>
      <w:numFmt w:val="lowerLetter"/>
      <w:lvlText w:val="%2."/>
      <w:lvlJc w:val="left"/>
      <w:pPr>
        <w:ind w:left="1800" w:hanging="360"/>
      </w:pPr>
    </w:lvl>
    <w:lvl w:ilvl="2" w:tplc="71683824">
      <w:start w:val="1"/>
      <w:numFmt w:val="lowerRoman"/>
      <w:lvlText w:val="%3."/>
      <w:lvlJc w:val="right"/>
      <w:pPr>
        <w:ind w:left="2520" w:hanging="180"/>
      </w:pPr>
    </w:lvl>
    <w:lvl w:ilvl="3" w:tplc="1F5C8A1A">
      <w:start w:val="1"/>
      <w:numFmt w:val="decimal"/>
      <w:lvlText w:val="%4."/>
      <w:lvlJc w:val="left"/>
      <w:pPr>
        <w:ind w:left="3240" w:hanging="360"/>
      </w:pPr>
    </w:lvl>
    <w:lvl w:ilvl="4" w:tplc="8A30F85C">
      <w:start w:val="1"/>
      <w:numFmt w:val="lowerLetter"/>
      <w:lvlText w:val="%5."/>
      <w:lvlJc w:val="left"/>
      <w:pPr>
        <w:ind w:left="3960" w:hanging="360"/>
      </w:pPr>
    </w:lvl>
    <w:lvl w:ilvl="5" w:tplc="7F88FFE4">
      <w:start w:val="1"/>
      <w:numFmt w:val="lowerRoman"/>
      <w:lvlText w:val="%6."/>
      <w:lvlJc w:val="right"/>
      <w:pPr>
        <w:ind w:left="4680" w:hanging="180"/>
      </w:pPr>
    </w:lvl>
    <w:lvl w:ilvl="6" w:tplc="93E42C6C">
      <w:start w:val="1"/>
      <w:numFmt w:val="decimal"/>
      <w:lvlText w:val="%7."/>
      <w:lvlJc w:val="left"/>
      <w:pPr>
        <w:ind w:left="5400" w:hanging="360"/>
      </w:pPr>
    </w:lvl>
    <w:lvl w:ilvl="7" w:tplc="8C681486">
      <w:start w:val="1"/>
      <w:numFmt w:val="lowerLetter"/>
      <w:lvlText w:val="%8."/>
      <w:lvlJc w:val="left"/>
      <w:pPr>
        <w:ind w:left="6120" w:hanging="360"/>
      </w:pPr>
    </w:lvl>
    <w:lvl w:ilvl="8" w:tplc="BF3E2370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B969EB"/>
    <w:multiLevelType w:val="hybridMultilevel"/>
    <w:tmpl w:val="71041E56"/>
    <w:lvl w:ilvl="0" w:tplc="4782BE36">
      <w:start w:val="7"/>
      <w:numFmt w:val="decimal"/>
      <w:lvlText w:val="%1."/>
      <w:lvlJc w:val="left"/>
      <w:pPr>
        <w:ind w:left="720" w:hanging="360"/>
      </w:pPr>
    </w:lvl>
    <w:lvl w:ilvl="1" w:tplc="C5CA6AB4">
      <w:start w:val="1"/>
      <w:numFmt w:val="lowerLetter"/>
      <w:lvlText w:val="%2."/>
      <w:lvlJc w:val="left"/>
      <w:pPr>
        <w:ind w:left="1440" w:hanging="360"/>
      </w:pPr>
    </w:lvl>
    <w:lvl w:ilvl="2" w:tplc="19E02A0C">
      <w:start w:val="1"/>
      <w:numFmt w:val="lowerRoman"/>
      <w:lvlText w:val="%3."/>
      <w:lvlJc w:val="right"/>
      <w:pPr>
        <w:ind w:left="2160" w:hanging="180"/>
      </w:pPr>
    </w:lvl>
    <w:lvl w:ilvl="3" w:tplc="7BA60F5A">
      <w:start w:val="1"/>
      <w:numFmt w:val="decimal"/>
      <w:lvlText w:val="%4."/>
      <w:lvlJc w:val="left"/>
      <w:pPr>
        <w:ind w:left="2880" w:hanging="360"/>
      </w:pPr>
    </w:lvl>
    <w:lvl w:ilvl="4" w:tplc="30CEB0A0">
      <w:start w:val="1"/>
      <w:numFmt w:val="lowerLetter"/>
      <w:lvlText w:val="%5."/>
      <w:lvlJc w:val="left"/>
      <w:pPr>
        <w:ind w:left="3600" w:hanging="360"/>
      </w:pPr>
    </w:lvl>
    <w:lvl w:ilvl="5" w:tplc="72E63D0A">
      <w:start w:val="1"/>
      <w:numFmt w:val="lowerRoman"/>
      <w:lvlText w:val="%6."/>
      <w:lvlJc w:val="right"/>
      <w:pPr>
        <w:ind w:left="4320" w:hanging="180"/>
      </w:pPr>
    </w:lvl>
    <w:lvl w:ilvl="6" w:tplc="FE86F172">
      <w:start w:val="1"/>
      <w:numFmt w:val="decimal"/>
      <w:lvlText w:val="%7."/>
      <w:lvlJc w:val="left"/>
      <w:pPr>
        <w:ind w:left="5040" w:hanging="360"/>
      </w:pPr>
    </w:lvl>
    <w:lvl w:ilvl="7" w:tplc="37843184">
      <w:start w:val="1"/>
      <w:numFmt w:val="lowerLetter"/>
      <w:lvlText w:val="%8."/>
      <w:lvlJc w:val="left"/>
      <w:pPr>
        <w:ind w:left="5760" w:hanging="360"/>
      </w:pPr>
    </w:lvl>
    <w:lvl w:ilvl="8" w:tplc="03D2F0F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2724E"/>
    <w:multiLevelType w:val="hybridMultilevel"/>
    <w:tmpl w:val="D9121D08"/>
    <w:lvl w:ilvl="0" w:tplc="0415000F">
      <w:start w:val="1"/>
      <w:numFmt w:val="decimal"/>
      <w:lvlText w:val="%1."/>
      <w:lvlJc w:val="left"/>
      <w:pPr>
        <w:ind w:left="76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7A72D"/>
    <w:multiLevelType w:val="hybridMultilevel"/>
    <w:tmpl w:val="17128002"/>
    <w:lvl w:ilvl="0" w:tplc="414668DE">
      <w:start w:val="3"/>
      <w:numFmt w:val="decimal"/>
      <w:lvlText w:val="%1."/>
      <w:lvlJc w:val="left"/>
      <w:pPr>
        <w:ind w:left="720" w:hanging="360"/>
      </w:pPr>
    </w:lvl>
    <w:lvl w:ilvl="1" w:tplc="9DA409BE">
      <w:start w:val="1"/>
      <w:numFmt w:val="lowerLetter"/>
      <w:lvlText w:val="%2."/>
      <w:lvlJc w:val="left"/>
      <w:pPr>
        <w:ind w:left="1440" w:hanging="360"/>
      </w:pPr>
    </w:lvl>
    <w:lvl w:ilvl="2" w:tplc="38C2D0D2">
      <w:start w:val="1"/>
      <w:numFmt w:val="lowerRoman"/>
      <w:lvlText w:val="%3."/>
      <w:lvlJc w:val="right"/>
      <w:pPr>
        <w:ind w:left="2160" w:hanging="180"/>
      </w:pPr>
    </w:lvl>
    <w:lvl w:ilvl="3" w:tplc="97481246">
      <w:start w:val="1"/>
      <w:numFmt w:val="decimal"/>
      <w:lvlText w:val="%4."/>
      <w:lvlJc w:val="left"/>
      <w:pPr>
        <w:ind w:left="2880" w:hanging="360"/>
      </w:pPr>
    </w:lvl>
    <w:lvl w:ilvl="4" w:tplc="50C0399C">
      <w:start w:val="1"/>
      <w:numFmt w:val="lowerLetter"/>
      <w:lvlText w:val="%5."/>
      <w:lvlJc w:val="left"/>
      <w:pPr>
        <w:ind w:left="3600" w:hanging="360"/>
      </w:pPr>
    </w:lvl>
    <w:lvl w:ilvl="5" w:tplc="7C7C22E6">
      <w:start w:val="1"/>
      <w:numFmt w:val="lowerRoman"/>
      <w:lvlText w:val="%6."/>
      <w:lvlJc w:val="right"/>
      <w:pPr>
        <w:ind w:left="4320" w:hanging="180"/>
      </w:pPr>
    </w:lvl>
    <w:lvl w:ilvl="6" w:tplc="5A5AA812">
      <w:start w:val="1"/>
      <w:numFmt w:val="decimal"/>
      <w:lvlText w:val="%7."/>
      <w:lvlJc w:val="left"/>
      <w:pPr>
        <w:ind w:left="5040" w:hanging="360"/>
      </w:pPr>
    </w:lvl>
    <w:lvl w:ilvl="7" w:tplc="38AECD28">
      <w:start w:val="1"/>
      <w:numFmt w:val="lowerLetter"/>
      <w:lvlText w:val="%8."/>
      <w:lvlJc w:val="left"/>
      <w:pPr>
        <w:ind w:left="5760" w:hanging="360"/>
      </w:pPr>
    </w:lvl>
    <w:lvl w:ilvl="8" w:tplc="1EB0AE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404DE"/>
    <w:multiLevelType w:val="hybridMultilevel"/>
    <w:tmpl w:val="708299E2"/>
    <w:lvl w:ilvl="0" w:tplc="0054E376">
      <w:start w:val="4"/>
      <w:numFmt w:val="decimal"/>
      <w:lvlText w:val="%1."/>
      <w:lvlJc w:val="left"/>
      <w:pPr>
        <w:ind w:left="720" w:hanging="360"/>
      </w:pPr>
    </w:lvl>
    <w:lvl w:ilvl="1" w:tplc="AC7456C0">
      <w:start w:val="1"/>
      <w:numFmt w:val="lowerLetter"/>
      <w:lvlText w:val="%2."/>
      <w:lvlJc w:val="left"/>
      <w:pPr>
        <w:ind w:left="1440" w:hanging="360"/>
      </w:pPr>
    </w:lvl>
    <w:lvl w:ilvl="2" w:tplc="842C2544">
      <w:start w:val="1"/>
      <w:numFmt w:val="lowerRoman"/>
      <w:lvlText w:val="%3."/>
      <w:lvlJc w:val="right"/>
      <w:pPr>
        <w:ind w:left="2160" w:hanging="180"/>
      </w:pPr>
    </w:lvl>
    <w:lvl w:ilvl="3" w:tplc="F3AC8E68">
      <w:start w:val="1"/>
      <w:numFmt w:val="decimal"/>
      <w:lvlText w:val="%4."/>
      <w:lvlJc w:val="left"/>
      <w:pPr>
        <w:ind w:left="2880" w:hanging="360"/>
      </w:pPr>
    </w:lvl>
    <w:lvl w:ilvl="4" w:tplc="CF88409A">
      <w:start w:val="1"/>
      <w:numFmt w:val="lowerLetter"/>
      <w:lvlText w:val="%5."/>
      <w:lvlJc w:val="left"/>
      <w:pPr>
        <w:ind w:left="3600" w:hanging="360"/>
      </w:pPr>
    </w:lvl>
    <w:lvl w:ilvl="5" w:tplc="A5D0B01A">
      <w:start w:val="1"/>
      <w:numFmt w:val="lowerRoman"/>
      <w:lvlText w:val="%6."/>
      <w:lvlJc w:val="right"/>
      <w:pPr>
        <w:ind w:left="4320" w:hanging="180"/>
      </w:pPr>
    </w:lvl>
    <w:lvl w:ilvl="6" w:tplc="4ABA1752">
      <w:start w:val="1"/>
      <w:numFmt w:val="decimal"/>
      <w:lvlText w:val="%7."/>
      <w:lvlJc w:val="left"/>
      <w:pPr>
        <w:ind w:left="5040" w:hanging="360"/>
      </w:pPr>
    </w:lvl>
    <w:lvl w:ilvl="7" w:tplc="29A87E84">
      <w:start w:val="1"/>
      <w:numFmt w:val="lowerLetter"/>
      <w:lvlText w:val="%8."/>
      <w:lvlJc w:val="left"/>
      <w:pPr>
        <w:ind w:left="5760" w:hanging="360"/>
      </w:pPr>
    </w:lvl>
    <w:lvl w:ilvl="8" w:tplc="09742B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7214D"/>
    <w:multiLevelType w:val="hybridMultilevel"/>
    <w:tmpl w:val="44E805CA"/>
    <w:lvl w:ilvl="0" w:tplc="7F1264F4">
      <w:start w:val="2"/>
      <w:numFmt w:val="decimal"/>
      <w:lvlText w:val="%1."/>
      <w:lvlJc w:val="left"/>
      <w:pPr>
        <w:ind w:left="720" w:hanging="360"/>
      </w:pPr>
    </w:lvl>
    <w:lvl w:ilvl="1" w:tplc="6A107B1C">
      <w:start w:val="1"/>
      <w:numFmt w:val="lowerLetter"/>
      <w:lvlText w:val="%2."/>
      <w:lvlJc w:val="left"/>
      <w:pPr>
        <w:ind w:left="1440" w:hanging="360"/>
      </w:pPr>
    </w:lvl>
    <w:lvl w:ilvl="2" w:tplc="6C7EA43E">
      <w:start w:val="1"/>
      <w:numFmt w:val="lowerRoman"/>
      <w:lvlText w:val="%3."/>
      <w:lvlJc w:val="right"/>
      <w:pPr>
        <w:ind w:left="2160" w:hanging="180"/>
      </w:pPr>
    </w:lvl>
    <w:lvl w:ilvl="3" w:tplc="631A61D6">
      <w:start w:val="1"/>
      <w:numFmt w:val="decimal"/>
      <w:lvlText w:val="%4."/>
      <w:lvlJc w:val="left"/>
      <w:pPr>
        <w:ind w:left="2880" w:hanging="360"/>
      </w:pPr>
    </w:lvl>
    <w:lvl w:ilvl="4" w:tplc="EAF683E0">
      <w:start w:val="1"/>
      <w:numFmt w:val="lowerLetter"/>
      <w:lvlText w:val="%5."/>
      <w:lvlJc w:val="left"/>
      <w:pPr>
        <w:ind w:left="3600" w:hanging="360"/>
      </w:pPr>
    </w:lvl>
    <w:lvl w:ilvl="5" w:tplc="865276D8">
      <w:start w:val="1"/>
      <w:numFmt w:val="lowerRoman"/>
      <w:lvlText w:val="%6."/>
      <w:lvlJc w:val="right"/>
      <w:pPr>
        <w:ind w:left="4320" w:hanging="180"/>
      </w:pPr>
    </w:lvl>
    <w:lvl w:ilvl="6" w:tplc="B7466F96">
      <w:start w:val="1"/>
      <w:numFmt w:val="decimal"/>
      <w:lvlText w:val="%7."/>
      <w:lvlJc w:val="left"/>
      <w:pPr>
        <w:ind w:left="5040" w:hanging="360"/>
      </w:pPr>
    </w:lvl>
    <w:lvl w:ilvl="7" w:tplc="500C3188">
      <w:start w:val="1"/>
      <w:numFmt w:val="lowerLetter"/>
      <w:lvlText w:val="%8."/>
      <w:lvlJc w:val="left"/>
      <w:pPr>
        <w:ind w:left="5760" w:hanging="360"/>
      </w:pPr>
    </w:lvl>
    <w:lvl w:ilvl="8" w:tplc="7D56ED6C">
      <w:start w:val="1"/>
      <w:numFmt w:val="lowerRoman"/>
      <w:lvlText w:val="%9."/>
      <w:lvlJc w:val="right"/>
      <w:pPr>
        <w:ind w:left="6480" w:hanging="180"/>
      </w:pPr>
    </w:lvl>
  </w:abstractNum>
  <w:num w:numId="1" w16cid:durableId="870920762">
    <w:abstractNumId w:val="4"/>
  </w:num>
  <w:num w:numId="2" w16cid:durableId="1672903653">
    <w:abstractNumId w:val="2"/>
  </w:num>
  <w:num w:numId="3" w16cid:durableId="1204252142">
    <w:abstractNumId w:val="5"/>
  </w:num>
  <w:num w:numId="4" w16cid:durableId="513112343">
    <w:abstractNumId w:val="1"/>
  </w:num>
  <w:num w:numId="5" w16cid:durableId="30153876">
    <w:abstractNumId w:val="3"/>
  </w:num>
  <w:num w:numId="6" w16cid:durableId="573515950">
    <w:abstractNumId w:val="8"/>
  </w:num>
  <w:num w:numId="7" w16cid:durableId="581990028">
    <w:abstractNumId w:val="7"/>
  </w:num>
  <w:num w:numId="8" w16cid:durableId="680084609">
    <w:abstractNumId w:val="9"/>
  </w:num>
  <w:num w:numId="9" w16cid:durableId="2094812437">
    <w:abstractNumId w:val="0"/>
  </w:num>
  <w:num w:numId="10" w16cid:durableId="2623012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1B"/>
    <w:rsid w:val="00024D8E"/>
    <w:rsid w:val="00034258"/>
    <w:rsid w:val="0006390F"/>
    <w:rsid w:val="00086BD1"/>
    <w:rsid w:val="00121517"/>
    <w:rsid w:val="001231DE"/>
    <w:rsid w:val="001325CB"/>
    <w:rsid w:val="00140BE8"/>
    <w:rsid w:val="00183F8A"/>
    <w:rsid w:val="0019648E"/>
    <w:rsid w:val="001C4623"/>
    <w:rsid w:val="002149F3"/>
    <w:rsid w:val="002259FE"/>
    <w:rsid w:val="00250BAD"/>
    <w:rsid w:val="00257F42"/>
    <w:rsid w:val="002715B2"/>
    <w:rsid w:val="00273C1D"/>
    <w:rsid w:val="002D0425"/>
    <w:rsid w:val="002E1FCE"/>
    <w:rsid w:val="002F2665"/>
    <w:rsid w:val="003124D1"/>
    <w:rsid w:val="00321B1B"/>
    <w:rsid w:val="0034794C"/>
    <w:rsid w:val="00376FEE"/>
    <w:rsid w:val="003B4105"/>
    <w:rsid w:val="00423A04"/>
    <w:rsid w:val="00445198"/>
    <w:rsid w:val="00467F53"/>
    <w:rsid w:val="004746D6"/>
    <w:rsid w:val="004D086F"/>
    <w:rsid w:val="004E4EB0"/>
    <w:rsid w:val="004E5DDB"/>
    <w:rsid w:val="0050006E"/>
    <w:rsid w:val="005051F4"/>
    <w:rsid w:val="0050604E"/>
    <w:rsid w:val="00521E83"/>
    <w:rsid w:val="00534D6B"/>
    <w:rsid w:val="005745F5"/>
    <w:rsid w:val="00585EA9"/>
    <w:rsid w:val="005B2115"/>
    <w:rsid w:val="005F6527"/>
    <w:rsid w:val="00644D09"/>
    <w:rsid w:val="006705EC"/>
    <w:rsid w:val="00686DC3"/>
    <w:rsid w:val="006D283E"/>
    <w:rsid w:val="006E16E9"/>
    <w:rsid w:val="00705CFA"/>
    <w:rsid w:val="00731D4D"/>
    <w:rsid w:val="00747A84"/>
    <w:rsid w:val="00784110"/>
    <w:rsid w:val="007B1EF3"/>
    <w:rsid w:val="007E7A06"/>
    <w:rsid w:val="007F28BF"/>
    <w:rsid w:val="00807385"/>
    <w:rsid w:val="00810B53"/>
    <w:rsid w:val="00815601"/>
    <w:rsid w:val="00822CDB"/>
    <w:rsid w:val="0089173A"/>
    <w:rsid w:val="008D3917"/>
    <w:rsid w:val="00944932"/>
    <w:rsid w:val="00953091"/>
    <w:rsid w:val="009717B7"/>
    <w:rsid w:val="00995365"/>
    <w:rsid w:val="009A2FA1"/>
    <w:rsid w:val="009E5FDB"/>
    <w:rsid w:val="00A06425"/>
    <w:rsid w:val="00A67E60"/>
    <w:rsid w:val="00A863FB"/>
    <w:rsid w:val="00AC7796"/>
    <w:rsid w:val="00B25342"/>
    <w:rsid w:val="00B6317A"/>
    <w:rsid w:val="00B871B6"/>
    <w:rsid w:val="00BE3CEC"/>
    <w:rsid w:val="00BF3AEC"/>
    <w:rsid w:val="00C227B9"/>
    <w:rsid w:val="00C2571D"/>
    <w:rsid w:val="00C64B1B"/>
    <w:rsid w:val="00CA4B6C"/>
    <w:rsid w:val="00CB5230"/>
    <w:rsid w:val="00CD5EB0"/>
    <w:rsid w:val="00CF6A28"/>
    <w:rsid w:val="00D0676D"/>
    <w:rsid w:val="00D5282F"/>
    <w:rsid w:val="00D56821"/>
    <w:rsid w:val="00D71D73"/>
    <w:rsid w:val="00D808AD"/>
    <w:rsid w:val="00DD0529"/>
    <w:rsid w:val="00DE3AE0"/>
    <w:rsid w:val="00E14C33"/>
    <w:rsid w:val="00E30DC8"/>
    <w:rsid w:val="00E31979"/>
    <w:rsid w:val="00E453B3"/>
    <w:rsid w:val="00E46ADF"/>
    <w:rsid w:val="00E5678F"/>
    <w:rsid w:val="00EA130B"/>
    <w:rsid w:val="00EA6CE6"/>
    <w:rsid w:val="00F27C30"/>
    <w:rsid w:val="00F4626B"/>
    <w:rsid w:val="00FC087D"/>
    <w:rsid w:val="0434FB51"/>
    <w:rsid w:val="099F412A"/>
    <w:rsid w:val="09D1A5EE"/>
    <w:rsid w:val="09E906EB"/>
    <w:rsid w:val="0B4A78CE"/>
    <w:rsid w:val="0E069A22"/>
    <w:rsid w:val="0ED65ECB"/>
    <w:rsid w:val="1513F993"/>
    <w:rsid w:val="1567D5BD"/>
    <w:rsid w:val="16CF367E"/>
    <w:rsid w:val="1959D405"/>
    <w:rsid w:val="1B4C135C"/>
    <w:rsid w:val="20392A94"/>
    <w:rsid w:val="242DFA24"/>
    <w:rsid w:val="24EFFAB3"/>
    <w:rsid w:val="266EC52E"/>
    <w:rsid w:val="2950367F"/>
    <w:rsid w:val="2D135512"/>
    <w:rsid w:val="2EA4017B"/>
    <w:rsid w:val="2F85125D"/>
    <w:rsid w:val="3759C07B"/>
    <w:rsid w:val="39693D1B"/>
    <w:rsid w:val="3E44AC25"/>
    <w:rsid w:val="3F00AF57"/>
    <w:rsid w:val="3FDA8259"/>
    <w:rsid w:val="413B4253"/>
    <w:rsid w:val="436CF9E9"/>
    <w:rsid w:val="446A5A32"/>
    <w:rsid w:val="44A23CD4"/>
    <w:rsid w:val="45016691"/>
    <w:rsid w:val="47105581"/>
    <w:rsid w:val="49B10D1C"/>
    <w:rsid w:val="49C72484"/>
    <w:rsid w:val="4C93AFBD"/>
    <w:rsid w:val="4CA2E2FD"/>
    <w:rsid w:val="4CBDE0A3"/>
    <w:rsid w:val="4F9CD560"/>
    <w:rsid w:val="512636AB"/>
    <w:rsid w:val="5BC62E4B"/>
    <w:rsid w:val="5CE3F52E"/>
    <w:rsid w:val="5D11D399"/>
    <w:rsid w:val="6349E9DD"/>
    <w:rsid w:val="6587E087"/>
    <w:rsid w:val="66C5345C"/>
    <w:rsid w:val="67652282"/>
    <w:rsid w:val="67B57BB9"/>
    <w:rsid w:val="696DDDCF"/>
    <w:rsid w:val="699C599F"/>
    <w:rsid w:val="6E63AD6D"/>
    <w:rsid w:val="70FF5A47"/>
    <w:rsid w:val="77628B1B"/>
    <w:rsid w:val="79C88747"/>
    <w:rsid w:val="7A3DAAE1"/>
    <w:rsid w:val="7AD5A0D7"/>
    <w:rsid w:val="7B743925"/>
    <w:rsid w:val="7C44F88C"/>
    <w:rsid w:val="7C97B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40C5F3"/>
  <w15:chartTrackingRefBased/>
  <w15:docId w15:val="{A86C14B2-5C85-4E7A-AFE0-072999C2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064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0642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3F8A"/>
    <w:pPr>
      <w:ind w:left="720"/>
      <w:contextualSpacing/>
    </w:pPr>
  </w:style>
  <w:style w:type="paragraph" w:styleId="Nagwek">
    <w:name w:val="header"/>
    <w:basedOn w:val="Normalny"/>
    <w:link w:val="NagwekZnak"/>
    <w:rsid w:val="000639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6390F"/>
    <w:rPr>
      <w:sz w:val="24"/>
      <w:szCs w:val="24"/>
    </w:rPr>
  </w:style>
  <w:style w:type="paragraph" w:styleId="Stopka">
    <w:name w:val="footer"/>
    <w:basedOn w:val="Normalny"/>
    <w:link w:val="StopkaZnak"/>
    <w:rsid w:val="000639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6390F"/>
    <w:rPr>
      <w:sz w:val="24"/>
      <w:szCs w:val="24"/>
    </w:rPr>
  </w:style>
  <w:style w:type="paragraph" w:styleId="Poprawka">
    <w:name w:val="Revision"/>
    <w:hidden/>
    <w:uiPriority w:val="99"/>
    <w:semiHidden/>
    <w:rsid w:val="002F2665"/>
    <w:rPr>
      <w:sz w:val="24"/>
      <w:szCs w:val="24"/>
    </w:rPr>
  </w:style>
  <w:style w:type="character" w:styleId="Odwoaniedokomentarza">
    <w:name w:val="annotation reference"/>
    <w:basedOn w:val="Domylnaczcionkaakapitu"/>
    <w:rsid w:val="002F266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F26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F2665"/>
  </w:style>
  <w:style w:type="paragraph" w:styleId="Tematkomentarza">
    <w:name w:val="annotation subject"/>
    <w:basedOn w:val="Tekstkomentarza"/>
    <w:next w:val="Tekstkomentarza"/>
    <w:link w:val="TematkomentarzaZnak"/>
    <w:rsid w:val="002F26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F2665"/>
    <w:rPr>
      <w:b/>
      <w:bCs/>
    </w:rPr>
  </w:style>
  <w:style w:type="paragraph" w:styleId="Tekstprzypisukocowego">
    <w:name w:val="endnote text"/>
    <w:basedOn w:val="Normalny"/>
    <w:link w:val="TekstprzypisukocowegoZnak"/>
    <w:rsid w:val="00F462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4626B"/>
  </w:style>
  <w:style w:type="character" w:styleId="Odwoanieprzypisukocowego">
    <w:name w:val="endnote reference"/>
    <w:basedOn w:val="Domylnaczcionkaakapitu"/>
    <w:rsid w:val="00F462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9f712ea-50a0-4d7c-b3f8-0f6197c7b855}" enabled="1" method="Standard" siteId="{e627a4cd-356c-4934-89de-1758b5605ea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2000</Words>
  <Characters>12000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Musielak</dc:creator>
  <cp:keywords/>
  <cp:lastModifiedBy>Magdalena Widlicka</cp:lastModifiedBy>
  <cp:revision>4</cp:revision>
  <dcterms:created xsi:type="dcterms:W3CDTF">2025-12-03T09:34:00Z</dcterms:created>
  <dcterms:modified xsi:type="dcterms:W3CDTF">2025-12-03T14:21:00Z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375a8e25,41a114ac,2067a5a8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TAJEMNICA PRZEDSIĘBIORSTWA w rozumieniu art. 11 ust. 2 ustawy z dnia 16 kwietnia 1993 r. o zwalczaniu nieuczciwej konkurencji – DO UŻYTKU SŁUŻBOWEGO</vt:lpwstr>
  </property>
</Properties>
</file>