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759C" w14:textId="77777777" w:rsidR="00C93278" w:rsidRPr="00081694" w:rsidRDefault="00CA2841" w:rsidP="008B766F">
      <w:pPr>
        <w:spacing w:after="0" w:line="240" w:lineRule="auto"/>
        <w:jc w:val="center"/>
        <w:rPr>
          <w:rFonts w:cstheme="minorHAnsi"/>
          <w:b/>
          <w:bCs/>
        </w:rPr>
      </w:pPr>
      <w:bookmarkStart w:id="0" w:name="_Hlk107398740"/>
      <w:r w:rsidRPr="00081694">
        <w:rPr>
          <w:rFonts w:cstheme="minorHAnsi"/>
          <w:b/>
          <w:bCs/>
        </w:rPr>
        <w:t xml:space="preserve">Uwagi </w:t>
      </w:r>
    </w:p>
    <w:p w14:paraId="401B8CE0" w14:textId="3572D6E4" w:rsidR="005952E3" w:rsidRPr="00081694" w:rsidRDefault="00CA2841" w:rsidP="005952E3">
      <w:pPr>
        <w:spacing w:after="0" w:line="240" w:lineRule="auto"/>
        <w:jc w:val="center"/>
        <w:rPr>
          <w:rFonts w:cstheme="minorHAnsi"/>
          <w:b/>
          <w:bCs/>
        </w:rPr>
      </w:pPr>
      <w:r w:rsidRPr="00081694">
        <w:rPr>
          <w:rFonts w:cstheme="minorHAnsi"/>
          <w:b/>
          <w:bCs/>
        </w:rPr>
        <w:t>do projektu</w:t>
      </w:r>
      <w:bookmarkStart w:id="1" w:name="_Hlk163464623"/>
      <w:r w:rsidR="00894E5C" w:rsidRPr="00081694">
        <w:rPr>
          <w:rFonts w:cstheme="minorHAnsi"/>
          <w:b/>
          <w:bCs/>
        </w:rPr>
        <w:t xml:space="preserve"> ustawy</w:t>
      </w:r>
      <w:r w:rsidR="00894E5C" w:rsidRPr="00081694">
        <w:rPr>
          <w:rFonts w:eastAsia="Times New Roman" w:cstheme="minorHAnsi"/>
          <w:b/>
          <w:color w:val="000000" w:themeColor="text1"/>
          <w:lang w:eastAsia="pl-PL"/>
        </w:rPr>
        <w:t xml:space="preserve"> </w:t>
      </w:r>
      <w:r w:rsidR="00085CF7" w:rsidRPr="00081694">
        <w:rPr>
          <w:rFonts w:cstheme="minorHAnsi"/>
          <w:b/>
          <w:bCs/>
        </w:rPr>
        <w:t>o zmianie ustawy – Prawo energetyczne oraz ustawy o odnawialnych źródłach energii (nr projektu UD284 w Wykazie prac legislacyjnych i programowych Rady Ministrów)</w:t>
      </w:r>
    </w:p>
    <w:bookmarkEnd w:id="1"/>
    <w:p w14:paraId="304455B3" w14:textId="11AAB46F" w:rsidR="00CA2841" w:rsidRPr="00081694" w:rsidRDefault="00CA2841" w:rsidP="008B766F">
      <w:pPr>
        <w:spacing w:after="0" w:line="240" w:lineRule="auto"/>
        <w:jc w:val="center"/>
        <w:rPr>
          <w:rFonts w:cstheme="minorHAnsi"/>
          <w:b/>
          <w:bCs/>
        </w:rPr>
      </w:pPr>
    </w:p>
    <w:p w14:paraId="711D6FEE" w14:textId="77777777" w:rsidR="00CA2841" w:rsidRPr="00081694" w:rsidRDefault="00CA2841" w:rsidP="008B766F">
      <w:pPr>
        <w:spacing w:after="0" w:line="240" w:lineRule="auto"/>
        <w:rPr>
          <w:rFonts w:cstheme="minorHAnsi"/>
        </w:rPr>
      </w:pPr>
    </w:p>
    <w:tbl>
      <w:tblPr>
        <w:tblStyle w:val="Tabela-Siatka"/>
        <w:tblpPr w:leftFromText="142" w:rightFromText="142" w:vertAnchor="text" w:horzAnchor="margin" w:tblpXSpec="center" w:tblpY="58"/>
        <w:tblW w:w="15740" w:type="dxa"/>
        <w:tblLayout w:type="fixed"/>
        <w:tblLook w:val="04A0" w:firstRow="1" w:lastRow="0" w:firstColumn="1" w:lastColumn="0" w:noHBand="0" w:noVBand="1"/>
      </w:tblPr>
      <w:tblGrid>
        <w:gridCol w:w="562"/>
        <w:gridCol w:w="1701"/>
        <w:gridCol w:w="2694"/>
        <w:gridCol w:w="5103"/>
        <w:gridCol w:w="4252"/>
        <w:gridCol w:w="1428"/>
      </w:tblGrid>
      <w:tr w:rsidR="0090574C" w:rsidRPr="00081694" w14:paraId="47E9ED08" w14:textId="77777777" w:rsidTr="410720AB">
        <w:trPr>
          <w:trHeight w:val="551"/>
          <w:tblHeader/>
        </w:trPr>
        <w:tc>
          <w:tcPr>
            <w:tcW w:w="562" w:type="dxa"/>
          </w:tcPr>
          <w:p w14:paraId="115BF413" w14:textId="6257DDCF" w:rsidR="0090574C" w:rsidRPr="00081694" w:rsidRDefault="0090574C" w:rsidP="008B766F">
            <w:pPr>
              <w:jc w:val="center"/>
              <w:rPr>
                <w:rFonts w:cstheme="minorHAnsi"/>
                <w:b/>
                <w:bCs/>
              </w:rPr>
            </w:pPr>
            <w:r w:rsidRPr="00081694">
              <w:rPr>
                <w:rFonts w:cstheme="minorHAnsi"/>
                <w:b/>
                <w:bCs/>
              </w:rPr>
              <w:t>Lp.</w:t>
            </w:r>
          </w:p>
        </w:tc>
        <w:tc>
          <w:tcPr>
            <w:tcW w:w="1701" w:type="dxa"/>
          </w:tcPr>
          <w:p w14:paraId="0FAF4510" w14:textId="4FD6EB74" w:rsidR="0090574C" w:rsidRPr="00081694" w:rsidRDefault="0090574C" w:rsidP="008B766F">
            <w:pPr>
              <w:jc w:val="center"/>
              <w:rPr>
                <w:rFonts w:cstheme="minorHAnsi"/>
                <w:b/>
                <w:bCs/>
              </w:rPr>
            </w:pPr>
            <w:r w:rsidRPr="00081694">
              <w:rPr>
                <w:rFonts w:cstheme="minorHAnsi"/>
                <w:b/>
                <w:bCs/>
              </w:rPr>
              <w:t>Podmiot wnoszący uwag</w:t>
            </w:r>
            <w:r w:rsidR="00B91BB7" w:rsidRPr="00081694">
              <w:rPr>
                <w:rFonts w:cstheme="minorHAnsi"/>
                <w:b/>
                <w:bCs/>
              </w:rPr>
              <w:t>ę</w:t>
            </w:r>
          </w:p>
        </w:tc>
        <w:tc>
          <w:tcPr>
            <w:tcW w:w="2694" w:type="dxa"/>
          </w:tcPr>
          <w:p w14:paraId="51F92737" w14:textId="48E4A866" w:rsidR="0090574C" w:rsidRPr="00081694" w:rsidRDefault="0090574C" w:rsidP="008B766F">
            <w:pPr>
              <w:jc w:val="center"/>
              <w:rPr>
                <w:rFonts w:cstheme="minorHAnsi"/>
                <w:b/>
                <w:bCs/>
              </w:rPr>
            </w:pPr>
            <w:r w:rsidRPr="00081694">
              <w:rPr>
                <w:rFonts w:cstheme="minorHAnsi"/>
                <w:b/>
                <w:bCs/>
              </w:rPr>
              <w:t>Jednostka redakcyjna, do której wnoszon</w:t>
            </w:r>
            <w:r w:rsidR="00B91BB7" w:rsidRPr="00081694">
              <w:rPr>
                <w:rFonts w:cstheme="minorHAnsi"/>
                <w:b/>
                <w:bCs/>
              </w:rPr>
              <w:t>a jest</w:t>
            </w:r>
            <w:r w:rsidRPr="00081694">
              <w:rPr>
                <w:rFonts w:cstheme="minorHAnsi"/>
                <w:b/>
                <w:bCs/>
              </w:rPr>
              <w:t xml:space="preserve"> uwag</w:t>
            </w:r>
            <w:r w:rsidR="00B91BB7" w:rsidRPr="00081694">
              <w:rPr>
                <w:rFonts w:cstheme="minorHAnsi"/>
                <w:b/>
                <w:bCs/>
              </w:rPr>
              <w:t>a</w:t>
            </w:r>
            <w:r w:rsidR="004F2D1D" w:rsidRPr="00081694">
              <w:rPr>
                <w:rStyle w:val="Odwoanieprzypisudolnego"/>
                <w:rFonts w:cstheme="minorHAnsi"/>
                <w:b/>
                <w:bCs/>
              </w:rPr>
              <w:footnoteReference w:customMarkFollows="1" w:id="1"/>
              <w:t>1)</w:t>
            </w:r>
          </w:p>
        </w:tc>
        <w:tc>
          <w:tcPr>
            <w:tcW w:w="5103" w:type="dxa"/>
          </w:tcPr>
          <w:p w14:paraId="74AACE5A" w14:textId="0BDDBBD7" w:rsidR="0090574C" w:rsidRPr="00081694" w:rsidRDefault="0090574C" w:rsidP="008B766F">
            <w:pPr>
              <w:jc w:val="center"/>
              <w:rPr>
                <w:rFonts w:cstheme="minorHAnsi"/>
                <w:b/>
                <w:bCs/>
              </w:rPr>
            </w:pPr>
            <w:r w:rsidRPr="00081694">
              <w:rPr>
                <w:rFonts w:cstheme="minorHAnsi"/>
                <w:b/>
                <w:bCs/>
              </w:rPr>
              <w:t>Treść uwagi</w:t>
            </w:r>
          </w:p>
        </w:tc>
        <w:tc>
          <w:tcPr>
            <w:tcW w:w="4252" w:type="dxa"/>
          </w:tcPr>
          <w:p w14:paraId="7C9E6D74" w14:textId="597CDAA9" w:rsidR="0090574C" w:rsidRPr="00081694" w:rsidRDefault="0090574C" w:rsidP="008B766F">
            <w:pPr>
              <w:jc w:val="center"/>
              <w:rPr>
                <w:rFonts w:cstheme="minorHAnsi"/>
                <w:b/>
                <w:bCs/>
              </w:rPr>
            </w:pPr>
            <w:r w:rsidRPr="00081694">
              <w:rPr>
                <w:rFonts w:cstheme="minorHAnsi"/>
                <w:b/>
                <w:bCs/>
              </w:rPr>
              <w:t xml:space="preserve">Propozycja </w:t>
            </w:r>
            <w:r w:rsidR="00773DAD" w:rsidRPr="00081694">
              <w:rPr>
                <w:rFonts w:cstheme="minorHAnsi"/>
                <w:b/>
                <w:bCs/>
              </w:rPr>
              <w:t>brzmienia</w:t>
            </w:r>
            <w:r w:rsidR="00C93278" w:rsidRPr="00081694">
              <w:rPr>
                <w:rFonts w:cstheme="minorHAnsi"/>
                <w:b/>
                <w:bCs/>
              </w:rPr>
              <w:t xml:space="preserve"> przepisu</w:t>
            </w:r>
          </w:p>
        </w:tc>
        <w:tc>
          <w:tcPr>
            <w:tcW w:w="1428" w:type="dxa"/>
          </w:tcPr>
          <w:p w14:paraId="2C049C38" w14:textId="382C7B91" w:rsidR="0090574C" w:rsidRPr="00081694" w:rsidRDefault="0090574C" w:rsidP="008B766F">
            <w:pPr>
              <w:jc w:val="center"/>
              <w:rPr>
                <w:rFonts w:cstheme="minorHAnsi"/>
                <w:b/>
                <w:bCs/>
              </w:rPr>
            </w:pPr>
            <w:r w:rsidRPr="00081694">
              <w:rPr>
                <w:rFonts w:cstheme="minorHAnsi"/>
                <w:b/>
                <w:bCs/>
              </w:rPr>
              <w:t>Stanowisko do uwagi</w:t>
            </w:r>
          </w:p>
        </w:tc>
      </w:tr>
      <w:tr w:rsidR="005D2AE1" w:rsidRPr="00081694" w14:paraId="7D8003E0" w14:textId="77777777" w:rsidTr="410720AB">
        <w:trPr>
          <w:trHeight w:val="300"/>
        </w:trPr>
        <w:tc>
          <w:tcPr>
            <w:tcW w:w="562" w:type="dxa"/>
          </w:tcPr>
          <w:p w14:paraId="30DEA27E" w14:textId="55C8AE7D" w:rsidR="005D2AE1" w:rsidRPr="00081694" w:rsidRDefault="00C72A4C" w:rsidP="51D6D735">
            <w:pPr>
              <w:jc w:val="center"/>
              <w:rPr>
                <w:rFonts w:cstheme="minorHAnsi"/>
              </w:rPr>
            </w:pPr>
            <w:r>
              <w:rPr>
                <w:rFonts w:cstheme="minorHAnsi"/>
              </w:rPr>
              <w:t>1</w:t>
            </w:r>
          </w:p>
        </w:tc>
        <w:tc>
          <w:tcPr>
            <w:tcW w:w="1701" w:type="dxa"/>
          </w:tcPr>
          <w:p w14:paraId="680C86C6" w14:textId="003B01B1" w:rsidR="005D2AE1" w:rsidRPr="005D2AE1" w:rsidRDefault="005D2AE1" w:rsidP="51D6D735">
            <w:pPr>
              <w:jc w:val="both"/>
              <w:rPr>
                <w:rFonts w:eastAsia="Lato" w:cstheme="minorHAnsi"/>
                <w:lang w:val="en-GB"/>
              </w:rPr>
            </w:pPr>
            <w:r>
              <w:rPr>
                <w:rFonts w:cstheme="minorHAnsi"/>
                <w:lang w:val="en-GB"/>
              </w:rPr>
              <w:t>Konfederacja Lewiatan</w:t>
            </w:r>
          </w:p>
        </w:tc>
        <w:tc>
          <w:tcPr>
            <w:tcW w:w="2694" w:type="dxa"/>
          </w:tcPr>
          <w:p w14:paraId="439B5350" w14:textId="18BE1E9F" w:rsidR="005D2AE1" w:rsidRPr="00081694" w:rsidRDefault="005D2AE1" w:rsidP="51D6D735">
            <w:pPr>
              <w:jc w:val="both"/>
              <w:rPr>
                <w:rFonts w:eastAsia="Lato" w:cstheme="minorHAnsi"/>
                <w:lang w:val="pl"/>
              </w:rPr>
            </w:pPr>
            <w:r>
              <w:rPr>
                <w:rFonts w:eastAsia="Lato" w:cstheme="minorHAnsi"/>
                <w:lang w:val="pl"/>
              </w:rPr>
              <w:t>Uwaga ogólna</w:t>
            </w:r>
          </w:p>
        </w:tc>
        <w:tc>
          <w:tcPr>
            <w:tcW w:w="5103" w:type="dxa"/>
          </w:tcPr>
          <w:p w14:paraId="69C4066B" w14:textId="77777777" w:rsidR="00100E43" w:rsidRDefault="00882389" w:rsidP="51D6D735">
            <w:pPr>
              <w:jc w:val="both"/>
              <w:rPr>
                <w:rFonts w:eastAsia="Lato" w:cstheme="minorHAnsi"/>
                <w:lang w:val="pl"/>
              </w:rPr>
            </w:pPr>
            <w:r>
              <w:rPr>
                <w:rFonts w:eastAsia="Lato" w:cstheme="minorHAnsi"/>
                <w:lang w:val="pl"/>
              </w:rPr>
              <w:t xml:space="preserve">Konfederacja Lewiatan </w:t>
            </w:r>
            <w:r w:rsidR="00ED68E3">
              <w:rPr>
                <w:rFonts w:eastAsia="Lato" w:cstheme="minorHAnsi"/>
                <w:lang w:val="pl"/>
              </w:rPr>
              <w:t xml:space="preserve">na gruncie przedmiotowego projektu </w:t>
            </w:r>
            <w:r>
              <w:rPr>
                <w:rFonts w:eastAsia="Lato" w:cstheme="minorHAnsi"/>
                <w:lang w:val="pl"/>
              </w:rPr>
              <w:t xml:space="preserve">sprzeciwia się </w:t>
            </w:r>
            <w:r w:rsidR="008D0CE9">
              <w:rPr>
                <w:rFonts w:eastAsia="Lato" w:cstheme="minorHAnsi"/>
                <w:lang w:val="pl"/>
              </w:rPr>
              <w:t>nałożeniu na</w:t>
            </w:r>
            <w:r>
              <w:rPr>
                <w:rFonts w:eastAsia="Lato" w:cstheme="minorHAnsi"/>
                <w:lang w:val="pl"/>
              </w:rPr>
              <w:t xml:space="preserve"> </w:t>
            </w:r>
            <w:r w:rsidR="00F169F4">
              <w:rPr>
                <w:rFonts w:eastAsia="Lato" w:cstheme="minorHAnsi"/>
                <w:lang w:val="pl"/>
              </w:rPr>
              <w:t>instalacj</w:t>
            </w:r>
            <w:r w:rsidR="008D0CE9">
              <w:rPr>
                <w:rFonts w:eastAsia="Lato" w:cstheme="minorHAnsi"/>
                <w:lang w:val="pl"/>
              </w:rPr>
              <w:t>e</w:t>
            </w:r>
            <w:r w:rsidR="00F169F4">
              <w:rPr>
                <w:rFonts w:eastAsia="Lato" w:cstheme="minorHAnsi"/>
                <w:lang w:val="pl"/>
              </w:rPr>
              <w:t xml:space="preserve"> OZE obowiązku </w:t>
            </w:r>
            <w:r w:rsidR="00452AD1">
              <w:t xml:space="preserve"> </w:t>
            </w:r>
            <w:r w:rsidR="00452AD1" w:rsidRPr="00452AD1">
              <w:rPr>
                <w:rFonts w:eastAsia="Lato" w:cstheme="minorHAnsi"/>
                <w:lang w:val="pl"/>
              </w:rPr>
              <w:t>sprzeda</w:t>
            </w:r>
            <w:r w:rsidR="00452AD1">
              <w:rPr>
                <w:rFonts w:eastAsia="Lato" w:cstheme="minorHAnsi"/>
                <w:lang w:val="pl"/>
              </w:rPr>
              <w:t>ży</w:t>
            </w:r>
            <w:r w:rsidR="00452AD1" w:rsidRPr="00452AD1">
              <w:rPr>
                <w:rFonts w:eastAsia="Lato" w:cstheme="minorHAnsi"/>
                <w:lang w:val="pl"/>
              </w:rPr>
              <w:t xml:space="preserve"> 80% wytworzonej energii elektrycznej</w:t>
            </w:r>
            <w:r w:rsidR="00452AD1">
              <w:rPr>
                <w:rFonts w:eastAsia="Lato" w:cstheme="minorHAnsi"/>
                <w:lang w:val="pl"/>
              </w:rPr>
              <w:t xml:space="preserve"> zgodnie z projektowanym art. </w:t>
            </w:r>
            <w:r w:rsidR="00CB679A">
              <w:t xml:space="preserve"> </w:t>
            </w:r>
            <w:r w:rsidR="00CB679A" w:rsidRPr="00CB679A">
              <w:rPr>
                <w:rFonts w:eastAsia="Lato" w:cstheme="minorHAnsi"/>
                <w:lang w:val="pl"/>
              </w:rPr>
              <w:t>49</w:t>
            </w:r>
            <w:r w:rsidR="00CB679A" w:rsidRPr="00CB679A">
              <w:rPr>
                <w:rFonts w:eastAsia="Lato" w:cstheme="minorHAnsi"/>
                <w:vertAlign w:val="superscript"/>
                <w:lang w:val="pl"/>
              </w:rPr>
              <w:t>1</w:t>
            </w:r>
            <w:r w:rsidR="001F5102">
              <w:rPr>
                <w:rFonts w:eastAsia="Lato" w:cstheme="minorHAnsi"/>
                <w:lang w:val="pl"/>
              </w:rPr>
              <w:t>.</w:t>
            </w:r>
            <w:r w:rsidR="00CB679A">
              <w:rPr>
                <w:rFonts w:eastAsia="Lato" w:cstheme="minorHAnsi"/>
                <w:lang w:val="pl"/>
              </w:rPr>
              <w:t xml:space="preserve"> </w:t>
            </w:r>
            <w:r w:rsidR="009B2905">
              <w:rPr>
                <w:rFonts w:eastAsia="Lato" w:cstheme="minorHAnsi"/>
                <w:lang w:val="pl"/>
              </w:rPr>
              <w:t>Podkreślamy</w:t>
            </w:r>
            <w:r w:rsidR="00ED68E3">
              <w:rPr>
                <w:rFonts w:eastAsia="Lato" w:cstheme="minorHAnsi"/>
                <w:lang w:val="pl"/>
              </w:rPr>
              <w:t>, że kwestia wprowadzenia tzw. obliga giełdowego</w:t>
            </w:r>
            <w:r w:rsidR="008D0CE9">
              <w:rPr>
                <w:rFonts w:eastAsia="Lato" w:cstheme="minorHAnsi"/>
                <w:lang w:val="pl"/>
              </w:rPr>
              <w:t xml:space="preserve"> wymaga dalszej szerokiej dyskusji w gronie administracji publicznej</w:t>
            </w:r>
            <w:r w:rsidR="000E5A7B">
              <w:rPr>
                <w:rFonts w:eastAsia="Lato" w:cstheme="minorHAnsi"/>
                <w:lang w:val="pl"/>
              </w:rPr>
              <w:t xml:space="preserve">, </w:t>
            </w:r>
            <w:r w:rsidR="00F74F9D">
              <w:rPr>
                <w:rFonts w:eastAsia="Lato" w:cstheme="minorHAnsi"/>
                <w:lang w:val="pl"/>
              </w:rPr>
              <w:t>przedstawicieli branży energetycznej</w:t>
            </w:r>
            <w:r w:rsidR="000E5A7B">
              <w:rPr>
                <w:rFonts w:eastAsia="Lato" w:cstheme="minorHAnsi"/>
                <w:lang w:val="pl"/>
              </w:rPr>
              <w:t xml:space="preserve"> oraz innych zainteresowanych stron o ryzykach i korzyściach z tym związanych</w:t>
            </w:r>
            <w:r w:rsidR="00F74F9D">
              <w:rPr>
                <w:rFonts w:eastAsia="Lato" w:cstheme="minorHAnsi"/>
                <w:lang w:val="pl"/>
              </w:rPr>
              <w:t xml:space="preserve">. </w:t>
            </w:r>
          </w:p>
          <w:p w14:paraId="38D807CB" w14:textId="3D1A19F3" w:rsidR="005D2AE1" w:rsidRPr="00081694" w:rsidRDefault="00CE5886" w:rsidP="51D6D735">
            <w:pPr>
              <w:jc w:val="both"/>
              <w:rPr>
                <w:rFonts w:eastAsia="Lato" w:cstheme="minorHAnsi"/>
                <w:lang w:val="pl"/>
              </w:rPr>
            </w:pPr>
            <w:r>
              <w:rPr>
                <w:rFonts w:eastAsia="Lato" w:cstheme="minorHAnsi"/>
                <w:lang w:val="pl"/>
              </w:rPr>
              <w:t>D</w:t>
            </w:r>
            <w:r w:rsidR="00614E46">
              <w:rPr>
                <w:rFonts w:eastAsia="Lato" w:cstheme="minorHAnsi"/>
                <w:lang w:val="pl"/>
              </w:rPr>
              <w:t xml:space="preserve">eklarujemy chęć współpracy i dyskusji o </w:t>
            </w:r>
            <w:r w:rsidR="00C604AE">
              <w:rPr>
                <w:rFonts w:eastAsia="Lato" w:cstheme="minorHAnsi"/>
                <w:lang w:val="pl"/>
              </w:rPr>
              <w:t>przyszłości</w:t>
            </w:r>
            <w:r>
              <w:rPr>
                <w:rFonts w:eastAsia="Lato" w:cstheme="minorHAnsi"/>
                <w:lang w:val="pl"/>
              </w:rPr>
              <w:t xml:space="preserve"> tego rozwiązania, </w:t>
            </w:r>
            <w:r w:rsidR="006F0605">
              <w:rPr>
                <w:rFonts w:eastAsia="Lato" w:cstheme="minorHAnsi"/>
                <w:lang w:val="pl"/>
              </w:rPr>
              <w:t xml:space="preserve">ponieważ </w:t>
            </w:r>
            <w:r>
              <w:rPr>
                <w:rFonts w:eastAsia="Lato" w:cstheme="minorHAnsi"/>
                <w:lang w:val="pl"/>
              </w:rPr>
              <w:t xml:space="preserve">tak daleko idące zmiany wymagają </w:t>
            </w:r>
            <w:r w:rsidR="005C2037">
              <w:rPr>
                <w:rFonts w:eastAsia="Lato" w:cstheme="minorHAnsi"/>
                <w:lang w:val="pl"/>
              </w:rPr>
              <w:t>wnikliwego</w:t>
            </w:r>
            <w:r>
              <w:rPr>
                <w:rFonts w:eastAsia="Lato" w:cstheme="minorHAnsi"/>
                <w:lang w:val="pl"/>
              </w:rPr>
              <w:t xml:space="preserve"> trybu </w:t>
            </w:r>
            <w:r w:rsidR="006F0605">
              <w:rPr>
                <w:rFonts w:eastAsia="Lato" w:cstheme="minorHAnsi"/>
                <w:lang w:val="pl"/>
              </w:rPr>
              <w:t>wypracowania szczegółowych propozycji legislacyjnych</w:t>
            </w:r>
            <w:r w:rsidR="00462783">
              <w:rPr>
                <w:rFonts w:eastAsia="Lato" w:cstheme="minorHAnsi"/>
                <w:lang w:val="pl"/>
              </w:rPr>
              <w:t xml:space="preserve"> w szerokim gronie</w:t>
            </w:r>
            <w:r w:rsidR="00C604AE">
              <w:rPr>
                <w:rFonts w:eastAsia="Lato" w:cstheme="minorHAnsi"/>
                <w:lang w:val="pl"/>
              </w:rPr>
              <w:t>.</w:t>
            </w:r>
          </w:p>
        </w:tc>
        <w:tc>
          <w:tcPr>
            <w:tcW w:w="4252" w:type="dxa"/>
          </w:tcPr>
          <w:p w14:paraId="52AFC785" w14:textId="77777777" w:rsidR="005D2AE1" w:rsidRPr="00081694" w:rsidRDefault="005D2AE1" w:rsidP="51D6D735">
            <w:pPr>
              <w:jc w:val="both"/>
              <w:rPr>
                <w:rFonts w:eastAsia="Lato" w:cstheme="minorHAnsi"/>
                <w:lang w:val="pl"/>
              </w:rPr>
            </w:pPr>
          </w:p>
        </w:tc>
        <w:tc>
          <w:tcPr>
            <w:tcW w:w="1428" w:type="dxa"/>
          </w:tcPr>
          <w:p w14:paraId="3C860BD0" w14:textId="77777777" w:rsidR="005D2AE1" w:rsidRPr="00081694" w:rsidRDefault="005D2AE1" w:rsidP="51D6D735">
            <w:pPr>
              <w:jc w:val="both"/>
              <w:rPr>
                <w:rFonts w:cstheme="minorHAnsi"/>
              </w:rPr>
            </w:pPr>
          </w:p>
        </w:tc>
      </w:tr>
      <w:tr w:rsidR="000A05EC" w:rsidRPr="00081694" w14:paraId="7BDA1257" w14:textId="77777777" w:rsidTr="410720AB">
        <w:trPr>
          <w:trHeight w:val="300"/>
        </w:trPr>
        <w:tc>
          <w:tcPr>
            <w:tcW w:w="562" w:type="dxa"/>
          </w:tcPr>
          <w:p w14:paraId="3A942406" w14:textId="0EDACEA0" w:rsidR="000A05EC" w:rsidRPr="00081694" w:rsidRDefault="00C72A4C" w:rsidP="000A05EC">
            <w:pPr>
              <w:jc w:val="center"/>
              <w:rPr>
                <w:rFonts w:cstheme="minorHAnsi"/>
              </w:rPr>
            </w:pPr>
            <w:r>
              <w:rPr>
                <w:rFonts w:cstheme="minorHAnsi"/>
              </w:rPr>
              <w:t>2</w:t>
            </w:r>
          </w:p>
        </w:tc>
        <w:tc>
          <w:tcPr>
            <w:tcW w:w="1701" w:type="dxa"/>
          </w:tcPr>
          <w:p w14:paraId="6036D0F2" w14:textId="019C5C68" w:rsidR="000A05EC" w:rsidRDefault="000A05EC" w:rsidP="000A05EC">
            <w:pPr>
              <w:jc w:val="both"/>
              <w:rPr>
                <w:rFonts w:cstheme="minorHAnsi"/>
              </w:rPr>
            </w:pPr>
            <w:r>
              <w:rPr>
                <w:rFonts w:cstheme="minorHAnsi"/>
              </w:rPr>
              <w:t>Konfederacja Lewiatan</w:t>
            </w:r>
          </w:p>
        </w:tc>
        <w:tc>
          <w:tcPr>
            <w:tcW w:w="2694" w:type="dxa"/>
          </w:tcPr>
          <w:p w14:paraId="31FABACB" w14:textId="659970F2" w:rsidR="000A05EC" w:rsidRPr="00081694" w:rsidRDefault="000A05EC" w:rsidP="000A05EC">
            <w:pPr>
              <w:jc w:val="both"/>
              <w:rPr>
                <w:rFonts w:cstheme="minorHAnsi"/>
              </w:rPr>
            </w:pPr>
            <w:r>
              <w:rPr>
                <w:rFonts w:cstheme="minorHAnsi"/>
              </w:rPr>
              <w:t>Uwaga ogólna</w:t>
            </w:r>
          </w:p>
        </w:tc>
        <w:tc>
          <w:tcPr>
            <w:tcW w:w="5103" w:type="dxa"/>
          </w:tcPr>
          <w:p w14:paraId="7ADCC047" w14:textId="2858212C" w:rsidR="000A05EC" w:rsidRPr="00002F8D" w:rsidRDefault="000A05EC" w:rsidP="000A05EC">
            <w:pPr>
              <w:jc w:val="both"/>
            </w:pPr>
            <w:r w:rsidRPr="00081694">
              <w:rPr>
                <w:rFonts w:eastAsia="Lato" w:cstheme="minorHAnsi"/>
                <w:lang w:val="pl"/>
              </w:rPr>
              <w:t>Proponuje si</w:t>
            </w:r>
            <w:r w:rsidRPr="00081694">
              <w:rPr>
                <w:rFonts w:eastAsia="Calibri" w:cstheme="minorHAnsi"/>
                <w:lang w:val="pl"/>
              </w:rPr>
              <w:t>ę</w:t>
            </w:r>
            <w:r w:rsidRPr="00081694">
              <w:rPr>
                <w:rFonts w:eastAsia="Lato" w:cstheme="minorHAnsi"/>
                <w:lang w:val="pl"/>
              </w:rPr>
              <w:t xml:space="preserve"> wprowadzenie rozporz</w:t>
            </w:r>
            <w:r w:rsidRPr="00081694">
              <w:rPr>
                <w:rFonts w:eastAsia="Calibri" w:cstheme="minorHAnsi"/>
                <w:lang w:val="pl"/>
              </w:rPr>
              <w:t>ą</w:t>
            </w:r>
            <w:r w:rsidRPr="00081694">
              <w:rPr>
                <w:rFonts w:eastAsia="Lato" w:cstheme="minorHAnsi"/>
                <w:lang w:val="pl"/>
              </w:rPr>
              <w:t>dzenia wykonawczego, które okre</w:t>
            </w:r>
            <w:r w:rsidRPr="00081694">
              <w:rPr>
                <w:rFonts w:eastAsia="Calibri" w:cstheme="minorHAnsi"/>
                <w:lang w:val="pl"/>
              </w:rPr>
              <w:t>ś</w:t>
            </w:r>
            <w:r w:rsidRPr="00081694">
              <w:rPr>
                <w:rFonts w:eastAsia="Lato" w:cstheme="minorHAnsi"/>
                <w:lang w:val="pl"/>
              </w:rPr>
              <w:t>la</w:t>
            </w:r>
            <w:r w:rsidRPr="00081694">
              <w:rPr>
                <w:rFonts w:eastAsia="Calibri" w:cstheme="minorHAnsi"/>
                <w:lang w:val="pl"/>
              </w:rPr>
              <w:t>ł</w:t>
            </w:r>
            <w:r w:rsidRPr="00081694">
              <w:rPr>
                <w:rFonts w:eastAsia="Lato" w:cstheme="minorHAnsi"/>
                <w:lang w:val="pl"/>
              </w:rPr>
              <w:t>oby dok</w:t>
            </w:r>
            <w:r w:rsidRPr="00081694">
              <w:rPr>
                <w:rFonts w:eastAsia="Calibri" w:cstheme="minorHAnsi"/>
                <w:lang w:val="pl"/>
              </w:rPr>
              <w:t>ł</w:t>
            </w:r>
            <w:r w:rsidRPr="00081694">
              <w:rPr>
                <w:rFonts w:eastAsia="Lato" w:cstheme="minorHAnsi"/>
                <w:lang w:val="pl"/>
              </w:rPr>
              <w:t>adnie sposób wyliczenia wolumenu energii elektrycznej, która b</w:t>
            </w:r>
            <w:r w:rsidRPr="00081694">
              <w:rPr>
                <w:rFonts w:eastAsia="Calibri" w:cstheme="minorHAnsi"/>
                <w:lang w:val="pl"/>
              </w:rPr>
              <w:t>ę</w:t>
            </w:r>
            <w:r w:rsidRPr="00081694">
              <w:rPr>
                <w:rFonts w:eastAsia="Lato" w:cstheme="minorHAnsi"/>
                <w:lang w:val="pl"/>
              </w:rPr>
              <w:t>dzie przedmiotem obliga gie</w:t>
            </w:r>
            <w:r w:rsidRPr="00081694">
              <w:rPr>
                <w:rFonts w:eastAsia="Calibri" w:cstheme="minorHAnsi"/>
                <w:lang w:val="pl"/>
              </w:rPr>
              <w:t>ł</w:t>
            </w:r>
            <w:r w:rsidRPr="00081694">
              <w:rPr>
                <w:rFonts w:eastAsia="Lato" w:cstheme="minorHAnsi"/>
                <w:lang w:val="pl"/>
              </w:rPr>
              <w:t>dowego. W okresie obowiązywania poprzedniego obliga giełdowego URE stosowało wykładnie przepisów odbiegające od ich literalnego brzmienia lub doprecyzowujące sposób wyliczenia wolumenu będącego przedmiotem obliga gie</w:t>
            </w:r>
            <w:r w:rsidRPr="00081694">
              <w:rPr>
                <w:rFonts w:eastAsia="Calibri" w:cstheme="minorHAnsi"/>
                <w:lang w:val="pl"/>
              </w:rPr>
              <w:t>ł</w:t>
            </w:r>
            <w:r w:rsidRPr="00081694">
              <w:rPr>
                <w:rFonts w:eastAsia="Lato" w:cstheme="minorHAnsi"/>
                <w:lang w:val="pl"/>
              </w:rPr>
              <w:t>dowego. Sytuacja braku doprecyzowania przepisów  stwarza dodatkowe ryzyko dla spółek. Postulujemy zawarcie w projekcie ustawy delegacji ustawowej doregulowującej  sposób wyliczenia wolumenu energii elektrycznej, która b</w:t>
            </w:r>
            <w:r w:rsidRPr="00081694">
              <w:rPr>
                <w:rFonts w:eastAsia="Calibri" w:cstheme="minorHAnsi"/>
                <w:lang w:val="pl"/>
              </w:rPr>
              <w:t>ę</w:t>
            </w:r>
            <w:r w:rsidRPr="00081694">
              <w:rPr>
                <w:rFonts w:eastAsia="Lato" w:cstheme="minorHAnsi"/>
                <w:lang w:val="pl"/>
              </w:rPr>
              <w:t>dzie przedmiotem obliga gie</w:t>
            </w:r>
            <w:r w:rsidRPr="00081694">
              <w:rPr>
                <w:rFonts w:eastAsia="Calibri" w:cstheme="minorHAnsi"/>
                <w:lang w:val="pl"/>
              </w:rPr>
              <w:t>ł</w:t>
            </w:r>
            <w:r w:rsidRPr="00081694">
              <w:rPr>
                <w:rFonts w:eastAsia="Lato" w:cstheme="minorHAnsi"/>
                <w:lang w:val="pl"/>
              </w:rPr>
              <w:t>dowego.</w:t>
            </w:r>
          </w:p>
        </w:tc>
        <w:tc>
          <w:tcPr>
            <w:tcW w:w="4252" w:type="dxa"/>
          </w:tcPr>
          <w:p w14:paraId="01C96F63" w14:textId="77777777" w:rsidR="000A05EC" w:rsidRPr="00AB1B00" w:rsidRDefault="000A05EC" w:rsidP="000A05EC">
            <w:pPr>
              <w:jc w:val="both"/>
              <w:rPr>
                <w:rFonts w:eastAsia="Calibri" w:cstheme="minorHAnsi"/>
              </w:rPr>
            </w:pPr>
          </w:p>
        </w:tc>
        <w:tc>
          <w:tcPr>
            <w:tcW w:w="1428" w:type="dxa"/>
          </w:tcPr>
          <w:p w14:paraId="27C2EBBA" w14:textId="77777777" w:rsidR="000A05EC" w:rsidRPr="00081694" w:rsidRDefault="000A05EC" w:rsidP="000A05EC">
            <w:pPr>
              <w:jc w:val="both"/>
              <w:rPr>
                <w:rFonts w:cstheme="minorHAnsi"/>
              </w:rPr>
            </w:pPr>
          </w:p>
        </w:tc>
      </w:tr>
      <w:tr w:rsidR="00C72A4C" w:rsidRPr="00081694" w14:paraId="5EEF85C5" w14:textId="77777777" w:rsidTr="410720AB">
        <w:trPr>
          <w:trHeight w:val="300"/>
        </w:trPr>
        <w:tc>
          <w:tcPr>
            <w:tcW w:w="562" w:type="dxa"/>
          </w:tcPr>
          <w:p w14:paraId="3919DC7D" w14:textId="7B358219" w:rsidR="00C72A4C" w:rsidRPr="00081694" w:rsidRDefault="00C72A4C" w:rsidP="00C72A4C">
            <w:pPr>
              <w:jc w:val="center"/>
              <w:rPr>
                <w:rFonts w:cstheme="minorHAnsi"/>
              </w:rPr>
            </w:pPr>
            <w:r>
              <w:rPr>
                <w:rFonts w:cstheme="minorHAnsi"/>
              </w:rPr>
              <w:lastRenderedPageBreak/>
              <w:t>3</w:t>
            </w:r>
          </w:p>
        </w:tc>
        <w:tc>
          <w:tcPr>
            <w:tcW w:w="1701" w:type="dxa"/>
          </w:tcPr>
          <w:p w14:paraId="70F5C088" w14:textId="77777777" w:rsidR="00C72A4C" w:rsidRDefault="00C72A4C" w:rsidP="00C72A4C">
            <w:pPr>
              <w:jc w:val="both"/>
              <w:rPr>
                <w:rFonts w:eastAsiaTheme="minorEastAsia"/>
              </w:rPr>
            </w:pPr>
            <w:r>
              <w:rPr>
                <w:rFonts w:eastAsiaTheme="minorEastAsia"/>
              </w:rPr>
              <w:t>Konfederacja Lewiatan</w:t>
            </w:r>
          </w:p>
          <w:p w14:paraId="302C873F" w14:textId="77777777" w:rsidR="00C72A4C" w:rsidRDefault="00C72A4C" w:rsidP="00C72A4C">
            <w:pPr>
              <w:jc w:val="both"/>
              <w:rPr>
                <w:rFonts w:cstheme="minorHAnsi"/>
              </w:rPr>
            </w:pPr>
          </w:p>
        </w:tc>
        <w:tc>
          <w:tcPr>
            <w:tcW w:w="2694" w:type="dxa"/>
          </w:tcPr>
          <w:p w14:paraId="374D3B94" w14:textId="1EE80C52" w:rsidR="00C72A4C" w:rsidRDefault="00C72A4C" w:rsidP="00C72A4C">
            <w:pPr>
              <w:jc w:val="both"/>
              <w:rPr>
                <w:rFonts w:cstheme="minorHAnsi"/>
              </w:rPr>
            </w:pPr>
            <w:r w:rsidRPr="410720AB">
              <w:rPr>
                <w:rFonts w:eastAsiaTheme="minorEastAsia"/>
              </w:rPr>
              <w:t>Uwaga ogólna</w:t>
            </w:r>
          </w:p>
        </w:tc>
        <w:tc>
          <w:tcPr>
            <w:tcW w:w="5103" w:type="dxa"/>
          </w:tcPr>
          <w:p w14:paraId="28F35F61" w14:textId="472D7823" w:rsidR="00C72A4C" w:rsidRPr="00081694" w:rsidRDefault="00C72A4C" w:rsidP="00C72A4C">
            <w:pPr>
              <w:jc w:val="both"/>
              <w:rPr>
                <w:rFonts w:eastAsia="Lato" w:cstheme="minorHAnsi"/>
                <w:lang w:val="pl"/>
              </w:rPr>
            </w:pPr>
            <w:r w:rsidRPr="410720AB">
              <w:rPr>
                <w:rFonts w:eastAsiaTheme="minorEastAsia"/>
              </w:rPr>
              <w:t>Uczestnictwo w rynku regulowanym pociąga za sobą dodatkowe koszty: opłaty transakcyjne, koszty składanych zabezpieczeń i uzupełniania konieczności wpłacania depozytu uzupełniającego, koszty funduszu gwarancyjnego. Proponujemy zatem wprowadzenie (przywrócenie) zwolnienia z wymagalnych depozytów, dla podmiotów realizujących obligo, na poziomie  90% na podstawie odpowiedniego ratingu lub oświadczenia o poddaniu się egzekucji. Brak takiego rozwiązania istotnie wpłynie na możliwość zawierania transakcji na giełdzie oraz płynność podmiotów objętych obligiem.</w:t>
            </w:r>
          </w:p>
        </w:tc>
        <w:tc>
          <w:tcPr>
            <w:tcW w:w="4252" w:type="dxa"/>
          </w:tcPr>
          <w:p w14:paraId="1B9ED213" w14:textId="77777777" w:rsidR="00C72A4C" w:rsidRPr="00AB1B00" w:rsidRDefault="00C72A4C" w:rsidP="00C72A4C">
            <w:pPr>
              <w:jc w:val="both"/>
              <w:rPr>
                <w:rFonts w:eastAsia="Calibri" w:cstheme="minorHAnsi"/>
              </w:rPr>
            </w:pPr>
          </w:p>
        </w:tc>
        <w:tc>
          <w:tcPr>
            <w:tcW w:w="1428" w:type="dxa"/>
          </w:tcPr>
          <w:p w14:paraId="36EDE178" w14:textId="77777777" w:rsidR="00C72A4C" w:rsidRPr="00081694" w:rsidRDefault="00C72A4C" w:rsidP="00C72A4C">
            <w:pPr>
              <w:jc w:val="both"/>
              <w:rPr>
                <w:rFonts w:cstheme="minorHAnsi"/>
              </w:rPr>
            </w:pPr>
          </w:p>
        </w:tc>
      </w:tr>
      <w:tr w:rsidR="000A05EC" w:rsidRPr="00081694" w14:paraId="5452F2F9" w14:textId="77777777" w:rsidTr="410720AB">
        <w:trPr>
          <w:trHeight w:val="300"/>
        </w:trPr>
        <w:tc>
          <w:tcPr>
            <w:tcW w:w="562" w:type="dxa"/>
          </w:tcPr>
          <w:p w14:paraId="7E860C8D" w14:textId="29674D20" w:rsidR="000A05EC" w:rsidRPr="00081694" w:rsidRDefault="00C72A4C" w:rsidP="000A05EC">
            <w:pPr>
              <w:jc w:val="center"/>
              <w:rPr>
                <w:rFonts w:cstheme="minorHAnsi"/>
              </w:rPr>
            </w:pPr>
            <w:r>
              <w:rPr>
                <w:rFonts w:cstheme="minorHAnsi"/>
              </w:rPr>
              <w:t>4</w:t>
            </w:r>
          </w:p>
        </w:tc>
        <w:tc>
          <w:tcPr>
            <w:tcW w:w="1701" w:type="dxa"/>
          </w:tcPr>
          <w:p w14:paraId="779C6A2A" w14:textId="7C2C1343" w:rsidR="000A05EC" w:rsidRDefault="000A05EC" w:rsidP="000A05EC">
            <w:pPr>
              <w:jc w:val="both"/>
              <w:rPr>
                <w:rFonts w:cstheme="minorHAnsi"/>
                <w:lang w:val="en-GB"/>
              </w:rPr>
            </w:pPr>
            <w:r>
              <w:rPr>
                <w:rFonts w:cstheme="minorHAnsi"/>
              </w:rPr>
              <w:t>Konfederacja Lewiatan</w:t>
            </w:r>
          </w:p>
        </w:tc>
        <w:tc>
          <w:tcPr>
            <w:tcW w:w="2694" w:type="dxa"/>
          </w:tcPr>
          <w:p w14:paraId="46A1D1A8" w14:textId="1439E2E7" w:rsidR="000A05EC" w:rsidRPr="0070491B" w:rsidRDefault="000A05EC" w:rsidP="000A05EC">
            <w:pPr>
              <w:jc w:val="both"/>
            </w:pPr>
            <w:r w:rsidRPr="00081694">
              <w:rPr>
                <w:rFonts w:cstheme="minorHAnsi"/>
              </w:rPr>
              <w:t xml:space="preserve">Art. 1 pkt 4 w zakresie art. </w:t>
            </w:r>
            <w:r w:rsidRPr="00081694">
              <w:rPr>
                <w:rFonts w:eastAsia="Calibri" w:cstheme="minorHAnsi"/>
                <w:lang w:val="pl"/>
              </w:rPr>
              <w:t>49</w:t>
            </w:r>
            <w:r w:rsidRPr="00081694">
              <w:rPr>
                <w:rFonts w:eastAsia="Calibri" w:cstheme="minorHAnsi"/>
                <w:vertAlign w:val="superscript"/>
                <w:lang w:val="pl"/>
              </w:rPr>
              <w:t>1</w:t>
            </w:r>
            <w:r w:rsidRPr="00081694">
              <w:rPr>
                <w:rFonts w:eastAsia="Calibri" w:cstheme="minorHAnsi"/>
                <w:lang w:val="pl"/>
              </w:rPr>
              <w:t xml:space="preserve"> ust. 2</w:t>
            </w:r>
          </w:p>
        </w:tc>
        <w:tc>
          <w:tcPr>
            <w:tcW w:w="5103" w:type="dxa"/>
          </w:tcPr>
          <w:p w14:paraId="041DC357" w14:textId="3630DC15" w:rsidR="000A05EC" w:rsidRPr="00002F8D" w:rsidRDefault="000A05EC" w:rsidP="000A05EC">
            <w:pPr>
              <w:spacing w:after="160" w:line="259" w:lineRule="auto"/>
              <w:jc w:val="both"/>
            </w:pPr>
            <w:r w:rsidRPr="00002F8D">
              <w:t xml:space="preserve">Odnosząc się do kwestii  przywrócenia obliga giełdowego dla energii elektrycznej, w ocenie </w:t>
            </w:r>
            <w:r>
              <w:t>Konfederacji Lewiatan</w:t>
            </w:r>
            <w:r w:rsidRPr="00002F8D">
              <w:t xml:space="preserve"> </w:t>
            </w:r>
            <w:r w:rsidRPr="00002F8D">
              <w:rPr>
                <w:u w:val="single"/>
              </w:rPr>
              <w:t>nie powinno to prowadzić do zmiany katalogu obowiązującego wcześniej na gruncie art. 49a ustawy z dnia 10 kwietnia 1997 r. - Prawo energetyczne tj. wyłączeń od stosowania powyższego obliga</w:t>
            </w:r>
            <w:r w:rsidRPr="00002F8D">
              <w:t>. Wyłączenie takie powinno dotyczyć wszystkich źródeł OZE, bez względu na ich skalę. Co więcej, kluczowym jest utrzymanie poprzednio obowiązujących wyłączeń od obowiązku obliga dla jednostek, których finansowanie realizowane jest w ramach finansowania projektowego (</w:t>
            </w:r>
            <w:proofErr w:type="spellStart"/>
            <w:r w:rsidRPr="00002F8D">
              <w:rPr>
                <w:i/>
                <w:iCs/>
              </w:rPr>
              <w:t>project</w:t>
            </w:r>
            <w:proofErr w:type="spellEnd"/>
            <w:r w:rsidRPr="00002F8D">
              <w:rPr>
                <w:i/>
                <w:iCs/>
              </w:rPr>
              <w:t xml:space="preserve"> </w:t>
            </w:r>
            <w:proofErr w:type="spellStart"/>
            <w:r w:rsidRPr="00002F8D">
              <w:rPr>
                <w:i/>
                <w:iCs/>
              </w:rPr>
              <w:t>finance</w:t>
            </w:r>
            <w:proofErr w:type="spellEnd"/>
            <w:r w:rsidRPr="00002F8D">
              <w:t>) lub korporacyjnego (</w:t>
            </w:r>
            <w:proofErr w:type="spellStart"/>
            <w:r w:rsidRPr="00002F8D">
              <w:rPr>
                <w:i/>
                <w:iCs/>
              </w:rPr>
              <w:t>corporate</w:t>
            </w:r>
            <w:proofErr w:type="spellEnd"/>
            <w:r w:rsidRPr="00002F8D">
              <w:rPr>
                <w:i/>
                <w:iCs/>
              </w:rPr>
              <w:t xml:space="preserve"> </w:t>
            </w:r>
            <w:proofErr w:type="spellStart"/>
            <w:r w:rsidRPr="00002F8D">
              <w:rPr>
                <w:i/>
                <w:iCs/>
              </w:rPr>
              <w:t>finance</w:t>
            </w:r>
            <w:proofErr w:type="spellEnd"/>
            <w:r w:rsidRPr="00002F8D">
              <w:t>). Jednocześnie, jesteśmy przeciwni rozwiązaniu, zgodnie z którym przewidziane w ustawie wyłączenia dotyczące źródeł OZE nie mają zastosowania dla kontraktów sprzedaży energii zawieranych w ramach grup kapitałowych, prowadzić to bowiem będzie do nieuzasadnionej dyskryminacji spółek obrotu znajdujących się w ramach grup kapitałowych, które efektywnie utracą możliwość nabywania energii bezpośrednio od wytwórców OZE będących częścią tej samej grupy kapitałowej. </w:t>
            </w:r>
          </w:p>
          <w:p w14:paraId="7720230B" w14:textId="7F63543E" w:rsidR="000A05EC" w:rsidRPr="00002F8D" w:rsidRDefault="000A05EC" w:rsidP="000A05EC">
            <w:pPr>
              <w:spacing w:after="160" w:line="259" w:lineRule="auto"/>
              <w:jc w:val="both"/>
            </w:pPr>
            <w:r w:rsidRPr="00002F8D">
              <w:lastRenderedPageBreak/>
              <w:t>Wprowadzenie obliga giełdowego dla jednostek OZE wiązać się będzie z nieproporcjonalnie dużymi kosztami</w:t>
            </w:r>
            <w:r>
              <w:t xml:space="preserve"> </w:t>
            </w:r>
            <w:r w:rsidRPr="00002F8D">
              <w:t>i</w:t>
            </w:r>
            <w:r>
              <w:t xml:space="preserve"> koniecznością</w:t>
            </w:r>
            <w:r w:rsidRPr="00002F8D">
              <w:t xml:space="preserve"> rozpoczęcia bezpośredniego uczestnictwa w rynku giełdowym (samodzielnie lub poprzez dom maklerski). Koncesja na wytwarzanie energii elektrycznej nie obejmuje możliwości odkupienia energii, zatem ogranicza jednostkom OZE możliwość korekty swojej kontraktacji w sytuacji aktualizacji prognozy wytwarzania bliżej czasu rzeczywistego (np. w ramach rynku dnia bieżącego). Ponadto branża będzie musiała sprostać dodatkowym wydatkom związanym z uzyskaniem dostępu do aktywnego udziału w giełdzie, takim jak koszt zabezpieczeń finansowych oraz opłat giełdowych lub koszty pośrednika, jakim jest dom maklerski. Dodatkowo, wiązać się to będzie z kosztami uzyskania odpowiedniego oprogramowania i dostosowania wewnętrznych systemów IT do operacji giełdowych, a także zatrudnienia dodatkowych pracowników w tym zakresie. Wielu wytwórców energii z OZE nie będzie w stanie ponieść tego typu kosztów. </w:t>
            </w:r>
          </w:p>
          <w:p w14:paraId="7B6FB591" w14:textId="65D62008" w:rsidR="000A05EC" w:rsidRPr="00002F8D" w:rsidRDefault="000A05EC" w:rsidP="000A05EC">
            <w:pPr>
              <w:spacing w:after="160" w:line="259" w:lineRule="auto"/>
              <w:jc w:val="both"/>
            </w:pPr>
            <w:r w:rsidRPr="00002F8D">
              <w:t>Co więcej, wprowadzenie obliga giełdowego dla jednostek OZE przełoży się na znaczny wzrost ich</w:t>
            </w:r>
            <w:r w:rsidRPr="00002F8D">
              <w:rPr>
                <w:b/>
                <w:bCs/>
              </w:rPr>
              <w:t xml:space="preserve"> </w:t>
            </w:r>
            <w:r w:rsidRPr="00002F8D">
              <w:t xml:space="preserve">kosztów bilansowania handlowego, ze względu na to, że jeśli jednostka sama będzie pełniła funkcję Podmiotu Odpowiedzialnego za Bilansowanie (POB) to utraci ona możliwość zbiorczego rozliczenia niezbilansowań w ramach grupy bilansującej, którą w tym momencie tworzy wraz ze wszystkimi innymi zasobami reprezentowanymi w ramach Jednostki Bilansowej (JB) danego </w:t>
            </w:r>
            <w:proofErr w:type="spellStart"/>
            <w:r w:rsidRPr="00002F8D">
              <w:t>POBa</w:t>
            </w:r>
            <w:proofErr w:type="spellEnd"/>
            <w:r w:rsidRPr="00002F8D">
              <w:t xml:space="preserve">. Tym samym ogranicza to możliwość uzyskania efektów synergii i aktywnego zarządzania </w:t>
            </w:r>
            <w:r w:rsidRPr="00002F8D">
              <w:lastRenderedPageBreak/>
              <w:t xml:space="preserve">portfelami przez </w:t>
            </w:r>
            <w:proofErr w:type="spellStart"/>
            <w:r w:rsidRPr="00002F8D">
              <w:t>POBów</w:t>
            </w:r>
            <w:proofErr w:type="spellEnd"/>
            <w:r w:rsidRPr="00002F8D">
              <w:t xml:space="preserve">, prowadząc do konieczności osobnego bilansowania każdego źródła, czy wręcz konieczności przejęcia przez to źródło całkowitego (niezryczałtowanego) ryzyka niezbilansowania, co jest nieakceptowalne z perspektywy instytucji finansujących budowę źródeł odnawialnych, jako że stanowi w ich rozumieniu potencjalnie nieograniczoną wielkość kosztów. Odpowiedzialność tę w odniesieniu do źródeł OZE aktualnie przejmują na siebie wykwalifikowane spółki obrotu, pełniące dla tych źródeł rolę </w:t>
            </w:r>
            <w:proofErr w:type="spellStart"/>
            <w:r w:rsidRPr="00002F8D">
              <w:t>POBa</w:t>
            </w:r>
            <w:proofErr w:type="spellEnd"/>
            <w:r w:rsidRPr="00002F8D">
              <w:t>, w zamian za zryczałtowaną stawkę opłat.</w:t>
            </w:r>
          </w:p>
          <w:p w14:paraId="07956C86" w14:textId="77777777" w:rsidR="000A05EC" w:rsidRDefault="000A05EC" w:rsidP="000A05EC">
            <w:pPr>
              <w:spacing w:after="160" w:line="259" w:lineRule="auto"/>
              <w:jc w:val="both"/>
            </w:pPr>
            <w:r w:rsidRPr="00002F8D">
              <w:t xml:space="preserve">Jeśli natomiast jednostki OZE dalej pozostawałyby w większym portfelu jednego </w:t>
            </w:r>
            <w:proofErr w:type="spellStart"/>
            <w:r w:rsidRPr="00002F8D">
              <w:t>POBa</w:t>
            </w:r>
            <w:proofErr w:type="spellEnd"/>
            <w:r w:rsidRPr="00002F8D">
              <w:t xml:space="preserve">, będąc jednocześnie zobowiązanymi do samodzielnej sprzedaży energii na giełdzie, niewątpliwie prowadziłoby to do zwiększenia ich kosztów bilansowania przez </w:t>
            </w:r>
            <w:proofErr w:type="spellStart"/>
            <w:r w:rsidRPr="00002F8D">
              <w:t>POBa</w:t>
            </w:r>
            <w:proofErr w:type="spellEnd"/>
            <w:r w:rsidRPr="00002F8D">
              <w:t xml:space="preserve"> ze względu na to, że miałby on znacznie ograniczone możliwości zarządzania ich kontraktacją, biorąc jednocześnie na siebie nieograniczone ryzyko niezbilansowań płynących z ich nieprawidłowej kontraktacji. Przełoży się to na istotnie zwiększone koszty działalności jednostek OZE, co w efekcie znajdzie odzwierciedlenie w rachunku za energię elektryczną odbiorcy końcowego.  </w:t>
            </w:r>
          </w:p>
          <w:p w14:paraId="4C1EDD04" w14:textId="344F0041" w:rsidR="000A05EC" w:rsidRPr="00002F8D" w:rsidRDefault="000A05EC" w:rsidP="000A05EC">
            <w:pPr>
              <w:spacing w:after="160" w:line="259" w:lineRule="auto"/>
              <w:jc w:val="both"/>
            </w:pPr>
            <w:r w:rsidRPr="00002F8D">
              <w:t xml:space="preserve">Należy również zaznaczyć, że dotychczas sam prawodawca zakładał formułę działania jednostek OZE poprzez wykwalifikowane spółki obrotu, które pełnić będą dla tych jednostek funkcję POB, co znajduje odzwierciedlenie chociażby w uwzględnianiu kosztów bilansowania handlowego w kalkulacji cen maksymalnych w ramach mechanizmów wsparcia OZE (kontrakty różnicowe – </w:t>
            </w:r>
            <w:proofErr w:type="spellStart"/>
            <w:r w:rsidRPr="00002F8D">
              <w:t>CfD</w:t>
            </w:r>
            <w:proofErr w:type="spellEnd"/>
            <w:r w:rsidRPr="00002F8D">
              <w:t xml:space="preserve">). Tym samym funkcjonuje </w:t>
            </w:r>
            <w:r w:rsidRPr="00002F8D">
              <w:lastRenderedPageBreak/>
              <w:t xml:space="preserve">aktualnie na rynku rzesza projektów, które uzyskały już wsparcie w formule </w:t>
            </w:r>
            <w:proofErr w:type="spellStart"/>
            <w:r w:rsidRPr="00002F8D">
              <w:t>CfD</w:t>
            </w:r>
            <w:proofErr w:type="spellEnd"/>
            <w:r w:rsidRPr="00002F8D">
              <w:t xml:space="preserve"> i dla których zmiana tych zasad poprzez wprowadzenie obliga giełdowego skutkować będzie znacznie wyższym poziomem ryzyka kosztów niezbilansowania/bilansowania handlowego niż</w:t>
            </w:r>
            <w:r>
              <w:t xml:space="preserve"> </w:t>
            </w:r>
            <w:r w:rsidRPr="00002F8D">
              <w:t>poziom zdefiniowany przez właściwych Ministrów przy określaniu poziomów cen maksymalnych dla aukcji OZE czy aukcji dla morskich farm wiatrowych.  </w:t>
            </w:r>
          </w:p>
          <w:p w14:paraId="23C40936" w14:textId="65512E7B" w:rsidR="000A05EC" w:rsidRPr="00002F8D" w:rsidRDefault="000A05EC" w:rsidP="000A05EC">
            <w:pPr>
              <w:spacing w:after="160" w:line="259" w:lineRule="auto"/>
              <w:jc w:val="both"/>
            </w:pPr>
            <w:r w:rsidRPr="00002F8D">
              <w:t xml:space="preserve">Wprowadzenie obliga </w:t>
            </w:r>
            <w:r>
              <w:t xml:space="preserve">będzie wpływać negatywnie na realizację nowych </w:t>
            </w:r>
            <w:r w:rsidRPr="00002F8D">
              <w:t>inwestycji, które najczęściej realizowane są w ramach formuły finansowania projektowego (</w:t>
            </w:r>
            <w:proofErr w:type="spellStart"/>
            <w:r w:rsidRPr="00002F8D">
              <w:rPr>
                <w:i/>
                <w:iCs/>
              </w:rPr>
              <w:t>project</w:t>
            </w:r>
            <w:proofErr w:type="spellEnd"/>
            <w:r w:rsidRPr="00002F8D">
              <w:rPr>
                <w:i/>
                <w:iCs/>
              </w:rPr>
              <w:t xml:space="preserve"> </w:t>
            </w:r>
            <w:proofErr w:type="spellStart"/>
            <w:r w:rsidRPr="00002F8D">
              <w:rPr>
                <w:i/>
                <w:iCs/>
              </w:rPr>
              <w:t>finance</w:t>
            </w:r>
            <w:proofErr w:type="spellEnd"/>
            <w:r w:rsidRPr="00002F8D">
              <w:t xml:space="preserve">). Instytucje finansowe wymagają od inwestorów zabezpieczenia przychodów oraz ryzyka bilansowania handlowego w szczególności poprzez zawarcie umów sprzedaży energii i bilansowania handlowego z renomowanymi, doświadczonymi oraz stabilnymi finansowo spółkami obrotu, które w ramach swojego dużego portfela zasobów w ramach danego rynku mają możliwość optymalizowania wysokości jednostkowych kosztów bilansowania handlowego zasobów w ramach swojej grupy bilansującej. Obligo giełdowe w dużej mierze taką możliwość wyklucza. Wprowadzenie obliga giełdowego </w:t>
            </w:r>
            <w:r>
              <w:t>w proponowanym kształcie</w:t>
            </w:r>
            <w:r w:rsidRPr="00002F8D">
              <w:t xml:space="preserve"> spowoduje zatem mniejszą </w:t>
            </w:r>
            <w:proofErr w:type="spellStart"/>
            <w:r w:rsidRPr="00002F8D">
              <w:t>bankowalność</w:t>
            </w:r>
            <w:proofErr w:type="spellEnd"/>
            <w:r w:rsidRPr="00002F8D">
              <w:t xml:space="preserve"> inwestycji</w:t>
            </w:r>
            <w:r>
              <w:t>.</w:t>
            </w:r>
            <w:r w:rsidRPr="00002F8D">
              <w:t> </w:t>
            </w:r>
          </w:p>
          <w:p w14:paraId="48F4F25F" w14:textId="6DD1D685" w:rsidR="000A05EC" w:rsidRPr="004A32DE" w:rsidRDefault="000A05EC" w:rsidP="000A05EC">
            <w:pPr>
              <w:spacing w:line="259" w:lineRule="auto"/>
              <w:jc w:val="both"/>
            </w:pPr>
            <w:r w:rsidRPr="00002F8D">
              <w:t xml:space="preserve">Mając na uwadze powyższe, w ocenie </w:t>
            </w:r>
            <w:r>
              <w:t>Konfederacji Lewiatan</w:t>
            </w:r>
            <w:r w:rsidRPr="00002F8D">
              <w:t xml:space="preserve"> wprowadzenie obliga giełdowego dla źródeł OZE w obecnym kształcie jest rozwiązaniem nieproporcjonalnym, generującym istotne ryzyka finansowe i operacyjne, które mogą zahamować rozwój odnawialnych źródeł energii w Polsce, a tym </w:t>
            </w:r>
            <w:r w:rsidRPr="00002F8D">
              <w:lastRenderedPageBreak/>
              <w:t>samym stoją w sprzeczności z celami transformacji energetycznej.  </w:t>
            </w:r>
          </w:p>
        </w:tc>
        <w:tc>
          <w:tcPr>
            <w:tcW w:w="4252" w:type="dxa"/>
          </w:tcPr>
          <w:p w14:paraId="6189EBBE" w14:textId="77777777" w:rsidR="000A05EC" w:rsidRPr="00AB1B00" w:rsidRDefault="000A05EC" w:rsidP="000A05EC">
            <w:pPr>
              <w:jc w:val="both"/>
              <w:rPr>
                <w:rFonts w:eastAsia="Calibri" w:cstheme="minorHAnsi"/>
              </w:rPr>
            </w:pPr>
            <w:r w:rsidRPr="00AB1B00">
              <w:rPr>
                <w:rFonts w:eastAsia="Calibri" w:cstheme="minorHAnsi"/>
              </w:rPr>
              <w:lastRenderedPageBreak/>
              <w:t>2. Obowiązek, o którym mowa w ust. 1, nie dotyczy energii elektrycznej:</w:t>
            </w:r>
          </w:p>
          <w:p w14:paraId="0325CEDD" w14:textId="77777777" w:rsidR="000A05EC" w:rsidRPr="00AB1B00" w:rsidRDefault="000A05EC" w:rsidP="000A05EC">
            <w:pPr>
              <w:jc w:val="both"/>
              <w:rPr>
                <w:rFonts w:eastAsia="Calibri" w:cstheme="minorHAnsi"/>
              </w:rPr>
            </w:pPr>
            <w:r w:rsidRPr="00AB1B00">
              <w:rPr>
                <w:rFonts w:eastAsia="Calibri" w:cstheme="minorHAnsi"/>
              </w:rPr>
              <w:t>1) dostarczanej od przedsiębiorstwa energetycznego zajmującego się jej wytwarzaniem</w:t>
            </w:r>
          </w:p>
          <w:p w14:paraId="5C7DAAE8" w14:textId="77777777" w:rsidR="000A05EC" w:rsidRPr="00AB1B00" w:rsidRDefault="000A05EC" w:rsidP="000A05EC">
            <w:pPr>
              <w:jc w:val="both"/>
              <w:rPr>
                <w:rFonts w:eastAsia="Calibri" w:cstheme="minorHAnsi"/>
              </w:rPr>
            </w:pPr>
            <w:r w:rsidRPr="00AB1B00">
              <w:rPr>
                <w:rFonts w:eastAsia="Calibri" w:cstheme="minorHAnsi"/>
              </w:rPr>
              <w:t>do odbiorcy końcowego za pomocą linii bezpośredniej;</w:t>
            </w:r>
          </w:p>
          <w:p w14:paraId="5C127015" w14:textId="77777777" w:rsidR="000A05EC" w:rsidRPr="00AB1B00" w:rsidRDefault="000A05EC" w:rsidP="000A05EC">
            <w:pPr>
              <w:jc w:val="both"/>
              <w:rPr>
                <w:rFonts w:eastAsia="Calibri" w:cstheme="minorHAnsi"/>
                <w:strike/>
              </w:rPr>
            </w:pPr>
            <w:r w:rsidRPr="00AB1B00">
              <w:rPr>
                <w:rFonts w:eastAsia="Calibri" w:cstheme="minorHAnsi"/>
              </w:rPr>
              <w:t xml:space="preserve">2) wytworzonej w instalacji odnawialnego źródła energii </w:t>
            </w:r>
            <w:r w:rsidRPr="00AB1B00">
              <w:rPr>
                <w:rFonts w:eastAsia="Calibri" w:cstheme="minorHAnsi"/>
                <w:strike/>
              </w:rPr>
              <w:t>o łącznej mocy</w:t>
            </w:r>
          </w:p>
          <w:p w14:paraId="4A62B264" w14:textId="77777777" w:rsidR="000A05EC" w:rsidRPr="00AB1B00" w:rsidRDefault="000A05EC" w:rsidP="000A05EC">
            <w:pPr>
              <w:jc w:val="both"/>
              <w:rPr>
                <w:rFonts w:eastAsia="Calibri" w:cstheme="minorHAnsi"/>
              </w:rPr>
            </w:pPr>
            <w:r w:rsidRPr="00AB1B00">
              <w:rPr>
                <w:rFonts w:eastAsia="Calibri" w:cstheme="minorHAnsi"/>
                <w:strike/>
              </w:rPr>
              <w:t>zainstalowanej elektrycznej poniżej 10 MW</w:t>
            </w:r>
            <w:r w:rsidRPr="00AB1B00">
              <w:rPr>
                <w:rFonts w:eastAsia="Calibri" w:cstheme="minorHAnsi"/>
              </w:rPr>
              <w:t>;</w:t>
            </w:r>
          </w:p>
          <w:p w14:paraId="281E0BD5" w14:textId="56AD6930" w:rsidR="000A05EC" w:rsidRPr="00AB1B00" w:rsidRDefault="000A05EC" w:rsidP="000A05EC">
            <w:pPr>
              <w:jc w:val="both"/>
              <w:rPr>
                <w:rFonts w:eastAsia="Calibri" w:cstheme="minorHAnsi"/>
              </w:rPr>
            </w:pPr>
            <w:r w:rsidRPr="00AB1B00">
              <w:rPr>
                <w:rFonts w:eastAsia="Calibri" w:cstheme="minorHAnsi"/>
              </w:rPr>
              <w:t>3) wytworzonej w jednostce wytwórczej, innej niż w pkt. 2, o łącznej mocy</w:t>
            </w:r>
            <w:r w:rsidR="0009620E">
              <w:rPr>
                <w:rFonts w:eastAsia="Calibri" w:cstheme="minorHAnsi"/>
              </w:rPr>
              <w:t xml:space="preserve"> </w:t>
            </w:r>
            <w:r w:rsidRPr="00AB1B00">
              <w:rPr>
                <w:rFonts w:eastAsia="Calibri" w:cstheme="minorHAnsi"/>
              </w:rPr>
              <w:t>zainstalowanej elektrycznej poniżej 50 MW;</w:t>
            </w:r>
          </w:p>
          <w:p w14:paraId="7CFFA70E" w14:textId="75468828" w:rsidR="000A05EC" w:rsidRPr="00AB1B00" w:rsidRDefault="000A05EC" w:rsidP="000A05EC">
            <w:pPr>
              <w:jc w:val="both"/>
              <w:rPr>
                <w:rFonts w:eastAsia="Calibri" w:cstheme="minorHAnsi"/>
              </w:rPr>
            </w:pPr>
            <w:r w:rsidRPr="00AB1B00">
              <w:rPr>
                <w:rFonts w:eastAsia="Calibri" w:cstheme="minorHAnsi"/>
              </w:rPr>
              <w:t>4) wytworzonej w kogeneracji ze średnioroczną sprawnością przemiany, o której</w:t>
            </w:r>
            <w:r>
              <w:rPr>
                <w:rFonts w:eastAsia="Calibri" w:cstheme="minorHAnsi"/>
              </w:rPr>
              <w:t xml:space="preserve"> </w:t>
            </w:r>
            <w:r w:rsidRPr="00AB1B00">
              <w:rPr>
                <w:rFonts w:eastAsia="Calibri" w:cstheme="minorHAnsi"/>
              </w:rPr>
              <w:t>mowa w art. 3 pkt 36 lit. a, wyższą niż 52,5%;</w:t>
            </w:r>
          </w:p>
          <w:p w14:paraId="76B8B872" w14:textId="77777777" w:rsidR="000A05EC" w:rsidRPr="00AB1B00" w:rsidRDefault="000A05EC" w:rsidP="000A05EC">
            <w:pPr>
              <w:jc w:val="both"/>
              <w:rPr>
                <w:rFonts w:eastAsia="Calibri" w:cstheme="minorHAnsi"/>
              </w:rPr>
            </w:pPr>
            <w:r w:rsidRPr="00AB1B00">
              <w:rPr>
                <w:rFonts w:eastAsia="Calibri" w:cstheme="minorHAnsi"/>
              </w:rPr>
              <w:t>5) zużywanej na potrzeby własne przez przedsiębiorstwo energetyczne zajmujące się</w:t>
            </w:r>
          </w:p>
          <w:p w14:paraId="4080723A" w14:textId="2788F111" w:rsidR="000A05EC" w:rsidRDefault="000A05EC" w:rsidP="000A05EC">
            <w:pPr>
              <w:jc w:val="both"/>
              <w:rPr>
                <w:rFonts w:eastAsia="Calibri" w:cstheme="minorHAnsi"/>
              </w:rPr>
            </w:pPr>
            <w:r w:rsidRPr="00AB1B00">
              <w:rPr>
                <w:rFonts w:eastAsia="Calibri" w:cstheme="minorHAnsi"/>
              </w:rPr>
              <w:t>jej wytwarzaniem;</w:t>
            </w:r>
          </w:p>
          <w:p w14:paraId="3D66F7AC" w14:textId="023121F7" w:rsidR="000A05EC" w:rsidRPr="0041413A" w:rsidRDefault="000A05EC" w:rsidP="000A05EC">
            <w:pPr>
              <w:jc w:val="both"/>
              <w:rPr>
                <w:rFonts w:eastAsia="Calibri" w:cstheme="minorHAnsi"/>
              </w:rPr>
            </w:pPr>
            <w:r w:rsidRPr="0041413A">
              <w:rPr>
                <w:rFonts w:eastAsia="Calibri" w:cstheme="minorHAnsi"/>
              </w:rPr>
              <w:t>6) niezbędnej do wykonywania przez operatorów systemów elektroenergetycznych ich</w:t>
            </w:r>
            <w:r>
              <w:rPr>
                <w:rFonts w:eastAsia="Calibri" w:cstheme="minorHAnsi"/>
              </w:rPr>
              <w:t xml:space="preserve"> </w:t>
            </w:r>
            <w:r w:rsidRPr="0041413A">
              <w:rPr>
                <w:rFonts w:eastAsia="Calibri" w:cstheme="minorHAnsi"/>
              </w:rPr>
              <w:t>zadań określonych w ustawie;</w:t>
            </w:r>
          </w:p>
          <w:p w14:paraId="323849CB" w14:textId="77777777" w:rsidR="000A05EC" w:rsidRPr="0041413A" w:rsidRDefault="000A05EC" w:rsidP="000A05EC">
            <w:pPr>
              <w:jc w:val="both"/>
              <w:rPr>
                <w:rFonts w:eastAsia="Calibri" w:cstheme="minorHAnsi"/>
              </w:rPr>
            </w:pPr>
            <w:r w:rsidRPr="0041413A">
              <w:rPr>
                <w:rFonts w:eastAsia="Calibri" w:cstheme="minorHAnsi"/>
              </w:rPr>
              <w:lastRenderedPageBreak/>
              <w:t>7) wytworzonej w jednostce wytwórczej przyłączonej bezpośrednio do urządzeń lub</w:t>
            </w:r>
          </w:p>
          <w:p w14:paraId="7E478CC5" w14:textId="73711A61" w:rsidR="000A05EC" w:rsidRPr="0041413A" w:rsidRDefault="000A05EC" w:rsidP="000A05EC">
            <w:pPr>
              <w:jc w:val="both"/>
              <w:rPr>
                <w:rFonts w:eastAsia="Calibri" w:cstheme="minorHAnsi"/>
              </w:rPr>
            </w:pPr>
            <w:r w:rsidRPr="0041413A">
              <w:rPr>
                <w:rFonts w:eastAsia="Calibri" w:cstheme="minorHAnsi"/>
              </w:rPr>
              <w:t>instalacji odbiorcy końcowego zużywającego tę energię elektryczną lub sieci</w:t>
            </w:r>
            <w:r>
              <w:rPr>
                <w:rFonts w:eastAsia="Calibri" w:cstheme="minorHAnsi"/>
              </w:rPr>
              <w:t xml:space="preserve"> </w:t>
            </w:r>
            <w:r w:rsidRPr="0041413A">
              <w:rPr>
                <w:rFonts w:eastAsia="Calibri" w:cstheme="minorHAnsi"/>
              </w:rPr>
              <w:t>dystrybucyjnej elektroenergetycznej, której operatorem wyznaczony został ten</w:t>
            </w:r>
            <w:r>
              <w:rPr>
                <w:rFonts w:eastAsia="Calibri" w:cstheme="minorHAnsi"/>
              </w:rPr>
              <w:t xml:space="preserve"> </w:t>
            </w:r>
            <w:r w:rsidRPr="0041413A">
              <w:rPr>
                <w:rFonts w:eastAsia="Calibri" w:cstheme="minorHAnsi"/>
              </w:rPr>
              <w:t>odbiorca końcowy</w:t>
            </w:r>
            <w:r>
              <w:rPr>
                <w:rFonts w:eastAsia="Calibri" w:cstheme="minorHAnsi"/>
              </w:rPr>
              <w:t xml:space="preserve"> </w:t>
            </w:r>
            <w:r w:rsidRPr="00BE4E7B">
              <w:rPr>
                <w:rFonts w:eastAsia="Calibri" w:cstheme="minorHAnsi"/>
                <w:b/>
                <w:bCs/>
              </w:rPr>
              <w:t>lub wprowadzonej do sieci z magazynu energii w zakresie energii elektrycznej pobranej przez magazyn energii, która została wytworzona w instalacji odnawialnego źródła energii albo pobrana przez magazyn z sieci</w:t>
            </w:r>
            <w:r w:rsidRPr="0041413A">
              <w:rPr>
                <w:rFonts w:eastAsia="Calibri" w:cstheme="minorHAnsi"/>
              </w:rPr>
              <w:t>;</w:t>
            </w:r>
          </w:p>
          <w:p w14:paraId="19F0661E" w14:textId="77777777" w:rsidR="000A05EC" w:rsidRPr="0041413A" w:rsidRDefault="000A05EC" w:rsidP="000A05EC">
            <w:pPr>
              <w:jc w:val="both"/>
              <w:rPr>
                <w:rFonts w:eastAsia="Calibri" w:cstheme="minorHAnsi"/>
                <w:strike/>
              </w:rPr>
            </w:pPr>
            <w:r w:rsidRPr="0041413A">
              <w:rPr>
                <w:rFonts w:eastAsia="Calibri" w:cstheme="minorHAnsi"/>
              </w:rPr>
              <w:t xml:space="preserve">8) </w:t>
            </w:r>
            <w:r w:rsidRPr="0041413A">
              <w:rPr>
                <w:rFonts w:eastAsia="Calibri" w:cstheme="minorHAnsi"/>
                <w:strike/>
              </w:rPr>
              <w:t>wytworzonej i dostarczonej w ramach umowy sprzedaży energii elektrycznej</w:t>
            </w:r>
          </w:p>
          <w:p w14:paraId="5D9136C8" w14:textId="5662E802" w:rsidR="000A05EC" w:rsidRPr="00695DEE" w:rsidRDefault="000A05EC" w:rsidP="00695DEE">
            <w:pPr>
              <w:jc w:val="both"/>
              <w:rPr>
                <w:rFonts w:eastAsia="Lato" w:cstheme="minorHAnsi"/>
              </w:rPr>
            </w:pPr>
            <w:r w:rsidRPr="00695DEE">
              <w:rPr>
                <w:rFonts w:eastAsia="Calibri" w:cstheme="minorHAnsi"/>
                <w:strike/>
              </w:rPr>
              <w:t>wytworzonej z odnawialnego źródła energii, o której mowa w art. 5 ust. 2d, zgłoszonej do rejestru URE.</w:t>
            </w:r>
            <w:r w:rsidR="00695DEE" w:rsidRPr="00695DEE">
              <w:rPr>
                <w:rFonts w:eastAsia="Calibri" w:cstheme="minorHAnsi"/>
                <w:strike/>
              </w:rPr>
              <w:t xml:space="preserve"> </w:t>
            </w:r>
            <w:r w:rsidRPr="00695DEE">
              <w:rPr>
                <w:rFonts w:eastAsia="Lato" w:cstheme="minorHAnsi"/>
              </w:rPr>
              <w:t>sprzedawanej:</w:t>
            </w:r>
          </w:p>
          <w:p w14:paraId="2208202E" w14:textId="521F2A83" w:rsidR="000A05EC" w:rsidRPr="00DC2A6E" w:rsidRDefault="000A05EC" w:rsidP="000A05EC">
            <w:pPr>
              <w:jc w:val="both"/>
              <w:rPr>
                <w:rFonts w:eastAsia="Lato" w:cstheme="minorHAnsi"/>
              </w:rPr>
            </w:pPr>
            <w:r>
              <w:rPr>
                <w:rFonts w:eastAsia="Lato" w:cstheme="minorHAnsi"/>
              </w:rPr>
              <w:t xml:space="preserve">a) </w:t>
            </w:r>
            <w:r w:rsidRPr="0090663F">
              <w:rPr>
                <w:rFonts w:eastAsia="Lato" w:cstheme="minorHAnsi"/>
              </w:rPr>
              <w:t>w ramach wykonywania długoterminowych zobowiązań wynikających z umów zawartych przez przedsiębiorstwo energetyczne z instytucjami finansowymi, w celu realizacji inwestycji związanych z wytwarzaniem energii elektrycznej, w tym w ramach wykonywania długoterminowych zobowiązań wynikających z umów zawartych przez przedsiębiorstwo wytwarzające energię elektryczną z podmiotami innymi niż instytucje</w:t>
            </w:r>
            <w:r>
              <w:rPr>
                <w:rFonts w:eastAsia="Lato" w:cstheme="minorHAnsi"/>
              </w:rPr>
              <w:t xml:space="preserve"> </w:t>
            </w:r>
            <w:r w:rsidRPr="00DC2A6E">
              <w:rPr>
                <w:rFonts w:eastAsia="Lato" w:cstheme="minorHAnsi"/>
              </w:rPr>
              <w:t xml:space="preserve">finansowe, zawartych w celu zabezpieczenia przychodów przedsiębiorstwa wytwarzającego energię elektryczną, w związku z umowami o udzielenie finansowania inwestycji, związanych z wytwarzaniem energii elektrycznej zawartymi przez to </w:t>
            </w:r>
            <w:r w:rsidRPr="00DC2A6E">
              <w:rPr>
                <w:rFonts w:eastAsia="Lato" w:cstheme="minorHAnsi"/>
              </w:rPr>
              <w:lastRenderedPageBreak/>
              <w:t xml:space="preserve">przedsiębiorstwo z instytucjami finansowymi, lub </w:t>
            </w:r>
          </w:p>
          <w:p w14:paraId="78030644" w14:textId="77DF16A7" w:rsidR="000A05EC" w:rsidRPr="0090663F" w:rsidRDefault="000A05EC" w:rsidP="000A05EC">
            <w:pPr>
              <w:jc w:val="both"/>
              <w:rPr>
                <w:rFonts w:eastAsia="Calibri" w:cstheme="minorHAnsi"/>
                <w:strike/>
              </w:rPr>
            </w:pPr>
            <w:r>
              <w:rPr>
                <w:rFonts w:eastAsia="Lato" w:cstheme="minorHAnsi"/>
              </w:rPr>
              <w:t xml:space="preserve">b) </w:t>
            </w:r>
            <w:r w:rsidRPr="00081694">
              <w:rPr>
                <w:rFonts w:eastAsia="Lato" w:cstheme="minorHAnsi"/>
              </w:rPr>
              <w:t>przez przedsiębiorstwo energetyczne w ramach wykonywania długoterminowych zobowiązań wynikających z umów zawartych ze wspólnikami lub akcjonariuszami tego przedsiębiorstwa także będącymi przedsiębiorstwami energetycznymi, w związku z udzielonym przedsiębiorstwu wytwarzającemu energię elektryczną finansowaniem typu korporacyjnego z przeznaczeniem na realizację inwestycji związanych z wytwarzaniem energii elektrycznej</w:t>
            </w:r>
            <w:r>
              <w:rPr>
                <w:rFonts w:eastAsia="Lato" w:cstheme="minorHAnsi"/>
              </w:rPr>
              <w:t>.</w:t>
            </w:r>
          </w:p>
        </w:tc>
        <w:tc>
          <w:tcPr>
            <w:tcW w:w="1428" w:type="dxa"/>
          </w:tcPr>
          <w:p w14:paraId="27146427" w14:textId="77777777" w:rsidR="000A05EC" w:rsidRPr="00081694" w:rsidRDefault="000A05EC" w:rsidP="000A05EC">
            <w:pPr>
              <w:jc w:val="both"/>
              <w:rPr>
                <w:rFonts w:cstheme="minorHAnsi"/>
              </w:rPr>
            </w:pPr>
          </w:p>
        </w:tc>
      </w:tr>
      <w:tr w:rsidR="000A05EC" w:rsidRPr="00081694" w14:paraId="5F9BACA3" w14:textId="77777777" w:rsidTr="410720AB">
        <w:tc>
          <w:tcPr>
            <w:tcW w:w="562" w:type="dxa"/>
          </w:tcPr>
          <w:p w14:paraId="002AE63D" w14:textId="7B06994A" w:rsidR="000A05EC" w:rsidRPr="00081694" w:rsidRDefault="00C72A4C" w:rsidP="000A05EC">
            <w:pPr>
              <w:jc w:val="center"/>
              <w:rPr>
                <w:rFonts w:cstheme="minorHAnsi"/>
              </w:rPr>
            </w:pPr>
            <w:r>
              <w:rPr>
                <w:rFonts w:cstheme="minorHAnsi"/>
              </w:rPr>
              <w:lastRenderedPageBreak/>
              <w:t>5</w:t>
            </w:r>
          </w:p>
        </w:tc>
        <w:tc>
          <w:tcPr>
            <w:tcW w:w="1701" w:type="dxa"/>
          </w:tcPr>
          <w:p w14:paraId="08CF639E" w14:textId="41088FA3" w:rsidR="000A05EC" w:rsidRPr="00081694" w:rsidRDefault="000A05EC" w:rsidP="000A05EC">
            <w:pPr>
              <w:jc w:val="both"/>
              <w:rPr>
                <w:rFonts w:eastAsia="Lato" w:cstheme="minorHAnsi"/>
                <w:lang w:val="pl"/>
              </w:rPr>
            </w:pPr>
            <w:r>
              <w:rPr>
                <w:rFonts w:eastAsia="Lato" w:cstheme="minorHAnsi"/>
                <w:lang w:val="pl"/>
              </w:rPr>
              <w:t>Konfederacja Lewiatan</w:t>
            </w:r>
          </w:p>
        </w:tc>
        <w:tc>
          <w:tcPr>
            <w:tcW w:w="2694" w:type="dxa"/>
          </w:tcPr>
          <w:p w14:paraId="172D5362" w14:textId="007B3E41" w:rsidR="000A05EC" w:rsidRPr="00081694" w:rsidRDefault="000A05EC" w:rsidP="000A05EC">
            <w:pPr>
              <w:jc w:val="both"/>
              <w:rPr>
                <w:rFonts w:eastAsia="Lato" w:cstheme="minorHAnsi"/>
                <w:lang w:val="pl"/>
              </w:rPr>
            </w:pPr>
            <w:r w:rsidRPr="00081694">
              <w:rPr>
                <w:rFonts w:eastAsia="Lato" w:cstheme="minorHAnsi"/>
                <w:lang w:val="pl"/>
              </w:rPr>
              <w:t>Art. 1 pkt 4 Projektu w zakresie dodawanego art. 49a</w:t>
            </w:r>
            <w:r w:rsidRPr="00A86CAA">
              <w:rPr>
                <w:rFonts w:eastAsia="Lato" w:cstheme="minorHAnsi"/>
                <w:vertAlign w:val="superscript"/>
                <w:lang w:val="pl"/>
              </w:rPr>
              <w:t>1</w:t>
            </w:r>
            <w:r w:rsidRPr="00081694">
              <w:rPr>
                <w:rFonts w:eastAsia="Lato" w:cstheme="minorHAnsi"/>
                <w:lang w:val="pl"/>
              </w:rPr>
              <w:t xml:space="preserve"> ust. 3 ustawy Prawo energetyczne</w:t>
            </w:r>
          </w:p>
        </w:tc>
        <w:tc>
          <w:tcPr>
            <w:tcW w:w="5103" w:type="dxa"/>
          </w:tcPr>
          <w:p w14:paraId="361E87EF" w14:textId="77777777" w:rsidR="000A05EC" w:rsidRPr="00081694" w:rsidRDefault="000A05EC" w:rsidP="000A05EC">
            <w:pPr>
              <w:ind w:right="100"/>
              <w:jc w:val="both"/>
              <w:rPr>
                <w:rFonts w:cstheme="minorHAnsi"/>
              </w:rPr>
            </w:pPr>
            <w:r w:rsidRPr="00081694">
              <w:rPr>
                <w:rFonts w:cstheme="minorHAnsi"/>
              </w:rPr>
              <w:t>Dodawany Art. 49a</w:t>
            </w:r>
            <w:r w:rsidRPr="00081694">
              <w:rPr>
                <w:rFonts w:cstheme="minorHAnsi"/>
                <w:vertAlign w:val="superscript"/>
              </w:rPr>
              <w:t xml:space="preserve">1 </w:t>
            </w:r>
            <w:r w:rsidRPr="00081694">
              <w:rPr>
                <w:rFonts w:cstheme="minorHAnsi"/>
              </w:rPr>
              <w:t xml:space="preserve">ust. 3 ustawy Prawo energetyczne wskazuje, że wyjątków od obliga giełdowego na energię elektryczną (określonych w ust. 2) nie stosuje się w przypadku podmiotów wchodzących w skład grup kapitałowych. </w:t>
            </w:r>
          </w:p>
          <w:p w14:paraId="4C51B98F" w14:textId="77777777" w:rsidR="000A05EC" w:rsidRPr="00081694" w:rsidRDefault="000A05EC" w:rsidP="000A05EC">
            <w:pPr>
              <w:spacing w:before="240"/>
              <w:ind w:right="100"/>
              <w:jc w:val="both"/>
              <w:rPr>
                <w:rFonts w:cstheme="minorHAnsi"/>
              </w:rPr>
            </w:pPr>
            <w:r w:rsidRPr="00081694">
              <w:rPr>
                <w:rFonts w:cstheme="minorHAnsi"/>
              </w:rPr>
              <w:t xml:space="preserve">Przepis jest sformułowany w sposób, który sugeruje, że chodzi o </w:t>
            </w:r>
            <w:r w:rsidRPr="00081694">
              <w:rPr>
                <w:rFonts w:cstheme="minorHAnsi"/>
                <w:u w:val="single"/>
              </w:rPr>
              <w:t>jakąkolwiek</w:t>
            </w:r>
            <w:r w:rsidRPr="00081694">
              <w:rPr>
                <w:rFonts w:cstheme="minorHAnsi"/>
              </w:rPr>
              <w:t xml:space="preserve"> grupę kapitałową, co w praktyce oznacza, że wyjątki od obliga giełdowego będą bardzo nieliczne i niezależne od uwarunkowań technicznych pracy źródeł. Wyłączenia będą zależne od sposobu funkcjonowania spółki zarządzającej danym źródłem, a należy podkreślić, że w ramach grupy kapitałowej funkcjonuje znakomita większość przedsiębiorstw energetycznych. Innymi słowy katalog podmiotów zobowiązanych do stosowania obliga zostaje znacząco poszerzony np. o jednostki kogeneracyjne zarządzane przez spółki wchodzące w skład grup kapitałowych (zarówno prywatnych jak i państwowych).</w:t>
            </w:r>
          </w:p>
          <w:p w14:paraId="764885B4" w14:textId="234BDE27" w:rsidR="000A05EC" w:rsidRPr="00081694" w:rsidRDefault="000A05EC" w:rsidP="000A05EC">
            <w:pPr>
              <w:spacing w:before="240"/>
              <w:ind w:right="100"/>
              <w:jc w:val="both"/>
              <w:rPr>
                <w:rFonts w:cstheme="minorHAnsi"/>
              </w:rPr>
            </w:pPr>
            <w:r w:rsidRPr="00081694">
              <w:rPr>
                <w:rFonts w:cstheme="minorHAnsi"/>
              </w:rPr>
              <w:t>Podkreślamy, że propozycja dodawanego Art. 49a</w:t>
            </w:r>
            <w:r w:rsidRPr="00081694">
              <w:rPr>
                <w:rFonts w:cstheme="minorHAnsi"/>
                <w:vertAlign w:val="superscript"/>
              </w:rPr>
              <w:t>1</w:t>
            </w:r>
            <w:r w:rsidRPr="00081694">
              <w:rPr>
                <w:rFonts w:cstheme="minorHAnsi"/>
              </w:rPr>
              <w:t xml:space="preserve"> ust. 3 ustawy Prawo energetyczne nie została wyczerpująco uzasadniona, co dodatkowo potęguje trudności związane z interpretacją przepisu i zrozumienie intencji stojących za proponowaną zmianą. Pozostawienie przepisu w aktualnym brzmieniu znacząco rozszerza katalog podmiotów zobowiązanych do stosowania obliga giełdowego. Wnioski przedstawione w </w:t>
            </w:r>
            <w:r w:rsidR="00D21B73">
              <w:rPr>
                <w:rFonts w:cstheme="minorHAnsi"/>
              </w:rPr>
              <w:t>o</w:t>
            </w:r>
            <w:r w:rsidRPr="00081694">
              <w:rPr>
                <w:rFonts w:cstheme="minorHAnsi"/>
              </w:rPr>
              <w:t xml:space="preserve">cenie </w:t>
            </w:r>
            <w:r w:rsidR="00D21B73">
              <w:rPr>
                <w:rFonts w:cstheme="minorHAnsi"/>
              </w:rPr>
              <w:t>s</w:t>
            </w:r>
            <w:r w:rsidRPr="00081694">
              <w:rPr>
                <w:rFonts w:cstheme="minorHAnsi"/>
              </w:rPr>
              <w:t xml:space="preserve">kutków </w:t>
            </w:r>
            <w:r w:rsidR="00D21B73">
              <w:rPr>
                <w:rFonts w:cstheme="minorHAnsi"/>
              </w:rPr>
              <w:t>r</w:t>
            </w:r>
            <w:r w:rsidRPr="00081694">
              <w:rPr>
                <w:rFonts w:cstheme="minorHAnsi"/>
              </w:rPr>
              <w:t xml:space="preserve">egulacji </w:t>
            </w:r>
            <w:r w:rsidR="00D21B73">
              <w:rPr>
                <w:rFonts w:cstheme="minorHAnsi"/>
              </w:rPr>
              <w:t>p</w:t>
            </w:r>
            <w:r w:rsidRPr="00081694">
              <w:rPr>
                <w:rFonts w:cstheme="minorHAnsi"/>
              </w:rPr>
              <w:t xml:space="preserve">rojektu wydają się sugerować, że nie taka była intencja: </w:t>
            </w:r>
            <w:r w:rsidRPr="00081694">
              <w:rPr>
                <w:rFonts w:cstheme="minorHAnsi"/>
                <w:i/>
                <w:iCs/>
              </w:rPr>
              <w:t xml:space="preserve">Obowiązek obliga giełdowego na rynku energii elektrycznej obejmie zgodnie z szacunkami </w:t>
            </w:r>
            <w:r w:rsidRPr="00081694">
              <w:rPr>
                <w:rFonts w:cstheme="minorHAnsi"/>
                <w:i/>
                <w:iCs/>
              </w:rPr>
              <w:lastRenderedPageBreak/>
              <w:t xml:space="preserve">projektodawcy ok. 71-74 </w:t>
            </w:r>
            <w:proofErr w:type="spellStart"/>
            <w:r w:rsidRPr="00081694">
              <w:rPr>
                <w:rFonts w:cstheme="minorHAnsi"/>
                <w:i/>
                <w:iCs/>
              </w:rPr>
              <w:t>TWh</w:t>
            </w:r>
            <w:proofErr w:type="spellEnd"/>
            <w:r w:rsidRPr="00081694">
              <w:rPr>
                <w:rFonts w:cstheme="minorHAnsi"/>
                <w:i/>
                <w:iCs/>
              </w:rPr>
              <w:t xml:space="preserve">/rok co oznacza ok. 40-43 % całkowitej produkcji energii elektrycznej. Prognoza ta została przygotowana na podstawie przewidywanej produkcji energii elektrycznej w 2025 r. oraz przewidywanych wolumenów energii elektrycznej objętej </w:t>
            </w:r>
            <w:proofErr w:type="spellStart"/>
            <w:r w:rsidRPr="00081694">
              <w:rPr>
                <w:rFonts w:cstheme="minorHAnsi"/>
                <w:i/>
                <w:iCs/>
              </w:rPr>
              <w:t>wyłączeniami</w:t>
            </w:r>
            <w:proofErr w:type="spellEnd"/>
            <w:r w:rsidRPr="00081694">
              <w:rPr>
                <w:rFonts w:cstheme="minorHAnsi"/>
                <w:i/>
                <w:iCs/>
              </w:rPr>
              <w:t xml:space="preserve"> wskazanymi powyżej. </w:t>
            </w:r>
            <w:r w:rsidRPr="00081694">
              <w:rPr>
                <w:rFonts w:cstheme="minorHAnsi"/>
              </w:rPr>
              <w:t xml:space="preserve">(OSR Projektu str. 3). </w:t>
            </w:r>
          </w:p>
          <w:p w14:paraId="40E4942F" w14:textId="573E33AA" w:rsidR="000A05EC" w:rsidRPr="00081694" w:rsidRDefault="000A05EC" w:rsidP="000A05EC">
            <w:pPr>
              <w:jc w:val="both"/>
              <w:rPr>
                <w:rFonts w:eastAsia="Lato" w:cstheme="minorHAnsi"/>
                <w:lang w:val="pl"/>
              </w:rPr>
            </w:pPr>
            <w:r w:rsidRPr="00081694">
              <w:rPr>
                <w:rFonts w:cstheme="minorHAnsi"/>
              </w:rPr>
              <w:t>Biorąc pod uwagę powyższe argumenty proponujemy wykreślić dodawany art. 49a</w:t>
            </w:r>
            <w:r w:rsidRPr="00081694">
              <w:rPr>
                <w:rFonts w:cstheme="minorHAnsi"/>
                <w:vertAlign w:val="superscript"/>
              </w:rPr>
              <w:t xml:space="preserve">1 </w:t>
            </w:r>
            <w:r w:rsidRPr="00081694">
              <w:rPr>
                <w:rFonts w:cstheme="minorHAnsi"/>
              </w:rPr>
              <w:t>ust. 3 ustawy Prawo energetyczne.</w:t>
            </w:r>
          </w:p>
        </w:tc>
        <w:tc>
          <w:tcPr>
            <w:tcW w:w="4252" w:type="dxa"/>
          </w:tcPr>
          <w:p w14:paraId="1C15A582" w14:textId="417E862B" w:rsidR="000A05EC" w:rsidRPr="00081694" w:rsidRDefault="000A05EC" w:rsidP="000A05EC">
            <w:pPr>
              <w:ind w:left="33"/>
              <w:jc w:val="both"/>
              <w:rPr>
                <w:rFonts w:eastAsia="Lato" w:cstheme="minorHAnsi"/>
                <w:lang w:val="pl"/>
              </w:rPr>
            </w:pPr>
            <w:r w:rsidRPr="003E7ED5">
              <w:rPr>
                <w:rFonts w:eastAsia="Lato" w:cstheme="minorHAnsi"/>
                <w:lang w:val="pl"/>
              </w:rPr>
              <w:lastRenderedPageBreak/>
              <w:t>Wykreślenie dodawanego art. 49a</w:t>
            </w:r>
            <w:r w:rsidRPr="00D3393B">
              <w:rPr>
                <w:rFonts w:eastAsia="Lato" w:cstheme="minorHAnsi"/>
                <w:vertAlign w:val="superscript"/>
                <w:lang w:val="pl"/>
              </w:rPr>
              <w:t>1</w:t>
            </w:r>
            <w:r w:rsidRPr="003E7ED5">
              <w:rPr>
                <w:rFonts w:eastAsia="Lato" w:cstheme="minorHAnsi"/>
                <w:lang w:val="pl"/>
              </w:rPr>
              <w:t xml:space="preserve"> ust. 3 </w:t>
            </w:r>
          </w:p>
        </w:tc>
        <w:tc>
          <w:tcPr>
            <w:tcW w:w="1428" w:type="dxa"/>
          </w:tcPr>
          <w:p w14:paraId="057B2088" w14:textId="77777777" w:rsidR="000A05EC" w:rsidRPr="00081694" w:rsidRDefault="000A05EC" w:rsidP="000A05EC">
            <w:pPr>
              <w:jc w:val="both"/>
              <w:rPr>
                <w:rFonts w:cstheme="minorHAnsi"/>
              </w:rPr>
            </w:pPr>
          </w:p>
        </w:tc>
      </w:tr>
      <w:tr w:rsidR="000A05EC" w:rsidRPr="00081694" w14:paraId="014BF7E7" w14:textId="77777777" w:rsidTr="410720AB">
        <w:trPr>
          <w:trHeight w:val="300"/>
        </w:trPr>
        <w:tc>
          <w:tcPr>
            <w:tcW w:w="562" w:type="dxa"/>
          </w:tcPr>
          <w:p w14:paraId="33B832C0" w14:textId="4733B5D3" w:rsidR="000A05EC" w:rsidRPr="00081694" w:rsidRDefault="00C72A4C" w:rsidP="000A05EC">
            <w:pPr>
              <w:jc w:val="center"/>
              <w:rPr>
                <w:rFonts w:cstheme="minorHAnsi"/>
              </w:rPr>
            </w:pPr>
            <w:r>
              <w:rPr>
                <w:rFonts w:cstheme="minorHAnsi"/>
              </w:rPr>
              <w:t>6</w:t>
            </w:r>
          </w:p>
        </w:tc>
        <w:tc>
          <w:tcPr>
            <w:tcW w:w="1701" w:type="dxa"/>
          </w:tcPr>
          <w:p w14:paraId="0F56F7AF" w14:textId="7DCE5970" w:rsidR="000A05EC" w:rsidRPr="00081694" w:rsidRDefault="00561797" w:rsidP="000A05EC">
            <w:pPr>
              <w:jc w:val="both"/>
              <w:rPr>
                <w:rFonts w:cstheme="minorHAnsi"/>
              </w:rPr>
            </w:pPr>
            <w:r>
              <w:rPr>
                <w:rFonts w:cstheme="minorHAnsi"/>
              </w:rPr>
              <w:t>Konfederacja Lewiatan</w:t>
            </w:r>
          </w:p>
        </w:tc>
        <w:tc>
          <w:tcPr>
            <w:tcW w:w="2694" w:type="dxa"/>
          </w:tcPr>
          <w:p w14:paraId="5B0E78A6" w14:textId="3EE867A0" w:rsidR="000A05EC" w:rsidRPr="00081694" w:rsidRDefault="00561797" w:rsidP="000A05EC">
            <w:pPr>
              <w:jc w:val="both"/>
              <w:rPr>
                <w:rFonts w:cstheme="minorHAnsi"/>
              </w:rPr>
            </w:pPr>
            <w:r>
              <w:rPr>
                <w:rFonts w:cstheme="minorHAnsi"/>
              </w:rPr>
              <w:t>Art.</w:t>
            </w:r>
            <w:r w:rsidR="000A05EC" w:rsidRPr="00081694">
              <w:rPr>
                <w:rFonts w:cstheme="minorHAnsi"/>
              </w:rPr>
              <w:t xml:space="preserve"> 3</w:t>
            </w:r>
          </w:p>
        </w:tc>
        <w:tc>
          <w:tcPr>
            <w:tcW w:w="5103" w:type="dxa"/>
          </w:tcPr>
          <w:p w14:paraId="0ED50C66" w14:textId="15FEDF24" w:rsidR="000A05EC" w:rsidRPr="00AA16F1" w:rsidRDefault="00AA16F1" w:rsidP="000A05EC">
            <w:pPr>
              <w:jc w:val="both"/>
              <w:rPr>
                <w:rFonts w:eastAsia="Lato" w:cstheme="minorHAnsi"/>
              </w:rPr>
            </w:pPr>
            <w:r w:rsidRPr="00AA16F1">
              <w:rPr>
                <w:rFonts w:eastAsia="Lato" w:cstheme="minorHAnsi"/>
              </w:rPr>
              <w:t xml:space="preserve">W obecnym brzmieniu art. 3 ustawy nie jest jednoznaczne, czy przepisy dotyczące obliga giełdowego będą miały zastosowanie do umów zawartych przed i) wejściem w życie ustawy jako takiej (14 dni od dnia ogłoszenia), czy ii) wejściem w życie przepisów dotyczących obliga (1 lipca 2026 r.). </w:t>
            </w:r>
            <w:r>
              <w:rPr>
                <w:rFonts w:eastAsia="Lato" w:cstheme="minorHAnsi"/>
              </w:rPr>
              <w:br/>
            </w:r>
            <w:r w:rsidR="00B901EE">
              <w:rPr>
                <w:rFonts w:eastAsia="Lato" w:cstheme="minorHAnsi"/>
              </w:rPr>
              <w:t>D</w:t>
            </w:r>
            <w:r w:rsidRPr="00AA16F1">
              <w:rPr>
                <w:rFonts w:eastAsia="Lato" w:cstheme="minorHAnsi"/>
              </w:rPr>
              <w:t>oprecyzowanie jest niezbędne dla uniknięcia wątpliwości. W naszej ocenie obowiązek powinien być skorelowany z datą wejścia w życie przepisów o obligu, a nie pozostałych, które nie są związane z przedmiotem tej regulacji.</w:t>
            </w:r>
          </w:p>
        </w:tc>
        <w:tc>
          <w:tcPr>
            <w:tcW w:w="4252" w:type="dxa"/>
          </w:tcPr>
          <w:tbl>
            <w:tblPr>
              <w:tblW w:w="0" w:type="auto"/>
              <w:tblLook w:val="06A0" w:firstRow="1" w:lastRow="0" w:firstColumn="1" w:lastColumn="0" w:noHBand="1" w:noVBand="1"/>
            </w:tblPr>
            <w:tblGrid>
              <w:gridCol w:w="4042"/>
            </w:tblGrid>
            <w:tr w:rsidR="000A05EC" w:rsidRPr="00081694" w14:paraId="0675D702" w14:textId="77777777" w:rsidTr="51D6D735">
              <w:trPr>
                <w:trHeight w:val="300"/>
              </w:trPr>
              <w:tc>
                <w:tcPr>
                  <w:tcW w:w="4042" w:type="dxa"/>
                  <w:tcMar>
                    <w:left w:w="142" w:type="dxa"/>
                    <w:right w:w="142" w:type="dxa"/>
                  </w:tcMar>
                </w:tcPr>
                <w:p w14:paraId="627650D8" w14:textId="1CCD7F19" w:rsidR="000A05EC" w:rsidRPr="00081694" w:rsidRDefault="00C31A77" w:rsidP="0089723A">
                  <w:pPr>
                    <w:framePr w:hSpace="142" w:wrap="around" w:vAnchor="text" w:hAnchor="margin" w:xAlign="center" w:y="58"/>
                    <w:spacing w:line="257" w:lineRule="auto"/>
                    <w:jc w:val="both"/>
                    <w:rPr>
                      <w:rFonts w:cstheme="minorHAnsi"/>
                    </w:rPr>
                  </w:pPr>
                  <w:r w:rsidRPr="00C31A77">
                    <w:rPr>
                      <w:rFonts w:cstheme="minorHAnsi"/>
                    </w:rPr>
                    <w:t xml:space="preserve">Art. 3. Do energii elektrycznej będącej przedmiotem umów zawartych przed dniem wejścia w życie </w:t>
                  </w:r>
                  <w:r w:rsidRPr="00C31A77">
                    <w:rPr>
                      <w:rFonts w:cstheme="minorHAnsi"/>
                      <w:b/>
                      <w:bCs/>
                    </w:rPr>
                    <w:t>art. 1 ust. 2–6 ustawy</w:t>
                  </w:r>
                  <w:r w:rsidRPr="00C31A77">
                    <w:rPr>
                      <w:rFonts w:cstheme="minorHAnsi"/>
                    </w:rPr>
                    <w:t>, stosuje się przepisy dotychczasowe. </w:t>
                  </w:r>
                </w:p>
              </w:tc>
            </w:tr>
          </w:tbl>
          <w:p w14:paraId="659EF07E" w14:textId="3D856284" w:rsidR="000A05EC" w:rsidRPr="00081694" w:rsidRDefault="000A05EC" w:rsidP="000A05EC">
            <w:pPr>
              <w:jc w:val="both"/>
            </w:pPr>
          </w:p>
        </w:tc>
        <w:tc>
          <w:tcPr>
            <w:tcW w:w="1428" w:type="dxa"/>
          </w:tcPr>
          <w:p w14:paraId="6F175599" w14:textId="4C09CBEF" w:rsidR="000A05EC" w:rsidRPr="00081694" w:rsidRDefault="000A05EC" w:rsidP="000A05EC">
            <w:pPr>
              <w:jc w:val="both"/>
              <w:rPr>
                <w:rFonts w:cstheme="minorHAnsi"/>
              </w:rPr>
            </w:pPr>
          </w:p>
        </w:tc>
      </w:tr>
      <w:tr w:rsidR="000A05EC" w:rsidRPr="00081694" w14:paraId="0F3F0674" w14:textId="77777777" w:rsidTr="410720AB">
        <w:trPr>
          <w:trHeight w:val="300"/>
        </w:trPr>
        <w:tc>
          <w:tcPr>
            <w:tcW w:w="562" w:type="dxa"/>
          </w:tcPr>
          <w:p w14:paraId="141B1C1B" w14:textId="25D348EE" w:rsidR="000A05EC" w:rsidRPr="00081694" w:rsidRDefault="00C72A4C" w:rsidP="000A05EC">
            <w:pPr>
              <w:jc w:val="center"/>
              <w:rPr>
                <w:rFonts w:cstheme="minorHAnsi"/>
              </w:rPr>
            </w:pPr>
            <w:r>
              <w:rPr>
                <w:rFonts w:cstheme="minorHAnsi"/>
              </w:rPr>
              <w:t>7</w:t>
            </w:r>
          </w:p>
        </w:tc>
        <w:tc>
          <w:tcPr>
            <w:tcW w:w="1701" w:type="dxa"/>
          </w:tcPr>
          <w:p w14:paraId="01CEC2CA" w14:textId="4DE0F390" w:rsidR="000A05EC" w:rsidRPr="00081694" w:rsidRDefault="008C76B0" w:rsidP="00C72A4C">
            <w:pPr>
              <w:jc w:val="both"/>
              <w:rPr>
                <w:rFonts w:eastAsia="Lato" w:cstheme="minorHAnsi"/>
              </w:rPr>
            </w:pPr>
            <w:r>
              <w:rPr>
                <w:rFonts w:eastAsia="Lato" w:cstheme="minorHAnsi"/>
              </w:rPr>
              <w:t>Konfederacja Lewiatan</w:t>
            </w:r>
          </w:p>
        </w:tc>
        <w:tc>
          <w:tcPr>
            <w:tcW w:w="2694" w:type="dxa"/>
          </w:tcPr>
          <w:p w14:paraId="51016798" w14:textId="60737858" w:rsidR="000A05EC" w:rsidRPr="00081694" w:rsidRDefault="00AC22A1" w:rsidP="00C72A4C">
            <w:pPr>
              <w:jc w:val="both"/>
              <w:rPr>
                <w:rFonts w:eastAsia="Lato" w:cstheme="minorHAnsi"/>
              </w:rPr>
            </w:pPr>
            <w:r>
              <w:rPr>
                <w:rFonts w:eastAsia="Lato" w:cstheme="minorHAnsi"/>
              </w:rPr>
              <w:t xml:space="preserve">Art. 1 pkt 1 w zakresie </w:t>
            </w:r>
            <w:r w:rsidR="00551D69">
              <w:rPr>
                <w:rFonts w:eastAsia="Lato" w:cstheme="minorHAnsi"/>
              </w:rPr>
              <w:t xml:space="preserve">art. 9c </w:t>
            </w:r>
            <w:r>
              <w:rPr>
                <w:rFonts w:eastAsia="Lato" w:cstheme="minorHAnsi"/>
              </w:rPr>
              <w:t>ust. 7s</w:t>
            </w:r>
          </w:p>
        </w:tc>
        <w:tc>
          <w:tcPr>
            <w:tcW w:w="5103" w:type="dxa"/>
          </w:tcPr>
          <w:p w14:paraId="12FA166E" w14:textId="44D5A43B" w:rsidR="000A05EC" w:rsidRPr="00081694" w:rsidRDefault="000A05EC" w:rsidP="00004581">
            <w:pPr>
              <w:ind w:left="145" w:right="137"/>
              <w:jc w:val="both"/>
              <w:rPr>
                <w:rFonts w:cstheme="minorHAnsi"/>
              </w:rPr>
            </w:pPr>
            <w:r w:rsidRPr="00081694">
              <w:rPr>
                <w:rFonts w:eastAsia="Lato" w:cstheme="minorHAnsi"/>
              </w:rPr>
              <w:t>Operator systemu dystrybucyjnego elektroenergetycznego („OSD”) nie powinien wyznaczać energii niewyprodukowanej. Odpowiedzialność OSD powinna kończyć się na przekazaniu rzeczywistych danych pomiarowych dla źródła wytwórczego (termin 10 dni po zakończeniu miesiąca). OSD nie posiadają systemów IT zdolnych do wyznaczania takiej ilości energii. Nie jest to również kompetencja OSD jako operatora sieci</w:t>
            </w:r>
            <w:r w:rsidR="00004581">
              <w:rPr>
                <w:rFonts w:eastAsia="Lato" w:cstheme="minorHAnsi"/>
              </w:rPr>
              <w:t>.</w:t>
            </w:r>
          </w:p>
        </w:tc>
        <w:tc>
          <w:tcPr>
            <w:tcW w:w="4252" w:type="dxa"/>
          </w:tcPr>
          <w:p w14:paraId="226AA159" w14:textId="14C9A399" w:rsidR="000A05EC" w:rsidRPr="00081694" w:rsidRDefault="000A05EC" w:rsidP="000A05EC">
            <w:pPr>
              <w:jc w:val="both"/>
              <w:rPr>
                <w:rFonts w:cstheme="minorHAnsi"/>
              </w:rPr>
            </w:pPr>
          </w:p>
        </w:tc>
        <w:tc>
          <w:tcPr>
            <w:tcW w:w="1428" w:type="dxa"/>
          </w:tcPr>
          <w:p w14:paraId="732F28A2" w14:textId="3C4854F4" w:rsidR="000A05EC" w:rsidRPr="00081694" w:rsidRDefault="000A05EC" w:rsidP="000A05EC">
            <w:pPr>
              <w:jc w:val="both"/>
              <w:rPr>
                <w:rFonts w:cstheme="minorHAnsi"/>
              </w:rPr>
            </w:pPr>
          </w:p>
        </w:tc>
      </w:tr>
      <w:tr w:rsidR="000A05EC" w:rsidRPr="00081694" w14:paraId="3B98A6A5" w14:textId="77777777" w:rsidTr="410720AB">
        <w:trPr>
          <w:trHeight w:val="300"/>
        </w:trPr>
        <w:tc>
          <w:tcPr>
            <w:tcW w:w="562" w:type="dxa"/>
          </w:tcPr>
          <w:p w14:paraId="49A619AE" w14:textId="35A18DCE" w:rsidR="000A05EC" w:rsidRPr="00081694" w:rsidRDefault="00C72A4C" w:rsidP="000A05EC">
            <w:pPr>
              <w:jc w:val="center"/>
              <w:rPr>
                <w:rFonts w:cstheme="minorHAnsi"/>
              </w:rPr>
            </w:pPr>
            <w:r>
              <w:rPr>
                <w:rFonts w:cstheme="minorHAnsi"/>
              </w:rPr>
              <w:t>8</w:t>
            </w:r>
          </w:p>
        </w:tc>
        <w:tc>
          <w:tcPr>
            <w:tcW w:w="1701" w:type="dxa"/>
          </w:tcPr>
          <w:p w14:paraId="3630DD0F" w14:textId="10C2F3C5" w:rsidR="000A05EC" w:rsidRPr="00081694" w:rsidRDefault="00F602D6" w:rsidP="000A05EC">
            <w:pPr>
              <w:jc w:val="both"/>
              <w:rPr>
                <w:rFonts w:eastAsia="Lato"/>
              </w:rPr>
            </w:pPr>
            <w:r>
              <w:rPr>
                <w:rFonts w:eastAsia="Lato"/>
              </w:rPr>
              <w:t>Konfederacja Lewiatan</w:t>
            </w:r>
          </w:p>
        </w:tc>
        <w:tc>
          <w:tcPr>
            <w:tcW w:w="2694" w:type="dxa"/>
          </w:tcPr>
          <w:p w14:paraId="7ED4E5EF" w14:textId="10AE1111" w:rsidR="000A05EC" w:rsidRPr="00081694" w:rsidRDefault="000A05EC" w:rsidP="000A05EC">
            <w:pPr>
              <w:jc w:val="both"/>
              <w:rPr>
                <w:rFonts w:eastAsia="Lato"/>
              </w:rPr>
            </w:pPr>
            <w:r w:rsidRPr="4496B848">
              <w:rPr>
                <w:rFonts w:eastAsia="Lato"/>
              </w:rPr>
              <w:t>Art. 1 pkt 1 ustawy w zakresie proponowanego art. 9c ust. 7r i 7 za</w:t>
            </w:r>
          </w:p>
        </w:tc>
        <w:tc>
          <w:tcPr>
            <w:tcW w:w="5103" w:type="dxa"/>
          </w:tcPr>
          <w:p w14:paraId="455B5BB2" w14:textId="73F0A2AB" w:rsidR="000A05EC" w:rsidRPr="00081694" w:rsidRDefault="000A05EC" w:rsidP="000A05EC">
            <w:pPr>
              <w:jc w:val="both"/>
              <w:rPr>
                <w:rFonts w:eastAsia="Lato"/>
              </w:rPr>
            </w:pPr>
            <w:r w:rsidRPr="4496B848">
              <w:rPr>
                <w:rFonts w:eastAsia="Lato"/>
              </w:rPr>
              <w:t>Poprawka w zakresie ust. 7r jest redakcyjna – usuwa powtórzenie treści ujętej w ust. 7s.</w:t>
            </w:r>
          </w:p>
          <w:p w14:paraId="5E6DBCC5" w14:textId="0440F4CE" w:rsidR="000A05EC" w:rsidRPr="00081694" w:rsidRDefault="000A05EC" w:rsidP="000A05EC">
            <w:pPr>
              <w:jc w:val="both"/>
              <w:rPr>
                <w:rFonts w:eastAsia="Lato"/>
              </w:rPr>
            </w:pPr>
          </w:p>
          <w:p w14:paraId="7196BA21" w14:textId="1D20D82B" w:rsidR="000A05EC" w:rsidRPr="00081694" w:rsidRDefault="000A05EC" w:rsidP="000A05EC">
            <w:pPr>
              <w:jc w:val="both"/>
              <w:rPr>
                <w:rFonts w:eastAsia="Lato"/>
              </w:rPr>
            </w:pPr>
            <w:r w:rsidRPr="4496B848">
              <w:rPr>
                <w:rFonts w:eastAsia="Lato"/>
              </w:rPr>
              <w:t xml:space="preserve">W zakresie ust. 7za zmiana ma pozwolić na ochronę wytwórców, którzy zagwarantowali sobie zbyt na </w:t>
            </w:r>
            <w:r w:rsidRPr="4496B848">
              <w:rPr>
                <w:rFonts w:eastAsia="Lato"/>
              </w:rPr>
              <w:lastRenderedPageBreak/>
              <w:t>wytworzon</w:t>
            </w:r>
            <w:r w:rsidR="00BF4345">
              <w:rPr>
                <w:rFonts w:eastAsia="Lato"/>
              </w:rPr>
              <w:t>ą</w:t>
            </w:r>
            <w:r w:rsidRPr="4496B848">
              <w:rPr>
                <w:rFonts w:eastAsia="Lato"/>
              </w:rPr>
              <w:t xml:space="preserve"> energi</w:t>
            </w:r>
            <w:r w:rsidR="00BF4345">
              <w:rPr>
                <w:rFonts w:eastAsia="Lato"/>
              </w:rPr>
              <w:t>ę</w:t>
            </w:r>
            <w:r w:rsidRPr="4496B848">
              <w:rPr>
                <w:rFonts w:eastAsia="Lato"/>
              </w:rPr>
              <w:t xml:space="preserve"> elektryczną poprzez zawarcie umowy sprzedaży lub złożenie oferty na rynku bilansującym. </w:t>
            </w:r>
          </w:p>
        </w:tc>
        <w:tc>
          <w:tcPr>
            <w:tcW w:w="4252" w:type="dxa"/>
          </w:tcPr>
          <w:p w14:paraId="0233D04E" w14:textId="6E5ED954" w:rsidR="000A05EC" w:rsidRPr="00D036CB" w:rsidRDefault="000A05EC" w:rsidP="000A05EC">
            <w:pPr>
              <w:jc w:val="both"/>
              <w:rPr>
                <w:rFonts w:eastAsiaTheme="minorEastAsia"/>
              </w:rPr>
            </w:pPr>
            <w:r w:rsidRPr="00D036CB">
              <w:rPr>
                <w:rFonts w:eastAsiaTheme="minorEastAsia"/>
              </w:rPr>
              <w:lastRenderedPageBreak/>
              <w:t>7r.</w:t>
            </w:r>
            <w:r w:rsidRPr="00D036CB">
              <w:tab/>
            </w:r>
            <w:r w:rsidRPr="00D036CB">
              <w:rPr>
                <w:rFonts w:eastAsiaTheme="minorEastAsia"/>
              </w:rPr>
              <w:t xml:space="preserve">W przypadku wydania przez operatora systemu przesyłowego lub operatora systemu dystrybucyjnego elektroenergetycznego polecenia, o którym mowa w ust. 7a lub 7b, do rozliczenia za </w:t>
            </w:r>
            <w:r w:rsidRPr="00D036CB">
              <w:rPr>
                <w:rFonts w:eastAsiaTheme="minorEastAsia"/>
              </w:rPr>
              <w:lastRenderedPageBreak/>
              <w:t>energię elektryczną w ramach zawartej umowy sprzedaży energii elektrycznej lub umowy mającej charakter instrumentu finansowego, w rozumieniu art. 2 ust. 1 ustawy z dnia 29 lipca 2005 r. o obrocie instrumentami finansowymi, w której podstawą ustalenia należności za energię elektryczną lub rozliczenia instrumentu finansowego jest ilość energii elektrycznej zarejestrowana przez układy pomiarowo-rozliczeniowe, za ilość energii elektrycznej wytworzonej w jednostce wytwórczej lub wprowadzonej przez magazyn energii elektrycznej, objętych takimi poleceniami, przyjmuje się ilość energii elektrycznej zarejestrowaną przez układy pomiarowo – rozliczeniowe i wprowadzoną do sieci elektroenergetycznej dla okresu objętego poleceniem, powiększoną o ilość energii elektrycznej niewyprodukowanej w wyniku takiego polecenia</w:t>
            </w:r>
            <w:r w:rsidRPr="00D036CB">
              <w:rPr>
                <w:rFonts w:eastAsiaTheme="minorEastAsia"/>
                <w:strike/>
              </w:rPr>
              <w:t>, określoną przez właściwego operatora systemu elektroenergetycznego zgodnie z warunkami instrukcji, o której mowa w art. 9g ust. 1</w:t>
            </w:r>
            <w:r w:rsidRPr="00D036CB">
              <w:rPr>
                <w:rFonts w:eastAsiaTheme="minorEastAsia"/>
              </w:rPr>
              <w:t>.</w:t>
            </w:r>
          </w:p>
          <w:p w14:paraId="2F0FAEE2" w14:textId="7CBF9EB4" w:rsidR="000A05EC" w:rsidRPr="00D036CB" w:rsidRDefault="000A05EC" w:rsidP="000A05EC">
            <w:pPr>
              <w:jc w:val="both"/>
            </w:pPr>
          </w:p>
          <w:p w14:paraId="59267F4D" w14:textId="6C3A2C78" w:rsidR="000A05EC" w:rsidRPr="00D036CB" w:rsidRDefault="000A05EC" w:rsidP="00AE5C35">
            <w:pPr>
              <w:jc w:val="both"/>
            </w:pPr>
            <w:r w:rsidRPr="00D036CB">
              <w:t xml:space="preserve">7za. </w:t>
            </w:r>
            <w:r w:rsidR="00AE5C35" w:rsidRPr="00AE5C35">
              <w:rPr>
                <w:strike/>
              </w:rPr>
              <w:t>Przepisów ust. 7r–7y nie stosuje się w przypadkach, o których mowa w ust. 7g</w:t>
            </w:r>
            <w:r w:rsidR="00AE5C35">
              <w:rPr>
                <w:strike/>
              </w:rPr>
              <w:t xml:space="preserve"> </w:t>
            </w:r>
            <w:r w:rsidR="00AE5C35" w:rsidRPr="00AE5C35">
              <w:rPr>
                <w:strike/>
              </w:rPr>
              <w:t>i 7h.</w:t>
            </w:r>
            <w:r w:rsidR="00AE5C35">
              <w:t xml:space="preserve"> </w:t>
            </w:r>
            <w:r w:rsidRPr="00D036CB">
              <w:t xml:space="preserve">Jeżeli umowa o przyłączenie jednostki wytwórczej lub magazynu energii elektrycznej zawiera postanowienia skutkujące brakiem gwarancji niezawodnych dostaw energii elektrycznej, przepisów ust. 7r-7y nie stosuje się chyba że, moc tej jednostki wytwórczej lub moc magazynu energii elektrycznej jest objęta ofertą w </w:t>
            </w:r>
            <w:r w:rsidRPr="00D036CB">
              <w:lastRenderedPageBreak/>
              <w:t>ramach rynku bilansującego energii elektrycznej lub umową sprzedaży energii elektrycznej lub umową mającą charakter instrumentu finansowego, w rozumieniu art. 2 ust. 1 ustawy z dnia 29 lipca 2005 r. o obrocie instrumentami finansowymi, w której podstawą ustalenia należności za energię elektryczną lub rozliczenia instrumentu finansowego jest ilość energii elektrycznej zarejestrowana przez układy pomiarowo-rozliczeniowe tej jednostki wytwórczej lub magazynu.</w:t>
            </w:r>
          </w:p>
        </w:tc>
        <w:tc>
          <w:tcPr>
            <w:tcW w:w="1428" w:type="dxa"/>
          </w:tcPr>
          <w:p w14:paraId="3B986315" w14:textId="59F96DF9" w:rsidR="000A05EC" w:rsidRPr="00081694" w:rsidRDefault="000A05EC" w:rsidP="000A05EC">
            <w:pPr>
              <w:jc w:val="both"/>
              <w:rPr>
                <w:rFonts w:cstheme="minorHAnsi"/>
              </w:rPr>
            </w:pPr>
          </w:p>
        </w:tc>
      </w:tr>
      <w:tr w:rsidR="000A05EC" w:rsidRPr="00081694" w14:paraId="780413BB" w14:textId="77777777" w:rsidTr="410720AB">
        <w:trPr>
          <w:trHeight w:val="480"/>
        </w:trPr>
        <w:tc>
          <w:tcPr>
            <w:tcW w:w="562" w:type="dxa"/>
          </w:tcPr>
          <w:p w14:paraId="56057A9B" w14:textId="11C9EC49" w:rsidR="000A05EC" w:rsidRPr="00081694" w:rsidRDefault="00C72A4C" w:rsidP="000A05EC">
            <w:pPr>
              <w:jc w:val="center"/>
              <w:rPr>
                <w:rFonts w:cstheme="minorHAnsi"/>
              </w:rPr>
            </w:pPr>
            <w:r>
              <w:rPr>
                <w:rFonts w:cstheme="minorHAnsi"/>
              </w:rPr>
              <w:lastRenderedPageBreak/>
              <w:t>9</w:t>
            </w:r>
          </w:p>
        </w:tc>
        <w:tc>
          <w:tcPr>
            <w:tcW w:w="1701" w:type="dxa"/>
          </w:tcPr>
          <w:p w14:paraId="05A1FFC2" w14:textId="53C486A6" w:rsidR="000A05EC" w:rsidRPr="00081694" w:rsidRDefault="001D4C94" w:rsidP="000A05EC">
            <w:pPr>
              <w:jc w:val="both"/>
              <w:rPr>
                <w:rFonts w:eastAsia="Lato"/>
              </w:rPr>
            </w:pPr>
            <w:r>
              <w:rPr>
                <w:rFonts w:eastAsia="Lato"/>
              </w:rPr>
              <w:t>Konfederacja Lewiatan</w:t>
            </w:r>
          </w:p>
        </w:tc>
        <w:tc>
          <w:tcPr>
            <w:tcW w:w="2694" w:type="dxa"/>
          </w:tcPr>
          <w:p w14:paraId="7FF1ABCB" w14:textId="11FCB0AF" w:rsidR="000A05EC" w:rsidRPr="00081694" w:rsidRDefault="000A05EC" w:rsidP="000A05EC">
            <w:pPr>
              <w:jc w:val="both"/>
              <w:rPr>
                <w:rFonts w:eastAsia="Lato"/>
              </w:rPr>
            </w:pPr>
            <w:r w:rsidRPr="4496B848">
              <w:rPr>
                <w:rFonts w:eastAsia="Lato"/>
              </w:rPr>
              <w:t>Art. 5 ust. 2</w:t>
            </w:r>
          </w:p>
        </w:tc>
        <w:tc>
          <w:tcPr>
            <w:tcW w:w="5103" w:type="dxa"/>
          </w:tcPr>
          <w:p w14:paraId="34C92ED8" w14:textId="0899F36D" w:rsidR="000A05EC" w:rsidRPr="00081694" w:rsidRDefault="000A05EC" w:rsidP="000A05EC">
            <w:pPr>
              <w:jc w:val="both"/>
              <w:rPr>
                <w:rFonts w:eastAsia="Lato"/>
              </w:rPr>
            </w:pPr>
            <w:r w:rsidRPr="4496B848">
              <w:rPr>
                <w:rFonts w:eastAsia="Lato"/>
              </w:rPr>
              <w:t xml:space="preserve">Konieczne jest doprecyzowanie jakie są skutki niedostosowania umowy sprzedaży w przewidzianym terminie, poprzez wskazanie, że w braku porozumienia energia </w:t>
            </w:r>
            <w:proofErr w:type="spellStart"/>
            <w:r w:rsidRPr="4496B848">
              <w:rPr>
                <w:rFonts w:eastAsia="Lato"/>
              </w:rPr>
              <w:t>redysponowana</w:t>
            </w:r>
            <w:proofErr w:type="spellEnd"/>
            <w:r w:rsidRPr="4496B848">
              <w:rPr>
                <w:rFonts w:eastAsia="Lato"/>
              </w:rPr>
              <w:t xml:space="preserve"> jest doliczana do ilości licznikowej.</w:t>
            </w:r>
          </w:p>
        </w:tc>
        <w:tc>
          <w:tcPr>
            <w:tcW w:w="4252" w:type="dxa"/>
          </w:tcPr>
          <w:p w14:paraId="5BF7870C" w14:textId="2C6106D4" w:rsidR="000A05EC" w:rsidRPr="00081694" w:rsidRDefault="000A05EC" w:rsidP="000A05EC">
            <w:pPr>
              <w:jc w:val="both"/>
              <w:rPr>
                <w:rFonts w:cstheme="minorHAnsi"/>
              </w:rPr>
            </w:pPr>
          </w:p>
        </w:tc>
        <w:tc>
          <w:tcPr>
            <w:tcW w:w="1428" w:type="dxa"/>
          </w:tcPr>
          <w:p w14:paraId="5D1EBAAB" w14:textId="6EBD612E" w:rsidR="000A05EC" w:rsidRPr="00081694" w:rsidRDefault="000A05EC" w:rsidP="000A05EC">
            <w:pPr>
              <w:jc w:val="both"/>
              <w:rPr>
                <w:rFonts w:cstheme="minorHAnsi"/>
              </w:rPr>
            </w:pPr>
          </w:p>
        </w:tc>
      </w:tr>
      <w:bookmarkEnd w:id="0"/>
    </w:tbl>
    <w:p w14:paraId="4A485AB3" w14:textId="77777777" w:rsidR="00CA2841" w:rsidRDefault="00CA2841" w:rsidP="008B766F">
      <w:pPr>
        <w:spacing w:after="0" w:line="240" w:lineRule="auto"/>
        <w:rPr>
          <w:rFonts w:cstheme="minorHAnsi"/>
        </w:rPr>
      </w:pPr>
    </w:p>
    <w:p w14:paraId="005DB888" w14:textId="77777777" w:rsidR="0089723A" w:rsidRPr="0089723A" w:rsidRDefault="0089723A" w:rsidP="008B766F">
      <w:pPr>
        <w:spacing w:after="0" w:line="240" w:lineRule="auto"/>
        <w:rPr>
          <w:rFonts w:cstheme="minorHAnsi"/>
          <w:b/>
          <w:bCs/>
          <w:i/>
          <w:iCs/>
        </w:rPr>
      </w:pPr>
    </w:p>
    <w:p w14:paraId="206D793A" w14:textId="259E320C" w:rsidR="0089723A" w:rsidRPr="0089723A" w:rsidRDefault="0089723A" w:rsidP="008B766F">
      <w:pPr>
        <w:spacing w:after="0" w:line="240" w:lineRule="auto"/>
        <w:rPr>
          <w:rFonts w:cstheme="minorHAnsi"/>
          <w:b/>
          <w:bCs/>
          <w:i/>
          <w:iCs/>
        </w:rPr>
      </w:pPr>
      <w:r w:rsidRPr="0089723A">
        <w:rPr>
          <w:rFonts w:cstheme="minorHAnsi"/>
          <w:b/>
          <w:bCs/>
          <w:i/>
          <w:iCs/>
        </w:rPr>
        <w:t>KL/599/206/PG/2025</w:t>
      </w:r>
    </w:p>
    <w:sectPr w:rsidR="0089723A" w:rsidRPr="0089723A"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EA08" w14:textId="77777777" w:rsidR="004D2EF6" w:rsidRDefault="004D2EF6" w:rsidP="00CA2841">
      <w:pPr>
        <w:spacing w:after="0" w:line="240" w:lineRule="auto"/>
      </w:pPr>
      <w:r>
        <w:separator/>
      </w:r>
    </w:p>
  </w:endnote>
  <w:endnote w:type="continuationSeparator" w:id="0">
    <w:p w14:paraId="12C88D36" w14:textId="77777777" w:rsidR="004D2EF6" w:rsidRDefault="004D2EF6"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E9D3" w14:textId="77777777" w:rsidR="004D2EF6" w:rsidRDefault="004D2EF6" w:rsidP="00CA2841">
      <w:pPr>
        <w:spacing w:after="0" w:line="240" w:lineRule="auto"/>
      </w:pPr>
      <w:r>
        <w:separator/>
      </w:r>
    </w:p>
  </w:footnote>
  <w:footnote w:type="continuationSeparator" w:id="0">
    <w:p w14:paraId="689A8B3E" w14:textId="77777777" w:rsidR="004D2EF6" w:rsidRDefault="004D2EF6" w:rsidP="00CA2841">
      <w:pPr>
        <w:spacing w:after="0" w:line="240" w:lineRule="auto"/>
      </w:pPr>
      <w:r>
        <w:continuationSeparator/>
      </w:r>
    </w:p>
  </w:footnote>
  <w:footnote w:id="1">
    <w:p w14:paraId="722C9D04" w14:textId="76DFC1E6" w:rsidR="004F2D1D" w:rsidRPr="00EF494C" w:rsidRDefault="004F2D1D">
      <w:pPr>
        <w:pStyle w:val="Tekstprzypisudolnego"/>
        <w:rPr>
          <w:rFonts w:ascii="Lato" w:hAnsi="Lato" w:cs="Times New Roman"/>
          <w:sz w:val="22"/>
          <w:szCs w:val="22"/>
        </w:rPr>
      </w:pPr>
      <w:r w:rsidRPr="00EF494C">
        <w:rPr>
          <w:rStyle w:val="Odwoanieprzypisudolnego"/>
          <w:rFonts w:ascii="Lato" w:hAnsi="Lato" w:cs="Times New Roman"/>
        </w:rPr>
        <w:t>1)</w:t>
      </w:r>
      <w:r w:rsidRPr="00EF494C">
        <w:rPr>
          <w:rFonts w:ascii="Lato" w:hAnsi="Lato" w:cs="Times New Roman"/>
        </w:rPr>
        <w:t xml:space="preserve"> </w:t>
      </w:r>
      <w:r w:rsidR="00B91BB7" w:rsidRPr="00EF494C">
        <w:rPr>
          <w:rFonts w:ascii="Lato" w:hAnsi="Lato" w:cs="Times New Roman"/>
        </w:rPr>
        <w:t>W przypadku aktu nowelizującego n</w:t>
      </w:r>
      <w:r w:rsidRPr="00EF494C">
        <w:rPr>
          <w:rFonts w:ascii="Lato" w:hAnsi="Lato" w:cs="Times New Roman"/>
        </w:rPr>
        <w:t xml:space="preserve">ależy wskazać jednostkę redakcyjną projektu </w:t>
      </w:r>
      <w:r w:rsidR="00EB31B4" w:rsidRPr="00EF494C">
        <w:rPr>
          <w:rFonts w:ascii="Lato" w:hAnsi="Lato" w:cs="Times New Roman"/>
        </w:rPr>
        <w:t>oraz jednostkę redakcyjną zmienianego aktu prawnego.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995F"/>
    <w:multiLevelType w:val="hybridMultilevel"/>
    <w:tmpl w:val="02B652B8"/>
    <w:lvl w:ilvl="0" w:tplc="F1224030">
      <w:start w:val="1"/>
      <w:numFmt w:val="decimal"/>
      <w:lvlText w:val="8)"/>
      <w:lvlJc w:val="left"/>
      <w:pPr>
        <w:ind w:left="720" w:hanging="360"/>
      </w:pPr>
    </w:lvl>
    <w:lvl w:ilvl="1" w:tplc="DAB6379E">
      <w:start w:val="1"/>
      <w:numFmt w:val="bullet"/>
      <w:lvlText w:val="·"/>
      <w:lvlJc w:val="left"/>
      <w:pPr>
        <w:ind w:left="1440" w:hanging="360"/>
      </w:pPr>
      <w:rPr>
        <w:rFonts w:ascii="Symbol" w:hAnsi="Symbol" w:hint="default"/>
      </w:rPr>
    </w:lvl>
    <w:lvl w:ilvl="2" w:tplc="F1E0D8A4">
      <w:start w:val="1"/>
      <w:numFmt w:val="lowerRoman"/>
      <w:lvlText w:val="%3."/>
      <w:lvlJc w:val="right"/>
      <w:pPr>
        <w:ind w:left="2160" w:hanging="180"/>
      </w:pPr>
    </w:lvl>
    <w:lvl w:ilvl="3" w:tplc="C1E4D954">
      <w:start w:val="1"/>
      <w:numFmt w:val="decimal"/>
      <w:lvlText w:val="%4."/>
      <w:lvlJc w:val="left"/>
      <w:pPr>
        <w:ind w:left="2880" w:hanging="360"/>
      </w:pPr>
    </w:lvl>
    <w:lvl w:ilvl="4" w:tplc="015A393A">
      <w:start w:val="1"/>
      <w:numFmt w:val="lowerLetter"/>
      <w:lvlText w:val="%5."/>
      <w:lvlJc w:val="left"/>
      <w:pPr>
        <w:ind w:left="3600" w:hanging="360"/>
      </w:pPr>
    </w:lvl>
    <w:lvl w:ilvl="5" w:tplc="BF72F0F4">
      <w:start w:val="1"/>
      <w:numFmt w:val="lowerRoman"/>
      <w:lvlText w:val="%6."/>
      <w:lvlJc w:val="right"/>
      <w:pPr>
        <w:ind w:left="4320" w:hanging="180"/>
      </w:pPr>
    </w:lvl>
    <w:lvl w:ilvl="6" w:tplc="89FAE4EC">
      <w:start w:val="1"/>
      <w:numFmt w:val="decimal"/>
      <w:lvlText w:val="%7."/>
      <w:lvlJc w:val="left"/>
      <w:pPr>
        <w:ind w:left="5040" w:hanging="360"/>
      </w:pPr>
    </w:lvl>
    <w:lvl w:ilvl="7" w:tplc="F16201FA">
      <w:start w:val="1"/>
      <w:numFmt w:val="lowerLetter"/>
      <w:lvlText w:val="%8."/>
      <w:lvlJc w:val="left"/>
      <w:pPr>
        <w:ind w:left="5760" w:hanging="360"/>
      </w:pPr>
    </w:lvl>
    <w:lvl w:ilvl="8" w:tplc="14CE9964">
      <w:start w:val="1"/>
      <w:numFmt w:val="lowerRoman"/>
      <w:lvlText w:val="%9."/>
      <w:lvlJc w:val="right"/>
      <w:pPr>
        <w:ind w:left="6480" w:hanging="180"/>
      </w:pPr>
    </w:lvl>
  </w:abstractNum>
  <w:abstractNum w:abstractNumId="1" w15:restartNumberingAfterBreak="0">
    <w:nsid w:val="0E9179D7"/>
    <w:multiLevelType w:val="hybridMultilevel"/>
    <w:tmpl w:val="F0687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301918"/>
    <w:multiLevelType w:val="hybridMultilevel"/>
    <w:tmpl w:val="49186CBE"/>
    <w:lvl w:ilvl="0" w:tplc="30300830">
      <w:start w:val="3"/>
      <w:numFmt w:val="decimal"/>
      <w:lvlText w:val="%1."/>
      <w:lvlJc w:val="left"/>
      <w:pPr>
        <w:ind w:left="720" w:hanging="360"/>
      </w:pPr>
    </w:lvl>
    <w:lvl w:ilvl="1" w:tplc="905A3348">
      <w:start w:val="1"/>
      <w:numFmt w:val="lowerLetter"/>
      <w:lvlText w:val="%2."/>
      <w:lvlJc w:val="left"/>
      <w:pPr>
        <w:ind w:left="1440" w:hanging="360"/>
      </w:pPr>
    </w:lvl>
    <w:lvl w:ilvl="2" w:tplc="B0AE91D8">
      <w:start w:val="1"/>
      <w:numFmt w:val="lowerRoman"/>
      <w:lvlText w:val="%3."/>
      <w:lvlJc w:val="right"/>
      <w:pPr>
        <w:ind w:left="2160" w:hanging="180"/>
      </w:pPr>
    </w:lvl>
    <w:lvl w:ilvl="3" w:tplc="8FC01ED0">
      <w:start w:val="1"/>
      <w:numFmt w:val="decimal"/>
      <w:lvlText w:val="%4."/>
      <w:lvlJc w:val="left"/>
      <w:pPr>
        <w:ind w:left="2880" w:hanging="360"/>
      </w:pPr>
    </w:lvl>
    <w:lvl w:ilvl="4" w:tplc="8AB23BFA">
      <w:start w:val="1"/>
      <w:numFmt w:val="lowerLetter"/>
      <w:lvlText w:val="%5."/>
      <w:lvlJc w:val="left"/>
      <w:pPr>
        <w:ind w:left="3600" w:hanging="360"/>
      </w:pPr>
    </w:lvl>
    <w:lvl w:ilvl="5" w:tplc="3EE8A434">
      <w:start w:val="1"/>
      <w:numFmt w:val="lowerRoman"/>
      <w:lvlText w:val="%6."/>
      <w:lvlJc w:val="right"/>
      <w:pPr>
        <w:ind w:left="4320" w:hanging="180"/>
      </w:pPr>
    </w:lvl>
    <w:lvl w:ilvl="6" w:tplc="C8C4C44A">
      <w:start w:val="1"/>
      <w:numFmt w:val="decimal"/>
      <w:lvlText w:val="%7."/>
      <w:lvlJc w:val="left"/>
      <w:pPr>
        <w:ind w:left="5040" w:hanging="360"/>
      </w:pPr>
    </w:lvl>
    <w:lvl w:ilvl="7" w:tplc="D006EC8A">
      <w:start w:val="1"/>
      <w:numFmt w:val="lowerLetter"/>
      <w:lvlText w:val="%8."/>
      <w:lvlJc w:val="left"/>
      <w:pPr>
        <w:ind w:left="5760" w:hanging="360"/>
      </w:pPr>
    </w:lvl>
    <w:lvl w:ilvl="8" w:tplc="1EA2AC70">
      <w:start w:val="1"/>
      <w:numFmt w:val="lowerRoman"/>
      <w:lvlText w:val="%9."/>
      <w:lvlJc w:val="right"/>
      <w:pPr>
        <w:ind w:left="6480" w:hanging="180"/>
      </w:pPr>
    </w:lvl>
  </w:abstractNum>
  <w:abstractNum w:abstractNumId="3" w15:restartNumberingAfterBreak="0">
    <w:nsid w:val="28926554"/>
    <w:multiLevelType w:val="hybridMultilevel"/>
    <w:tmpl w:val="3894DE46"/>
    <w:lvl w:ilvl="0" w:tplc="B48E4D9C">
      <w:start w:val="1"/>
      <w:numFmt w:val="decimal"/>
      <w:lvlText w:val="%1."/>
      <w:lvlJc w:val="left"/>
      <w:pPr>
        <w:ind w:left="720" w:hanging="360"/>
      </w:pPr>
    </w:lvl>
    <w:lvl w:ilvl="1" w:tplc="D20C9714">
      <w:start w:val="1"/>
      <w:numFmt w:val="decimal"/>
      <w:lvlText w:val="4)"/>
      <w:lvlJc w:val="left"/>
      <w:pPr>
        <w:ind w:left="1440" w:hanging="360"/>
      </w:pPr>
    </w:lvl>
    <w:lvl w:ilvl="2" w:tplc="4560F204">
      <w:start w:val="1"/>
      <w:numFmt w:val="lowerRoman"/>
      <w:lvlText w:val="%3."/>
      <w:lvlJc w:val="right"/>
      <w:pPr>
        <w:ind w:left="2160" w:hanging="180"/>
      </w:pPr>
    </w:lvl>
    <w:lvl w:ilvl="3" w:tplc="189C6774">
      <w:start w:val="1"/>
      <w:numFmt w:val="decimal"/>
      <w:lvlText w:val="%4."/>
      <w:lvlJc w:val="left"/>
      <w:pPr>
        <w:ind w:left="2880" w:hanging="360"/>
      </w:pPr>
    </w:lvl>
    <w:lvl w:ilvl="4" w:tplc="3C980EA2">
      <w:start w:val="1"/>
      <w:numFmt w:val="lowerLetter"/>
      <w:lvlText w:val="%5."/>
      <w:lvlJc w:val="left"/>
      <w:pPr>
        <w:ind w:left="3600" w:hanging="360"/>
      </w:pPr>
    </w:lvl>
    <w:lvl w:ilvl="5" w:tplc="9E3A9FEC">
      <w:start w:val="1"/>
      <w:numFmt w:val="lowerRoman"/>
      <w:lvlText w:val="%6."/>
      <w:lvlJc w:val="right"/>
      <w:pPr>
        <w:ind w:left="4320" w:hanging="180"/>
      </w:pPr>
    </w:lvl>
    <w:lvl w:ilvl="6" w:tplc="CB0E94E6">
      <w:start w:val="1"/>
      <w:numFmt w:val="decimal"/>
      <w:lvlText w:val="%7."/>
      <w:lvlJc w:val="left"/>
      <w:pPr>
        <w:ind w:left="5040" w:hanging="360"/>
      </w:pPr>
    </w:lvl>
    <w:lvl w:ilvl="7" w:tplc="AF1C52F8">
      <w:start w:val="1"/>
      <w:numFmt w:val="lowerLetter"/>
      <w:lvlText w:val="%8."/>
      <w:lvlJc w:val="left"/>
      <w:pPr>
        <w:ind w:left="5760" w:hanging="360"/>
      </w:pPr>
    </w:lvl>
    <w:lvl w:ilvl="8" w:tplc="6A5244DA">
      <w:start w:val="1"/>
      <w:numFmt w:val="lowerRoman"/>
      <w:lvlText w:val="%9."/>
      <w:lvlJc w:val="right"/>
      <w:pPr>
        <w:ind w:left="6480" w:hanging="180"/>
      </w:pPr>
    </w:lvl>
  </w:abstractNum>
  <w:abstractNum w:abstractNumId="4" w15:restartNumberingAfterBreak="0">
    <w:nsid w:val="33DFD8BC"/>
    <w:multiLevelType w:val="hybridMultilevel"/>
    <w:tmpl w:val="57C0BE2C"/>
    <w:lvl w:ilvl="0" w:tplc="59A218DA">
      <w:start w:val="1"/>
      <w:numFmt w:val="decimal"/>
      <w:lvlText w:val="%1)"/>
      <w:lvlJc w:val="left"/>
      <w:pPr>
        <w:ind w:left="360" w:hanging="360"/>
      </w:pPr>
    </w:lvl>
    <w:lvl w:ilvl="1" w:tplc="D138D01E">
      <w:start w:val="1"/>
      <w:numFmt w:val="lowerLetter"/>
      <w:lvlText w:val="%2."/>
      <w:lvlJc w:val="left"/>
      <w:pPr>
        <w:ind w:left="1080" w:hanging="360"/>
      </w:pPr>
    </w:lvl>
    <w:lvl w:ilvl="2" w:tplc="8C3C3A3E">
      <w:start w:val="1"/>
      <w:numFmt w:val="lowerRoman"/>
      <w:lvlText w:val="%3."/>
      <w:lvlJc w:val="right"/>
      <w:pPr>
        <w:ind w:left="1800" w:hanging="180"/>
      </w:pPr>
    </w:lvl>
    <w:lvl w:ilvl="3" w:tplc="B212068A">
      <w:start w:val="1"/>
      <w:numFmt w:val="decimal"/>
      <w:lvlText w:val="%4."/>
      <w:lvlJc w:val="left"/>
      <w:pPr>
        <w:ind w:left="2520" w:hanging="360"/>
      </w:pPr>
    </w:lvl>
    <w:lvl w:ilvl="4" w:tplc="5EE86CE8">
      <w:start w:val="1"/>
      <w:numFmt w:val="lowerLetter"/>
      <w:lvlText w:val="%5."/>
      <w:lvlJc w:val="left"/>
      <w:pPr>
        <w:ind w:left="3240" w:hanging="360"/>
      </w:pPr>
    </w:lvl>
    <w:lvl w:ilvl="5" w:tplc="77767578">
      <w:start w:val="1"/>
      <w:numFmt w:val="lowerRoman"/>
      <w:lvlText w:val="%6."/>
      <w:lvlJc w:val="right"/>
      <w:pPr>
        <w:ind w:left="3960" w:hanging="180"/>
      </w:pPr>
    </w:lvl>
    <w:lvl w:ilvl="6" w:tplc="1DFA71E4">
      <w:start w:val="1"/>
      <w:numFmt w:val="decimal"/>
      <w:lvlText w:val="%7."/>
      <w:lvlJc w:val="left"/>
      <w:pPr>
        <w:ind w:left="4680" w:hanging="360"/>
      </w:pPr>
    </w:lvl>
    <w:lvl w:ilvl="7" w:tplc="B2ACEF90">
      <w:start w:val="1"/>
      <w:numFmt w:val="lowerLetter"/>
      <w:lvlText w:val="%8."/>
      <w:lvlJc w:val="left"/>
      <w:pPr>
        <w:ind w:left="5400" w:hanging="360"/>
      </w:pPr>
    </w:lvl>
    <w:lvl w:ilvl="8" w:tplc="1EF03DA0">
      <w:start w:val="1"/>
      <w:numFmt w:val="lowerRoman"/>
      <w:lvlText w:val="%9."/>
      <w:lvlJc w:val="right"/>
      <w:pPr>
        <w:ind w:left="6120" w:hanging="180"/>
      </w:pPr>
    </w:lvl>
  </w:abstractNum>
  <w:abstractNum w:abstractNumId="5" w15:restartNumberingAfterBreak="0">
    <w:nsid w:val="5E315BB6"/>
    <w:multiLevelType w:val="hybridMultilevel"/>
    <w:tmpl w:val="D4928DDE"/>
    <w:lvl w:ilvl="0" w:tplc="24E6DAAE">
      <w:start w:val="1"/>
      <w:numFmt w:val="decimal"/>
      <w:lvlText w:val="3)"/>
      <w:lvlJc w:val="left"/>
      <w:pPr>
        <w:ind w:left="720" w:hanging="360"/>
      </w:pPr>
    </w:lvl>
    <w:lvl w:ilvl="1" w:tplc="F4E0F2E4">
      <w:start w:val="1"/>
      <w:numFmt w:val="lowerLetter"/>
      <w:lvlText w:val="%2."/>
      <w:lvlJc w:val="left"/>
      <w:pPr>
        <w:ind w:left="1440" w:hanging="360"/>
      </w:pPr>
    </w:lvl>
    <w:lvl w:ilvl="2" w:tplc="94260ECE">
      <w:start w:val="1"/>
      <w:numFmt w:val="lowerRoman"/>
      <w:lvlText w:val="%3."/>
      <w:lvlJc w:val="right"/>
      <w:pPr>
        <w:ind w:left="2160" w:hanging="180"/>
      </w:pPr>
    </w:lvl>
    <w:lvl w:ilvl="3" w:tplc="6CEE5660">
      <w:start w:val="1"/>
      <w:numFmt w:val="decimal"/>
      <w:lvlText w:val="%4."/>
      <w:lvlJc w:val="left"/>
      <w:pPr>
        <w:ind w:left="2880" w:hanging="360"/>
      </w:pPr>
    </w:lvl>
    <w:lvl w:ilvl="4" w:tplc="F9DE4CC6">
      <w:start w:val="1"/>
      <w:numFmt w:val="lowerLetter"/>
      <w:lvlText w:val="%5."/>
      <w:lvlJc w:val="left"/>
      <w:pPr>
        <w:ind w:left="3600" w:hanging="360"/>
      </w:pPr>
    </w:lvl>
    <w:lvl w:ilvl="5" w:tplc="AC109698">
      <w:start w:val="1"/>
      <w:numFmt w:val="lowerRoman"/>
      <w:lvlText w:val="%6."/>
      <w:lvlJc w:val="right"/>
      <w:pPr>
        <w:ind w:left="4320" w:hanging="180"/>
      </w:pPr>
    </w:lvl>
    <w:lvl w:ilvl="6" w:tplc="D7462728">
      <w:start w:val="1"/>
      <w:numFmt w:val="decimal"/>
      <w:lvlText w:val="%7."/>
      <w:lvlJc w:val="left"/>
      <w:pPr>
        <w:ind w:left="5040" w:hanging="360"/>
      </w:pPr>
    </w:lvl>
    <w:lvl w:ilvl="7" w:tplc="7EA60A60">
      <w:start w:val="1"/>
      <w:numFmt w:val="lowerLetter"/>
      <w:lvlText w:val="%8."/>
      <w:lvlJc w:val="left"/>
      <w:pPr>
        <w:ind w:left="5760" w:hanging="360"/>
      </w:pPr>
    </w:lvl>
    <w:lvl w:ilvl="8" w:tplc="7E46EA1A">
      <w:start w:val="1"/>
      <w:numFmt w:val="lowerRoman"/>
      <w:lvlText w:val="%9."/>
      <w:lvlJc w:val="right"/>
      <w:pPr>
        <w:ind w:left="6480" w:hanging="180"/>
      </w:pPr>
    </w:lvl>
  </w:abstractNum>
  <w:abstractNum w:abstractNumId="6" w15:restartNumberingAfterBreak="0">
    <w:nsid w:val="75460473"/>
    <w:multiLevelType w:val="hybridMultilevel"/>
    <w:tmpl w:val="F224DE66"/>
    <w:lvl w:ilvl="0" w:tplc="8E607C12">
      <w:start w:val="1"/>
      <w:numFmt w:val="decimal"/>
      <w:lvlText w:val="%1)"/>
      <w:lvlJc w:val="left"/>
      <w:pPr>
        <w:ind w:left="720" w:hanging="360"/>
      </w:pPr>
    </w:lvl>
    <w:lvl w:ilvl="1" w:tplc="2858073C">
      <w:start w:val="1"/>
      <w:numFmt w:val="lowerLetter"/>
      <w:lvlText w:val="%2."/>
      <w:lvlJc w:val="left"/>
      <w:pPr>
        <w:ind w:left="1440" w:hanging="360"/>
      </w:pPr>
    </w:lvl>
    <w:lvl w:ilvl="2" w:tplc="C1902A4E">
      <w:start w:val="1"/>
      <w:numFmt w:val="lowerRoman"/>
      <w:lvlText w:val="%3."/>
      <w:lvlJc w:val="right"/>
      <w:pPr>
        <w:ind w:left="2160" w:hanging="180"/>
      </w:pPr>
    </w:lvl>
    <w:lvl w:ilvl="3" w:tplc="6EEA67BA">
      <w:start w:val="1"/>
      <w:numFmt w:val="decimal"/>
      <w:lvlText w:val="%4."/>
      <w:lvlJc w:val="left"/>
      <w:pPr>
        <w:ind w:left="2880" w:hanging="360"/>
      </w:pPr>
    </w:lvl>
    <w:lvl w:ilvl="4" w:tplc="ACCE090A">
      <w:start w:val="1"/>
      <w:numFmt w:val="lowerLetter"/>
      <w:lvlText w:val="%5."/>
      <w:lvlJc w:val="left"/>
      <w:pPr>
        <w:ind w:left="3600" w:hanging="360"/>
      </w:pPr>
    </w:lvl>
    <w:lvl w:ilvl="5" w:tplc="2BB8A428">
      <w:start w:val="1"/>
      <w:numFmt w:val="lowerRoman"/>
      <w:lvlText w:val="%6."/>
      <w:lvlJc w:val="right"/>
      <w:pPr>
        <w:ind w:left="4320" w:hanging="180"/>
      </w:pPr>
    </w:lvl>
    <w:lvl w:ilvl="6" w:tplc="0D1E9A36">
      <w:start w:val="1"/>
      <w:numFmt w:val="decimal"/>
      <w:lvlText w:val="%7."/>
      <w:lvlJc w:val="left"/>
      <w:pPr>
        <w:ind w:left="5040" w:hanging="360"/>
      </w:pPr>
    </w:lvl>
    <w:lvl w:ilvl="7" w:tplc="862A8552">
      <w:start w:val="1"/>
      <w:numFmt w:val="lowerLetter"/>
      <w:lvlText w:val="%8."/>
      <w:lvlJc w:val="left"/>
      <w:pPr>
        <w:ind w:left="5760" w:hanging="360"/>
      </w:pPr>
    </w:lvl>
    <w:lvl w:ilvl="8" w:tplc="444A5878">
      <w:start w:val="1"/>
      <w:numFmt w:val="lowerRoman"/>
      <w:lvlText w:val="%9."/>
      <w:lvlJc w:val="right"/>
      <w:pPr>
        <w:ind w:left="6480" w:hanging="180"/>
      </w:pPr>
    </w:lvl>
  </w:abstractNum>
  <w:abstractNum w:abstractNumId="7" w15:restartNumberingAfterBreak="0">
    <w:nsid w:val="78305BD0"/>
    <w:multiLevelType w:val="hybridMultilevel"/>
    <w:tmpl w:val="75A47F46"/>
    <w:lvl w:ilvl="0" w:tplc="2EACEA8C">
      <w:start w:val="1"/>
      <w:numFmt w:val="decimal"/>
      <w:lvlText w:val="%1."/>
      <w:lvlJc w:val="left"/>
      <w:pPr>
        <w:ind w:left="720" w:hanging="360"/>
      </w:pPr>
    </w:lvl>
    <w:lvl w:ilvl="1" w:tplc="BD0634B6">
      <w:start w:val="1"/>
      <w:numFmt w:val="lowerLetter"/>
      <w:lvlText w:val="%2."/>
      <w:lvlJc w:val="left"/>
      <w:pPr>
        <w:ind w:left="1440" w:hanging="360"/>
      </w:pPr>
    </w:lvl>
    <w:lvl w:ilvl="2" w:tplc="BBA686A8">
      <w:start w:val="1"/>
      <w:numFmt w:val="lowerRoman"/>
      <w:lvlText w:val="%3."/>
      <w:lvlJc w:val="right"/>
      <w:pPr>
        <w:ind w:left="2160" w:hanging="180"/>
      </w:pPr>
    </w:lvl>
    <w:lvl w:ilvl="3" w:tplc="5E64929A">
      <w:start w:val="1"/>
      <w:numFmt w:val="decimal"/>
      <w:lvlText w:val="%4."/>
      <w:lvlJc w:val="left"/>
      <w:pPr>
        <w:ind w:left="2880" w:hanging="360"/>
      </w:pPr>
    </w:lvl>
    <w:lvl w:ilvl="4" w:tplc="B8A88EA0">
      <w:start w:val="1"/>
      <w:numFmt w:val="lowerLetter"/>
      <w:lvlText w:val="%5."/>
      <w:lvlJc w:val="left"/>
      <w:pPr>
        <w:ind w:left="3600" w:hanging="360"/>
      </w:pPr>
    </w:lvl>
    <w:lvl w:ilvl="5" w:tplc="38AECD82">
      <w:start w:val="1"/>
      <w:numFmt w:val="lowerRoman"/>
      <w:lvlText w:val="%6."/>
      <w:lvlJc w:val="right"/>
      <w:pPr>
        <w:ind w:left="4320" w:hanging="180"/>
      </w:pPr>
    </w:lvl>
    <w:lvl w:ilvl="6" w:tplc="A9D83614">
      <w:start w:val="1"/>
      <w:numFmt w:val="decimal"/>
      <w:lvlText w:val="%7."/>
      <w:lvlJc w:val="left"/>
      <w:pPr>
        <w:ind w:left="5040" w:hanging="360"/>
      </w:pPr>
    </w:lvl>
    <w:lvl w:ilvl="7" w:tplc="2DFA2B92">
      <w:start w:val="1"/>
      <w:numFmt w:val="lowerLetter"/>
      <w:lvlText w:val="%8."/>
      <w:lvlJc w:val="left"/>
      <w:pPr>
        <w:ind w:left="5760" w:hanging="360"/>
      </w:pPr>
    </w:lvl>
    <w:lvl w:ilvl="8" w:tplc="067AE4BE">
      <w:start w:val="1"/>
      <w:numFmt w:val="lowerRoman"/>
      <w:lvlText w:val="%9."/>
      <w:lvlJc w:val="right"/>
      <w:pPr>
        <w:ind w:left="6480" w:hanging="180"/>
      </w:pPr>
    </w:lvl>
  </w:abstractNum>
  <w:abstractNum w:abstractNumId="8" w15:restartNumberingAfterBreak="0">
    <w:nsid w:val="7A260CBA"/>
    <w:multiLevelType w:val="hybridMultilevel"/>
    <w:tmpl w:val="8BB4DAD8"/>
    <w:lvl w:ilvl="0" w:tplc="274C04E2">
      <w:start w:val="1"/>
      <w:numFmt w:val="decimal"/>
      <w:lvlText w:val="%1."/>
      <w:lvlJc w:val="left"/>
      <w:pPr>
        <w:ind w:left="360" w:hanging="360"/>
      </w:pPr>
    </w:lvl>
    <w:lvl w:ilvl="1" w:tplc="B7E0C606">
      <w:start w:val="1"/>
      <w:numFmt w:val="lowerLetter"/>
      <w:lvlText w:val="%2."/>
      <w:lvlJc w:val="left"/>
      <w:pPr>
        <w:ind w:left="1080" w:hanging="360"/>
      </w:pPr>
    </w:lvl>
    <w:lvl w:ilvl="2" w:tplc="90EE5FB6">
      <w:start w:val="1"/>
      <w:numFmt w:val="lowerRoman"/>
      <w:lvlText w:val="%3."/>
      <w:lvlJc w:val="right"/>
      <w:pPr>
        <w:ind w:left="1800" w:hanging="180"/>
      </w:pPr>
    </w:lvl>
    <w:lvl w:ilvl="3" w:tplc="27566724">
      <w:start w:val="1"/>
      <w:numFmt w:val="decimal"/>
      <w:lvlText w:val="%4."/>
      <w:lvlJc w:val="left"/>
      <w:pPr>
        <w:ind w:left="2520" w:hanging="360"/>
      </w:pPr>
    </w:lvl>
    <w:lvl w:ilvl="4" w:tplc="5A1C6844">
      <w:start w:val="1"/>
      <w:numFmt w:val="lowerLetter"/>
      <w:lvlText w:val="%5."/>
      <w:lvlJc w:val="left"/>
      <w:pPr>
        <w:ind w:left="3240" w:hanging="360"/>
      </w:pPr>
    </w:lvl>
    <w:lvl w:ilvl="5" w:tplc="54720B58">
      <w:start w:val="1"/>
      <w:numFmt w:val="lowerRoman"/>
      <w:lvlText w:val="%6."/>
      <w:lvlJc w:val="right"/>
      <w:pPr>
        <w:ind w:left="3960" w:hanging="180"/>
      </w:pPr>
    </w:lvl>
    <w:lvl w:ilvl="6" w:tplc="723A9F66">
      <w:start w:val="1"/>
      <w:numFmt w:val="decimal"/>
      <w:lvlText w:val="%7."/>
      <w:lvlJc w:val="left"/>
      <w:pPr>
        <w:ind w:left="4680" w:hanging="360"/>
      </w:pPr>
    </w:lvl>
    <w:lvl w:ilvl="7" w:tplc="7DC2FEBE">
      <w:start w:val="1"/>
      <w:numFmt w:val="lowerLetter"/>
      <w:lvlText w:val="%8."/>
      <w:lvlJc w:val="left"/>
      <w:pPr>
        <w:ind w:left="5400" w:hanging="360"/>
      </w:pPr>
    </w:lvl>
    <w:lvl w:ilvl="8" w:tplc="68DC5446">
      <w:start w:val="1"/>
      <w:numFmt w:val="lowerRoman"/>
      <w:lvlText w:val="%9."/>
      <w:lvlJc w:val="right"/>
      <w:pPr>
        <w:ind w:left="6120" w:hanging="180"/>
      </w:pPr>
    </w:lvl>
  </w:abstractNum>
  <w:abstractNum w:abstractNumId="9" w15:restartNumberingAfterBreak="0">
    <w:nsid w:val="7AF6A7BB"/>
    <w:multiLevelType w:val="hybridMultilevel"/>
    <w:tmpl w:val="E27A1338"/>
    <w:lvl w:ilvl="0" w:tplc="A32E846E">
      <w:start w:val="2"/>
      <w:numFmt w:val="decimal"/>
      <w:lvlText w:val="%1."/>
      <w:lvlJc w:val="left"/>
      <w:pPr>
        <w:ind w:left="360" w:hanging="360"/>
      </w:pPr>
    </w:lvl>
    <w:lvl w:ilvl="1" w:tplc="FC780FD0">
      <w:start w:val="1"/>
      <w:numFmt w:val="lowerLetter"/>
      <w:lvlText w:val="%2."/>
      <w:lvlJc w:val="left"/>
      <w:pPr>
        <w:ind w:left="1080" w:hanging="360"/>
      </w:pPr>
    </w:lvl>
    <w:lvl w:ilvl="2" w:tplc="FB94136A">
      <w:start w:val="1"/>
      <w:numFmt w:val="lowerRoman"/>
      <w:lvlText w:val="%3."/>
      <w:lvlJc w:val="right"/>
      <w:pPr>
        <w:ind w:left="1800" w:hanging="180"/>
      </w:pPr>
    </w:lvl>
    <w:lvl w:ilvl="3" w:tplc="28EA0B20">
      <w:start w:val="1"/>
      <w:numFmt w:val="decimal"/>
      <w:lvlText w:val="%4."/>
      <w:lvlJc w:val="left"/>
      <w:pPr>
        <w:ind w:left="2520" w:hanging="360"/>
      </w:pPr>
    </w:lvl>
    <w:lvl w:ilvl="4" w:tplc="215E8EDE">
      <w:start w:val="1"/>
      <w:numFmt w:val="lowerLetter"/>
      <w:lvlText w:val="%5."/>
      <w:lvlJc w:val="left"/>
      <w:pPr>
        <w:ind w:left="3240" w:hanging="360"/>
      </w:pPr>
    </w:lvl>
    <w:lvl w:ilvl="5" w:tplc="643CE8FA">
      <w:start w:val="1"/>
      <w:numFmt w:val="lowerRoman"/>
      <w:lvlText w:val="%6."/>
      <w:lvlJc w:val="right"/>
      <w:pPr>
        <w:ind w:left="3960" w:hanging="180"/>
      </w:pPr>
    </w:lvl>
    <w:lvl w:ilvl="6" w:tplc="63A04FDC">
      <w:start w:val="1"/>
      <w:numFmt w:val="decimal"/>
      <w:lvlText w:val="%7."/>
      <w:lvlJc w:val="left"/>
      <w:pPr>
        <w:ind w:left="4680" w:hanging="360"/>
      </w:pPr>
    </w:lvl>
    <w:lvl w:ilvl="7" w:tplc="350EE254">
      <w:start w:val="1"/>
      <w:numFmt w:val="lowerLetter"/>
      <w:lvlText w:val="%8."/>
      <w:lvlJc w:val="left"/>
      <w:pPr>
        <w:ind w:left="5400" w:hanging="360"/>
      </w:pPr>
    </w:lvl>
    <w:lvl w:ilvl="8" w:tplc="73564692">
      <w:start w:val="1"/>
      <w:numFmt w:val="lowerRoman"/>
      <w:lvlText w:val="%9."/>
      <w:lvlJc w:val="right"/>
      <w:pPr>
        <w:ind w:left="6120" w:hanging="180"/>
      </w:pPr>
    </w:lvl>
  </w:abstractNum>
  <w:abstractNum w:abstractNumId="10" w15:restartNumberingAfterBreak="0">
    <w:nsid w:val="7BC9A23A"/>
    <w:multiLevelType w:val="hybridMultilevel"/>
    <w:tmpl w:val="4C249082"/>
    <w:lvl w:ilvl="0" w:tplc="51800D5A">
      <w:start w:val="1"/>
      <w:numFmt w:val="decimal"/>
      <w:lvlText w:val="3)"/>
      <w:lvlJc w:val="left"/>
      <w:pPr>
        <w:ind w:left="720" w:hanging="360"/>
      </w:pPr>
    </w:lvl>
    <w:lvl w:ilvl="1" w:tplc="A3C89AC8">
      <w:start w:val="1"/>
      <w:numFmt w:val="lowerLetter"/>
      <w:lvlText w:val="%2."/>
      <w:lvlJc w:val="left"/>
      <w:pPr>
        <w:ind w:left="1440" w:hanging="360"/>
      </w:pPr>
    </w:lvl>
    <w:lvl w:ilvl="2" w:tplc="857210F0">
      <w:start w:val="1"/>
      <w:numFmt w:val="lowerRoman"/>
      <w:lvlText w:val="%3."/>
      <w:lvlJc w:val="right"/>
      <w:pPr>
        <w:ind w:left="2160" w:hanging="180"/>
      </w:pPr>
    </w:lvl>
    <w:lvl w:ilvl="3" w:tplc="22FA18C8">
      <w:start w:val="1"/>
      <w:numFmt w:val="decimal"/>
      <w:lvlText w:val="%4."/>
      <w:lvlJc w:val="left"/>
      <w:pPr>
        <w:ind w:left="2880" w:hanging="360"/>
      </w:pPr>
    </w:lvl>
    <w:lvl w:ilvl="4" w:tplc="2AA09594">
      <w:start w:val="1"/>
      <w:numFmt w:val="lowerLetter"/>
      <w:lvlText w:val="%5."/>
      <w:lvlJc w:val="left"/>
      <w:pPr>
        <w:ind w:left="3600" w:hanging="360"/>
      </w:pPr>
    </w:lvl>
    <w:lvl w:ilvl="5" w:tplc="BC324C2A">
      <w:start w:val="1"/>
      <w:numFmt w:val="lowerRoman"/>
      <w:lvlText w:val="%6."/>
      <w:lvlJc w:val="right"/>
      <w:pPr>
        <w:ind w:left="4320" w:hanging="180"/>
      </w:pPr>
    </w:lvl>
    <w:lvl w:ilvl="6" w:tplc="59520C16">
      <w:start w:val="1"/>
      <w:numFmt w:val="decimal"/>
      <w:lvlText w:val="%7."/>
      <w:lvlJc w:val="left"/>
      <w:pPr>
        <w:ind w:left="5040" w:hanging="360"/>
      </w:pPr>
    </w:lvl>
    <w:lvl w:ilvl="7" w:tplc="03148F68">
      <w:start w:val="1"/>
      <w:numFmt w:val="lowerLetter"/>
      <w:lvlText w:val="%8."/>
      <w:lvlJc w:val="left"/>
      <w:pPr>
        <w:ind w:left="5760" w:hanging="360"/>
      </w:pPr>
    </w:lvl>
    <w:lvl w:ilvl="8" w:tplc="14A45418">
      <w:start w:val="1"/>
      <w:numFmt w:val="lowerRoman"/>
      <w:lvlText w:val="%9."/>
      <w:lvlJc w:val="right"/>
      <w:pPr>
        <w:ind w:left="6480" w:hanging="180"/>
      </w:pPr>
    </w:lvl>
  </w:abstractNum>
  <w:num w:numId="1" w16cid:durableId="926890115">
    <w:abstractNumId w:val="6"/>
  </w:num>
  <w:num w:numId="2" w16cid:durableId="1326278784">
    <w:abstractNumId w:val="5"/>
  </w:num>
  <w:num w:numId="3" w16cid:durableId="729426702">
    <w:abstractNumId w:val="10"/>
  </w:num>
  <w:num w:numId="4" w16cid:durableId="720834832">
    <w:abstractNumId w:val="3"/>
  </w:num>
  <w:num w:numId="5" w16cid:durableId="582958232">
    <w:abstractNumId w:val="0"/>
  </w:num>
  <w:num w:numId="6" w16cid:durableId="465397739">
    <w:abstractNumId w:val="7"/>
  </w:num>
  <w:num w:numId="7" w16cid:durableId="181556865">
    <w:abstractNumId w:val="4"/>
  </w:num>
  <w:num w:numId="8" w16cid:durableId="474219364">
    <w:abstractNumId w:val="2"/>
  </w:num>
  <w:num w:numId="9" w16cid:durableId="47075903">
    <w:abstractNumId w:val="8"/>
  </w:num>
  <w:num w:numId="10" w16cid:durableId="2027443001">
    <w:abstractNumId w:val="9"/>
  </w:num>
  <w:num w:numId="11" w16cid:durableId="280722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03172"/>
    <w:rsid w:val="00004581"/>
    <w:rsid w:val="00065BB2"/>
    <w:rsid w:val="00081694"/>
    <w:rsid w:val="00085CF7"/>
    <w:rsid w:val="0009620E"/>
    <w:rsid w:val="000A05EC"/>
    <w:rsid w:val="000A0F42"/>
    <w:rsid w:val="000A3207"/>
    <w:rsid w:val="000E5A7B"/>
    <w:rsid w:val="000E5ED4"/>
    <w:rsid w:val="00100E43"/>
    <w:rsid w:val="001408B6"/>
    <w:rsid w:val="0019568F"/>
    <w:rsid w:val="00196EA6"/>
    <w:rsid w:val="001B734F"/>
    <w:rsid w:val="001D4C94"/>
    <w:rsid w:val="001E4824"/>
    <w:rsid w:val="001F5102"/>
    <w:rsid w:val="00204000"/>
    <w:rsid w:val="00222038"/>
    <w:rsid w:val="00243B30"/>
    <w:rsid w:val="0025215F"/>
    <w:rsid w:val="002748E0"/>
    <w:rsid w:val="002F517B"/>
    <w:rsid w:val="002F6877"/>
    <w:rsid w:val="00357E3D"/>
    <w:rsid w:val="003969D0"/>
    <w:rsid w:val="003A68CB"/>
    <w:rsid w:val="003E6E3D"/>
    <w:rsid w:val="003E7ED5"/>
    <w:rsid w:val="00405979"/>
    <w:rsid w:val="0041413A"/>
    <w:rsid w:val="004272B1"/>
    <w:rsid w:val="0042782C"/>
    <w:rsid w:val="00435D45"/>
    <w:rsid w:val="004375BB"/>
    <w:rsid w:val="00450BEA"/>
    <w:rsid w:val="00452AD1"/>
    <w:rsid w:val="00460F38"/>
    <w:rsid w:val="00462783"/>
    <w:rsid w:val="004627E8"/>
    <w:rsid w:val="00472A61"/>
    <w:rsid w:val="004A1242"/>
    <w:rsid w:val="004A377A"/>
    <w:rsid w:val="004A385E"/>
    <w:rsid w:val="004B1126"/>
    <w:rsid w:val="004C27B7"/>
    <w:rsid w:val="004D2EF6"/>
    <w:rsid w:val="004D3521"/>
    <w:rsid w:val="004F2D1D"/>
    <w:rsid w:val="00505271"/>
    <w:rsid w:val="00505303"/>
    <w:rsid w:val="005240EA"/>
    <w:rsid w:val="005302C6"/>
    <w:rsid w:val="00551D69"/>
    <w:rsid w:val="005601B0"/>
    <w:rsid w:val="00561797"/>
    <w:rsid w:val="005619FF"/>
    <w:rsid w:val="005870EE"/>
    <w:rsid w:val="00592EC1"/>
    <w:rsid w:val="005952E3"/>
    <w:rsid w:val="005C2037"/>
    <w:rsid w:val="005D2AE1"/>
    <w:rsid w:val="00614D68"/>
    <w:rsid w:val="00614E46"/>
    <w:rsid w:val="00630A69"/>
    <w:rsid w:val="0065784C"/>
    <w:rsid w:val="00663EF6"/>
    <w:rsid w:val="00687E2A"/>
    <w:rsid w:val="00695DEE"/>
    <w:rsid w:val="006B11E5"/>
    <w:rsid w:val="006D64FB"/>
    <w:rsid w:val="006F0605"/>
    <w:rsid w:val="0070491B"/>
    <w:rsid w:val="0071348D"/>
    <w:rsid w:val="007246E9"/>
    <w:rsid w:val="00757E8C"/>
    <w:rsid w:val="00771792"/>
    <w:rsid w:val="00773DAD"/>
    <w:rsid w:val="00781208"/>
    <w:rsid w:val="00882389"/>
    <w:rsid w:val="00883EF4"/>
    <w:rsid w:val="00894E5C"/>
    <w:rsid w:val="0089723A"/>
    <w:rsid w:val="008A009D"/>
    <w:rsid w:val="008B1756"/>
    <w:rsid w:val="008B766F"/>
    <w:rsid w:val="008C76B0"/>
    <w:rsid w:val="008D0CE9"/>
    <w:rsid w:val="0090574C"/>
    <w:rsid w:val="0090663F"/>
    <w:rsid w:val="009333F1"/>
    <w:rsid w:val="00950396"/>
    <w:rsid w:val="009615D0"/>
    <w:rsid w:val="00983A72"/>
    <w:rsid w:val="009948F8"/>
    <w:rsid w:val="009A2420"/>
    <w:rsid w:val="009B2905"/>
    <w:rsid w:val="009B4388"/>
    <w:rsid w:val="009B5AD6"/>
    <w:rsid w:val="009E504D"/>
    <w:rsid w:val="009F33B5"/>
    <w:rsid w:val="009F6CA9"/>
    <w:rsid w:val="00A22389"/>
    <w:rsid w:val="00A36807"/>
    <w:rsid w:val="00A54008"/>
    <w:rsid w:val="00A86483"/>
    <w:rsid w:val="00A86CAA"/>
    <w:rsid w:val="00AA16F1"/>
    <w:rsid w:val="00AA44D3"/>
    <w:rsid w:val="00AB1A7A"/>
    <w:rsid w:val="00AB1B00"/>
    <w:rsid w:val="00AB30F4"/>
    <w:rsid w:val="00AC22A1"/>
    <w:rsid w:val="00AE59FD"/>
    <w:rsid w:val="00AE5C35"/>
    <w:rsid w:val="00AF3EA5"/>
    <w:rsid w:val="00B33C68"/>
    <w:rsid w:val="00B63FDE"/>
    <w:rsid w:val="00B6412A"/>
    <w:rsid w:val="00B829F8"/>
    <w:rsid w:val="00B901EE"/>
    <w:rsid w:val="00B91BB7"/>
    <w:rsid w:val="00B94C5F"/>
    <w:rsid w:val="00BE4E7B"/>
    <w:rsid w:val="00BE7CD9"/>
    <w:rsid w:val="00BF4345"/>
    <w:rsid w:val="00C06C11"/>
    <w:rsid w:val="00C31A77"/>
    <w:rsid w:val="00C46B11"/>
    <w:rsid w:val="00C55653"/>
    <w:rsid w:val="00C604AE"/>
    <w:rsid w:val="00C705AF"/>
    <w:rsid w:val="00C72A4C"/>
    <w:rsid w:val="00C93278"/>
    <w:rsid w:val="00CA2841"/>
    <w:rsid w:val="00CB679A"/>
    <w:rsid w:val="00CC02B0"/>
    <w:rsid w:val="00CD3075"/>
    <w:rsid w:val="00CE5886"/>
    <w:rsid w:val="00D036CB"/>
    <w:rsid w:val="00D20027"/>
    <w:rsid w:val="00D21B73"/>
    <w:rsid w:val="00D22F8A"/>
    <w:rsid w:val="00D30EA8"/>
    <w:rsid w:val="00D3393B"/>
    <w:rsid w:val="00D35962"/>
    <w:rsid w:val="00D47321"/>
    <w:rsid w:val="00D8705C"/>
    <w:rsid w:val="00D87AA1"/>
    <w:rsid w:val="00DC2A6E"/>
    <w:rsid w:val="00DD43D2"/>
    <w:rsid w:val="00DE443E"/>
    <w:rsid w:val="00E40E3D"/>
    <w:rsid w:val="00E46E13"/>
    <w:rsid w:val="00E7681A"/>
    <w:rsid w:val="00E90147"/>
    <w:rsid w:val="00EB31B4"/>
    <w:rsid w:val="00EC4C43"/>
    <w:rsid w:val="00ED68E3"/>
    <w:rsid w:val="00EF494C"/>
    <w:rsid w:val="00F169F4"/>
    <w:rsid w:val="00F602D6"/>
    <w:rsid w:val="00F74F9D"/>
    <w:rsid w:val="00F76CFF"/>
    <w:rsid w:val="00F86E6B"/>
    <w:rsid w:val="00FB2DB4"/>
    <w:rsid w:val="00FD79CC"/>
    <w:rsid w:val="00FE42E2"/>
    <w:rsid w:val="00FF027C"/>
    <w:rsid w:val="0C897561"/>
    <w:rsid w:val="126BA0FE"/>
    <w:rsid w:val="410720AB"/>
    <w:rsid w:val="4496B848"/>
    <w:rsid w:val="51D6D735"/>
    <w:rsid w:val="7BA69CC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30D7574F-9409-4977-8F1D-B68A56FD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link w:val="TekstprzypisudolnegoZnak"/>
    <w:uiPriority w:val="99"/>
    <w:semiHidden/>
    <w:unhideWhenUsed/>
    <w:rsid w:val="51D6D735"/>
    <w:pPr>
      <w:spacing w:after="0" w:line="240" w:lineRule="auto"/>
    </w:pPr>
    <w:rPr>
      <w:sz w:val="20"/>
      <w:szCs w:val="20"/>
    </w:rPr>
  </w:style>
  <w:style w:type="character" w:customStyle="1" w:styleId="TekstprzypisudolnegoZnak">
    <w:name w:val="Tekst przypisu dolnego Znak"/>
    <w:link w:val="Tekstprzypisudolnego"/>
    <w:uiPriority w:val="99"/>
    <w:semiHidden/>
    <w:rsid w:val="51D6D735"/>
    <w:rPr>
      <w:sz w:val="20"/>
      <w:szCs w:val="20"/>
    </w:rPr>
  </w:style>
  <w:style w:type="character" w:styleId="Odwoanieprzypisudolnego">
    <w:name w:val="footnote reference"/>
    <w:uiPriority w:val="99"/>
    <w:semiHidden/>
    <w:unhideWhenUsed/>
    <w:rsid w:val="51D6D735"/>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51D6D735"/>
    <w:rPr>
      <w:sz w:val="16"/>
      <w:szCs w:val="16"/>
    </w:rPr>
  </w:style>
  <w:style w:type="paragraph" w:styleId="Tekstkomentarza">
    <w:name w:val="annotation text"/>
    <w:link w:val="TekstkomentarzaZnak"/>
    <w:uiPriority w:val="99"/>
    <w:unhideWhenUsed/>
    <w:rsid w:val="51D6D735"/>
    <w:pPr>
      <w:spacing w:line="240" w:lineRule="auto"/>
    </w:pPr>
    <w:rPr>
      <w:sz w:val="20"/>
      <w:szCs w:val="20"/>
    </w:rPr>
  </w:style>
  <w:style w:type="character" w:customStyle="1" w:styleId="TekstkomentarzaZnak">
    <w:name w:val="Tekst komentarza Znak"/>
    <w:link w:val="Tekstkomentarza"/>
    <w:uiPriority w:val="99"/>
    <w:rsid w:val="51D6D735"/>
    <w:rPr>
      <w:sz w:val="20"/>
      <w:szCs w:val="20"/>
    </w:rPr>
  </w:style>
  <w:style w:type="paragraph" w:styleId="Tematkomentarza">
    <w:name w:val="annotation subject"/>
    <w:basedOn w:val="Tekstkomentarza"/>
    <w:next w:val="Tekstkomentarza"/>
    <w:link w:val="TematkomentarzaZnak"/>
    <w:uiPriority w:val="99"/>
    <w:semiHidden/>
    <w:unhideWhenUsed/>
    <w:rsid w:val="004F2D1D"/>
    <w:rPr>
      <w:b/>
      <w:bCs/>
    </w:rPr>
  </w:style>
  <w:style w:type="character" w:customStyle="1" w:styleId="TematkomentarzaZnak">
    <w:name w:val="Temat komentarza Znak"/>
    <w:basedOn w:val="TekstkomentarzaZnak"/>
    <w:link w:val="Tematkomentarza"/>
    <w:uiPriority w:val="99"/>
    <w:semiHidden/>
    <w:rsid w:val="004F2D1D"/>
    <w:rPr>
      <w:b/>
      <w:bCs/>
      <w:sz w:val="20"/>
      <w:szCs w:val="20"/>
    </w:rPr>
  </w:style>
  <w:style w:type="paragraph" w:styleId="Akapitzlist">
    <w:name w:val="List Paragraph"/>
    <w:uiPriority w:val="34"/>
    <w:qFormat/>
    <w:rsid w:val="51D6D735"/>
    <w:pPr>
      <w:ind w:left="720"/>
      <w:contextualSpacing/>
    </w:pPr>
  </w:style>
  <w:style w:type="character" w:styleId="Hipercze">
    <w:name w:val="Hyperlink"/>
    <w:uiPriority w:val="99"/>
    <w:unhideWhenUsed/>
    <w:rsid w:val="51D6D735"/>
    <w:rPr>
      <w:color w:val="0563C1"/>
      <w:u w:val="single"/>
    </w:rPr>
  </w:style>
  <w:style w:type="paragraph" w:styleId="Poprawka">
    <w:name w:val="Revision"/>
    <w:hidden/>
    <w:uiPriority w:val="99"/>
    <w:semiHidden/>
    <w:rsid w:val="009948F8"/>
    <w:pPr>
      <w:spacing w:after="0" w:line="240" w:lineRule="auto"/>
    </w:pPr>
  </w:style>
  <w:style w:type="paragraph" w:styleId="Nagwek">
    <w:name w:val="header"/>
    <w:basedOn w:val="Normalny"/>
    <w:link w:val="NagwekZnak"/>
    <w:uiPriority w:val="99"/>
    <w:semiHidden/>
    <w:unhideWhenUsed/>
    <w:rsid w:val="005601B0"/>
    <w:pPr>
      <w:tabs>
        <w:tab w:val="center" w:pos="4680"/>
        <w:tab w:val="right" w:pos="9360"/>
      </w:tabs>
      <w:spacing w:after="0" w:line="240" w:lineRule="auto"/>
    </w:pPr>
  </w:style>
  <w:style w:type="character" w:customStyle="1" w:styleId="NagwekZnak">
    <w:name w:val="Nagłówek Znak"/>
    <w:basedOn w:val="Domylnaczcionkaakapitu"/>
    <w:link w:val="Nagwek"/>
    <w:uiPriority w:val="99"/>
    <w:semiHidden/>
    <w:rsid w:val="005601B0"/>
  </w:style>
  <w:style w:type="paragraph" w:styleId="Stopka">
    <w:name w:val="footer"/>
    <w:basedOn w:val="Normalny"/>
    <w:link w:val="StopkaZnak"/>
    <w:uiPriority w:val="99"/>
    <w:semiHidden/>
    <w:unhideWhenUsed/>
    <w:rsid w:val="005601B0"/>
    <w:pPr>
      <w:tabs>
        <w:tab w:val="center" w:pos="4680"/>
        <w:tab w:val="right" w:pos="9360"/>
      </w:tabs>
      <w:spacing w:after="0" w:line="240" w:lineRule="auto"/>
    </w:pPr>
  </w:style>
  <w:style w:type="character" w:customStyle="1" w:styleId="StopkaZnak">
    <w:name w:val="Stopka Znak"/>
    <w:basedOn w:val="Domylnaczcionkaakapitu"/>
    <w:link w:val="Stopka"/>
    <w:uiPriority w:val="99"/>
    <w:semiHidden/>
    <w:rsid w:val="00560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2352</Words>
  <Characters>14114</Characters>
  <Application>Microsoft Office Word</Application>
  <DocSecurity>0</DocSecurity>
  <Lines>117</Lines>
  <Paragraphs>32</Paragraphs>
  <ScaleCrop>false</ScaleCrop>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Magdalena Widlicka</cp:lastModifiedBy>
  <cp:revision>117</cp:revision>
  <dcterms:created xsi:type="dcterms:W3CDTF">2025-10-29T08:41:00Z</dcterms:created>
  <dcterms:modified xsi:type="dcterms:W3CDTF">2025-12-03T16:28:00Z</dcterms:modified>
</cp:coreProperties>
</file>