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759C" w14:textId="38C341C0" w:rsidR="00C93278" w:rsidRPr="00F404EF" w:rsidRDefault="00CA2841" w:rsidP="00F404EF">
      <w:pPr>
        <w:spacing w:after="0" w:line="240" w:lineRule="auto"/>
        <w:jc w:val="center"/>
        <w:rPr>
          <w:rFonts w:cstheme="minorHAnsi"/>
          <w:b/>
          <w:bCs/>
        </w:rPr>
      </w:pPr>
      <w:bookmarkStart w:id="0" w:name="_Hlk107398740"/>
      <w:r w:rsidRPr="00F404EF">
        <w:rPr>
          <w:rFonts w:cstheme="minorHAnsi"/>
          <w:b/>
          <w:bCs/>
        </w:rPr>
        <w:t xml:space="preserve">Uwagi </w:t>
      </w:r>
      <w:r w:rsidR="00B87317">
        <w:rPr>
          <w:rFonts w:cstheme="minorHAnsi"/>
          <w:b/>
          <w:bCs/>
        </w:rPr>
        <w:t>dodatkowe</w:t>
      </w:r>
    </w:p>
    <w:p w14:paraId="653DA768" w14:textId="1C4124FB" w:rsidR="00894E5C" w:rsidRPr="00F404EF" w:rsidRDefault="00CA2841" w:rsidP="00F404EF">
      <w:pPr>
        <w:spacing w:after="0" w:line="240" w:lineRule="auto"/>
        <w:jc w:val="center"/>
        <w:rPr>
          <w:rFonts w:cstheme="minorHAnsi"/>
          <w:b/>
          <w:bCs/>
        </w:rPr>
      </w:pPr>
      <w:r w:rsidRPr="00F404EF">
        <w:rPr>
          <w:rFonts w:cstheme="minorHAnsi"/>
          <w:b/>
          <w:bCs/>
        </w:rPr>
        <w:t>do projektu</w:t>
      </w:r>
      <w:bookmarkStart w:id="1" w:name="_Hlk163464623"/>
      <w:r w:rsidR="00894E5C" w:rsidRPr="00F404EF">
        <w:rPr>
          <w:rFonts w:cstheme="minorHAnsi"/>
          <w:b/>
          <w:bCs/>
        </w:rPr>
        <w:t xml:space="preserve"> </w:t>
      </w:r>
      <w:r w:rsidR="00B35DDF" w:rsidRPr="00F404EF">
        <w:rPr>
          <w:rFonts w:cstheme="minorHAnsi"/>
          <w:b/>
          <w:bCs/>
        </w:rPr>
        <w:t>rozporządzenia Rady Ministrów zmieniającego rozporządzenie w sprawie przedsięwzięć mogących znacząco oddziaływać na środowisko</w:t>
      </w:r>
    </w:p>
    <w:bookmarkEnd w:id="1"/>
    <w:p w14:paraId="304455B3" w14:textId="751FA0E2" w:rsidR="00CA2841" w:rsidRPr="00F404EF" w:rsidRDefault="00B91BB7" w:rsidP="00F404EF">
      <w:pPr>
        <w:spacing w:after="0" w:line="240" w:lineRule="auto"/>
        <w:jc w:val="center"/>
        <w:rPr>
          <w:rFonts w:cstheme="minorHAnsi"/>
          <w:b/>
          <w:bCs/>
        </w:rPr>
      </w:pPr>
      <w:r w:rsidRPr="00F404EF">
        <w:rPr>
          <w:rFonts w:cstheme="minorHAnsi"/>
          <w:b/>
          <w:bCs/>
        </w:rPr>
        <w:t>(</w:t>
      </w:r>
      <w:r w:rsidR="00894E5C" w:rsidRPr="00F404EF">
        <w:rPr>
          <w:rFonts w:cstheme="minorHAnsi"/>
          <w:b/>
          <w:bCs/>
        </w:rPr>
        <w:t xml:space="preserve">nr </w:t>
      </w:r>
      <w:r w:rsidR="00CF0629" w:rsidRPr="00F404EF">
        <w:rPr>
          <w:rFonts w:cstheme="minorHAnsi"/>
          <w:b/>
          <w:bCs/>
        </w:rPr>
        <w:t xml:space="preserve">RD239 </w:t>
      </w:r>
      <w:r w:rsidR="00894E5C" w:rsidRPr="00F404EF">
        <w:rPr>
          <w:rFonts w:cstheme="minorHAnsi"/>
          <w:b/>
          <w:bCs/>
        </w:rPr>
        <w:t>w Wykazie prac legislacyjnych i programowych Rady Ministrów)</w:t>
      </w:r>
    </w:p>
    <w:p w14:paraId="711D6FEE" w14:textId="77777777" w:rsidR="00CA2841" w:rsidRPr="00F404EF" w:rsidRDefault="00CA2841" w:rsidP="00F404EF">
      <w:pPr>
        <w:spacing w:after="0" w:line="240" w:lineRule="auto"/>
        <w:rPr>
          <w:rFonts w:cstheme="minorHAnsi"/>
        </w:rPr>
      </w:pPr>
    </w:p>
    <w:tbl>
      <w:tblPr>
        <w:tblStyle w:val="Tabela-Siatka"/>
        <w:tblpPr w:leftFromText="142" w:rightFromText="142" w:vertAnchor="text" w:horzAnchor="margin" w:tblpXSpec="center" w:tblpY="58"/>
        <w:tblW w:w="1574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5103"/>
        <w:gridCol w:w="4252"/>
        <w:gridCol w:w="1428"/>
      </w:tblGrid>
      <w:tr w:rsidR="0090574C" w:rsidRPr="00F404EF" w14:paraId="47E9ED08" w14:textId="77777777" w:rsidTr="381E1325">
        <w:trPr>
          <w:trHeight w:val="551"/>
          <w:tblHeader/>
        </w:trPr>
        <w:tc>
          <w:tcPr>
            <w:tcW w:w="562" w:type="dxa"/>
          </w:tcPr>
          <w:p w14:paraId="115BF413" w14:textId="6257DDCF" w:rsidR="0090574C" w:rsidRPr="00F404EF" w:rsidRDefault="0090574C" w:rsidP="00F404EF">
            <w:pPr>
              <w:jc w:val="center"/>
              <w:rPr>
                <w:rFonts w:cstheme="minorHAnsi"/>
                <w:b/>
                <w:bCs/>
              </w:rPr>
            </w:pPr>
            <w:r w:rsidRPr="00F404EF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1701" w:type="dxa"/>
          </w:tcPr>
          <w:p w14:paraId="0FAF4510" w14:textId="4FD6EB74" w:rsidR="0090574C" w:rsidRPr="00F404EF" w:rsidRDefault="0090574C" w:rsidP="00F404EF">
            <w:pPr>
              <w:jc w:val="center"/>
              <w:rPr>
                <w:rFonts w:cstheme="minorHAnsi"/>
                <w:b/>
                <w:bCs/>
              </w:rPr>
            </w:pPr>
            <w:r w:rsidRPr="00F404EF">
              <w:rPr>
                <w:rFonts w:cstheme="minorHAnsi"/>
                <w:b/>
                <w:bCs/>
              </w:rPr>
              <w:t>Podmiot wnoszący uwag</w:t>
            </w:r>
            <w:r w:rsidR="00B91BB7" w:rsidRPr="00F404EF">
              <w:rPr>
                <w:rFonts w:cstheme="minorHAnsi"/>
                <w:b/>
                <w:bCs/>
              </w:rPr>
              <w:t>ę</w:t>
            </w:r>
          </w:p>
        </w:tc>
        <w:tc>
          <w:tcPr>
            <w:tcW w:w="2694" w:type="dxa"/>
          </w:tcPr>
          <w:p w14:paraId="51F92737" w14:textId="48E4A866" w:rsidR="0090574C" w:rsidRPr="00F404EF" w:rsidRDefault="0090574C" w:rsidP="00F404EF">
            <w:pPr>
              <w:jc w:val="center"/>
              <w:rPr>
                <w:rFonts w:cstheme="minorHAnsi"/>
                <w:b/>
                <w:bCs/>
              </w:rPr>
            </w:pPr>
            <w:r w:rsidRPr="00F404EF">
              <w:rPr>
                <w:rFonts w:cstheme="minorHAnsi"/>
                <w:b/>
                <w:bCs/>
              </w:rPr>
              <w:t>Jednostka redakcyjna, do której wnoszon</w:t>
            </w:r>
            <w:r w:rsidR="00B91BB7" w:rsidRPr="00F404EF">
              <w:rPr>
                <w:rFonts w:cstheme="minorHAnsi"/>
                <w:b/>
                <w:bCs/>
              </w:rPr>
              <w:t>a jest</w:t>
            </w:r>
            <w:r w:rsidRPr="00F404EF">
              <w:rPr>
                <w:rFonts w:cstheme="minorHAnsi"/>
                <w:b/>
                <w:bCs/>
              </w:rPr>
              <w:t xml:space="preserve"> uwag</w:t>
            </w:r>
            <w:r w:rsidR="00B91BB7" w:rsidRPr="00F404EF">
              <w:rPr>
                <w:rFonts w:cstheme="minorHAnsi"/>
                <w:b/>
                <w:bCs/>
              </w:rPr>
              <w:t>a</w:t>
            </w:r>
            <w:r w:rsidR="004F2D1D" w:rsidRPr="00F404EF">
              <w:rPr>
                <w:rStyle w:val="Odwoanieprzypisudolnego"/>
                <w:rFonts w:cstheme="minorHAnsi"/>
                <w:b/>
                <w:bCs/>
              </w:rPr>
              <w:footnoteReference w:customMarkFollows="1" w:id="1"/>
              <w:t>1)</w:t>
            </w:r>
          </w:p>
        </w:tc>
        <w:tc>
          <w:tcPr>
            <w:tcW w:w="5103" w:type="dxa"/>
          </w:tcPr>
          <w:p w14:paraId="74AACE5A" w14:textId="0BDDBBD7" w:rsidR="0090574C" w:rsidRPr="00F404EF" w:rsidRDefault="0090574C" w:rsidP="00F404EF">
            <w:pPr>
              <w:jc w:val="center"/>
              <w:rPr>
                <w:rFonts w:cstheme="minorHAnsi"/>
                <w:b/>
                <w:bCs/>
              </w:rPr>
            </w:pPr>
            <w:r w:rsidRPr="00F404EF">
              <w:rPr>
                <w:rFonts w:cstheme="minorHAnsi"/>
                <w:b/>
                <w:bCs/>
              </w:rPr>
              <w:t>Treść uwagi</w:t>
            </w:r>
          </w:p>
        </w:tc>
        <w:tc>
          <w:tcPr>
            <w:tcW w:w="4252" w:type="dxa"/>
          </w:tcPr>
          <w:p w14:paraId="7C9E6D74" w14:textId="597CDAA9" w:rsidR="0090574C" w:rsidRPr="00F404EF" w:rsidRDefault="0090574C" w:rsidP="00F404EF">
            <w:pPr>
              <w:jc w:val="center"/>
              <w:rPr>
                <w:rFonts w:cstheme="minorHAnsi"/>
                <w:b/>
                <w:bCs/>
              </w:rPr>
            </w:pPr>
            <w:r w:rsidRPr="00F404EF">
              <w:rPr>
                <w:rFonts w:cstheme="minorHAnsi"/>
                <w:b/>
                <w:bCs/>
              </w:rPr>
              <w:t xml:space="preserve">Propozycja </w:t>
            </w:r>
            <w:r w:rsidR="00773DAD" w:rsidRPr="00F404EF">
              <w:rPr>
                <w:rFonts w:cstheme="minorHAnsi"/>
                <w:b/>
                <w:bCs/>
              </w:rPr>
              <w:t>brzmienia</w:t>
            </w:r>
            <w:r w:rsidR="00C93278" w:rsidRPr="00F404EF">
              <w:rPr>
                <w:rFonts w:cstheme="minorHAnsi"/>
                <w:b/>
                <w:bCs/>
              </w:rPr>
              <w:t xml:space="preserve"> przepisu</w:t>
            </w:r>
          </w:p>
        </w:tc>
        <w:tc>
          <w:tcPr>
            <w:tcW w:w="1428" w:type="dxa"/>
          </w:tcPr>
          <w:p w14:paraId="2C049C38" w14:textId="382C7B91" w:rsidR="0090574C" w:rsidRPr="00F404EF" w:rsidRDefault="0090574C" w:rsidP="00F404EF">
            <w:pPr>
              <w:jc w:val="center"/>
              <w:rPr>
                <w:rFonts w:cstheme="minorHAnsi"/>
                <w:b/>
                <w:bCs/>
              </w:rPr>
            </w:pPr>
            <w:r w:rsidRPr="00F404EF">
              <w:rPr>
                <w:rFonts w:cstheme="minorHAnsi"/>
                <w:b/>
                <w:bCs/>
              </w:rPr>
              <w:t>Stanowisko do uwagi</w:t>
            </w:r>
          </w:p>
        </w:tc>
      </w:tr>
      <w:tr w:rsidR="0090574C" w:rsidRPr="00F404EF" w14:paraId="4AE66715" w14:textId="77777777" w:rsidTr="381E1325">
        <w:tc>
          <w:tcPr>
            <w:tcW w:w="562" w:type="dxa"/>
          </w:tcPr>
          <w:p w14:paraId="6AFC8947" w14:textId="28EA7A3F" w:rsidR="0090574C" w:rsidRPr="00F404EF" w:rsidRDefault="00DC2157" w:rsidP="00F404EF">
            <w:pPr>
              <w:jc w:val="center"/>
              <w:rPr>
                <w:rFonts w:cstheme="minorHAnsi"/>
              </w:rPr>
            </w:pPr>
            <w:r w:rsidRPr="00F404EF">
              <w:rPr>
                <w:rFonts w:cstheme="minorHAnsi"/>
              </w:rPr>
              <w:t>1</w:t>
            </w:r>
          </w:p>
        </w:tc>
        <w:tc>
          <w:tcPr>
            <w:tcW w:w="1701" w:type="dxa"/>
          </w:tcPr>
          <w:p w14:paraId="4938BD58" w14:textId="24A91090" w:rsidR="5B855FE6" w:rsidRPr="00F404EF" w:rsidRDefault="00DC2157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>Konfederacja Lewiatan</w:t>
            </w:r>
          </w:p>
        </w:tc>
        <w:tc>
          <w:tcPr>
            <w:tcW w:w="2694" w:type="dxa"/>
          </w:tcPr>
          <w:p w14:paraId="1C2DB08B" w14:textId="77777777" w:rsidR="5B855FE6" w:rsidRDefault="5B855FE6" w:rsidP="00F404EF">
            <w:pPr>
              <w:jc w:val="center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>§ 3 ust. 1 pkt 34 rozporządzenia zmienianego (rozporządzenia OOŚ)</w:t>
            </w:r>
          </w:p>
          <w:p w14:paraId="1AF2F04D" w14:textId="77777777" w:rsidR="00CD0154" w:rsidRDefault="00CD0154" w:rsidP="00F404EF">
            <w:pPr>
              <w:jc w:val="center"/>
              <w:rPr>
                <w:rFonts w:eastAsia="Lato" w:cstheme="minorHAnsi"/>
              </w:rPr>
            </w:pPr>
          </w:p>
          <w:p w14:paraId="4C35FE6A" w14:textId="1BA32B5B" w:rsidR="00CD0154" w:rsidRPr="004245AD" w:rsidRDefault="004245AD" w:rsidP="00F404EF">
            <w:pPr>
              <w:jc w:val="center"/>
              <w:rPr>
                <w:rFonts w:cstheme="minorHAnsi"/>
                <w:i/>
                <w:iCs/>
              </w:rPr>
            </w:pPr>
            <w:r w:rsidRPr="004245AD">
              <w:rPr>
                <w:rFonts w:eastAsia="Lato" w:cstheme="minorHAnsi"/>
                <w:i/>
                <w:iCs/>
              </w:rPr>
              <w:t>Dotyczy obszaru gazowego</w:t>
            </w:r>
          </w:p>
        </w:tc>
        <w:tc>
          <w:tcPr>
            <w:tcW w:w="5103" w:type="dxa"/>
          </w:tcPr>
          <w:p w14:paraId="1EDDDAD0" w14:textId="0DD7E549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>Zgodnie z tym przepisem:</w:t>
            </w:r>
          </w:p>
          <w:p w14:paraId="0E371768" w14:textId="538530A6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>„Do przedsięwzięć mogących potencjalnie znacząco oddziaływać na środowisko zalicza się:</w:t>
            </w:r>
          </w:p>
          <w:p w14:paraId="172AA912" w14:textId="39F4F207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 </w:t>
            </w:r>
          </w:p>
          <w:p w14:paraId="710E0487" w14:textId="1AD4DA2D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34) instalacje do dystrybucji: </w:t>
            </w:r>
          </w:p>
          <w:p w14:paraId="4C2E3C03" w14:textId="5C57B641" w:rsidR="5B855FE6" w:rsidRPr="00F404EF" w:rsidRDefault="5B855FE6" w:rsidP="00F404EF">
            <w:pPr>
              <w:ind w:left="601" w:hanging="283"/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a) ropy naftowej, </w:t>
            </w:r>
          </w:p>
          <w:p w14:paraId="067D66F2" w14:textId="12FD1A06" w:rsidR="5B855FE6" w:rsidRPr="00F404EF" w:rsidRDefault="5B855FE6" w:rsidP="00F404EF">
            <w:pPr>
              <w:ind w:left="601" w:hanging="283"/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b) produktów naftowych, </w:t>
            </w:r>
          </w:p>
          <w:p w14:paraId="5A889FAC" w14:textId="601E12CF" w:rsidR="5B855FE6" w:rsidRPr="00F404EF" w:rsidRDefault="5B855FE6" w:rsidP="00F404EF">
            <w:pPr>
              <w:ind w:left="601" w:hanging="283"/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c) substancji lub mieszanin, w rozumieniu odpowiednio art. 3 pkt 1 i 2 rozporządzenia nr 1907/2006, niebędących produktami spożywczymi </w:t>
            </w:r>
          </w:p>
          <w:p w14:paraId="18FB0E40" w14:textId="78DD6695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- </w:t>
            </w:r>
            <w:r w:rsidRPr="00F404EF">
              <w:rPr>
                <w:rFonts w:eastAsia="Lato" w:cstheme="minorHAnsi"/>
                <w:b/>
                <w:bCs/>
              </w:rPr>
              <w:t>z wyłączeniem stacji paliw gazu płynnego lub sprężonego</w:t>
            </w:r>
            <w:r w:rsidRPr="00F404EF">
              <w:rPr>
                <w:rFonts w:eastAsia="Lato" w:cstheme="minorHAnsi"/>
              </w:rPr>
              <w:t>”.</w:t>
            </w:r>
          </w:p>
          <w:p w14:paraId="6D863BB8" w14:textId="35C91DED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 </w:t>
            </w:r>
          </w:p>
          <w:p w14:paraId="6E8FAF62" w14:textId="3D2553A5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W kontekście tego przepisu wątpliwość budzi, czy przedsięwzięciem podlegającym wyłączeniu na podstawie części wspólnej są stacje skroplonego gazu ziemnego (LNG). Wynika to z niejednolitej interpretacji pojęcia „stacja paliw gazu płynnego”. </w:t>
            </w:r>
          </w:p>
          <w:p w14:paraId="0AEECE49" w14:textId="3069000E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 </w:t>
            </w:r>
          </w:p>
          <w:p w14:paraId="5F9E2928" w14:textId="0BD033A0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W praktyce orzeczniczej w sprawach dotyczących decyzji o środowiskowych uwarunkowaniach dla budowy stacji skroplonego gazu ziemnego (LNG) część organów prowadzi postępowania zmierzające do wydawania decyzji, a część organów umarza postępowanie po złożenia przez inwestora wniosku wraz z Kartą Informacyjną Przedsięwzięcia. Praktyka ta jest zatem niejednolita, z tego względu, że ta część </w:t>
            </w:r>
            <w:r w:rsidRPr="00F404EF">
              <w:rPr>
                <w:rFonts w:eastAsia="Lato" w:cstheme="minorHAnsi"/>
              </w:rPr>
              <w:lastRenderedPageBreak/>
              <w:t>organów, która umarza postępowania traktuje skroplony gaz ziemny za gaz płynny.</w:t>
            </w:r>
          </w:p>
          <w:p w14:paraId="68345752" w14:textId="67F35CAD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>Tymczasem</w:t>
            </w:r>
            <w:r w:rsidR="003E17B2">
              <w:rPr>
                <w:rFonts w:eastAsia="Lato" w:cstheme="minorHAnsi"/>
              </w:rPr>
              <w:t xml:space="preserve"> w</w:t>
            </w:r>
            <w:r w:rsidRPr="00F404EF">
              <w:rPr>
                <w:rFonts w:eastAsia="Lato" w:cstheme="minorHAnsi"/>
              </w:rPr>
              <w:t xml:space="preserve"> powszechnym użytku „gaz płynny” rozumiany jest jako propan-butan (LPG). Podobnie traktowany jest</w:t>
            </w:r>
            <w:r w:rsidR="0047236B">
              <w:rPr>
                <w:rFonts w:eastAsia="Lato" w:cstheme="minorHAnsi"/>
              </w:rPr>
              <w:t xml:space="preserve"> on</w:t>
            </w:r>
            <w:r w:rsidRPr="00F404EF">
              <w:rPr>
                <w:rFonts w:eastAsia="Lato" w:cstheme="minorHAnsi"/>
              </w:rPr>
              <w:t xml:space="preserve"> w regulacjach dotyczących </w:t>
            </w:r>
            <w:r w:rsidRPr="00F404EF">
              <w:rPr>
                <w:rFonts w:eastAsia="Lato" w:cstheme="minorHAnsi"/>
                <w:i/>
                <w:iCs/>
              </w:rPr>
              <w:t>stricte</w:t>
            </w:r>
            <w:r w:rsidRPr="00F404EF">
              <w:rPr>
                <w:rFonts w:eastAsia="Lato" w:cstheme="minorHAnsi"/>
              </w:rPr>
              <w:t xml:space="preserve"> paliw transportowych czy budowy stacji paliw. </w:t>
            </w:r>
          </w:p>
          <w:p w14:paraId="0D4C615F" w14:textId="5FCD3E4F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>Ustawa z dnia 25 sierpnia 2006 r. o systemie monitorowania i kontrolowania jakości paliw (</w:t>
            </w:r>
            <w:proofErr w:type="spellStart"/>
            <w:r w:rsidRPr="00F404EF">
              <w:rPr>
                <w:rFonts w:eastAsia="Lato" w:cstheme="minorHAnsi"/>
              </w:rPr>
              <w:t>t.j</w:t>
            </w:r>
            <w:proofErr w:type="spellEnd"/>
            <w:r w:rsidRPr="00F404EF">
              <w:rPr>
                <w:rFonts w:eastAsia="Lato" w:cstheme="minorHAnsi"/>
              </w:rPr>
              <w:t xml:space="preserve">. Dz. U. z 2024 r. poz. 1209, ze zm.) zawiera definicję „paliw”. Są to: paliwa ciekłe, biopaliwa ciekłe lub inne paliwa odnawialne, </w:t>
            </w:r>
            <w:r w:rsidRPr="00F404EF">
              <w:rPr>
                <w:rFonts w:eastAsia="Lato" w:cstheme="minorHAnsi"/>
                <w:u w:val="single"/>
              </w:rPr>
              <w:t>gaz skroplony (LPG</w:t>
            </w:r>
            <w:r w:rsidRPr="00F404EF">
              <w:rPr>
                <w:rFonts w:eastAsia="Lato" w:cstheme="minorHAnsi"/>
              </w:rPr>
              <w:t>), sprężony gaz ziemny (CNG), skroplony gaz ziemny (LNG), lekki olej opałowy, ciężki olej opałowy, olej do silników statków żeglugi śródlądowej oraz wodór. Z kolei „</w:t>
            </w:r>
            <w:r w:rsidRPr="00F404EF">
              <w:rPr>
                <w:rFonts w:eastAsia="Lato" w:cstheme="minorHAnsi"/>
                <w:u w:val="single"/>
              </w:rPr>
              <w:t>gaz skroplony (LPG</w:t>
            </w:r>
            <w:r w:rsidRPr="00F404EF">
              <w:rPr>
                <w:rFonts w:eastAsia="Lato" w:cstheme="minorHAnsi"/>
              </w:rPr>
              <w:t xml:space="preserve">)” oznacza mieszaninę skroplonych gazów węglowodorowych, głównie propanu C3 i butanu C4. Zatem ustawa wyraźnie oddziela gaz skroplony (LPG) od innych paliw (w szczególności od skroplonego gazu ziemnego – LNG oraz sprężonego gazu ziemnego – CNG) i dokładnie definiuje, że chodzi o propan-butan tankowany na tzw. „stacjach autogazu”. </w:t>
            </w:r>
          </w:p>
          <w:p w14:paraId="5C310D0A" w14:textId="4373AA6C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Budowa i eksploatacja </w:t>
            </w:r>
            <w:r w:rsidRPr="00F404EF">
              <w:rPr>
                <w:rFonts w:eastAsia="Lato" w:cstheme="minorHAnsi"/>
                <w:u w:val="single"/>
              </w:rPr>
              <w:t>stacji paliw gazu płynnego</w:t>
            </w:r>
            <w:r w:rsidRPr="00F404EF">
              <w:rPr>
                <w:rFonts w:eastAsia="Lato" w:cstheme="minorHAnsi"/>
              </w:rPr>
              <w:t xml:space="preserve"> odbywa się na podstawie rozporządzenia Ministra Klimatu i Środowiska z dnia 24 lipca 2023 r. w sprawie warunków technicznych, jakim powinny odpowiadać bazy i stacje paliw płynnych, bazy i stacje gazu płynnego, rurociągi przesyłowe dalekosiężne służące do transportu ropy naftowej i produktów naftowych  i ich usytuowania (Dz. U. poz. 1707), „</w:t>
            </w:r>
            <w:r w:rsidRPr="00F404EF">
              <w:rPr>
                <w:rFonts w:eastAsia="Lato" w:cstheme="minorHAnsi"/>
                <w:u w:val="single"/>
              </w:rPr>
              <w:t>gaz płynny</w:t>
            </w:r>
            <w:r w:rsidRPr="00F404EF">
              <w:rPr>
                <w:rFonts w:eastAsia="Lato" w:cstheme="minorHAnsi"/>
              </w:rPr>
              <w:t xml:space="preserve">” oznacza skroplone węglowodory gazowe (C3-C4), jako produkty otrzymywane z ropy naftowej. </w:t>
            </w:r>
          </w:p>
          <w:p w14:paraId="04909DAD" w14:textId="0A28F6E7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Z kolei budowa i eksploatacji stacji gazu ziemnego (LNG i CNG) odbywa się na podstawie odrębnych przepisów – tj. rozporządzenia MKiŚ z dnia 15 czerwca 2023 r. w </w:t>
            </w:r>
            <w:r w:rsidRPr="00F404EF">
              <w:rPr>
                <w:rFonts w:eastAsia="Lato" w:cstheme="minorHAnsi"/>
              </w:rPr>
              <w:lastRenderedPageBreak/>
              <w:t>sprawie szczegółowych wymagań technicznych dla stacji gazu ziemnego (</w:t>
            </w:r>
            <w:proofErr w:type="spellStart"/>
            <w:r w:rsidRPr="00F404EF">
              <w:rPr>
                <w:rFonts w:eastAsia="Lato" w:cstheme="minorHAnsi"/>
              </w:rPr>
              <w:t>t.j</w:t>
            </w:r>
            <w:proofErr w:type="spellEnd"/>
            <w:r w:rsidRPr="00F404EF">
              <w:rPr>
                <w:rFonts w:eastAsia="Lato" w:cstheme="minorHAnsi"/>
              </w:rPr>
              <w:t xml:space="preserve">. Dz. U. z 2025 r. poz. 1252). </w:t>
            </w:r>
          </w:p>
          <w:p w14:paraId="0B446671" w14:textId="7E459F82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Przepisy prawa krajowego dotyczące paliw i stacji tankowania rozróżniają zatem gaz płynny (LPG) od sprężonego gazu ziemnego (CNG) i skroplonego gazu ziemnego (LNG). Gaz płynny to zasadniczo propan-butan, a gaz ziemny w przeważającej mierze składa się z metanu (pochodzenia kopalnego lub odnawialnego – biometan) i może występować do tankowania pojazdów w postaci sprężonej lub skroplonej. </w:t>
            </w:r>
          </w:p>
          <w:p w14:paraId="796A13AF" w14:textId="702C3E07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Należy zauważyć, że również samo rozporządzenie OOŚ rozróżnia stacje paliw gazu płynnego od stacji paliw gazu sprężonego, choć nie wskazuje, że w tym drugim przypadku chodzi o gaz ziemny. </w:t>
            </w:r>
          </w:p>
          <w:p w14:paraId="7D9AF331" w14:textId="1D803E07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 </w:t>
            </w:r>
          </w:p>
          <w:p w14:paraId="71D33A5B" w14:textId="11B676E7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  <w:b/>
                <w:bCs/>
              </w:rPr>
              <w:t xml:space="preserve">W naszej ocenie nie ma podstaw, by na potrzeby rozporządzenia OOŚ w sposób odmienny traktować stacje skroplonego gazu ziemnego (LNG) od stacji sprężonego gazu ziemnego (CNG) – zważywszy w szczególności, że są one objęte jednym rozporządzeniem w zakresie budowy i eksploatacji, a tym bardziej od stacji gazu płynnego (LPG), które w praktyce bywają bardziej problematyczne w sytuacjach wystąpienia awarii. </w:t>
            </w:r>
          </w:p>
          <w:p w14:paraId="60A81666" w14:textId="342CB239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  <w:b/>
                <w:bCs/>
              </w:rPr>
              <w:t xml:space="preserve"> </w:t>
            </w:r>
          </w:p>
          <w:p w14:paraId="1D2FD7A0" w14:textId="0619396E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>Warto odwołać się także do wykładni celowościowej, uwzględniającej także aspekt historyczny,</w:t>
            </w:r>
            <w:r w:rsidRPr="00F404EF">
              <w:rPr>
                <w:rFonts w:eastAsia="Calibri" w:cstheme="minorHAnsi"/>
              </w:rPr>
              <w:t xml:space="preserve"> </w:t>
            </w:r>
            <w:r w:rsidRPr="00F404EF">
              <w:rPr>
                <w:rFonts w:eastAsia="Lato" w:cstheme="minorHAnsi"/>
              </w:rPr>
              <w:t>czyli próbę ustalenia znaczenia normy prawnej na podstawie prac legislacyjnych towarzyszących uchwalaniu przepisu prawa. W OSR do projektu rozporządzenia OOŚ z 10 września 2019 r. wskazano:</w:t>
            </w:r>
          </w:p>
          <w:p w14:paraId="43E96509" w14:textId="1B8B4035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  <w:b/>
                <w:bCs/>
                <w:i/>
                <w:iCs/>
              </w:rPr>
              <w:t>„(</w:t>
            </w:r>
            <w:r w:rsidRPr="00F404EF">
              <w:rPr>
                <w:rFonts w:eastAsia="Lato" w:cstheme="minorHAnsi"/>
                <w:i/>
                <w:iCs/>
              </w:rPr>
              <w:t>14</w:t>
            </w:r>
            <w:r w:rsidRPr="00F404EF">
              <w:rPr>
                <w:rFonts w:eastAsia="Lato" w:cstheme="minorHAnsi"/>
                <w:b/>
                <w:bCs/>
                <w:i/>
                <w:iCs/>
              </w:rPr>
              <w:t xml:space="preserve">) </w:t>
            </w:r>
            <w:r w:rsidRPr="00F404EF">
              <w:rPr>
                <w:rFonts w:eastAsia="Lato" w:cstheme="minorHAnsi"/>
                <w:i/>
                <w:iCs/>
              </w:rPr>
              <w:t xml:space="preserve">Przemysł energetyczny. W obecnych uwarunkowaniach prawnych instalacja do dystrybucji CNG, który jest sprężonym gazem ziemnym, stanowi przedsięwzięcie mogące potencjalnie znacząco </w:t>
            </w:r>
            <w:r w:rsidRPr="00F404EF">
              <w:rPr>
                <w:rFonts w:eastAsia="Lato" w:cstheme="minorHAnsi"/>
                <w:i/>
                <w:iCs/>
              </w:rPr>
              <w:lastRenderedPageBreak/>
              <w:t xml:space="preserve">oddziaływać na środowisko. </w:t>
            </w:r>
            <w:r w:rsidRPr="00F404EF">
              <w:rPr>
                <w:rFonts w:eastAsia="Lato" w:cstheme="minorHAnsi"/>
                <w:i/>
                <w:iCs/>
                <w:u w:val="single"/>
              </w:rPr>
              <w:t>Stacje paliw dystrybuujące ten sam gaz, ale w fazie ciekłej (LNG), są wyłączone z tej grupy inwestycji. Nie istnieją przesłanki natury środowiskowej do odmiennego traktowania instalacji do dystrybucji CNG względem LNG.</w:t>
            </w:r>
            <w:r w:rsidRPr="00F404EF">
              <w:rPr>
                <w:rFonts w:eastAsia="Lato" w:cstheme="minorHAnsi"/>
                <w:i/>
                <w:iCs/>
              </w:rPr>
              <w:t xml:space="preserve"> W obu bowiem przypadkach Dyrektywa 2011/92/UE nie przewiduje konieczności przeprowadzenia oceny oddziaływania na</w:t>
            </w:r>
            <w:r w:rsidRPr="00F404EF">
              <w:rPr>
                <w:rFonts w:eastAsia="Lato" w:cstheme="minorHAnsi"/>
                <w:b/>
                <w:bCs/>
                <w:i/>
                <w:iCs/>
              </w:rPr>
              <w:t xml:space="preserve"> </w:t>
            </w:r>
            <w:r w:rsidRPr="00F404EF">
              <w:rPr>
                <w:rFonts w:eastAsia="Lato" w:cstheme="minorHAnsi"/>
                <w:i/>
                <w:iCs/>
              </w:rPr>
              <w:t>środowisko. Brak jest również uzasadnienia merytorycznego dla prowadzenia względem ww. przedsięwzięć postępowania zmierzającego do wydania decyzji o środowiskowych uwarunkowaniach.”.</w:t>
            </w:r>
            <w:r w:rsidRPr="00F404EF">
              <w:rPr>
                <w:rFonts w:eastAsia="Lato" w:cstheme="minorHAnsi"/>
              </w:rPr>
              <w:t xml:space="preserve"> </w:t>
            </w:r>
          </w:p>
          <w:p w14:paraId="660A7717" w14:textId="4F029415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(OSR z 30 maja 2019 r. na SKR do projektu RC41: </w:t>
            </w:r>
            <w:r w:rsidRPr="00F404EF">
              <w:rPr>
                <w:rFonts w:eastAsia="Calibri" w:cstheme="minorHAnsi"/>
              </w:rPr>
              <w:t xml:space="preserve"> </w:t>
            </w:r>
            <w:hyperlink r:id="rId8" w:anchor="12581794">
              <w:r w:rsidRPr="00F404EF">
                <w:rPr>
                  <w:rStyle w:val="Hipercze"/>
                  <w:rFonts w:eastAsia="Lato" w:cstheme="minorHAnsi"/>
                  <w:color w:val="0563C1"/>
                </w:rPr>
                <w:t>Projekt</w:t>
              </w:r>
            </w:hyperlink>
            <w:r w:rsidRPr="00F404EF">
              <w:rPr>
                <w:rFonts w:eastAsia="Lato" w:cstheme="minorHAnsi"/>
              </w:rPr>
              <w:t>).</w:t>
            </w:r>
          </w:p>
          <w:p w14:paraId="50222813" w14:textId="4874E885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 </w:t>
            </w:r>
          </w:p>
          <w:p w14:paraId="65D233CD" w14:textId="75582339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Z kolei w uzasadnieniu do projektu wskazano, że w </w:t>
            </w:r>
            <w:r w:rsidRPr="00F404EF">
              <w:rPr>
                <w:rFonts w:eastAsia="Lato" w:cstheme="minorHAnsi"/>
                <w:i/>
                <w:iCs/>
              </w:rPr>
              <w:t xml:space="preserve">„§ 3 ust. 1 pkt 34 projektu rozporządzenia (zmodyfikowano brzmienie § 3 ust. 1 pkt 35 rozporządzenia </w:t>
            </w:r>
            <w:proofErr w:type="spellStart"/>
            <w:r w:rsidRPr="00F404EF">
              <w:rPr>
                <w:rFonts w:eastAsia="Lato" w:cstheme="minorHAnsi"/>
                <w:i/>
                <w:iCs/>
              </w:rPr>
              <w:t>ooś</w:t>
            </w:r>
            <w:proofErr w:type="spellEnd"/>
            <w:r w:rsidRPr="00F404EF">
              <w:rPr>
                <w:rFonts w:eastAsia="Lato" w:cstheme="minorHAnsi"/>
                <w:i/>
                <w:iCs/>
              </w:rPr>
              <w:t xml:space="preserve">) – modyfikacja polegająca na literalnym wyłączeniu stacji paliw gazu sprężonego z grupy przedsięwzięć mogących potencjalnie znacząco oddziaływać na środowisko. </w:t>
            </w:r>
            <w:r w:rsidRPr="00F404EF">
              <w:rPr>
                <w:rFonts w:eastAsia="Lato" w:cstheme="minorHAnsi"/>
                <w:i/>
                <w:iCs/>
                <w:u w:val="single"/>
              </w:rPr>
              <w:t>Nie istnieją przesłanki natury środowiskowej do odmiennego traktowania instalacji CNG względem LPG</w:t>
            </w:r>
            <w:r w:rsidRPr="00F404EF">
              <w:rPr>
                <w:rFonts w:eastAsia="Lato" w:cstheme="minorHAnsi"/>
                <w:b/>
                <w:bCs/>
                <w:i/>
                <w:iCs/>
              </w:rPr>
              <w:t>.</w:t>
            </w:r>
            <w:r w:rsidRPr="00F404EF">
              <w:rPr>
                <w:rFonts w:eastAsia="Lato" w:cstheme="minorHAnsi"/>
                <w:i/>
                <w:iCs/>
              </w:rPr>
              <w:t>”.</w:t>
            </w:r>
            <w:r w:rsidRPr="00F404EF">
              <w:rPr>
                <w:rFonts w:eastAsia="Lato" w:cstheme="minorHAnsi"/>
              </w:rPr>
              <w:t xml:space="preserve"> </w:t>
            </w:r>
          </w:p>
          <w:p w14:paraId="2C3B9A27" w14:textId="7DEF4E65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 </w:t>
            </w:r>
          </w:p>
          <w:p w14:paraId="1187D8BC" w14:textId="35A6C1BB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  <w:b/>
                <w:bCs/>
              </w:rPr>
              <w:t>Wykładnia celowościowa prowadzi zatem do wniosku, że ustawodawca nie identyfikował przesłanek do odmiennego traktowania stacji tankowania CNG względem LPG czy LNG. Z treści OSR można wywieść, że istniejące przed 2019 r. wyłączenie dla stacji gazu płynnego Projektodawca kwalifikował jako dotyczące stacji LNG.</w:t>
            </w:r>
          </w:p>
          <w:p w14:paraId="770987AD" w14:textId="77D60968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  <w:b/>
                <w:bCs/>
              </w:rPr>
              <w:t xml:space="preserve"> </w:t>
            </w:r>
          </w:p>
          <w:p w14:paraId="5DFA83B1" w14:textId="4F0FB6BC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W zakresie stacji wodoru należy zwrócić uwagę, że obowiązująca wykładnia potwierdzona przez organy </w:t>
            </w:r>
            <w:r w:rsidRPr="00F404EF">
              <w:rPr>
                <w:rFonts w:eastAsia="Lato" w:cstheme="minorHAnsi"/>
              </w:rPr>
              <w:lastRenderedPageBreak/>
              <w:t>administracji państwowej (Ministerstwo Klimatu i Środowiska oraz Generalnego Dyrektora Ochrony Środowiska) już teraz pozwala na przyjęcie interpretacji, że stacja wodoru jako stacja paliw gazu sprężonego jest objęta wyłączeniem, o którym mowa w tym przepisie. Biorąc jednak pod uwagę wskazaną wyżej potrzebę ujednolicenia przepisów w zakresie stacji LNG, CNG i LPG zachodzi potrzeba uzupełnienia tego katalogu o wodór. Zmiana ta ma w tym przypadku jednak charakter wyłącznie redakcyjny i stanowi potwierdzenie obowiązującego stanu prawnego.</w:t>
            </w:r>
          </w:p>
          <w:p w14:paraId="17DAF564" w14:textId="7F14B703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 </w:t>
            </w:r>
          </w:p>
          <w:p w14:paraId="11B421FA" w14:textId="17E644E5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  <w:b/>
                <w:bCs/>
              </w:rPr>
              <w:t xml:space="preserve">Przedstawiając powyższe, </w:t>
            </w:r>
            <w:r w:rsidRPr="00F404EF">
              <w:rPr>
                <w:rFonts w:eastAsia="Lato" w:cstheme="minorHAnsi"/>
                <w:b/>
                <w:bCs/>
                <w:u w:val="single"/>
              </w:rPr>
              <w:t>wyłączenie wprost</w:t>
            </w:r>
            <w:r w:rsidRPr="00F404EF">
              <w:rPr>
                <w:rFonts w:eastAsia="Lato" w:cstheme="minorHAnsi"/>
                <w:b/>
                <w:bCs/>
              </w:rPr>
              <w:t xml:space="preserve"> z katalogu przedsięwzięć mogących potencjalnie znacząco oddziaływać na środowisko także stacji skroplonego gazu ziemnego (LNG) i stacji wodoru pozostaje zasadne i celowe w celu usunięcia wątpliwości interpretacyjnych. Zmiana usprawni także budowę stacji LNG i stacji wodoru przez ORLEN S.A., których celem jest wykorzystywanie skroplonego biometanu i wodoru na potrzeby dekarbonizacji transportu i realizacji Narodowego Celu Wskaźnikowego oraz wypełnienie nałożonych na Polskę wymogów wynikających z Rozporządzenia AFIR. </w:t>
            </w:r>
          </w:p>
        </w:tc>
        <w:tc>
          <w:tcPr>
            <w:tcW w:w="4252" w:type="dxa"/>
          </w:tcPr>
          <w:p w14:paraId="3872B004" w14:textId="3F013CAC" w:rsidR="5B855FE6" w:rsidRPr="00F404EF" w:rsidRDefault="5B855FE6" w:rsidP="00F404EF">
            <w:pPr>
              <w:rPr>
                <w:rFonts w:cstheme="minorHAnsi"/>
              </w:rPr>
            </w:pPr>
            <w:r w:rsidRPr="00F404EF">
              <w:rPr>
                <w:rFonts w:eastAsia="Lato" w:cstheme="minorHAnsi"/>
                <w:b/>
                <w:bCs/>
                <w:u w:val="single"/>
              </w:rPr>
              <w:lastRenderedPageBreak/>
              <w:t>Uwaga redakcyjno-porządkująca</w:t>
            </w:r>
          </w:p>
          <w:p w14:paraId="1FB58488" w14:textId="213F3A36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 </w:t>
            </w:r>
          </w:p>
          <w:p w14:paraId="2B5DAF2C" w14:textId="09FE93A3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Postulujemy, by </w:t>
            </w:r>
            <w:r w:rsidRPr="00F404EF">
              <w:rPr>
                <w:rFonts w:eastAsia="Lato" w:cstheme="minorHAnsi"/>
                <w:u w:val="single"/>
              </w:rPr>
              <w:t>wyłączyć wprost</w:t>
            </w:r>
            <w:r w:rsidRPr="00F404EF">
              <w:rPr>
                <w:rFonts w:eastAsia="Lato" w:cstheme="minorHAnsi"/>
              </w:rPr>
              <w:t xml:space="preserve"> z katalogu przedsięwzięć mogących potencjalnie znacząco oddziaływać na środowisko stacje skroplonego gazu ziemnego (LNG) oraz doprecyzować, że stacje gazu płynnego dotyczą propan-butanu (LPG), a stacje gazu sprężonego – sprężonego gazu ziemnego (CNG). W zakresie stacji wodoru postulujemy z kolei, by wyłączenie ww. stacji został</w:t>
            </w:r>
            <w:r w:rsidR="00403912">
              <w:rPr>
                <w:rFonts w:eastAsia="Lato" w:cstheme="minorHAnsi"/>
              </w:rPr>
              <w:t>o</w:t>
            </w:r>
            <w:r w:rsidRPr="00F404EF">
              <w:rPr>
                <w:rFonts w:eastAsia="Lato" w:cstheme="minorHAnsi"/>
              </w:rPr>
              <w:t xml:space="preserve"> jednoznacznie przesądzone w przepisie. </w:t>
            </w:r>
          </w:p>
          <w:p w14:paraId="4A473577" w14:textId="6AEFD606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 </w:t>
            </w:r>
          </w:p>
          <w:p w14:paraId="5BE05775" w14:textId="04545329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>W tym celu § 3 ust. 1 pkt 34 rozporządzenia OOŚ powinien otrzymać brzmienie:</w:t>
            </w:r>
          </w:p>
          <w:p w14:paraId="0110FA42" w14:textId="73F7219B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   </w:t>
            </w:r>
          </w:p>
          <w:p w14:paraId="1248F89B" w14:textId="669A8615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>„Do przedsięwzięć mogących potencjalnie znacząco oddziaływać na środowisko zalicza się:</w:t>
            </w:r>
          </w:p>
          <w:p w14:paraId="67BB7294" w14:textId="50D643F9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 </w:t>
            </w:r>
          </w:p>
          <w:p w14:paraId="631668A7" w14:textId="3FEC2D67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34) instalacje do dystrybucji: </w:t>
            </w:r>
          </w:p>
          <w:p w14:paraId="78BA7CA4" w14:textId="363AFAE3" w:rsidR="5B855FE6" w:rsidRPr="00F404EF" w:rsidRDefault="5B855FE6" w:rsidP="00F404EF">
            <w:pPr>
              <w:ind w:left="601" w:hanging="283"/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a) ropy naftowej, </w:t>
            </w:r>
          </w:p>
          <w:p w14:paraId="0B59A98E" w14:textId="5FAE57E2" w:rsidR="5B855FE6" w:rsidRPr="00F404EF" w:rsidRDefault="5B855FE6" w:rsidP="00F404EF">
            <w:pPr>
              <w:ind w:left="601" w:hanging="283"/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b) produktów naftowych, </w:t>
            </w:r>
          </w:p>
          <w:p w14:paraId="3794031F" w14:textId="6488E2DC" w:rsidR="5B855FE6" w:rsidRPr="00F404EF" w:rsidRDefault="5B855FE6" w:rsidP="00F404EF">
            <w:pPr>
              <w:ind w:left="601" w:hanging="283"/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c) substancji lub mieszanin, w rozumieniu odpowiednio art. 3 pkt 1 i 2 rozporządzenia nr 1907/2006, niebędących produktami spożywczymi </w:t>
            </w:r>
          </w:p>
          <w:p w14:paraId="2F7D510B" w14:textId="5E000F8E" w:rsidR="5B855FE6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- </w:t>
            </w:r>
            <w:r w:rsidRPr="00F404EF">
              <w:rPr>
                <w:rFonts w:eastAsia="Lato" w:cstheme="minorHAnsi"/>
                <w:b/>
                <w:bCs/>
              </w:rPr>
              <w:t xml:space="preserve">z wyłączeniem stacji paliw gazu płynnego (LPG), stacji sprężonego gazu ziemnego </w:t>
            </w:r>
            <w:r w:rsidRPr="00F404EF">
              <w:rPr>
                <w:rFonts w:eastAsia="Lato" w:cstheme="minorHAnsi"/>
                <w:b/>
                <w:bCs/>
              </w:rPr>
              <w:lastRenderedPageBreak/>
              <w:t>(CNG), stacji skroplonego gazu ziemnego (LNG) oraz stacji wodoru</w:t>
            </w:r>
            <w:r w:rsidRPr="00F404EF">
              <w:rPr>
                <w:rFonts w:eastAsia="Lato" w:cstheme="minorHAnsi"/>
              </w:rPr>
              <w:t>”.</w:t>
            </w:r>
          </w:p>
          <w:p w14:paraId="7094F6D3" w14:textId="3E8E9402" w:rsidR="5B855FE6" w:rsidRPr="00F404EF" w:rsidRDefault="5B855FE6" w:rsidP="00F404EF">
            <w:pPr>
              <w:jc w:val="both"/>
              <w:rPr>
                <w:rFonts w:eastAsia="Lato" w:cstheme="minorHAnsi"/>
              </w:rPr>
            </w:pPr>
          </w:p>
        </w:tc>
        <w:tc>
          <w:tcPr>
            <w:tcW w:w="1428" w:type="dxa"/>
          </w:tcPr>
          <w:p w14:paraId="31C0C230" w14:textId="77777777" w:rsidR="0090574C" w:rsidRPr="00F404EF" w:rsidRDefault="0090574C" w:rsidP="00F404EF">
            <w:pPr>
              <w:jc w:val="both"/>
              <w:rPr>
                <w:rFonts w:cstheme="minorHAnsi"/>
              </w:rPr>
            </w:pPr>
          </w:p>
        </w:tc>
      </w:tr>
      <w:tr w:rsidR="00B91BB7" w:rsidRPr="00F404EF" w14:paraId="597EDC07" w14:textId="77777777" w:rsidTr="381E1325">
        <w:tc>
          <w:tcPr>
            <w:tcW w:w="562" w:type="dxa"/>
          </w:tcPr>
          <w:p w14:paraId="513652BE" w14:textId="7E4DEA7E" w:rsidR="00B91BB7" w:rsidRPr="00F404EF" w:rsidRDefault="00DC2157" w:rsidP="00F404EF">
            <w:pPr>
              <w:jc w:val="center"/>
              <w:rPr>
                <w:rFonts w:cstheme="minorHAnsi"/>
              </w:rPr>
            </w:pPr>
            <w:r w:rsidRPr="00F404EF">
              <w:rPr>
                <w:rFonts w:cstheme="minorHAnsi"/>
              </w:rPr>
              <w:lastRenderedPageBreak/>
              <w:t>2</w:t>
            </w:r>
          </w:p>
        </w:tc>
        <w:tc>
          <w:tcPr>
            <w:tcW w:w="1701" w:type="dxa"/>
          </w:tcPr>
          <w:p w14:paraId="2C112C99" w14:textId="68C4F83A" w:rsidR="00B91BB7" w:rsidRPr="00F404EF" w:rsidRDefault="00DC2157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cstheme="minorHAnsi"/>
              </w:rPr>
              <w:t>Konfederacja Lewiatan</w:t>
            </w:r>
          </w:p>
        </w:tc>
        <w:tc>
          <w:tcPr>
            <w:tcW w:w="2694" w:type="dxa"/>
          </w:tcPr>
          <w:p w14:paraId="1CCAE981" w14:textId="77777777" w:rsidR="00B91BB7" w:rsidRDefault="5B855FE6" w:rsidP="004245AD">
            <w:pPr>
              <w:jc w:val="center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>§ 1 projektu rozporządzenia (zmiana § 3 ust. 1 pkt 5 i pkt 69  rozporządzenia zmienianego (rozporządzenia  OOŚ))</w:t>
            </w:r>
          </w:p>
          <w:p w14:paraId="76C719D6" w14:textId="77777777" w:rsidR="004245AD" w:rsidRDefault="004245AD" w:rsidP="004245AD">
            <w:pPr>
              <w:jc w:val="center"/>
              <w:rPr>
                <w:rFonts w:eastAsia="Lato" w:cstheme="minorHAnsi"/>
              </w:rPr>
            </w:pPr>
          </w:p>
          <w:p w14:paraId="29E8C0CD" w14:textId="01C67BB2" w:rsidR="004245AD" w:rsidRPr="004245AD" w:rsidRDefault="004245AD" w:rsidP="004245AD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eastAsia="Lato" w:cstheme="minorHAnsi"/>
                <w:i/>
                <w:iCs/>
              </w:rPr>
              <w:t xml:space="preserve">Dotyczy </w:t>
            </w:r>
            <w:r w:rsidR="005F2340">
              <w:rPr>
                <w:rFonts w:eastAsia="Lato" w:cstheme="minorHAnsi"/>
                <w:i/>
                <w:iCs/>
              </w:rPr>
              <w:t>obszaru elektrowni wodnych</w:t>
            </w:r>
          </w:p>
        </w:tc>
        <w:tc>
          <w:tcPr>
            <w:tcW w:w="5103" w:type="dxa"/>
          </w:tcPr>
          <w:p w14:paraId="57B51224" w14:textId="78D85F37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Zmiany w § 3 ust. 1 pkt 5 lit. a oraz pkt 69 mają na celu wyłączenie z obowiązku uzyskania decyzji środowiskowej tych przedsięwzięć hydroenergetycznych i hydrotechnicznych, które – zgodnie z aktualną wiedzą naukową i praktyką regulacyjną UE – </w:t>
            </w:r>
            <w:r w:rsidRPr="00F404EF">
              <w:rPr>
                <w:rFonts w:eastAsia="Calibri" w:cstheme="minorHAnsi"/>
                <w:b/>
                <w:bCs/>
              </w:rPr>
              <w:t>nie powodują znaczącego oddziaływania na środowisko</w:t>
            </w:r>
            <w:r w:rsidRPr="00F404EF">
              <w:rPr>
                <w:rFonts w:eastAsia="Calibri" w:cstheme="minorHAnsi"/>
              </w:rPr>
              <w:t>.</w:t>
            </w:r>
          </w:p>
          <w:p w14:paraId="423586EC" w14:textId="42988890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Przedsięwzięcia wyłączane w </w:t>
            </w:r>
            <w:r w:rsidRPr="00F404EF">
              <w:rPr>
                <w:rFonts w:eastAsia="Calibri" w:cstheme="minorHAnsi"/>
                <w:b/>
                <w:bCs/>
              </w:rPr>
              <w:t xml:space="preserve">§ 3 ust. 1 pkt 5 lit. a </w:t>
            </w:r>
            <w:r w:rsidRPr="00F404EF">
              <w:rPr>
                <w:rFonts w:eastAsia="Calibri" w:cstheme="minorHAnsi"/>
              </w:rPr>
              <w:t>w obejmują jedynie mikro- i małe instalacje hydroenergetyczne:</w:t>
            </w:r>
          </w:p>
          <w:p w14:paraId="25260FC2" w14:textId="312AFE88" w:rsidR="00B91BB7" w:rsidRPr="00F404EF" w:rsidRDefault="5B855FE6" w:rsidP="00F404EF">
            <w:pPr>
              <w:pStyle w:val="Akapitzlist"/>
              <w:numPr>
                <w:ilvl w:val="0"/>
                <w:numId w:val="7"/>
              </w:numPr>
              <w:ind w:left="0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lastRenderedPageBreak/>
              <w:t xml:space="preserve">montowane </w:t>
            </w:r>
            <w:r w:rsidRPr="00F404EF">
              <w:rPr>
                <w:rFonts w:eastAsia="Calibri" w:cstheme="minorHAnsi"/>
                <w:b/>
                <w:bCs/>
              </w:rPr>
              <w:t>na istniejących obiektach piętrzących</w:t>
            </w:r>
            <w:r w:rsidRPr="00F404EF">
              <w:rPr>
                <w:rFonts w:eastAsia="Calibri" w:cstheme="minorHAnsi"/>
              </w:rPr>
              <w:t>,</w:t>
            </w:r>
          </w:p>
          <w:p w14:paraId="4F97C14D" w14:textId="0C22A435" w:rsidR="00B91BB7" w:rsidRPr="00F404EF" w:rsidRDefault="5B855FE6" w:rsidP="00F404EF">
            <w:pPr>
              <w:pStyle w:val="Akapitzlist"/>
              <w:numPr>
                <w:ilvl w:val="0"/>
                <w:numId w:val="7"/>
              </w:numPr>
              <w:ind w:left="0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 xml:space="preserve">realizowane </w:t>
            </w:r>
            <w:r w:rsidRPr="00F404EF">
              <w:rPr>
                <w:rFonts w:eastAsia="Calibri" w:cstheme="minorHAnsi"/>
                <w:b/>
                <w:bCs/>
              </w:rPr>
              <w:t>bez budowy nowych przegród</w:t>
            </w:r>
            <w:r w:rsidRPr="00F404EF">
              <w:rPr>
                <w:rFonts w:eastAsia="Calibri" w:cstheme="minorHAnsi"/>
              </w:rPr>
              <w:t>,</w:t>
            </w:r>
          </w:p>
          <w:p w14:paraId="36E2E95A" w14:textId="6B2C50A6" w:rsidR="00B91BB7" w:rsidRPr="00F404EF" w:rsidRDefault="5B855FE6" w:rsidP="00F404EF">
            <w:pPr>
              <w:pStyle w:val="Akapitzlist"/>
              <w:numPr>
                <w:ilvl w:val="0"/>
                <w:numId w:val="7"/>
              </w:numPr>
              <w:ind w:left="0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  <w:b/>
                <w:bCs/>
              </w:rPr>
              <w:t>bez zmiany poziomu piętrzenia i reżimu hydrologicznego</w:t>
            </w:r>
            <w:r w:rsidRPr="00F404EF">
              <w:rPr>
                <w:rFonts w:eastAsia="Calibri" w:cstheme="minorHAnsi"/>
              </w:rPr>
              <w:t>,</w:t>
            </w:r>
          </w:p>
          <w:p w14:paraId="54C1A5CB" w14:textId="49D9B3D1" w:rsidR="00B91BB7" w:rsidRPr="00F404EF" w:rsidRDefault="5B855FE6" w:rsidP="00F404EF">
            <w:pPr>
              <w:pStyle w:val="Akapitzlist"/>
              <w:numPr>
                <w:ilvl w:val="0"/>
                <w:numId w:val="7"/>
              </w:numPr>
              <w:ind w:left="0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 xml:space="preserve">zlokalizowane </w:t>
            </w:r>
            <w:r w:rsidRPr="00F404EF">
              <w:rPr>
                <w:rFonts w:eastAsia="Calibri" w:cstheme="minorHAnsi"/>
                <w:b/>
                <w:bCs/>
              </w:rPr>
              <w:t>poza obszarami chronionymi</w:t>
            </w:r>
            <w:r w:rsidRPr="00F404EF">
              <w:rPr>
                <w:rFonts w:eastAsia="Calibri" w:cstheme="minorHAnsi"/>
              </w:rPr>
              <w:t xml:space="preserve"> (w tym Natura 2000).</w:t>
            </w:r>
          </w:p>
          <w:p w14:paraId="6DE8A2FB" w14:textId="2B2AF97C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Działania te mają charakter wyposażeniowy, a nie hydrotechniczny. Nie prowadzą do ingerencji w koryto, nie naruszają przepływu nienaruszalnego i nie powodują fragmentacji korytarza rzecznego. Literatura specjalistyczna (ICOLD, IHA) wskazuje, że </w:t>
            </w:r>
            <w:r w:rsidRPr="00F404EF">
              <w:rPr>
                <w:rFonts w:eastAsia="Calibri" w:cstheme="minorHAnsi"/>
                <w:b/>
                <w:bCs/>
              </w:rPr>
              <w:t>największe oddziaływanie elektrowni wodnych wynika z budowy nowych przegród</w:t>
            </w:r>
            <w:r w:rsidRPr="00F404EF">
              <w:rPr>
                <w:rFonts w:eastAsia="Calibri" w:cstheme="minorHAnsi"/>
              </w:rPr>
              <w:t xml:space="preserve">, a nie z instalacji urządzeń energetycznych na już istniejących piętrzeniach. Zgodnie z Ramową Dyrektywą Wodną przedsięwzięcia te </w:t>
            </w:r>
            <w:r w:rsidRPr="00F404EF">
              <w:rPr>
                <w:rFonts w:eastAsia="Calibri" w:cstheme="minorHAnsi"/>
                <w:b/>
                <w:bCs/>
              </w:rPr>
              <w:t>nie pogarszają stanu ekologicznego</w:t>
            </w:r>
            <w:r w:rsidRPr="00F404EF">
              <w:rPr>
                <w:rFonts w:eastAsia="Calibri" w:cstheme="minorHAnsi"/>
              </w:rPr>
              <w:t xml:space="preserve"> jednolitych części wód, gdyż nie zmieniają elementów </w:t>
            </w:r>
            <w:proofErr w:type="spellStart"/>
            <w:r w:rsidRPr="00F404EF">
              <w:rPr>
                <w:rFonts w:eastAsia="Calibri" w:cstheme="minorHAnsi"/>
              </w:rPr>
              <w:t>hydromorfologicznych</w:t>
            </w:r>
            <w:proofErr w:type="spellEnd"/>
            <w:r w:rsidRPr="00F404EF">
              <w:rPr>
                <w:rFonts w:eastAsia="Calibri" w:cstheme="minorHAnsi"/>
              </w:rPr>
              <w:t xml:space="preserve">, nie wpływają na migrację ichtiofauny i nie prowadzą do modyfikacji siedlisk. Zakres prac jest minimalny, ograniczony do istniejącego obiektu, bez emisji, bez oddziaływania hałasowego istotnego dla środowiska i bez przekształceń terenowych. Oddziaływanie jest zatem </w:t>
            </w:r>
            <w:r w:rsidRPr="00F404EF">
              <w:rPr>
                <w:rFonts w:eastAsia="Calibri" w:cstheme="minorHAnsi"/>
                <w:b/>
                <w:bCs/>
              </w:rPr>
              <w:t>pomijalne i przewidywalne</w:t>
            </w:r>
            <w:r w:rsidRPr="00F404EF">
              <w:rPr>
                <w:rFonts w:eastAsia="Calibri" w:cstheme="minorHAnsi"/>
              </w:rPr>
              <w:t>.</w:t>
            </w:r>
          </w:p>
          <w:p w14:paraId="56F6FC71" w14:textId="4128A7AE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Wyłączenie zaproponowane w </w:t>
            </w:r>
            <w:r w:rsidRPr="00F404EF">
              <w:rPr>
                <w:rFonts w:eastAsia="Calibri" w:cstheme="minorHAnsi"/>
                <w:b/>
                <w:bCs/>
              </w:rPr>
              <w:t xml:space="preserve">§ 3 ust. 1 pkt 69 </w:t>
            </w:r>
            <w:r w:rsidRPr="00F404EF">
              <w:rPr>
                <w:rFonts w:eastAsia="Calibri" w:cstheme="minorHAnsi"/>
              </w:rPr>
              <w:t>dotyczy przedsięwzięć:</w:t>
            </w:r>
          </w:p>
          <w:p w14:paraId="1234D60F" w14:textId="6D0362C7" w:rsidR="00B91BB7" w:rsidRPr="00F404EF" w:rsidRDefault="5B855FE6" w:rsidP="00F404EF">
            <w:pPr>
              <w:pStyle w:val="Akapitzlist"/>
              <w:numPr>
                <w:ilvl w:val="0"/>
                <w:numId w:val="6"/>
              </w:numPr>
              <w:ind w:left="0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 xml:space="preserve">o charakterze </w:t>
            </w:r>
            <w:r w:rsidRPr="00F404EF">
              <w:rPr>
                <w:rFonts w:eastAsia="Calibri" w:cstheme="minorHAnsi"/>
                <w:b/>
                <w:bCs/>
              </w:rPr>
              <w:t>odtworzeniowym i modernizacyjnym</w:t>
            </w:r>
            <w:r w:rsidRPr="00F404EF">
              <w:rPr>
                <w:rFonts w:eastAsia="Calibri" w:cstheme="minorHAnsi"/>
              </w:rPr>
              <w:t>,</w:t>
            </w:r>
          </w:p>
          <w:p w14:paraId="4FBE24D3" w14:textId="4BC58862" w:rsidR="00B91BB7" w:rsidRPr="00F404EF" w:rsidRDefault="5B855FE6" w:rsidP="00F404EF">
            <w:pPr>
              <w:pStyle w:val="Akapitzlist"/>
              <w:numPr>
                <w:ilvl w:val="0"/>
                <w:numId w:val="6"/>
              </w:numPr>
              <w:ind w:left="0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niewiążących się z podwyższeniem piętrzenia ani zmianą funkcji,</w:t>
            </w:r>
          </w:p>
          <w:p w14:paraId="714A6D6D" w14:textId="0CA402E3" w:rsidR="00B91BB7" w:rsidRPr="00F404EF" w:rsidRDefault="5B855FE6" w:rsidP="00F404EF">
            <w:pPr>
              <w:pStyle w:val="Akapitzlist"/>
              <w:numPr>
                <w:ilvl w:val="0"/>
                <w:numId w:val="6"/>
              </w:numPr>
              <w:ind w:left="0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niepowodujących powstania nowych barier w korycie,</w:t>
            </w:r>
          </w:p>
          <w:p w14:paraId="0113D615" w14:textId="000DED99" w:rsidR="00B91BB7" w:rsidRPr="00F404EF" w:rsidRDefault="5B855FE6" w:rsidP="00F404EF">
            <w:pPr>
              <w:pStyle w:val="Akapitzlist"/>
              <w:numPr>
                <w:ilvl w:val="0"/>
                <w:numId w:val="6"/>
              </w:numPr>
              <w:ind w:left="0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realizowanych w obrębie istniejącej infrastruktury.</w:t>
            </w:r>
          </w:p>
          <w:p w14:paraId="43E53F4C" w14:textId="07B4B8D5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Tego typu działania nie powodują powstawania nowych oddziaływań </w:t>
            </w:r>
            <w:proofErr w:type="spellStart"/>
            <w:r w:rsidRPr="00F404EF">
              <w:rPr>
                <w:rFonts w:eastAsia="Calibri" w:cstheme="minorHAnsi"/>
              </w:rPr>
              <w:t>hydromorfologicznych</w:t>
            </w:r>
            <w:proofErr w:type="spellEnd"/>
            <w:r w:rsidRPr="00F404EF">
              <w:rPr>
                <w:rFonts w:eastAsia="Calibri" w:cstheme="minorHAnsi"/>
              </w:rPr>
              <w:t xml:space="preserve">, a często wręcz przyczyniają się do poprawy warunków środowiskowych — na przykład poprzez montaż </w:t>
            </w:r>
            <w:r w:rsidRPr="00F404EF">
              <w:rPr>
                <w:rFonts w:eastAsia="Calibri" w:cstheme="minorHAnsi"/>
              </w:rPr>
              <w:lastRenderedPageBreak/>
              <w:t>przepławek, zwiększenie bezpieczeństwa budowli czy stabilizację rumowiska. Nie ingerują one w nowe obszary przyrodnicze, nie wymagają przekształcania siedlisk ani nie wiążą się z koniecznością wycinki roślinności.</w:t>
            </w:r>
          </w:p>
          <w:p w14:paraId="4A3E5ED8" w14:textId="069A9607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W państwach UE modernizacja istniejących jazów i progów co do zasady </w:t>
            </w:r>
            <w:r w:rsidRPr="00F404EF">
              <w:rPr>
                <w:rFonts w:eastAsia="Calibri" w:cstheme="minorHAnsi"/>
                <w:b/>
                <w:bCs/>
              </w:rPr>
              <w:t>nie wymaga OOŚ</w:t>
            </w:r>
            <w:r w:rsidRPr="00F404EF">
              <w:rPr>
                <w:rFonts w:eastAsia="Calibri" w:cstheme="minorHAnsi"/>
              </w:rPr>
              <w:t>, jeżeli nie zmienia parametrów hydrotechnicznych – proponowana zmiana zbliża polskie regulacje do standardu europejskiego oraz eliminuje nadmierne obciążenia administracyjne.</w:t>
            </w:r>
          </w:p>
          <w:p w14:paraId="1D8D9BAA" w14:textId="5042B9BD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Podsumowując, obie kategorie przedsięwzięć – instalacje OZE do 1 MW na istniejących piętrzeniach oraz odbudowa/przebudowa budowli piętrzących – cechują się </w:t>
            </w:r>
            <w:r w:rsidRPr="00F404EF">
              <w:rPr>
                <w:rFonts w:eastAsia="Calibri" w:cstheme="minorHAnsi"/>
                <w:b/>
                <w:bCs/>
              </w:rPr>
              <w:t>minimalnym wpływem na środowisko</w:t>
            </w:r>
            <w:r w:rsidRPr="00F404EF">
              <w:rPr>
                <w:rFonts w:eastAsia="Calibri" w:cstheme="minorHAnsi"/>
              </w:rPr>
              <w:t>, brakiem ingerencji w reżim hydrologiczny oraz brakiem oddziaływania na obszary chronione. Wyłączenie ich spod obowiązku uzyskania decyzji środowiskowej jest zgodne z dyrektywą EIA, RDW oraz zaleceniami Komisji Europejskiej dotyczącymi upraszczania procedur dla OZE.</w:t>
            </w:r>
          </w:p>
          <w:p w14:paraId="0CCAAF07" w14:textId="30577EC3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Zmiana proponowana w § 3 ust. 1 pkt 5 lit. b ma na celu dostosowanie przepisów rozporządzenia w sprawie przedsięwzięć mogących znacząco oddziaływać na środowisko do aktualnych regulacji ustawy – Prawo budowlane oraz do rozwiązań przyjętych w ustawie o odnawialnych źródłach energii. Na gruncie Prawa budowlanego </w:t>
            </w:r>
            <w:r w:rsidRPr="00F404EF">
              <w:rPr>
                <w:rFonts w:eastAsia="Calibri" w:cstheme="minorHAnsi"/>
                <w:b/>
                <w:bCs/>
              </w:rPr>
              <w:t>przebudowa małych elektrowni wodnych o mocy do 1 MW została zaliczona do robót budowlanych niewymagających pozwolenia na budowę</w:t>
            </w:r>
            <w:r w:rsidRPr="00F404EF">
              <w:rPr>
                <w:rFonts w:eastAsia="Calibri" w:cstheme="minorHAnsi"/>
              </w:rPr>
              <w:t xml:space="preserve">, a jedynie zgłoszenia. Oznacza to, że ustawodawca krajowy jednoznacznie uznał tego typu działania za </w:t>
            </w:r>
            <w:r w:rsidRPr="00F404EF">
              <w:rPr>
                <w:rFonts w:eastAsia="Calibri" w:cstheme="minorHAnsi"/>
                <w:b/>
                <w:bCs/>
              </w:rPr>
              <w:t>roboty o ograniczonym zakresie ingerencji</w:t>
            </w:r>
            <w:r w:rsidRPr="00F404EF">
              <w:rPr>
                <w:rFonts w:eastAsia="Calibri" w:cstheme="minorHAnsi"/>
              </w:rPr>
              <w:t>, niemające charakteru budowy nowego obiektu ani zasadniczej zmiany sposobu użytkowania.</w:t>
            </w:r>
          </w:p>
          <w:p w14:paraId="6D7A9894" w14:textId="77777777" w:rsidR="007F2343" w:rsidRPr="00F404EF" w:rsidRDefault="5B855FE6" w:rsidP="00F404EF">
            <w:pPr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lastRenderedPageBreak/>
              <w:t xml:space="preserve">Projektowany przepis precyzuje, że w takich przypadkach </w:t>
            </w:r>
            <w:r w:rsidRPr="00F404EF">
              <w:rPr>
                <w:rFonts w:eastAsia="Calibri" w:cstheme="minorHAnsi"/>
                <w:b/>
                <w:bCs/>
              </w:rPr>
              <w:t>nie jest wymagana również decyzja o środowiskowych uwarunkowaniach</w:t>
            </w:r>
            <w:r w:rsidRPr="00F404EF">
              <w:rPr>
                <w:rFonts w:eastAsia="Calibri" w:cstheme="minorHAnsi"/>
              </w:rPr>
              <w:t>, co zapewnia spójność systemową między regulacjami prawa budowlanego i środowiskowego. Jest to istotne, ponieważ prace stanowiące „przebudowę” w rozumieniu Prawa budowlanego nie wiążą się z ingerencją w elementy środowiska, które mogłyby powodować znaczące, negatywne oddziaływanie wymagające przeprowadzenia oceny oddziaływania na środowisko.</w:t>
            </w:r>
          </w:p>
          <w:p w14:paraId="365C1EE2" w14:textId="2EC8EEB6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>Większość małych elektrowni wodnych o mocy do 1 MW została wybudowana w latach 90. XX w. oraz na początku XXI w. Obiekty te wymagają obecnie modernizacji mających na celu zwiększenie bezpieczeństwa technicznego, podniesienie efektywności energetycznej i zapewnienie dalszej, stabilnej i bezawaryjnej eksploatacji.</w:t>
            </w:r>
          </w:p>
          <w:p w14:paraId="5D160185" w14:textId="4838D790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Proces </w:t>
            </w:r>
            <w:proofErr w:type="spellStart"/>
            <w:r w:rsidRPr="00F404EF">
              <w:rPr>
                <w:rFonts w:eastAsia="Calibri" w:cstheme="minorHAnsi"/>
              </w:rPr>
              <w:t>repoweringu</w:t>
            </w:r>
            <w:proofErr w:type="spellEnd"/>
            <w:r w:rsidRPr="00F404EF">
              <w:rPr>
                <w:rFonts w:eastAsia="Calibri" w:cstheme="minorHAnsi"/>
              </w:rPr>
              <w:t>, przewidziany w ustawie o odnawialnych źródłach energii jako warunek uzyskania systemu wsparcia FIT/FIP, obejmuje standardowo wymianę turbiny, przekładni, generatora oraz systemów automatyki i sterowania. Prace te:</w:t>
            </w:r>
          </w:p>
          <w:p w14:paraId="57A79681" w14:textId="4F8CFB3A" w:rsidR="00B91BB7" w:rsidRPr="00F404EF" w:rsidRDefault="5B855FE6" w:rsidP="00F404EF">
            <w:pPr>
              <w:pStyle w:val="Akapitzlist"/>
              <w:numPr>
                <w:ilvl w:val="0"/>
                <w:numId w:val="15"/>
              </w:numPr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nie zmieniają parametrów charakterystycznych obiektu (kubatura, powierzchnia zabudowy, wysokość, długość, szerokość),</w:t>
            </w:r>
          </w:p>
          <w:p w14:paraId="291EDF98" w14:textId="43FC60F8" w:rsidR="00B91BB7" w:rsidRPr="00F404EF" w:rsidRDefault="5B855FE6" w:rsidP="00F404EF">
            <w:pPr>
              <w:pStyle w:val="Akapitzlist"/>
              <w:numPr>
                <w:ilvl w:val="0"/>
                <w:numId w:val="15"/>
              </w:numPr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nie ingerują w konstrukcję piętrzenia,</w:t>
            </w:r>
          </w:p>
          <w:p w14:paraId="081222D0" w14:textId="112FCC7B" w:rsidR="00B91BB7" w:rsidRPr="00F404EF" w:rsidRDefault="5B855FE6" w:rsidP="00F404EF">
            <w:pPr>
              <w:pStyle w:val="Akapitzlist"/>
              <w:numPr>
                <w:ilvl w:val="0"/>
                <w:numId w:val="15"/>
              </w:numPr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nie modyfikują reżimu hydrologicznego ani warunków migracji ichtiofauny,</w:t>
            </w:r>
          </w:p>
          <w:p w14:paraId="365C559F" w14:textId="48335E83" w:rsidR="00B91BB7" w:rsidRPr="00F404EF" w:rsidRDefault="5B855FE6" w:rsidP="00F404EF">
            <w:pPr>
              <w:pStyle w:val="Akapitzlist"/>
              <w:numPr>
                <w:ilvl w:val="0"/>
                <w:numId w:val="15"/>
              </w:numPr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nie wywołują zmian w morfologii koryta ani w strukturze siedlisk wodnych.</w:t>
            </w:r>
          </w:p>
          <w:p w14:paraId="21ABC160" w14:textId="3EC2B6A3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W konsekwencji, zgodnie z dyrektywą 2011/92/UE (EIA) oraz zasadą proporcjonalności, </w:t>
            </w:r>
            <w:r w:rsidRPr="00F404EF">
              <w:rPr>
                <w:rFonts w:eastAsia="Calibri" w:cstheme="minorHAnsi"/>
                <w:b/>
                <w:bCs/>
              </w:rPr>
              <w:t xml:space="preserve">ocena oddziaływania na środowisko nie jest wymagana dla </w:t>
            </w:r>
            <w:r w:rsidRPr="00F404EF">
              <w:rPr>
                <w:rFonts w:eastAsia="Calibri" w:cstheme="minorHAnsi"/>
                <w:b/>
                <w:bCs/>
              </w:rPr>
              <w:lastRenderedPageBreak/>
              <w:t>działań, które nie powodują istotnej zmiany oddziaływań istniejącej instalacji</w:t>
            </w:r>
            <w:r w:rsidRPr="00F404EF">
              <w:rPr>
                <w:rFonts w:eastAsia="Calibri" w:cstheme="minorHAnsi"/>
              </w:rPr>
              <w:t>.</w:t>
            </w:r>
          </w:p>
          <w:p w14:paraId="7D34637A" w14:textId="7BE59EBE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Dodatkowo, ustawowy termin umożliwiający modernizowanym instalacjom OZE skorzystanie z mechanizmu wsparcia kończy się 30 czerwca 2027 r. Uproszczenie procedur administracyjnych, w tym rezygnacja z konieczności uzyskiwania nowej decyzji środowiskowej, jest zatem kluczowe dla możliwości realnego przeprowadzenia </w:t>
            </w:r>
            <w:proofErr w:type="spellStart"/>
            <w:r w:rsidRPr="00F404EF">
              <w:rPr>
                <w:rFonts w:eastAsia="Calibri" w:cstheme="minorHAnsi"/>
              </w:rPr>
              <w:t>repoweringu</w:t>
            </w:r>
            <w:proofErr w:type="spellEnd"/>
            <w:r w:rsidRPr="00F404EF">
              <w:rPr>
                <w:rFonts w:eastAsia="Calibri" w:cstheme="minorHAnsi"/>
              </w:rPr>
              <w:t xml:space="preserve"> w przewidzianym okresie. Brak takiego uproszczenia groziłby opóźnieniami, które uniemożliwiłyby wielu instalacjom włączenie się do systemu wsparcia.</w:t>
            </w:r>
          </w:p>
          <w:p w14:paraId="5C0555AC" w14:textId="3271C0BE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>W efekcie wprowadzenie § 3 ust. 1 pkt 5 lit. b:</w:t>
            </w:r>
          </w:p>
          <w:p w14:paraId="3D002C67" w14:textId="59304675" w:rsidR="00B91BB7" w:rsidRPr="00F404EF" w:rsidRDefault="5B855FE6" w:rsidP="00F404EF">
            <w:pPr>
              <w:pStyle w:val="Akapitzlist"/>
              <w:numPr>
                <w:ilvl w:val="0"/>
                <w:numId w:val="4"/>
              </w:numPr>
              <w:ind w:left="0"/>
              <w:jc w:val="both"/>
              <w:rPr>
                <w:rFonts w:eastAsia="Calibri" w:cstheme="minorHAnsi"/>
              </w:rPr>
            </w:pPr>
            <w:proofErr w:type="spellStart"/>
            <w:r w:rsidRPr="00F404EF">
              <w:rPr>
                <w:rFonts w:eastAsia="Calibri" w:cstheme="minorHAnsi"/>
              </w:rPr>
              <w:t>uspójnia</w:t>
            </w:r>
            <w:proofErr w:type="spellEnd"/>
            <w:r w:rsidRPr="00F404EF">
              <w:rPr>
                <w:rFonts w:eastAsia="Calibri" w:cstheme="minorHAnsi"/>
              </w:rPr>
              <w:t xml:space="preserve"> system prawny (Prawo budowlane – ustawa OOŚ – ustawa OZE),</w:t>
            </w:r>
          </w:p>
          <w:p w14:paraId="64F0A5AF" w14:textId="383075B9" w:rsidR="00B91BB7" w:rsidRPr="00F404EF" w:rsidRDefault="5B855FE6" w:rsidP="004B1AAD">
            <w:pPr>
              <w:pStyle w:val="Akapitzlist"/>
              <w:numPr>
                <w:ilvl w:val="0"/>
                <w:numId w:val="16"/>
              </w:numPr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eliminuje nadmierne obciążenia administracyjne,</w:t>
            </w:r>
          </w:p>
          <w:p w14:paraId="5829CFBF" w14:textId="46453504" w:rsidR="00B91BB7" w:rsidRPr="00F404EF" w:rsidRDefault="5B855FE6" w:rsidP="004B1AAD">
            <w:pPr>
              <w:pStyle w:val="Akapitzlist"/>
              <w:numPr>
                <w:ilvl w:val="0"/>
                <w:numId w:val="16"/>
              </w:numPr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umożliwia przeprowadzenie prac modernizacyjnych bez nieuzasadnionych opóźnień,</w:t>
            </w:r>
          </w:p>
          <w:p w14:paraId="61393C6E" w14:textId="3E973489" w:rsidR="00B91BB7" w:rsidRPr="00F404EF" w:rsidRDefault="5B855FE6" w:rsidP="004B1AAD">
            <w:pPr>
              <w:pStyle w:val="Akapitzlist"/>
              <w:numPr>
                <w:ilvl w:val="0"/>
                <w:numId w:val="16"/>
              </w:numPr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nie powoduje ryzyka znaczącego oddziaływania na środowisko, ponieważ prace te nie zmieniają parametrów hydrotechnicznych ani środowiskowych istniejących obiektów.</w:t>
            </w:r>
          </w:p>
        </w:tc>
        <w:tc>
          <w:tcPr>
            <w:tcW w:w="4252" w:type="dxa"/>
          </w:tcPr>
          <w:p w14:paraId="6098A6B8" w14:textId="6DD90EE2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lastRenderedPageBreak/>
              <w:t>W § 1 projektu rozporządzenia zmieniającego rozporządzenie Rady Ministrów z dnia 10 września 2019 r. w sprawie przedsięwzięć mogących znacząco oddziaływać na środowisko (Dz. U. poz. 1839, z 2022 r. poz. 1071 oraz z 2023 r. poz. 1724) dodać kolejne zmiany w § 3 ust. 1:</w:t>
            </w:r>
          </w:p>
          <w:p w14:paraId="3206DCA8" w14:textId="4DD2D9B7" w:rsidR="00B91BB7" w:rsidRPr="00F404EF" w:rsidRDefault="5B855FE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 </w:t>
            </w:r>
          </w:p>
          <w:p w14:paraId="660662B5" w14:textId="28FEA9D2" w:rsidR="00B91BB7" w:rsidRPr="00F404EF" w:rsidRDefault="5B855FE6" w:rsidP="00F404E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764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pkt 5 nadać brzmienie:</w:t>
            </w:r>
          </w:p>
          <w:p w14:paraId="59A0AA59" w14:textId="5568B1D6" w:rsidR="00B91BB7" w:rsidRPr="00F404EF" w:rsidRDefault="5B855FE6" w:rsidP="00F404EF">
            <w:pPr>
              <w:spacing w:line="276" w:lineRule="auto"/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>„5) elektrownie wodne z wyłączeniem:</w:t>
            </w:r>
          </w:p>
          <w:p w14:paraId="727AD4CE" w14:textId="308FB44F" w:rsidR="00B91BB7" w:rsidRPr="00F404EF" w:rsidRDefault="5B855FE6" w:rsidP="00F404EF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  <w:color w:val="000000" w:themeColor="text1"/>
              </w:rPr>
              <w:lastRenderedPageBreak/>
              <w:t xml:space="preserve">instalacji odnawialnych źródeł energii </w:t>
            </w:r>
            <w:r w:rsidRPr="00F404EF">
              <w:rPr>
                <w:rFonts w:eastAsia="Calibri" w:cstheme="minorHAnsi"/>
              </w:rPr>
              <w:t xml:space="preserve">o łącznej mocy zainstalowanej elektrycznej nie większej niż 1 MW </w:t>
            </w:r>
            <w:r w:rsidRPr="00F404EF">
              <w:rPr>
                <w:rFonts w:eastAsia="Calibri" w:cstheme="minorHAnsi"/>
                <w:color w:val="000000" w:themeColor="text1"/>
              </w:rPr>
              <w:t xml:space="preserve">wykorzystujących hydroenergię do wytwarzania energii elektrycznej w rozumieniu ustawy z dnia 20 lutego 2015 r. o odnawialnych źródłach energii </w:t>
            </w:r>
            <w:r w:rsidRPr="00F404EF">
              <w:rPr>
                <w:rFonts w:eastAsia="Calibri" w:cstheme="minorHAnsi"/>
              </w:rPr>
              <w:t>(Dz. U. z 2024 r. poz. 1361)) zlokalizowanych na istniejącym piętrzeniu oraz poza obszarami chronionymi, w tym obszarami Natura 2000,</w:t>
            </w:r>
          </w:p>
          <w:p w14:paraId="262A1002" w14:textId="221A0A3F" w:rsidR="00B91BB7" w:rsidRPr="00F404EF" w:rsidRDefault="5B855FE6" w:rsidP="00F404EF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  <w:color w:val="000000" w:themeColor="text1"/>
              </w:rPr>
              <w:t xml:space="preserve">przebudowy instalacji odnawialnych źródeł energii </w:t>
            </w:r>
            <w:r w:rsidRPr="00F404EF">
              <w:rPr>
                <w:rFonts w:eastAsia="Calibri" w:cstheme="minorHAnsi"/>
              </w:rPr>
              <w:t xml:space="preserve">o łącznej mocy zainstalowanej elektrycznej nie większej niż 1 MW </w:t>
            </w:r>
            <w:r w:rsidRPr="00F404EF">
              <w:rPr>
                <w:rFonts w:eastAsia="Calibri" w:cstheme="minorHAnsi"/>
                <w:color w:val="000000" w:themeColor="text1"/>
              </w:rPr>
              <w:t xml:space="preserve">wykorzystujących hydroenergię do wytwarzania energii elektrycznej w rozumieniu ustawy z dnia 20 lutego 2015 r. o odnawialnych źródłach energii </w:t>
            </w:r>
            <w:r w:rsidRPr="00F404EF">
              <w:rPr>
                <w:rFonts w:eastAsia="Calibri" w:cstheme="minorHAnsi"/>
              </w:rPr>
              <w:t>(Dz. U. z 2024 r. poz. 1361);</w:t>
            </w:r>
          </w:p>
          <w:p w14:paraId="253F8F6C" w14:textId="12A98474" w:rsidR="00B91BB7" w:rsidRPr="00F404EF" w:rsidRDefault="5B855FE6" w:rsidP="00F404EF">
            <w:pPr>
              <w:spacing w:line="276" w:lineRule="auto"/>
              <w:ind w:left="720"/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 xml:space="preserve"> </w:t>
            </w:r>
          </w:p>
          <w:p w14:paraId="48AB9D57" w14:textId="58CF53D7" w:rsidR="00B91BB7" w:rsidRPr="00F404EF" w:rsidRDefault="5B855FE6" w:rsidP="00F404EF">
            <w:pPr>
              <w:pStyle w:val="Akapitzlist"/>
              <w:numPr>
                <w:ilvl w:val="0"/>
                <w:numId w:val="10"/>
              </w:numPr>
              <w:spacing w:line="276" w:lineRule="auto"/>
              <w:ind w:left="764"/>
              <w:jc w:val="both"/>
              <w:rPr>
                <w:rFonts w:eastAsia="Calibri" w:cstheme="minorHAnsi"/>
              </w:rPr>
            </w:pPr>
            <w:r w:rsidRPr="00F404EF">
              <w:rPr>
                <w:rFonts w:eastAsia="Calibri" w:cstheme="minorHAnsi"/>
              </w:rPr>
              <w:t>pkt 69 pierwszemu zdaniu nadać brzmienie:</w:t>
            </w:r>
          </w:p>
          <w:p w14:paraId="298228DB" w14:textId="18357405" w:rsidR="00B91BB7" w:rsidRPr="00F404EF" w:rsidRDefault="5B855FE6" w:rsidP="00F404EF">
            <w:pPr>
              <w:spacing w:line="276" w:lineRule="auto"/>
              <w:jc w:val="both"/>
              <w:rPr>
                <w:rFonts w:cstheme="minorHAnsi"/>
              </w:rPr>
            </w:pPr>
            <w:r w:rsidRPr="00F404EF">
              <w:rPr>
                <w:rFonts w:eastAsia="Calibri" w:cstheme="minorHAnsi"/>
              </w:rPr>
              <w:t>„69) budowle piętrzące, z wyjątkiem odbudowy lub przebudowy tych budowli, inne niż wymienione w</w:t>
            </w:r>
            <w:r w:rsidRPr="00F404EF">
              <w:rPr>
                <w:rFonts w:eastAsia="Times New Roman" w:cstheme="minorHAnsi"/>
              </w:rPr>
              <w:t xml:space="preserve"> </w:t>
            </w:r>
            <w:r w:rsidRPr="00F404EF">
              <w:rPr>
                <w:rFonts w:eastAsia="Calibri" w:cstheme="minorHAnsi"/>
              </w:rPr>
              <w:t>§ 2 ust. 1 pkt 35 i 36:”.</w:t>
            </w:r>
          </w:p>
          <w:p w14:paraId="6BD03E7F" w14:textId="19D9E303" w:rsidR="00B91BB7" w:rsidRPr="00F404EF" w:rsidRDefault="00B91BB7" w:rsidP="00F404EF">
            <w:pPr>
              <w:jc w:val="both"/>
              <w:rPr>
                <w:rFonts w:cstheme="minorHAnsi"/>
              </w:rPr>
            </w:pPr>
          </w:p>
        </w:tc>
        <w:tc>
          <w:tcPr>
            <w:tcW w:w="1428" w:type="dxa"/>
          </w:tcPr>
          <w:p w14:paraId="2EFA759D" w14:textId="77777777" w:rsidR="00B91BB7" w:rsidRPr="00F404EF" w:rsidRDefault="00B91BB7" w:rsidP="00F404EF">
            <w:pPr>
              <w:jc w:val="both"/>
              <w:rPr>
                <w:rFonts w:cstheme="minorHAnsi"/>
              </w:rPr>
            </w:pPr>
          </w:p>
        </w:tc>
      </w:tr>
      <w:tr w:rsidR="00AF6A67" w:rsidRPr="00F404EF" w14:paraId="60130839" w14:textId="77777777" w:rsidTr="381E1325">
        <w:tc>
          <w:tcPr>
            <w:tcW w:w="562" w:type="dxa"/>
          </w:tcPr>
          <w:p w14:paraId="65A1700C" w14:textId="651F77D3" w:rsidR="00AF6A67" w:rsidRPr="00F404EF" w:rsidRDefault="00AF6A67" w:rsidP="00F404EF">
            <w:pPr>
              <w:jc w:val="center"/>
              <w:rPr>
                <w:rFonts w:cstheme="minorHAnsi"/>
              </w:rPr>
            </w:pPr>
            <w:r w:rsidRPr="00F404EF">
              <w:rPr>
                <w:rFonts w:cstheme="minorHAnsi"/>
              </w:rPr>
              <w:lastRenderedPageBreak/>
              <w:t>3</w:t>
            </w:r>
          </w:p>
        </w:tc>
        <w:tc>
          <w:tcPr>
            <w:tcW w:w="1701" w:type="dxa"/>
          </w:tcPr>
          <w:p w14:paraId="7D547597" w14:textId="0C02D4B9" w:rsidR="00AF6A67" w:rsidRPr="00F404EF" w:rsidRDefault="00AF6A67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cstheme="minorHAnsi"/>
              </w:rPr>
              <w:t>Konfederacja Lewiatan</w:t>
            </w:r>
          </w:p>
        </w:tc>
        <w:tc>
          <w:tcPr>
            <w:tcW w:w="2694" w:type="dxa"/>
          </w:tcPr>
          <w:p w14:paraId="01711ED6" w14:textId="77777777" w:rsidR="00AF6A67" w:rsidRDefault="00795602" w:rsidP="00F404EF">
            <w:pPr>
              <w:jc w:val="center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>§ 1 projektu rozporządzenia (zmiana § 3 ust. 1 pkt 32 rozporządzenia z dnia 10 września 2019 r.)</w:t>
            </w:r>
          </w:p>
          <w:p w14:paraId="271D0E8D" w14:textId="77777777" w:rsidR="005F2340" w:rsidRDefault="005F2340" w:rsidP="00F404EF">
            <w:pPr>
              <w:jc w:val="center"/>
              <w:rPr>
                <w:rFonts w:eastAsia="Lato" w:cstheme="minorHAnsi"/>
              </w:rPr>
            </w:pPr>
          </w:p>
          <w:p w14:paraId="2C301E03" w14:textId="75F6A87D" w:rsidR="005F2340" w:rsidRPr="005F2340" w:rsidRDefault="005F2340" w:rsidP="00F404EF">
            <w:pPr>
              <w:jc w:val="center"/>
              <w:rPr>
                <w:rFonts w:eastAsia="Lato" w:cstheme="minorHAnsi"/>
                <w:i/>
                <w:iCs/>
              </w:rPr>
            </w:pPr>
            <w:r>
              <w:rPr>
                <w:rFonts w:eastAsia="Lato" w:cstheme="minorHAnsi"/>
                <w:i/>
                <w:iCs/>
              </w:rPr>
              <w:t>Dotyczy obszaru ciepłownictwa</w:t>
            </w:r>
          </w:p>
        </w:tc>
        <w:tc>
          <w:tcPr>
            <w:tcW w:w="5103" w:type="dxa"/>
          </w:tcPr>
          <w:p w14:paraId="26C4A381" w14:textId="15FB235C" w:rsidR="00AF6A67" w:rsidRPr="00F404EF" w:rsidRDefault="00AF6A67" w:rsidP="00F404EF">
            <w:pPr>
              <w:jc w:val="both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>Doświadczenia w stosowaniu wskazanych przepisów pokazują, że pojęcie „osiedlowa sieć ciepłownicza” jest odmiennie interpretowane w skali całej Polski. Bywają sytuacj</w:t>
            </w:r>
            <w:r w:rsidR="00970F06">
              <w:rPr>
                <w:rFonts w:eastAsia="Lato" w:cstheme="minorHAnsi"/>
              </w:rPr>
              <w:t>e</w:t>
            </w:r>
            <w:r w:rsidRPr="00F404EF">
              <w:rPr>
                <w:rFonts w:eastAsia="Lato" w:cstheme="minorHAnsi"/>
              </w:rPr>
              <w:t>, gdy tego rodzaju sieci obejmują kilka osiedli w jednej części Polski, a w innej – poprowadzenie instalacji przez odcinek drogi publicznej na sąsiednie osiedle uniemożliwia zakwalifikowanie całości jako „osiedlowej sieci ciepłowniczej</w:t>
            </w:r>
            <w:r w:rsidR="00970F06">
              <w:rPr>
                <w:rFonts w:eastAsia="Lato" w:cstheme="minorHAnsi"/>
              </w:rPr>
              <w:t>”</w:t>
            </w:r>
            <w:r w:rsidRPr="00F404EF">
              <w:rPr>
                <w:rFonts w:eastAsia="Lato" w:cstheme="minorHAnsi"/>
              </w:rPr>
              <w:t xml:space="preserve">. </w:t>
            </w:r>
          </w:p>
          <w:p w14:paraId="60C1530B" w14:textId="77777777" w:rsidR="00AF6A67" w:rsidRPr="00F404EF" w:rsidRDefault="00AF6A67" w:rsidP="00F404EF">
            <w:pPr>
              <w:jc w:val="both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 xml:space="preserve">Zaproponowane wyłączenie spod definicji przedsięwzięć mogących potencjalnie znacząco </w:t>
            </w:r>
            <w:r w:rsidRPr="00F404EF">
              <w:rPr>
                <w:rFonts w:eastAsia="Lato" w:cstheme="minorHAnsi"/>
              </w:rPr>
              <w:lastRenderedPageBreak/>
              <w:t xml:space="preserve">oddziaływać na środowisko sieci cieplnych preizolowanych spełniających wskazane parametry wynika z zaklasyfikowania do projektów klasy A w rozumieniu polskiej normy PN-EN 13941. </w:t>
            </w:r>
          </w:p>
          <w:p w14:paraId="739BC7C3" w14:textId="77777777" w:rsidR="00AF6A67" w:rsidRPr="00F404EF" w:rsidRDefault="00AF6A67" w:rsidP="00F404EF">
            <w:pPr>
              <w:jc w:val="both"/>
              <w:rPr>
                <w:rFonts w:eastAsia="Lato" w:cstheme="minorHAnsi"/>
              </w:rPr>
            </w:pPr>
          </w:p>
          <w:p w14:paraId="3A4B889D" w14:textId="77777777" w:rsidR="00AF6A67" w:rsidRPr="00F404EF" w:rsidRDefault="00AF6A67" w:rsidP="00F404EF">
            <w:pPr>
              <w:jc w:val="both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 xml:space="preserve">Przeciętne przedsiębiorstwo ciepłownicze w dużym mieście w Polsce w ciągu 3 lat zrealizuje około 100 przedsięwzięć związanych z rozbudową sieci spełniających powyższe kryteria, z czego ok. 60% nie będzie wymagało decyzji środowiskowej zgodnie z obowiązującymi przepisami (przedsięwzięcie zostanie uznane za „osiedlową sieć ciepłowniczą” albo wystąpią inne okoliczności). </w:t>
            </w:r>
          </w:p>
          <w:p w14:paraId="7EC4C3C7" w14:textId="77777777" w:rsidR="00AF6A67" w:rsidRPr="00F404EF" w:rsidRDefault="00AF6A67" w:rsidP="00F404EF">
            <w:pPr>
              <w:jc w:val="both"/>
              <w:rPr>
                <w:rFonts w:eastAsia="Lato" w:cstheme="minorHAnsi"/>
              </w:rPr>
            </w:pPr>
          </w:p>
          <w:p w14:paraId="4CFC322E" w14:textId="23228F9A" w:rsidR="00AF6A67" w:rsidRPr="00F404EF" w:rsidRDefault="00AF6A67" w:rsidP="00F404EF">
            <w:pPr>
              <w:jc w:val="both"/>
              <w:rPr>
                <w:rFonts w:cstheme="minorHAnsi"/>
                <w:b/>
                <w:bCs/>
              </w:rPr>
            </w:pPr>
            <w:r w:rsidRPr="00F404EF">
              <w:rPr>
                <w:rFonts w:eastAsia="Lato" w:cstheme="minorHAnsi"/>
              </w:rPr>
              <w:t>Pozostałe 40% przedsięwzięć przy obecnych regulacjach, wymaga zwrócenia się do właściwego organu administracyjnego o określenie, czy wymagane jest uzyskani</w:t>
            </w:r>
            <w:r w:rsidR="002B490E">
              <w:rPr>
                <w:rFonts w:eastAsia="Lato" w:cstheme="minorHAnsi"/>
              </w:rPr>
              <w:t>e</w:t>
            </w:r>
            <w:r w:rsidRPr="00F404EF">
              <w:rPr>
                <w:rFonts w:eastAsia="Lato" w:cstheme="minorHAnsi"/>
              </w:rPr>
              <w:t xml:space="preserve"> decyzji środowiskowej. Dla około 60% przedsięwzięć organ administracyjny stwierdza brak wpływu na środowisko i umarza postępowanie administracyjne. Średni czas od zainicjowania postępowania do umorzenia wynosi około 2 miesięcy. Pozostałe 40% przedsięwzięć wymaga wydania decyzji środowiskowej bez sporządzania raportu z oceną oddziaływania na środowisko (decyzje środowiskowe wydawane są na podstawie karty informacyjnej przedsięwzięcia), a średni czas postępowania wynosi aż 6 miesięcy.</w:t>
            </w:r>
          </w:p>
        </w:tc>
        <w:tc>
          <w:tcPr>
            <w:tcW w:w="4252" w:type="dxa"/>
          </w:tcPr>
          <w:p w14:paraId="1C367135" w14:textId="77777777" w:rsidR="004E1FC9" w:rsidRPr="00F404EF" w:rsidRDefault="004E1FC9" w:rsidP="00F404EF">
            <w:pPr>
              <w:jc w:val="both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lastRenderedPageBreak/>
              <w:t xml:space="preserve">32) instalacje do </w:t>
            </w:r>
            <w:proofErr w:type="spellStart"/>
            <w:r w:rsidRPr="00F404EF">
              <w:rPr>
                <w:rFonts w:eastAsia="Lato" w:cstheme="minorHAnsi"/>
              </w:rPr>
              <w:t>przesyłu</w:t>
            </w:r>
            <w:proofErr w:type="spellEnd"/>
            <w:r w:rsidRPr="00F404EF">
              <w:rPr>
                <w:rFonts w:eastAsia="Lato" w:cstheme="minorHAnsi"/>
              </w:rPr>
              <w:t xml:space="preserve"> pary wodnej lub ciepłej wody, z wyłączeniem:</w:t>
            </w:r>
          </w:p>
          <w:p w14:paraId="6FA1B420" w14:textId="77777777" w:rsidR="004E1FC9" w:rsidRPr="00F404EF" w:rsidRDefault="004E1FC9" w:rsidP="00F404EF">
            <w:pPr>
              <w:jc w:val="both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 xml:space="preserve">a) osiedlowych sieci ciepłowniczych rozumianych jako końcowe odcinki sieci ciepłowniczej doprowadzających parę wodną, ciepłą wodę do odbiorców niepełniących funkcji dalszej dystrybucji lub </w:t>
            </w:r>
            <w:proofErr w:type="spellStart"/>
            <w:r w:rsidRPr="00F404EF">
              <w:rPr>
                <w:rFonts w:eastAsia="Lato" w:cstheme="minorHAnsi"/>
              </w:rPr>
              <w:t>przesyłu</w:t>
            </w:r>
            <w:proofErr w:type="spellEnd"/>
            <w:r w:rsidRPr="00F404EF">
              <w:rPr>
                <w:rFonts w:eastAsia="Lato" w:cstheme="minorHAnsi"/>
              </w:rPr>
              <w:t>,</w:t>
            </w:r>
          </w:p>
          <w:p w14:paraId="29882078" w14:textId="77777777" w:rsidR="004E1FC9" w:rsidRPr="00F404EF" w:rsidRDefault="004E1FC9" w:rsidP="00F404EF">
            <w:pPr>
              <w:jc w:val="both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>b) przyłączy do budynków,</w:t>
            </w:r>
          </w:p>
          <w:p w14:paraId="66526459" w14:textId="77777777" w:rsidR="004E1FC9" w:rsidRPr="00F404EF" w:rsidRDefault="004E1FC9" w:rsidP="00F404EF">
            <w:pPr>
              <w:jc w:val="both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lastRenderedPageBreak/>
              <w:t>c) sieci cieplnych preizolowanych spełniających łącznie następujące parametry:</w:t>
            </w:r>
          </w:p>
          <w:p w14:paraId="01E0927D" w14:textId="77777777" w:rsidR="004E1FC9" w:rsidRPr="00F404EF" w:rsidRDefault="004E1FC9" w:rsidP="00F404EF">
            <w:pPr>
              <w:jc w:val="both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>- średnica zewnętrzna do 323,9 mm włącznie o minimalnej grubości ścianki rurociągu 5,6 mm oraz</w:t>
            </w:r>
          </w:p>
          <w:p w14:paraId="1F6064F5" w14:textId="77777777" w:rsidR="004E1FC9" w:rsidRPr="00F404EF" w:rsidRDefault="004E1FC9" w:rsidP="00F404EF">
            <w:pPr>
              <w:jc w:val="both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 xml:space="preserve">- temperatura pary wodnej lub ciepłej wody do 140 </w:t>
            </w:r>
            <w:r w:rsidRPr="00F404EF">
              <w:rPr>
                <w:rFonts w:ascii="Cambria Math" w:eastAsia="Lato" w:hAnsi="Cambria Math" w:cs="Cambria Math"/>
              </w:rPr>
              <w:t>℃</w:t>
            </w:r>
            <w:r w:rsidRPr="00F404EF">
              <w:rPr>
                <w:rFonts w:eastAsia="Lato" w:cstheme="minorHAnsi"/>
              </w:rPr>
              <w:t xml:space="preserve"> oraz</w:t>
            </w:r>
          </w:p>
          <w:p w14:paraId="500DD08A" w14:textId="77777777" w:rsidR="004E1FC9" w:rsidRPr="00F404EF" w:rsidRDefault="004E1FC9" w:rsidP="00F404EF">
            <w:pPr>
              <w:jc w:val="both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 xml:space="preserve">- </w:t>
            </w:r>
            <w:proofErr w:type="spellStart"/>
            <w:r w:rsidRPr="00F404EF">
              <w:rPr>
                <w:rFonts w:eastAsia="Lato" w:cstheme="minorHAnsi"/>
              </w:rPr>
              <w:t>naprężeń</w:t>
            </w:r>
            <w:proofErr w:type="spellEnd"/>
            <w:r w:rsidRPr="00F404EF">
              <w:rPr>
                <w:rFonts w:eastAsia="Lato" w:cstheme="minorHAnsi"/>
              </w:rPr>
              <w:t xml:space="preserve"> osiowych nie przekraczających 235 N/mm2.</w:t>
            </w:r>
          </w:p>
          <w:p w14:paraId="021DE76E" w14:textId="77777777" w:rsidR="00AF6A67" w:rsidRPr="00F404EF" w:rsidRDefault="00AF6A67" w:rsidP="00F404EF">
            <w:pPr>
              <w:jc w:val="both"/>
              <w:rPr>
                <w:rFonts w:cstheme="minorHAnsi"/>
              </w:rPr>
            </w:pPr>
          </w:p>
        </w:tc>
        <w:tc>
          <w:tcPr>
            <w:tcW w:w="1428" w:type="dxa"/>
          </w:tcPr>
          <w:p w14:paraId="50441CD5" w14:textId="77777777" w:rsidR="00AF6A67" w:rsidRPr="00F404EF" w:rsidRDefault="00AF6A67" w:rsidP="00F404EF">
            <w:pPr>
              <w:jc w:val="both"/>
              <w:rPr>
                <w:rFonts w:cstheme="minorHAnsi"/>
              </w:rPr>
            </w:pPr>
          </w:p>
        </w:tc>
      </w:tr>
      <w:tr w:rsidR="00AF6A67" w:rsidRPr="00F404EF" w14:paraId="50E6FC26" w14:textId="77777777" w:rsidTr="381E1325">
        <w:tc>
          <w:tcPr>
            <w:tcW w:w="562" w:type="dxa"/>
          </w:tcPr>
          <w:p w14:paraId="72CBEA22" w14:textId="7F364877" w:rsidR="00AF6A67" w:rsidRPr="00F404EF" w:rsidRDefault="00AF6A67" w:rsidP="00F404EF">
            <w:pPr>
              <w:jc w:val="center"/>
              <w:rPr>
                <w:rFonts w:cstheme="minorHAnsi"/>
              </w:rPr>
            </w:pPr>
            <w:r w:rsidRPr="00F404EF">
              <w:rPr>
                <w:rFonts w:cstheme="minorHAnsi"/>
              </w:rPr>
              <w:t>4</w:t>
            </w:r>
          </w:p>
        </w:tc>
        <w:tc>
          <w:tcPr>
            <w:tcW w:w="1701" w:type="dxa"/>
          </w:tcPr>
          <w:p w14:paraId="13E20248" w14:textId="7B5CF5FB" w:rsidR="00AF6A67" w:rsidRPr="00F404EF" w:rsidRDefault="00AF6A67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cstheme="minorHAnsi"/>
              </w:rPr>
              <w:t>Konfederacja Lewiatan</w:t>
            </w:r>
          </w:p>
        </w:tc>
        <w:tc>
          <w:tcPr>
            <w:tcW w:w="2694" w:type="dxa"/>
          </w:tcPr>
          <w:p w14:paraId="12E35E73" w14:textId="5107AD23" w:rsidR="00AF6A67" w:rsidRDefault="00AF6A67" w:rsidP="00F404EF">
            <w:pPr>
              <w:jc w:val="center"/>
              <w:rPr>
                <w:rFonts w:eastAsia="Lato" w:cstheme="minorHAnsi"/>
              </w:rPr>
            </w:pPr>
            <w:r w:rsidRPr="00F404EF">
              <w:rPr>
                <w:rFonts w:eastAsia="Lato" w:cstheme="minorHAnsi"/>
              </w:rPr>
              <w:t>§ 3 ust. 1 pkt 47 rozporządzenia zmienianego (rozporządzenia OOŚ)</w:t>
            </w:r>
          </w:p>
          <w:p w14:paraId="6CC52F2B" w14:textId="77777777" w:rsidR="00EC6E83" w:rsidRDefault="00EC6E83" w:rsidP="00F404EF">
            <w:pPr>
              <w:jc w:val="center"/>
              <w:rPr>
                <w:rFonts w:eastAsia="Lato" w:cstheme="minorHAnsi"/>
              </w:rPr>
            </w:pPr>
          </w:p>
          <w:p w14:paraId="5EC10D65" w14:textId="1D3D8D1C" w:rsidR="00EC6E83" w:rsidRPr="00EC6E83" w:rsidRDefault="00EC6E83" w:rsidP="00F404EF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eastAsia="Lato" w:cstheme="minorHAnsi"/>
                <w:i/>
                <w:iCs/>
              </w:rPr>
              <w:t>Dotyczy obszaru biogazu</w:t>
            </w:r>
            <w:r w:rsidR="00541993">
              <w:rPr>
                <w:rFonts w:eastAsia="Lato" w:cstheme="minorHAnsi"/>
                <w:i/>
                <w:iCs/>
              </w:rPr>
              <w:t xml:space="preserve"> i biometanu</w:t>
            </w:r>
          </w:p>
          <w:p w14:paraId="607E353C" w14:textId="2003A80A" w:rsidR="00AF6A67" w:rsidRPr="00F404EF" w:rsidRDefault="00AF6A67" w:rsidP="00F404EF">
            <w:pPr>
              <w:jc w:val="both"/>
              <w:rPr>
                <w:rFonts w:cstheme="minorHAnsi"/>
              </w:rPr>
            </w:pPr>
          </w:p>
        </w:tc>
        <w:tc>
          <w:tcPr>
            <w:tcW w:w="5103" w:type="dxa"/>
          </w:tcPr>
          <w:p w14:paraId="0A461E48" w14:textId="21330F42" w:rsidR="00AF6A67" w:rsidRPr="003E05D4" w:rsidRDefault="00AF6A67" w:rsidP="00F404EF">
            <w:pPr>
              <w:jc w:val="both"/>
              <w:rPr>
                <w:rFonts w:cstheme="minorHAnsi"/>
              </w:rPr>
            </w:pPr>
            <w:r w:rsidRPr="003E05D4">
              <w:rPr>
                <w:rFonts w:cstheme="minorHAnsi"/>
                <w:b/>
                <w:bCs/>
              </w:rPr>
              <w:lastRenderedPageBreak/>
              <w:t xml:space="preserve">Należy wprowadzić oddzielny punkt dotyczący instalacji biogazowych, w tym instalacji biogazowych CHP i </w:t>
            </w:r>
            <w:proofErr w:type="spellStart"/>
            <w:r w:rsidRPr="003E05D4">
              <w:rPr>
                <w:rFonts w:cstheme="minorHAnsi"/>
                <w:b/>
                <w:bCs/>
              </w:rPr>
              <w:t>biometanowych</w:t>
            </w:r>
            <w:proofErr w:type="spellEnd"/>
            <w:r w:rsidRPr="003E05D4">
              <w:rPr>
                <w:rFonts w:cstheme="minorHAnsi"/>
                <w:b/>
                <w:bCs/>
              </w:rPr>
              <w:t xml:space="preserve"> ze względu na to, iż jest to już technologia dojrzała (podobnie jak instalacje wiatrowe i PV), a równocześnie obecne umieszczenie przepisów dotyczących instalacji biogazowych rodzić </w:t>
            </w:r>
            <w:r w:rsidRPr="003E05D4">
              <w:rPr>
                <w:rFonts w:cstheme="minorHAnsi"/>
                <w:b/>
                <w:bCs/>
              </w:rPr>
              <w:lastRenderedPageBreak/>
              <w:t>może trudności interpretacyjne</w:t>
            </w:r>
            <w:r w:rsidR="00541993">
              <w:rPr>
                <w:rFonts w:cstheme="minorHAnsi"/>
                <w:b/>
                <w:bCs/>
              </w:rPr>
              <w:t xml:space="preserve"> z uwagi </w:t>
            </w:r>
            <w:r w:rsidRPr="003E05D4">
              <w:rPr>
                <w:rFonts w:cstheme="minorHAnsi"/>
                <w:b/>
                <w:bCs/>
              </w:rPr>
              <w:t>na kontekst</w:t>
            </w:r>
            <w:r w:rsidR="00541993">
              <w:rPr>
                <w:rFonts w:cstheme="minorHAnsi"/>
                <w:b/>
                <w:bCs/>
              </w:rPr>
              <w:t>,</w:t>
            </w:r>
            <w:r w:rsidRPr="003E05D4">
              <w:rPr>
                <w:rFonts w:cstheme="minorHAnsi"/>
                <w:b/>
                <w:bCs/>
              </w:rPr>
              <w:t xml:space="preserve"> w jakim są one obecnie umieszczone.</w:t>
            </w:r>
            <w:r w:rsidRPr="003E05D4">
              <w:rPr>
                <w:rFonts w:cstheme="minorHAnsi"/>
              </w:rPr>
              <w:t> </w:t>
            </w:r>
          </w:p>
          <w:p w14:paraId="3F0473F7" w14:textId="77777777" w:rsidR="00AF6A67" w:rsidRPr="003E05D4" w:rsidRDefault="00AF6A67" w:rsidP="00F404EF">
            <w:pPr>
              <w:jc w:val="both"/>
              <w:rPr>
                <w:rFonts w:cstheme="minorHAnsi"/>
              </w:rPr>
            </w:pPr>
            <w:r w:rsidRPr="003E05D4">
              <w:rPr>
                <w:rFonts w:cstheme="minorHAnsi"/>
              </w:rPr>
              <w:t> </w:t>
            </w:r>
          </w:p>
          <w:p w14:paraId="28E1B355" w14:textId="3F6E9BD9" w:rsidR="00AF6A67" w:rsidRPr="003E05D4" w:rsidRDefault="00AF6A67" w:rsidP="00F404EF">
            <w:pPr>
              <w:jc w:val="both"/>
              <w:rPr>
                <w:rFonts w:cstheme="minorHAnsi"/>
              </w:rPr>
            </w:pPr>
            <w:r w:rsidRPr="003E05D4">
              <w:rPr>
                <w:rFonts w:cstheme="minorHAnsi"/>
              </w:rPr>
              <w:t xml:space="preserve">Rozwój biogazowni i innych instalacji biogazowych, w tym biogazowni CHP i </w:t>
            </w:r>
            <w:proofErr w:type="spellStart"/>
            <w:r w:rsidRPr="003E05D4">
              <w:rPr>
                <w:rFonts w:cstheme="minorHAnsi"/>
              </w:rPr>
              <w:t>biometanowychb</w:t>
            </w:r>
            <w:proofErr w:type="spellEnd"/>
            <w:r w:rsidRPr="003E05D4">
              <w:rPr>
                <w:rFonts w:cstheme="minorHAnsi"/>
              </w:rPr>
              <w:t xml:space="preserve"> w Polsce jest najbardziej opóźniony względem celów </w:t>
            </w:r>
            <w:proofErr w:type="spellStart"/>
            <w:r w:rsidRPr="003E05D4">
              <w:rPr>
                <w:rFonts w:cstheme="minorHAnsi"/>
              </w:rPr>
              <w:t>KPEiK</w:t>
            </w:r>
            <w:proofErr w:type="spellEnd"/>
            <w:r w:rsidRPr="003E05D4">
              <w:rPr>
                <w:rFonts w:cstheme="minorHAnsi"/>
              </w:rPr>
              <w:t xml:space="preserve"> oraz innych wcześniejszych dokumentów strategicznych, mimo że sektor ten dysponuje jednym z największych potencjałów w całej Unii Europejskiej. Źródeł tego stanu rzeczy należy szukać w wielu obszarach, jednak jednym z najczęściej wskazywanych przez inwestorów problemów jest złożoność i przewlekłość procedur administracyjnych. </w:t>
            </w:r>
            <w:r w:rsidR="00370192">
              <w:rPr>
                <w:rFonts w:cstheme="minorHAnsi"/>
              </w:rPr>
              <w:t xml:space="preserve"> </w:t>
            </w:r>
          </w:p>
          <w:p w14:paraId="75A98D3B" w14:textId="77777777" w:rsidR="00AF6A67" w:rsidRPr="003E05D4" w:rsidRDefault="00AF6A67" w:rsidP="00F404EF">
            <w:pPr>
              <w:jc w:val="both"/>
              <w:rPr>
                <w:rFonts w:cstheme="minorHAnsi"/>
              </w:rPr>
            </w:pPr>
            <w:r w:rsidRPr="003E05D4">
              <w:rPr>
                <w:rFonts w:cstheme="minorHAnsi"/>
              </w:rPr>
              <w:t> </w:t>
            </w:r>
          </w:p>
          <w:p w14:paraId="71373A8B" w14:textId="115DA4E8" w:rsidR="00AF6A67" w:rsidRPr="003E05D4" w:rsidRDefault="00AF6A67" w:rsidP="00F404EF">
            <w:pPr>
              <w:jc w:val="both"/>
              <w:rPr>
                <w:rFonts w:cstheme="minorHAnsi"/>
              </w:rPr>
            </w:pPr>
            <w:r w:rsidRPr="003E05D4">
              <w:rPr>
                <w:rFonts w:cstheme="minorHAnsi"/>
              </w:rPr>
              <w:t>Szczególnie dotkliwą barierą pozostaje uzyskanie decyzji o środowiskowych uwarunkowaniach (DŚU), która powinna być pozyskana na samym początku procesu inwestycyjnego, a zwłaszcza brak jednoznacznych uregulowań, kiedy DŚU nie jest konieczna.</w:t>
            </w:r>
            <w:r w:rsidR="00370192" w:rsidRPr="003E05D4">
              <w:rPr>
                <w:rFonts w:cstheme="minorHAnsi"/>
              </w:rPr>
              <w:t xml:space="preserve"> </w:t>
            </w:r>
            <w:r w:rsidRPr="003E05D4">
              <w:rPr>
                <w:rFonts w:cstheme="minorHAnsi"/>
              </w:rPr>
              <w:t>Warto w tym miejscu pamiętać, że bez DŚU (lub zwolnienia z konieczności jej uzyskania) nie ma możliwości ubiegania się o wydanie warunków przyłączenia do sieci energetycznej (oczywiście po uzyskaniu w międzyczasie warunków zabudowy (WZ) lub wyciągu z MPZP).  </w:t>
            </w:r>
          </w:p>
          <w:p w14:paraId="6B96D8AB" w14:textId="37B52B38" w:rsidR="00AF6A67" w:rsidRPr="003E05D4" w:rsidRDefault="00AF6A67" w:rsidP="00F404EF">
            <w:pPr>
              <w:jc w:val="both"/>
              <w:rPr>
                <w:rFonts w:cstheme="minorHAnsi"/>
              </w:rPr>
            </w:pPr>
            <w:r w:rsidRPr="003E05D4">
              <w:rPr>
                <w:rFonts w:cstheme="minorHAnsi"/>
              </w:rPr>
              <w:t> </w:t>
            </w:r>
          </w:p>
          <w:p w14:paraId="1502F928" w14:textId="28D4DC18" w:rsidR="00AF6A67" w:rsidRPr="003E05D4" w:rsidRDefault="00AF6A67" w:rsidP="00F404EF">
            <w:pPr>
              <w:jc w:val="both"/>
              <w:rPr>
                <w:rFonts w:cstheme="minorHAnsi"/>
              </w:rPr>
            </w:pPr>
            <w:r w:rsidRPr="003E05D4">
              <w:rPr>
                <w:rFonts w:cstheme="minorHAnsi"/>
                <w:b/>
                <w:bCs/>
              </w:rPr>
              <w:t xml:space="preserve">Główne problemy zgłaszane przez inwestorów, </w:t>
            </w:r>
            <w:r w:rsidR="005937D0">
              <w:rPr>
                <w:rFonts w:cstheme="minorHAnsi"/>
                <w:b/>
                <w:bCs/>
              </w:rPr>
              <w:t>identyfikowane</w:t>
            </w:r>
            <w:r w:rsidRPr="003E05D4">
              <w:rPr>
                <w:rFonts w:cstheme="minorHAnsi"/>
                <w:b/>
                <w:bCs/>
              </w:rPr>
              <w:t xml:space="preserve"> na tle stosowania obecnie obowiązujących uregulowań:</w:t>
            </w:r>
            <w:r w:rsidRPr="003E05D4">
              <w:rPr>
                <w:rFonts w:cstheme="minorHAnsi"/>
              </w:rPr>
              <w:t> </w:t>
            </w:r>
          </w:p>
          <w:p w14:paraId="2E1D2FB3" w14:textId="77777777" w:rsidR="00AF6A67" w:rsidRPr="003E05D4" w:rsidRDefault="00AF6A67" w:rsidP="00F404EF">
            <w:pPr>
              <w:numPr>
                <w:ilvl w:val="0"/>
                <w:numId w:val="11"/>
              </w:numPr>
              <w:jc w:val="both"/>
              <w:rPr>
                <w:rFonts w:cstheme="minorHAnsi"/>
              </w:rPr>
            </w:pPr>
            <w:r w:rsidRPr="003E05D4">
              <w:rPr>
                <w:rFonts w:cstheme="minorHAnsi"/>
              </w:rPr>
              <w:t>Brak jednoznacznego zwolnienia z obowiązku uzyskania DŚU nawet dla biogazowni o mocy 499 kW, z uwagi na kumulację oddziaływań z już istniejącymi inwestycjami takimi jak fermy hodowlane, z których obornik lub gnojowica mają być substratem w biogazowni. </w:t>
            </w:r>
          </w:p>
          <w:p w14:paraId="30BBBA66" w14:textId="6AF8E4D1" w:rsidR="00AF6A67" w:rsidRPr="003E05D4" w:rsidRDefault="00AF6A67" w:rsidP="00F404EF">
            <w:pPr>
              <w:numPr>
                <w:ilvl w:val="0"/>
                <w:numId w:val="12"/>
              </w:numPr>
              <w:jc w:val="both"/>
              <w:rPr>
                <w:rFonts w:cstheme="minorHAnsi"/>
              </w:rPr>
            </w:pPr>
            <w:r w:rsidRPr="003E05D4">
              <w:rPr>
                <w:rFonts w:cstheme="minorHAnsi"/>
              </w:rPr>
              <w:lastRenderedPageBreak/>
              <w:t xml:space="preserve">Powiązanie parametru mocy z parametrem powierzchni zabudowy. Definicja powierzchni obejmuje nie tylko samą zabudowę, ale również teren przekształcony tymczasowo. </w:t>
            </w:r>
            <w:r w:rsidR="007F64EB">
              <w:rPr>
                <w:rFonts w:cstheme="minorHAnsi"/>
              </w:rPr>
              <w:br/>
            </w:r>
            <w:r w:rsidRPr="003E05D4">
              <w:rPr>
                <w:rFonts w:cstheme="minorHAnsi"/>
              </w:rPr>
              <w:t>W praktyce oznacza to, że biogazownia o mocy 250 kW, która według Prawa budowlanego zajmuje 0,5 ha, w świetle rozporządzenia traktowana jest jako inwestycja przekraczająca 1 ha. </w:t>
            </w:r>
          </w:p>
          <w:p w14:paraId="2CEAA2C3" w14:textId="77777777" w:rsidR="00AF6A67" w:rsidRPr="003E05D4" w:rsidRDefault="00AF6A67" w:rsidP="00F404EF">
            <w:pPr>
              <w:numPr>
                <w:ilvl w:val="0"/>
                <w:numId w:val="13"/>
              </w:numPr>
              <w:jc w:val="both"/>
              <w:rPr>
                <w:rFonts w:cstheme="minorHAnsi"/>
              </w:rPr>
            </w:pPr>
            <w:r w:rsidRPr="003E05D4">
              <w:rPr>
                <w:rFonts w:cstheme="minorHAnsi"/>
              </w:rPr>
              <w:t>Do powierzchni zabudowy często dolicza się także inne istniejące obiekty, np. drogę dojazdową, co powoduje, że przewidziane dla małych instalacji zwolnienie z obowiązku uzyskania DŚU ma w praktyce charakter wyłącznie teoretyczny. </w:t>
            </w:r>
          </w:p>
          <w:p w14:paraId="64CD17A9" w14:textId="2CB0B492" w:rsidR="00AF6A67" w:rsidRPr="00F404EF" w:rsidRDefault="00AF6A67" w:rsidP="00F404EF">
            <w:pPr>
              <w:numPr>
                <w:ilvl w:val="0"/>
                <w:numId w:val="14"/>
              </w:numPr>
              <w:jc w:val="both"/>
              <w:rPr>
                <w:rFonts w:cstheme="minorHAnsi"/>
              </w:rPr>
            </w:pPr>
            <w:r w:rsidRPr="003E05D4">
              <w:rPr>
                <w:rFonts w:cstheme="minorHAnsi"/>
              </w:rPr>
              <w:t xml:space="preserve">Coraz częściej wydawane są tzw. warunki przyłączenia w harmonogramie. W efekcie inwestorzy, którzy chcą zagospodarować wytworzony biogaz w krótszym czasie </w:t>
            </w:r>
            <w:r w:rsidR="00EF346E">
              <w:rPr>
                <w:rFonts w:cstheme="minorHAnsi"/>
              </w:rPr>
              <w:br/>
            </w:r>
            <w:r w:rsidRPr="003E05D4">
              <w:rPr>
                <w:rFonts w:cstheme="minorHAnsi"/>
              </w:rPr>
              <w:t xml:space="preserve">(np. w ciągu 12 godzin zamiast 24), są zmuszeni do zwiększania mocy zainstalowanej </w:t>
            </w:r>
            <w:r w:rsidRPr="003E05D4">
              <w:rPr>
                <w:rFonts w:cstheme="minorHAnsi"/>
                <w:u w:val="single"/>
              </w:rPr>
              <w:t>bez zwiększania produkcji biogazu ani zużycia substratów</w:t>
            </w:r>
            <w:r w:rsidRPr="003E05D4">
              <w:rPr>
                <w:rFonts w:cstheme="minorHAnsi"/>
              </w:rPr>
              <w:t xml:space="preserve">. Taka instalacja (biogazownia </w:t>
            </w:r>
            <w:r w:rsidR="00EF346E">
              <w:rPr>
                <w:rFonts w:cstheme="minorHAnsi"/>
              </w:rPr>
              <w:br/>
            </w:r>
            <w:r w:rsidRPr="003E05D4">
              <w:rPr>
                <w:rFonts w:cstheme="minorHAnsi"/>
              </w:rPr>
              <w:t xml:space="preserve">o większej mocy pracująca krócej) oddziałuje na środowisko w sposób porównywalny </w:t>
            </w:r>
            <w:r w:rsidR="00EF346E">
              <w:rPr>
                <w:rFonts w:cstheme="minorHAnsi"/>
              </w:rPr>
              <w:br/>
            </w:r>
            <w:r w:rsidRPr="003E05D4">
              <w:rPr>
                <w:rFonts w:cstheme="minorHAnsi"/>
              </w:rPr>
              <w:t xml:space="preserve">z biogazownią o mniejszej mocy pracującą </w:t>
            </w:r>
            <w:r w:rsidR="00EF346E">
              <w:rPr>
                <w:rFonts w:cstheme="minorHAnsi"/>
              </w:rPr>
              <w:br/>
            </w:r>
            <w:r w:rsidRPr="003E05D4">
              <w:rPr>
                <w:rFonts w:cstheme="minorHAnsi"/>
              </w:rPr>
              <w:t>w trybie ciągłym 24 h.</w:t>
            </w:r>
          </w:p>
        </w:tc>
        <w:tc>
          <w:tcPr>
            <w:tcW w:w="4252" w:type="dxa"/>
          </w:tcPr>
          <w:p w14:paraId="32BD7A0B" w14:textId="77777777" w:rsidR="00AF6A67" w:rsidRPr="00876E33" w:rsidRDefault="00AF6A67" w:rsidP="00F404EF">
            <w:pPr>
              <w:jc w:val="both"/>
              <w:rPr>
                <w:rFonts w:cstheme="minorHAnsi"/>
              </w:rPr>
            </w:pPr>
            <w:r w:rsidRPr="00876E33">
              <w:rPr>
                <w:rFonts w:cstheme="minorHAnsi"/>
              </w:rPr>
              <w:lastRenderedPageBreak/>
              <w:t>Po punkcie 47 dodaje się punkt 47a, o następującej treści: </w:t>
            </w:r>
          </w:p>
          <w:p w14:paraId="29FFC852" w14:textId="77777777" w:rsidR="00AF6A67" w:rsidRPr="00876E33" w:rsidRDefault="00AF6A67" w:rsidP="00F404EF">
            <w:pPr>
              <w:jc w:val="both"/>
              <w:rPr>
                <w:rFonts w:cstheme="minorHAnsi"/>
              </w:rPr>
            </w:pPr>
            <w:r w:rsidRPr="00876E33">
              <w:rPr>
                <w:rFonts w:cstheme="minorHAnsi"/>
              </w:rPr>
              <w:t> </w:t>
            </w:r>
          </w:p>
          <w:p w14:paraId="54B4C0D6" w14:textId="77777777" w:rsidR="00AF6A67" w:rsidRPr="00876E33" w:rsidRDefault="00AF6A67" w:rsidP="00F404EF">
            <w:pPr>
              <w:jc w:val="both"/>
              <w:rPr>
                <w:rFonts w:cstheme="minorHAnsi"/>
              </w:rPr>
            </w:pPr>
            <w:r w:rsidRPr="00876E33">
              <w:rPr>
                <w:rFonts w:cstheme="minorHAnsi"/>
              </w:rPr>
              <w:t xml:space="preserve">47a) „ instalacje odnawialnego źródła energii, w rozumieniu art. 2 pkt 13 ustawy z dnia 20 lutego 2015 r. o odnawialnych źródłach energii, do wytwarzania biogazu, biogazu </w:t>
            </w:r>
            <w:r w:rsidRPr="00876E33">
              <w:rPr>
                <w:rFonts w:cstheme="minorHAnsi"/>
              </w:rPr>
              <w:lastRenderedPageBreak/>
              <w:t>rolniczego lub biometanu, o zainstalowanej mocy elektrycznej nie mniejszej niż 1 MW lub wytwarzającej ekwiwalentną ilość biogazu, biogazu rolniczego lub biometanu .” </w:t>
            </w:r>
          </w:p>
          <w:p w14:paraId="2B119892" w14:textId="354B0CD6" w:rsidR="00AF6A67" w:rsidRPr="00F404EF" w:rsidRDefault="00AF6A67" w:rsidP="00F404EF">
            <w:pPr>
              <w:jc w:val="both"/>
              <w:rPr>
                <w:rFonts w:cstheme="minorHAnsi"/>
              </w:rPr>
            </w:pPr>
          </w:p>
        </w:tc>
        <w:tc>
          <w:tcPr>
            <w:tcW w:w="1428" w:type="dxa"/>
          </w:tcPr>
          <w:p w14:paraId="5D16DB46" w14:textId="77777777" w:rsidR="00AF6A67" w:rsidRPr="00F404EF" w:rsidRDefault="00AF6A67" w:rsidP="00F404EF">
            <w:pPr>
              <w:jc w:val="both"/>
              <w:rPr>
                <w:rFonts w:cstheme="minorHAnsi"/>
              </w:rPr>
            </w:pPr>
          </w:p>
        </w:tc>
      </w:tr>
      <w:tr w:rsidR="00AF6A67" w:rsidRPr="00F404EF" w14:paraId="0B5199B1" w14:textId="77777777" w:rsidTr="381E1325">
        <w:tc>
          <w:tcPr>
            <w:tcW w:w="562" w:type="dxa"/>
          </w:tcPr>
          <w:p w14:paraId="486410FA" w14:textId="45F954AB" w:rsidR="00AF6A67" w:rsidRPr="00F404EF" w:rsidRDefault="00F404EF" w:rsidP="00F404EF">
            <w:pPr>
              <w:jc w:val="center"/>
              <w:rPr>
                <w:rFonts w:cstheme="minorHAnsi"/>
              </w:rPr>
            </w:pPr>
            <w:r w:rsidRPr="00F404EF">
              <w:rPr>
                <w:rFonts w:cstheme="minorHAnsi"/>
              </w:rPr>
              <w:lastRenderedPageBreak/>
              <w:t>5</w:t>
            </w:r>
          </w:p>
        </w:tc>
        <w:tc>
          <w:tcPr>
            <w:tcW w:w="1701" w:type="dxa"/>
          </w:tcPr>
          <w:p w14:paraId="41EC1220" w14:textId="62689365" w:rsidR="00AF6A67" w:rsidRPr="00F404EF" w:rsidRDefault="00F404EF" w:rsidP="00F404EF">
            <w:pPr>
              <w:rPr>
                <w:rFonts w:cstheme="minorHAnsi"/>
              </w:rPr>
            </w:pPr>
            <w:r w:rsidRPr="00F404EF">
              <w:rPr>
                <w:rFonts w:cstheme="minorHAnsi"/>
              </w:rPr>
              <w:t>Konfederacja Lewiatan</w:t>
            </w:r>
          </w:p>
        </w:tc>
        <w:tc>
          <w:tcPr>
            <w:tcW w:w="2694" w:type="dxa"/>
          </w:tcPr>
          <w:p w14:paraId="22C1B167" w14:textId="77777777" w:rsidR="000A08B5" w:rsidRPr="00F404EF" w:rsidRDefault="000A08B5" w:rsidP="00F404EF">
            <w:pPr>
              <w:jc w:val="center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>§ 3 ust. 1 pkt 47 rozporządzenia zmienianego (rozporządzenia OOŚ)</w:t>
            </w:r>
          </w:p>
          <w:p w14:paraId="635A41B8" w14:textId="77777777" w:rsidR="00AF6A67" w:rsidRDefault="00AF6A67" w:rsidP="00F404EF">
            <w:pPr>
              <w:jc w:val="both"/>
              <w:rPr>
                <w:rFonts w:cstheme="minorHAnsi"/>
              </w:rPr>
            </w:pPr>
          </w:p>
          <w:p w14:paraId="18980FE8" w14:textId="77777777" w:rsidR="00EF346E" w:rsidRPr="00EC6E83" w:rsidRDefault="00EF346E" w:rsidP="00EF346E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eastAsia="Lato" w:cstheme="minorHAnsi"/>
                <w:i/>
                <w:iCs/>
              </w:rPr>
              <w:t>Dotyczy obszaru biogazu i biometanu</w:t>
            </w:r>
          </w:p>
          <w:p w14:paraId="18801E29" w14:textId="227833CC" w:rsidR="00EF346E" w:rsidRPr="00F404EF" w:rsidRDefault="00EF346E" w:rsidP="00F404EF">
            <w:pPr>
              <w:jc w:val="both"/>
              <w:rPr>
                <w:rFonts w:cstheme="minorHAnsi"/>
              </w:rPr>
            </w:pPr>
          </w:p>
        </w:tc>
        <w:tc>
          <w:tcPr>
            <w:tcW w:w="5103" w:type="dxa"/>
          </w:tcPr>
          <w:p w14:paraId="0611B7C8" w14:textId="713B52AC" w:rsidR="00AF6A67" w:rsidRPr="00F404EF" w:rsidRDefault="00CA1426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cstheme="minorHAnsi"/>
              </w:rPr>
              <w:t xml:space="preserve">Ze względu na </w:t>
            </w:r>
            <w:r w:rsidR="00483126">
              <w:rPr>
                <w:rFonts w:cstheme="minorHAnsi"/>
              </w:rPr>
              <w:t xml:space="preserve">propozycję </w:t>
            </w:r>
            <w:r w:rsidRPr="00F404EF">
              <w:rPr>
                <w:rFonts w:cstheme="minorHAnsi"/>
              </w:rPr>
              <w:t>utworzeni</w:t>
            </w:r>
            <w:r w:rsidR="007B4E49">
              <w:rPr>
                <w:rFonts w:cstheme="minorHAnsi"/>
              </w:rPr>
              <w:t>a</w:t>
            </w:r>
            <w:r w:rsidRPr="00F404EF">
              <w:rPr>
                <w:rFonts w:cstheme="minorHAnsi"/>
              </w:rPr>
              <w:t xml:space="preserve"> nowego punktu 47a dotyczącego </w:t>
            </w:r>
            <w:r w:rsidRPr="00F404EF">
              <w:rPr>
                <w:rFonts w:cstheme="minorHAnsi"/>
                <w:i/>
                <w:iCs/>
              </w:rPr>
              <w:t> </w:t>
            </w:r>
            <w:r w:rsidRPr="00F404EF">
              <w:rPr>
                <w:rFonts w:cstheme="minorHAnsi"/>
              </w:rPr>
              <w:t>instalacji  służących do wytwarzania biogazu, biogazu rolniczego lub biometanu</w:t>
            </w:r>
            <w:r w:rsidR="00483126">
              <w:rPr>
                <w:rFonts w:cstheme="minorHAnsi"/>
              </w:rPr>
              <w:t xml:space="preserve"> (jak wyżej),</w:t>
            </w:r>
            <w:r w:rsidRPr="00F404EF">
              <w:rPr>
                <w:rFonts w:cstheme="minorHAnsi"/>
              </w:rPr>
              <w:t xml:space="preserve"> konieczna jest zmiana pkt 47</w:t>
            </w:r>
            <w:r w:rsidR="00483126">
              <w:rPr>
                <w:rFonts w:cstheme="minorHAnsi"/>
              </w:rPr>
              <w:t>.</w:t>
            </w:r>
            <w:r w:rsidRPr="00F404EF">
              <w:rPr>
                <w:rFonts w:cstheme="minorHAnsi"/>
              </w:rPr>
              <w:t> </w:t>
            </w:r>
          </w:p>
        </w:tc>
        <w:tc>
          <w:tcPr>
            <w:tcW w:w="4252" w:type="dxa"/>
          </w:tcPr>
          <w:p w14:paraId="70C41F90" w14:textId="1060FD6D" w:rsidR="00AF6A67" w:rsidRPr="00F404EF" w:rsidRDefault="000A08B5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cstheme="minorHAnsi"/>
              </w:rPr>
              <w:t xml:space="preserve">47) instalacje do produkcji paliw z produktów roślinnych, </w:t>
            </w:r>
            <w:r w:rsidRPr="00F404EF">
              <w:rPr>
                <w:rFonts w:cstheme="minorHAnsi"/>
                <w:strike/>
              </w:rPr>
              <w:t xml:space="preserve">z wyłączeniem instalacji do wytwarzania biogazu rolniczego w rozumieniu art. 2 pkt 2 ustawy z dnia 20 lutego 2015 r. o odnawialnych źródłach energii, o zainstalowanej mocy elektrycznej nie większej niż 0,5 MW lub wytwarzających ekwiwalentną ilość biogazu rolniczego </w:t>
            </w:r>
            <w:r w:rsidRPr="00F404EF">
              <w:rPr>
                <w:rFonts w:cstheme="minorHAnsi"/>
                <w:strike/>
              </w:rPr>
              <w:lastRenderedPageBreak/>
              <w:t>wykorzystywanego do innych celów niż produkcja energii elektrycznej</w:t>
            </w:r>
            <w:r w:rsidRPr="00F404EF">
              <w:rPr>
                <w:rFonts w:cstheme="minorHAnsi"/>
              </w:rPr>
              <w:t>; </w:t>
            </w:r>
          </w:p>
        </w:tc>
        <w:tc>
          <w:tcPr>
            <w:tcW w:w="1428" w:type="dxa"/>
          </w:tcPr>
          <w:p w14:paraId="2EFBC216" w14:textId="77777777" w:rsidR="00AF6A67" w:rsidRPr="00F404EF" w:rsidRDefault="00AF6A67" w:rsidP="00F404EF">
            <w:pPr>
              <w:jc w:val="both"/>
              <w:rPr>
                <w:rFonts w:cstheme="minorHAnsi"/>
              </w:rPr>
            </w:pPr>
          </w:p>
        </w:tc>
      </w:tr>
      <w:tr w:rsidR="00AF6A67" w:rsidRPr="00F404EF" w14:paraId="2AE6B54E" w14:textId="77777777" w:rsidTr="381E1325">
        <w:trPr>
          <w:trHeight w:val="300"/>
        </w:trPr>
        <w:tc>
          <w:tcPr>
            <w:tcW w:w="562" w:type="dxa"/>
          </w:tcPr>
          <w:p w14:paraId="2A0F9038" w14:textId="5BBDD0FF" w:rsidR="00AF6A67" w:rsidRPr="00F404EF" w:rsidRDefault="00F404EF" w:rsidP="00F404EF">
            <w:pPr>
              <w:jc w:val="center"/>
              <w:rPr>
                <w:rFonts w:cstheme="minorHAnsi"/>
              </w:rPr>
            </w:pPr>
            <w:r w:rsidRPr="00F404EF">
              <w:rPr>
                <w:rFonts w:cstheme="minorHAnsi"/>
              </w:rPr>
              <w:t>6</w:t>
            </w:r>
          </w:p>
        </w:tc>
        <w:tc>
          <w:tcPr>
            <w:tcW w:w="1701" w:type="dxa"/>
          </w:tcPr>
          <w:p w14:paraId="6C278FCE" w14:textId="5E3B9733" w:rsidR="00AF6A67" w:rsidRPr="00F404EF" w:rsidRDefault="00F404EF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cstheme="minorHAnsi"/>
              </w:rPr>
              <w:t>Konfederacja Lewiatan</w:t>
            </w:r>
          </w:p>
        </w:tc>
        <w:tc>
          <w:tcPr>
            <w:tcW w:w="2694" w:type="dxa"/>
          </w:tcPr>
          <w:p w14:paraId="5EE49022" w14:textId="1EF53A61" w:rsidR="00010109" w:rsidRPr="00F404EF" w:rsidRDefault="00010109" w:rsidP="00010109">
            <w:pPr>
              <w:jc w:val="center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§ 3 ust. 1 pkt </w:t>
            </w:r>
            <w:r>
              <w:rPr>
                <w:rFonts w:eastAsia="Lato" w:cstheme="minorHAnsi"/>
              </w:rPr>
              <w:t>54</w:t>
            </w:r>
            <w:r w:rsidRPr="00F404EF">
              <w:rPr>
                <w:rFonts w:eastAsia="Lato" w:cstheme="minorHAnsi"/>
              </w:rPr>
              <w:t xml:space="preserve"> rozporządzenia zmienianego (rozporządzenia OOŚ)</w:t>
            </w:r>
          </w:p>
          <w:p w14:paraId="5187B982" w14:textId="77777777" w:rsidR="00010109" w:rsidRPr="00010109" w:rsidRDefault="00010109" w:rsidP="00010109">
            <w:pPr>
              <w:jc w:val="center"/>
              <w:rPr>
                <w:rFonts w:eastAsia="Lato" w:cstheme="minorHAnsi"/>
              </w:rPr>
            </w:pPr>
          </w:p>
          <w:p w14:paraId="6233FCA0" w14:textId="561A7F05" w:rsidR="00010109" w:rsidRPr="00EC6E83" w:rsidRDefault="00010109" w:rsidP="00010109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eastAsia="Lato" w:cstheme="minorHAnsi"/>
                <w:i/>
                <w:iCs/>
              </w:rPr>
              <w:t>Dotyczy obszaru biogazu i biometanu</w:t>
            </w:r>
          </w:p>
          <w:p w14:paraId="5234A21B" w14:textId="6095FA2B" w:rsidR="00AF6A67" w:rsidRPr="00F404EF" w:rsidRDefault="00AF6A67" w:rsidP="00F404EF">
            <w:pPr>
              <w:jc w:val="both"/>
              <w:rPr>
                <w:rFonts w:cstheme="minorHAnsi"/>
              </w:rPr>
            </w:pPr>
          </w:p>
        </w:tc>
        <w:tc>
          <w:tcPr>
            <w:tcW w:w="5103" w:type="dxa"/>
          </w:tcPr>
          <w:p w14:paraId="012709A0" w14:textId="1D343856" w:rsidR="00AF6A67" w:rsidRPr="00F404EF" w:rsidRDefault="006B58BC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cstheme="minorHAnsi"/>
              </w:rPr>
              <w:t xml:space="preserve">Proponuje się podwyższenie progu kryterium powierzchniowego, ponieważ dotychczasowy, bardzo restrykcyjny sposób jego wyliczania – obejmujący również powierzchnie tymczasowo przekształcone (np. po usunięciu warstwy humusu) – w praktyce zawyżał powierzchnię nawet dwukrotnie w stosunku do powierzchni zabudowy, o której mowa w prawie budowlanym, co powodowało istotne trudności nawet dla instalacji o mocach w przedziale 200–499 </w:t>
            </w:r>
            <w:proofErr w:type="spellStart"/>
            <w:r w:rsidRPr="00F404EF">
              <w:rPr>
                <w:rFonts w:cstheme="minorHAnsi"/>
              </w:rPr>
              <w:t>kW.</w:t>
            </w:r>
            <w:proofErr w:type="spellEnd"/>
            <w:r w:rsidRPr="00F404EF">
              <w:rPr>
                <w:rFonts w:cstheme="minorHAnsi"/>
              </w:rPr>
              <w:t> </w:t>
            </w:r>
          </w:p>
        </w:tc>
        <w:tc>
          <w:tcPr>
            <w:tcW w:w="4252" w:type="dxa"/>
          </w:tcPr>
          <w:p w14:paraId="171ED4CF" w14:textId="01C820E1" w:rsidR="006B58BC" w:rsidRPr="006B58BC" w:rsidRDefault="006B58BC" w:rsidP="00F404EF">
            <w:pPr>
              <w:jc w:val="both"/>
              <w:rPr>
                <w:rFonts w:cstheme="minorHAnsi"/>
              </w:rPr>
            </w:pPr>
            <w:r w:rsidRPr="006B58BC">
              <w:rPr>
                <w:rFonts w:cstheme="minorHAnsi"/>
              </w:rPr>
              <w:t>54) zabudowa przemysłowa, w tym zabudowa systemami fotowoltaicznymi lub magazynowa wraz z towarzyszącą jej infrastrukturą,  o powierzchni zabudowy nie mniejszej niż:  </w:t>
            </w:r>
          </w:p>
          <w:p w14:paraId="14D6D1A8" w14:textId="77777777" w:rsidR="006B58BC" w:rsidRPr="006B58BC" w:rsidRDefault="006B58BC" w:rsidP="00F404EF">
            <w:pPr>
              <w:jc w:val="both"/>
              <w:rPr>
                <w:rFonts w:cstheme="minorHAnsi"/>
              </w:rPr>
            </w:pPr>
            <w:r w:rsidRPr="006B58BC">
              <w:rPr>
                <w:rFonts w:cstheme="minorHAnsi"/>
              </w:rPr>
              <w:t>a) 0,5 ha na obszarach objętych formami ochrony przyrody, o których mowa w art. 6 ust. 1 pkt 1–5, 8 i 9 ustawy z dnia 16 kwietnia 2004 r. o ochronie przyrody, lub w otulinach form ochrony przyrody, o których mowa w art. 6 ust. 1 pkt 1–3 tej ustawy,  </w:t>
            </w:r>
          </w:p>
          <w:p w14:paraId="1035E650" w14:textId="77777777" w:rsidR="006B58BC" w:rsidRPr="006B58BC" w:rsidRDefault="006B58BC" w:rsidP="00F404EF">
            <w:pPr>
              <w:jc w:val="both"/>
              <w:rPr>
                <w:rFonts w:cstheme="minorHAnsi"/>
              </w:rPr>
            </w:pPr>
            <w:r w:rsidRPr="006B58BC">
              <w:rPr>
                <w:rFonts w:cstheme="minorHAnsi"/>
              </w:rPr>
              <w:t>b) 1 ha na obszarach innych niż wymienione w lit. a  </w:t>
            </w:r>
          </w:p>
          <w:p w14:paraId="5A92B240" w14:textId="4EB3B072" w:rsidR="00AF6A67" w:rsidRPr="00F404EF" w:rsidRDefault="00BC533B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cstheme="minorHAnsi"/>
              </w:rPr>
              <w:t>c) 3 ha w przypadku  instalacji służących do wytwarzania biogazu, biogazu rolniczego lub biometanu w rozumieniu art. 2 pkt 2 ustawy z dnia 20 lutego 2015 r. o odnawialnych źródłach energii,  </w:t>
            </w:r>
          </w:p>
        </w:tc>
        <w:tc>
          <w:tcPr>
            <w:tcW w:w="1428" w:type="dxa"/>
          </w:tcPr>
          <w:p w14:paraId="683FB8E1" w14:textId="183E026A" w:rsidR="00AF6A67" w:rsidRPr="00F404EF" w:rsidRDefault="00AF6A67" w:rsidP="00F404EF">
            <w:pPr>
              <w:jc w:val="both"/>
              <w:rPr>
                <w:rFonts w:cstheme="minorHAnsi"/>
              </w:rPr>
            </w:pPr>
          </w:p>
        </w:tc>
      </w:tr>
      <w:tr w:rsidR="00AF6A67" w:rsidRPr="00F404EF" w14:paraId="15AF6182" w14:textId="77777777" w:rsidTr="381E1325">
        <w:trPr>
          <w:trHeight w:val="300"/>
        </w:trPr>
        <w:tc>
          <w:tcPr>
            <w:tcW w:w="562" w:type="dxa"/>
          </w:tcPr>
          <w:p w14:paraId="60434088" w14:textId="154048F5" w:rsidR="00AF6A67" w:rsidRPr="00F404EF" w:rsidRDefault="00F404EF" w:rsidP="00F404EF">
            <w:pPr>
              <w:jc w:val="center"/>
              <w:rPr>
                <w:rFonts w:cstheme="minorHAnsi"/>
              </w:rPr>
            </w:pPr>
            <w:r w:rsidRPr="00F404EF">
              <w:rPr>
                <w:rFonts w:cstheme="minorHAnsi"/>
              </w:rPr>
              <w:t>7</w:t>
            </w:r>
          </w:p>
        </w:tc>
        <w:tc>
          <w:tcPr>
            <w:tcW w:w="1701" w:type="dxa"/>
          </w:tcPr>
          <w:p w14:paraId="3B553C77" w14:textId="2F246236" w:rsidR="00AF6A67" w:rsidRPr="00F404EF" w:rsidRDefault="00F404EF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cstheme="minorHAnsi"/>
              </w:rPr>
              <w:t>Konfederacja Lewiatan</w:t>
            </w:r>
          </w:p>
        </w:tc>
        <w:tc>
          <w:tcPr>
            <w:tcW w:w="2694" w:type="dxa"/>
          </w:tcPr>
          <w:p w14:paraId="62B7FB1E" w14:textId="1D5FBE10" w:rsidR="007B4E49" w:rsidRPr="00F404EF" w:rsidRDefault="007B4E49" w:rsidP="007B4E49">
            <w:pPr>
              <w:jc w:val="center"/>
              <w:rPr>
                <w:rFonts w:cstheme="minorHAnsi"/>
              </w:rPr>
            </w:pPr>
            <w:r w:rsidRPr="00F404EF">
              <w:rPr>
                <w:rFonts w:eastAsia="Lato" w:cstheme="minorHAnsi"/>
              </w:rPr>
              <w:t xml:space="preserve">§ 3 ust. 1 pkt </w:t>
            </w:r>
            <w:r>
              <w:rPr>
                <w:rFonts w:eastAsia="Lato" w:cstheme="minorHAnsi"/>
              </w:rPr>
              <w:t>82</w:t>
            </w:r>
            <w:r w:rsidRPr="00F404EF">
              <w:rPr>
                <w:rFonts w:eastAsia="Lato" w:cstheme="minorHAnsi"/>
              </w:rPr>
              <w:t xml:space="preserve"> rozporządzenia zmienianego (rozporządzenia OOŚ)</w:t>
            </w:r>
          </w:p>
          <w:p w14:paraId="2121CB94" w14:textId="77777777" w:rsidR="00AF6A67" w:rsidRDefault="00AF6A67" w:rsidP="00F404EF">
            <w:pPr>
              <w:jc w:val="both"/>
              <w:rPr>
                <w:rFonts w:cstheme="minorHAnsi"/>
              </w:rPr>
            </w:pPr>
          </w:p>
          <w:p w14:paraId="288BA676" w14:textId="77777777" w:rsidR="007B4E49" w:rsidRPr="00EC6E83" w:rsidRDefault="007B4E49" w:rsidP="007B4E49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eastAsia="Lato" w:cstheme="minorHAnsi"/>
                <w:i/>
                <w:iCs/>
              </w:rPr>
              <w:t>Dotyczy obszaru biogazu i biometanu</w:t>
            </w:r>
          </w:p>
          <w:p w14:paraId="5DD2D6C3" w14:textId="7BE0C133" w:rsidR="007B4E49" w:rsidRPr="00F404EF" w:rsidRDefault="007B4E49" w:rsidP="00F404EF">
            <w:pPr>
              <w:jc w:val="both"/>
              <w:rPr>
                <w:rFonts w:cstheme="minorHAnsi"/>
              </w:rPr>
            </w:pPr>
          </w:p>
        </w:tc>
        <w:tc>
          <w:tcPr>
            <w:tcW w:w="5103" w:type="dxa"/>
          </w:tcPr>
          <w:p w14:paraId="772AA752" w14:textId="7D06C6AE" w:rsidR="00AF6A67" w:rsidRPr="00F404EF" w:rsidRDefault="00BC533B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cstheme="minorHAnsi"/>
              </w:rPr>
              <w:t xml:space="preserve">Ze względu na </w:t>
            </w:r>
            <w:r w:rsidR="007B4E49">
              <w:rPr>
                <w:rFonts w:cstheme="minorHAnsi"/>
              </w:rPr>
              <w:t xml:space="preserve">propozycję </w:t>
            </w:r>
            <w:r w:rsidRPr="00F404EF">
              <w:rPr>
                <w:rFonts w:cstheme="minorHAnsi"/>
              </w:rPr>
              <w:t>utworzeni</w:t>
            </w:r>
            <w:r w:rsidR="007B4E49">
              <w:rPr>
                <w:rFonts w:cstheme="minorHAnsi"/>
              </w:rPr>
              <w:t>a</w:t>
            </w:r>
            <w:r w:rsidRPr="00F404EF">
              <w:rPr>
                <w:rFonts w:cstheme="minorHAnsi"/>
              </w:rPr>
              <w:t xml:space="preserve"> nowego punktu 47a dotyczącego </w:t>
            </w:r>
            <w:r w:rsidRPr="00F404EF">
              <w:rPr>
                <w:rFonts w:cstheme="minorHAnsi"/>
                <w:i/>
                <w:iCs/>
              </w:rPr>
              <w:t> </w:t>
            </w:r>
            <w:r w:rsidRPr="00F404EF">
              <w:rPr>
                <w:rFonts w:cstheme="minorHAnsi"/>
              </w:rPr>
              <w:t xml:space="preserve">instalacji  służących do wytwarzania biogazu, biogazu rolniczego lub biometanu </w:t>
            </w:r>
            <w:r w:rsidR="007B4E49">
              <w:rPr>
                <w:rFonts w:cstheme="minorHAnsi"/>
              </w:rPr>
              <w:t xml:space="preserve">(jak wyżej), </w:t>
            </w:r>
            <w:r w:rsidRPr="00F404EF">
              <w:rPr>
                <w:rFonts w:cstheme="minorHAnsi"/>
              </w:rPr>
              <w:t>konieczna jest zmiana pkt 82</w:t>
            </w:r>
            <w:r w:rsidR="00F00B38">
              <w:rPr>
                <w:rFonts w:cstheme="minorHAnsi"/>
              </w:rPr>
              <w:t>.</w:t>
            </w:r>
          </w:p>
        </w:tc>
        <w:tc>
          <w:tcPr>
            <w:tcW w:w="4252" w:type="dxa"/>
          </w:tcPr>
          <w:p w14:paraId="574375E1" w14:textId="2144D8CC" w:rsidR="00AF6A67" w:rsidRPr="00F404EF" w:rsidRDefault="000122ED" w:rsidP="00F404EF">
            <w:pPr>
              <w:jc w:val="both"/>
              <w:rPr>
                <w:rFonts w:cstheme="minorHAnsi"/>
              </w:rPr>
            </w:pPr>
            <w:r w:rsidRPr="00F404EF">
              <w:rPr>
                <w:rFonts w:cstheme="minorHAnsi"/>
              </w:rPr>
              <w:t xml:space="preserve">82) </w:t>
            </w:r>
            <w:r w:rsidRPr="00F404EF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instalacje związane z przetwarzaniem w rozumieniu art. 3 ust. 1 pkt 21 ustawy z dnia 14 grudnia 2012 r. o odpadach odpadów, inne niż wymienione w § 2 ust. 1 pkt 41–47</w:t>
            </w:r>
            <w:r w:rsidRPr="00F404EF">
              <w:rPr>
                <w:rStyle w:val="normaltextrun"/>
                <w:rFonts w:cstheme="minorHAnsi"/>
                <w:b/>
                <w:bCs/>
                <w:color w:val="000000"/>
                <w:shd w:val="clear" w:color="auto" w:fill="FFFFFF"/>
              </w:rPr>
              <w:t>a</w:t>
            </w:r>
            <w:r w:rsidRPr="00F404EF">
              <w:rPr>
                <w:rStyle w:val="normaltextrun"/>
                <w:rFonts w:cstheme="minorHAnsi"/>
                <w:color w:val="000000"/>
                <w:shd w:val="clear" w:color="auto" w:fill="FFFFFF"/>
              </w:rPr>
              <w:t xml:space="preserve">, </w:t>
            </w:r>
            <w:r w:rsidRPr="00F404EF">
              <w:rPr>
                <w:rStyle w:val="normaltextrun"/>
                <w:rFonts w:cstheme="minorHAnsi"/>
                <w:strike/>
                <w:color w:val="000000"/>
                <w:shd w:val="clear" w:color="auto" w:fill="FFFFFF"/>
              </w:rPr>
              <w:t>z wyłączeniem instalacji do wytwarzania biogazu rolniczego w rozumieniu art. 2 pkt 2 ustawy z dnia 20 lutego 2015 r. o odnawialnych źródłach energii, o zainstalowanej mocy elektrycznej nie większej niż 0,5 MW lub wytwarzających ekwiwalentną ilość biogazu rolniczego wykorzystywanego do innych celów niż produkcja energii elektrycznej</w:t>
            </w:r>
            <w:r w:rsidRPr="00F404EF">
              <w:rPr>
                <w:rStyle w:val="normaltextrun"/>
                <w:rFonts w:cstheme="minorHAnsi"/>
                <w:color w:val="000000"/>
                <w:shd w:val="clear" w:color="auto" w:fill="FFFFFF"/>
              </w:rPr>
              <w:t>, a także miejsca retencji powierzchniowej odpadów oraz rekultywacja składowisk odpadów;</w:t>
            </w:r>
          </w:p>
        </w:tc>
        <w:tc>
          <w:tcPr>
            <w:tcW w:w="1428" w:type="dxa"/>
          </w:tcPr>
          <w:p w14:paraId="127982B9" w14:textId="0B6523BF" w:rsidR="00AF6A67" w:rsidRPr="00F404EF" w:rsidRDefault="00AF6A67" w:rsidP="00F404EF">
            <w:pPr>
              <w:jc w:val="both"/>
              <w:rPr>
                <w:rFonts w:cstheme="minorHAnsi"/>
              </w:rPr>
            </w:pPr>
          </w:p>
        </w:tc>
      </w:tr>
    </w:tbl>
    <w:bookmarkEnd w:id="0"/>
    <w:p w14:paraId="778B0996" w14:textId="7924AD46" w:rsidR="007B4E49" w:rsidRPr="00B61A92" w:rsidRDefault="00B61A92" w:rsidP="007B4E49">
      <w:pPr>
        <w:spacing w:after="0" w:line="240" w:lineRule="auto"/>
        <w:rPr>
          <w:rFonts w:cstheme="minorHAnsi"/>
          <w:b/>
          <w:bCs/>
          <w:i/>
          <w:iCs/>
        </w:rPr>
      </w:pPr>
      <w:r w:rsidRPr="00B61A92">
        <w:rPr>
          <w:rFonts w:cstheme="minorHAnsi"/>
          <w:b/>
          <w:bCs/>
          <w:i/>
          <w:iCs/>
        </w:rPr>
        <w:lastRenderedPageBreak/>
        <w:t>KL/616/209/PG/2025</w:t>
      </w:r>
    </w:p>
    <w:sectPr w:rsidR="007B4E49" w:rsidRPr="00B61A92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71754" w14:textId="77777777" w:rsidR="00254983" w:rsidRDefault="00254983" w:rsidP="00CA2841">
      <w:pPr>
        <w:spacing w:after="0" w:line="240" w:lineRule="auto"/>
      </w:pPr>
      <w:r>
        <w:separator/>
      </w:r>
    </w:p>
  </w:endnote>
  <w:endnote w:type="continuationSeparator" w:id="0">
    <w:p w14:paraId="00BD19D0" w14:textId="77777777" w:rsidR="00254983" w:rsidRDefault="00254983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85AD4" w14:textId="77777777" w:rsidR="00254983" w:rsidRDefault="00254983" w:rsidP="00CA2841">
      <w:pPr>
        <w:spacing w:after="0" w:line="240" w:lineRule="auto"/>
      </w:pPr>
      <w:r>
        <w:separator/>
      </w:r>
    </w:p>
  </w:footnote>
  <w:footnote w:type="continuationSeparator" w:id="0">
    <w:p w14:paraId="100E0EB6" w14:textId="77777777" w:rsidR="00254983" w:rsidRDefault="00254983" w:rsidP="00CA2841">
      <w:pPr>
        <w:spacing w:after="0" w:line="240" w:lineRule="auto"/>
      </w:pPr>
      <w:r>
        <w:continuationSeparator/>
      </w:r>
    </w:p>
  </w:footnote>
  <w:footnote w:id="1">
    <w:p w14:paraId="722C9D04" w14:textId="76DFC1E6" w:rsidR="004F2D1D" w:rsidRPr="00EF494C" w:rsidRDefault="004F2D1D">
      <w:pPr>
        <w:pStyle w:val="Tekstprzypisudolnego"/>
        <w:rPr>
          <w:rFonts w:ascii="Lato" w:hAnsi="Lato" w:cs="Times New Roman"/>
          <w:sz w:val="22"/>
          <w:szCs w:val="22"/>
        </w:rPr>
      </w:pPr>
      <w:r w:rsidRPr="00EF494C">
        <w:rPr>
          <w:rStyle w:val="Odwoanieprzypisudolnego"/>
          <w:rFonts w:ascii="Lato" w:hAnsi="Lato" w:cs="Times New Roman"/>
        </w:rPr>
        <w:t>1)</w:t>
      </w:r>
      <w:r w:rsidRPr="00EF494C">
        <w:rPr>
          <w:rFonts w:ascii="Lato" w:hAnsi="Lato" w:cs="Times New Roman"/>
        </w:rPr>
        <w:t xml:space="preserve"> </w:t>
      </w:r>
      <w:r w:rsidR="00B91BB7" w:rsidRPr="00EF494C">
        <w:rPr>
          <w:rFonts w:ascii="Lato" w:hAnsi="Lato" w:cs="Times New Roman"/>
        </w:rPr>
        <w:t>W przypadku aktu nowelizującego n</w:t>
      </w:r>
      <w:r w:rsidRPr="00EF494C">
        <w:rPr>
          <w:rFonts w:ascii="Lato" w:hAnsi="Lato" w:cs="Times New Roman"/>
        </w:rPr>
        <w:t xml:space="preserve">ależy wskazać jednostkę redakcyjną projektu </w:t>
      </w:r>
      <w:r w:rsidR="00EB31B4" w:rsidRPr="00EF494C">
        <w:rPr>
          <w:rFonts w:ascii="Lato" w:hAnsi="Lato" w:cs="Times New Roman"/>
        </w:rPr>
        <w:t>oraz jednostkę redakcyjną zmienianego aktu prawnego.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2D54"/>
    <w:multiLevelType w:val="hybridMultilevel"/>
    <w:tmpl w:val="C9287F48"/>
    <w:lvl w:ilvl="0" w:tplc="101C87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A98"/>
    <w:multiLevelType w:val="multilevel"/>
    <w:tmpl w:val="62BC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38393F"/>
    <w:multiLevelType w:val="hybridMultilevel"/>
    <w:tmpl w:val="D6F4DCD0"/>
    <w:lvl w:ilvl="0" w:tplc="93C44A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6CE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62ED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61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3A0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660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47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C5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A85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A7BDF"/>
    <w:multiLevelType w:val="multilevel"/>
    <w:tmpl w:val="F66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CA26C7"/>
    <w:multiLevelType w:val="multilevel"/>
    <w:tmpl w:val="C574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2836EE"/>
    <w:multiLevelType w:val="hybridMultilevel"/>
    <w:tmpl w:val="A05A24D2"/>
    <w:lvl w:ilvl="0" w:tplc="FAFC3D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1E6A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660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25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0E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B41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A1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05D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BCAF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74F38"/>
    <w:multiLevelType w:val="hybridMultilevel"/>
    <w:tmpl w:val="3F2CE08E"/>
    <w:lvl w:ilvl="0" w:tplc="33A6BC98">
      <w:start w:val="1"/>
      <w:numFmt w:val="lowerLetter"/>
      <w:lvlText w:val="b)"/>
      <w:lvlJc w:val="left"/>
      <w:pPr>
        <w:ind w:left="720" w:hanging="360"/>
      </w:pPr>
    </w:lvl>
    <w:lvl w:ilvl="1" w:tplc="858CAED0">
      <w:start w:val="1"/>
      <w:numFmt w:val="lowerLetter"/>
      <w:lvlText w:val="%2."/>
      <w:lvlJc w:val="left"/>
      <w:pPr>
        <w:ind w:left="1440" w:hanging="360"/>
      </w:pPr>
    </w:lvl>
    <w:lvl w:ilvl="2" w:tplc="E6C0E1A8">
      <w:start w:val="1"/>
      <w:numFmt w:val="lowerRoman"/>
      <w:lvlText w:val="%3."/>
      <w:lvlJc w:val="right"/>
      <w:pPr>
        <w:ind w:left="2160" w:hanging="180"/>
      </w:pPr>
    </w:lvl>
    <w:lvl w:ilvl="3" w:tplc="80F244BA">
      <w:start w:val="1"/>
      <w:numFmt w:val="decimal"/>
      <w:lvlText w:val="%4."/>
      <w:lvlJc w:val="left"/>
      <w:pPr>
        <w:ind w:left="2880" w:hanging="360"/>
      </w:pPr>
    </w:lvl>
    <w:lvl w:ilvl="4" w:tplc="0E9A7C5A">
      <w:start w:val="1"/>
      <w:numFmt w:val="lowerLetter"/>
      <w:lvlText w:val="%5."/>
      <w:lvlJc w:val="left"/>
      <w:pPr>
        <w:ind w:left="3600" w:hanging="360"/>
      </w:pPr>
    </w:lvl>
    <w:lvl w:ilvl="5" w:tplc="16980384">
      <w:start w:val="1"/>
      <w:numFmt w:val="lowerRoman"/>
      <w:lvlText w:val="%6."/>
      <w:lvlJc w:val="right"/>
      <w:pPr>
        <w:ind w:left="4320" w:hanging="180"/>
      </w:pPr>
    </w:lvl>
    <w:lvl w:ilvl="6" w:tplc="1A4892F2">
      <w:start w:val="1"/>
      <w:numFmt w:val="decimal"/>
      <w:lvlText w:val="%7."/>
      <w:lvlJc w:val="left"/>
      <w:pPr>
        <w:ind w:left="5040" w:hanging="360"/>
      </w:pPr>
    </w:lvl>
    <w:lvl w:ilvl="7" w:tplc="E8A21B3E">
      <w:start w:val="1"/>
      <w:numFmt w:val="lowerLetter"/>
      <w:lvlText w:val="%8."/>
      <w:lvlJc w:val="left"/>
      <w:pPr>
        <w:ind w:left="5760" w:hanging="360"/>
      </w:pPr>
    </w:lvl>
    <w:lvl w:ilvl="8" w:tplc="86BEC70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C449F"/>
    <w:multiLevelType w:val="hybridMultilevel"/>
    <w:tmpl w:val="7FB829C2"/>
    <w:lvl w:ilvl="0" w:tplc="76C60E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F47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CC3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82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49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103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01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49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AB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E2457"/>
    <w:multiLevelType w:val="hybridMultilevel"/>
    <w:tmpl w:val="AC5A7C72"/>
    <w:lvl w:ilvl="0" w:tplc="C31EDA9C">
      <w:start w:val="82"/>
      <w:numFmt w:val="decimal"/>
      <w:lvlText w:val="%1."/>
      <w:lvlJc w:val="left"/>
      <w:pPr>
        <w:ind w:left="720" w:hanging="360"/>
      </w:pPr>
    </w:lvl>
    <w:lvl w:ilvl="1" w:tplc="559EFC76">
      <w:start w:val="1"/>
      <w:numFmt w:val="lowerLetter"/>
      <w:lvlText w:val="%2."/>
      <w:lvlJc w:val="left"/>
      <w:pPr>
        <w:ind w:left="1440" w:hanging="360"/>
      </w:pPr>
    </w:lvl>
    <w:lvl w:ilvl="2" w:tplc="09463C36">
      <w:start w:val="1"/>
      <w:numFmt w:val="lowerRoman"/>
      <w:lvlText w:val="%3."/>
      <w:lvlJc w:val="right"/>
      <w:pPr>
        <w:ind w:left="2160" w:hanging="180"/>
      </w:pPr>
    </w:lvl>
    <w:lvl w:ilvl="3" w:tplc="3B42DA76">
      <w:start w:val="1"/>
      <w:numFmt w:val="decimal"/>
      <w:lvlText w:val="%4."/>
      <w:lvlJc w:val="left"/>
      <w:pPr>
        <w:ind w:left="2880" w:hanging="360"/>
      </w:pPr>
    </w:lvl>
    <w:lvl w:ilvl="4" w:tplc="73BA2FC0">
      <w:start w:val="1"/>
      <w:numFmt w:val="lowerLetter"/>
      <w:lvlText w:val="%5."/>
      <w:lvlJc w:val="left"/>
      <w:pPr>
        <w:ind w:left="3600" w:hanging="360"/>
      </w:pPr>
    </w:lvl>
    <w:lvl w:ilvl="5" w:tplc="5218DB40">
      <w:start w:val="1"/>
      <w:numFmt w:val="lowerRoman"/>
      <w:lvlText w:val="%6."/>
      <w:lvlJc w:val="right"/>
      <w:pPr>
        <w:ind w:left="4320" w:hanging="180"/>
      </w:pPr>
    </w:lvl>
    <w:lvl w:ilvl="6" w:tplc="B0DED046">
      <w:start w:val="1"/>
      <w:numFmt w:val="decimal"/>
      <w:lvlText w:val="%7."/>
      <w:lvlJc w:val="left"/>
      <w:pPr>
        <w:ind w:left="5040" w:hanging="360"/>
      </w:pPr>
    </w:lvl>
    <w:lvl w:ilvl="7" w:tplc="878C9DAA">
      <w:start w:val="1"/>
      <w:numFmt w:val="lowerLetter"/>
      <w:lvlText w:val="%8."/>
      <w:lvlJc w:val="left"/>
      <w:pPr>
        <w:ind w:left="5760" w:hanging="360"/>
      </w:pPr>
    </w:lvl>
    <w:lvl w:ilvl="8" w:tplc="0778F9D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2A0E7"/>
    <w:multiLevelType w:val="hybridMultilevel"/>
    <w:tmpl w:val="9FD2DDBE"/>
    <w:lvl w:ilvl="0" w:tplc="56B839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9067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CFA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18A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4EB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09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6B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25F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247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F3764"/>
    <w:multiLevelType w:val="hybridMultilevel"/>
    <w:tmpl w:val="CEAE7516"/>
    <w:lvl w:ilvl="0" w:tplc="395000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87AC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D61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F4D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AC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43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A8A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0C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80C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111C5"/>
    <w:multiLevelType w:val="hybridMultilevel"/>
    <w:tmpl w:val="61F68648"/>
    <w:lvl w:ilvl="0" w:tplc="0480F6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A6E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491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6C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68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268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45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E1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F49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55D60"/>
    <w:multiLevelType w:val="hybridMultilevel"/>
    <w:tmpl w:val="B4A804B8"/>
    <w:lvl w:ilvl="0" w:tplc="101C87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50F1C"/>
    <w:multiLevelType w:val="multilevel"/>
    <w:tmpl w:val="9B54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BAFE369"/>
    <w:multiLevelType w:val="hybridMultilevel"/>
    <w:tmpl w:val="9848A8A0"/>
    <w:lvl w:ilvl="0" w:tplc="B2B2E2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766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2D7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C0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BAB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9AF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0A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A5C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8C9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D58C2"/>
    <w:multiLevelType w:val="hybridMultilevel"/>
    <w:tmpl w:val="69241B8A"/>
    <w:lvl w:ilvl="0" w:tplc="E94817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D445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02E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8A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86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A0AD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803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82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30F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425127">
    <w:abstractNumId w:val="8"/>
  </w:num>
  <w:num w:numId="2" w16cid:durableId="678894024">
    <w:abstractNumId w:val="14"/>
  </w:num>
  <w:num w:numId="3" w16cid:durableId="172305849">
    <w:abstractNumId w:val="15"/>
  </w:num>
  <w:num w:numId="4" w16cid:durableId="739868593">
    <w:abstractNumId w:val="11"/>
  </w:num>
  <w:num w:numId="5" w16cid:durableId="1727289761">
    <w:abstractNumId w:val="5"/>
  </w:num>
  <w:num w:numId="6" w16cid:durableId="650449300">
    <w:abstractNumId w:val="9"/>
  </w:num>
  <w:num w:numId="7" w16cid:durableId="1573732914">
    <w:abstractNumId w:val="7"/>
  </w:num>
  <w:num w:numId="8" w16cid:durableId="1964118376">
    <w:abstractNumId w:val="2"/>
  </w:num>
  <w:num w:numId="9" w16cid:durableId="234096920">
    <w:abstractNumId w:val="6"/>
  </w:num>
  <w:num w:numId="10" w16cid:durableId="1337921671">
    <w:abstractNumId w:val="10"/>
  </w:num>
  <w:num w:numId="11" w16cid:durableId="1530096434">
    <w:abstractNumId w:val="13"/>
  </w:num>
  <w:num w:numId="12" w16cid:durableId="1790195756">
    <w:abstractNumId w:val="4"/>
  </w:num>
  <w:num w:numId="13" w16cid:durableId="450519940">
    <w:abstractNumId w:val="3"/>
  </w:num>
  <w:num w:numId="14" w16cid:durableId="689911131">
    <w:abstractNumId w:val="1"/>
  </w:num>
  <w:num w:numId="15" w16cid:durableId="1849250396">
    <w:abstractNumId w:val="12"/>
  </w:num>
  <w:num w:numId="16" w16cid:durableId="467672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10109"/>
    <w:rsid w:val="000122ED"/>
    <w:rsid w:val="000316F1"/>
    <w:rsid w:val="000A08B5"/>
    <w:rsid w:val="000A3207"/>
    <w:rsid w:val="00173E53"/>
    <w:rsid w:val="00187721"/>
    <w:rsid w:val="0019568F"/>
    <w:rsid w:val="001B734F"/>
    <w:rsid w:val="001E4824"/>
    <w:rsid w:val="001F6727"/>
    <w:rsid w:val="00254983"/>
    <w:rsid w:val="002B490E"/>
    <w:rsid w:val="00307615"/>
    <w:rsid w:val="00370192"/>
    <w:rsid w:val="003C0816"/>
    <w:rsid w:val="003E05D4"/>
    <w:rsid w:val="003E17B2"/>
    <w:rsid w:val="00403912"/>
    <w:rsid w:val="004245AD"/>
    <w:rsid w:val="00435D45"/>
    <w:rsid w:val="0047236B"/>
    <w:rsid w:val="00483126"/>
    <w:rsid w:val="004B1AAD"/>
    <w:rsid w:val="004E1FC9"/>
    <w:rsid w:val="004F2D1D"/>
    <w:rsid w:val="00541993"/>
    <w:rsid w:val="005770FE"/>
    <w:rsid w:val="005846DA"/>
    <w:rsid w:val="005937D0"/>
    <w:rsid w:val="005F2340"/>
    <w:rsid w:val="0065784C"/>
    <w:rsid w:val="006B58BC"/>
    <w:rsid w:val="00773DAD"/>
    <w:rsid w:val="00795602"/>
    <w:rsid w:val="007B4E49"/>
    <w:rsid w:val="007F2343"/>
    <w:rsid w:val="007F64EB"/>
    <w:rsid w:val="00876E33"/>
    <w:rsid w:val="00894E5C"/>
    <w:rsid w:val="008B1756"/>
    <w:rsid w:val="008B766F"/>
    <w:rsid w:val="0090574C"/>
    <w:rsid w:val="00907446"/>
    <w:rsid w:val="00934B37"/>
    <w:rsid w:val="00954A3A"/>
    <w:rsid w:val="00970F06"/>
    <w:rsid w:val="009B5AD6"/>
    <w:rsid w:val="009E504D"/>
    <w:rsid w:val="00A01497"/>
    <w:rsid w:val="00AF6A67"/>
    <w:rsid w:val="00B35B1B"/>
    <w:rsid w:val="00B35DDF"/>
    <w:rsid w:val="00B61A92"/>
    <w:rsid w:val="00B829F8"/>
    <w:rsid w:val="00B87317"/>
    <w:rsid w:val="00B91BB7"/>
    <w:rsid w:val="00BC533B"/>
    <w:rsid w:val="00C93278"/>
    <w:rsid w:val="00CA09D5"/>
    <w:rsid w:val="00CA1426"/>
    <w:rsid w:val="00CA2841"/>
    <w:rsid w:val="00CD0154"/>
    <w:rsid w:val="00CD3075"/>
    <w:rsid w:val="00CF0629"/>
    <w:rsid w:val="00D35962"/>
    <w:rsid w:val="00D92B96"/>
    <w:rsid w:val="00DC2157"/>
    <w:rsid w:val="00E40E3D"/>
    <w:rsid w:val="00EB31B4"/>
    <w:rsid w:val="00EC4C43"/>
    <w:rsid w:val="00EC6E83"/>
    <w:rsid w:val="00EF346E"/>
    <w:rsid w:val="00EF494C"/>
    <w:rsid w:val="00F00B38"/>
    <w:rsid w:val="00F404EF"/>
    <w:rsid w:val="381E1325"/>
    <w:rsid w:val="5B85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link w:val="TekstprzypisudolnegoZnak"/>
    <w:uiPriority w:val="99"/>
    <w:semiHidden/>
    <w:unhideWhenUsed/>
    <w:rsid w:val="5B855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5B855F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F062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0629"/>
    <w:rPr>
      <w:color w:val="605E5C"/>
      <w:shd w:val="clear" w:color="auto" w:fill="E1DFDD"/>
    </w:rPr>
  </w:style>
  <w:style w:type="paragraph" w:styleId="Akapitzlist">
    <w:name w:val="List Paragraph"/>
    <w:uiPriority w:val="34"/>
    <w:qFormat/>
    <w:rsid w:val="5B855FE6"/>
    <w:pPr>
      <w:ind w:left="720"/>
      <w:contextualSpacing/>
    </w:pPr>
  </w:style>
  <w:style w:type="character" w:customStyle="1" w:styleId="normaltextrun">
    <w:name w:val="normaltextrun"/>
    <w:basedOn w:val="Domylnaczcionkaakapitu"/>
    <w:rsid w:val="000122ED"/>
  </w:style>
  <w:style w:type="character" w:customStyle="1" w:styleId="eop">
    <w:name w:val="eop"/>
    <w:basedOn w:val="Domylnaczcionkaakapitu"/>
    <w:rsid w:val="00012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projekt/12321466/katalog/125817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3466</Words>
  <Characters>20801</Characters>
  <Application>Microsoft Office Word</Application>
  <DocSecurity>0</DocSecurity>
  <Lines>173</Lines>
  <Paragraphs>48</Paragraphs>
  <ScaleCrop>false</ScaleCrop>
  <Company/>
  <LinksUpToDate>false</LinksUpToDate>
  <CharactersWithSpaces>24219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Magdalena Widlicka</cp:lastModifiedBy>
  <cp:revision>48</cp:revision>
  <dcterms:created xsi:type="dcterms:W3CDTF">2025-03-20T12:30:00Z</dcterms:created>
  <dcterms:modified xsi:type="dcterms:W3CDTF">2025-12-04T16:18:00Z</dcterms:modified>
</cp:coreProperties>
</file>