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759C" w14:textId="77777777" w:rsidR="00C93278" w:rsidRPr="008B766F" w:rsidRDefault="00CA2841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8B766F">
        <w:rPr>
          <w:rFonts w:ascii="Lato" w:hAnsi="Lato" w:cs="Times New Roman"/>
          <w:b/>
          <w:bCs/>
          <w:sz w:val="20"/>
          <w:szCs w:val="20"/>
        </w:rPr>
        <w:t xml:space="preserve">Uwagi </w:t>
      </w:r>
    </w:p>
    <w:p w14:paraId="653DA768" w14:textId="1C4124FB" w:rsidR="00894E5C" w:rsidRPr="00894E5C" w:rsidRDefault="00CA2841" w:rsidP="00894E5C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8B766F">
        <w:rPr>
          <w:rFonts w:ascii="Lato" w:hAnsi="Lato" w:cs="Times New Roman"/>
          <w:b/>
          <w:bCs/>
          <w:sz w:val="20"/>
          <w:szCs w:val="20"/>
        </w:rPr>
        <w:t>do projektu</w:t>
      </w:r>
      <w:bookmarkStart w:id="1" w:name="_Hlk163464623"/>
      <w:r w:rsidR="00894E5C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B35DDF" w:rsidRPr="00B35DDF">
        <w:rPr>
          <w:rFonts w:ascii="Lato" w:hAnsi="Lato" w:cs="Times New Roman"/>
          <w:b/>
          <w:bCs/>
          <w:sz w:val="20"/>
          <w:szCs w:val="20"/>
        </w:rPr>
        <w:t>rozporządzenia Rady Ministrów zmieniającego rozporządzenie w sprawie przedsięwzięć mogących znacząco oddziaływać na środowisko</w:t>
      </w:r>
    </w:p>
    <w:bookmarkEnd w:id="1"/>
    <w:p w14:paraId="304455B3" w14:textId="751FA0E2" w:rsidR="00CA2841" w:rsidRPr="008B766F" w:rsidRDefault="00B91BB7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8B766F">
        <w:rPr>
          <w:rFonts w:ascii="Lato" w:hAnsi="Lato" w:cs="Times New Roman"/>
          <w:b/>
          <w:bCs/>
          <w:sz w:val="20"/>
          <w:szCs w:val="20"/>
        </w:rPr>
        <w:t>(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 xml:space="preserve">nr </w:t>
      </w:r>
      <w:r w:rsidR="00CF0629" w:rsidRPr="00CF0629">
        <w:rPr>
          <w:rFonts w:ascii="Lato" w:hAnsi="Lato" w:cs="Times New Roman"/>
          <w:b/>
          <w:bCs/>
          <w:sz w:val="20"/>
          <w:szCs w:val="20"/>
        </w:rPr>
        <w:t xml:space="preserve">RD239 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 xml:space="preserve">w </w:t>
      </w:r>
      <w:r w:rsidR="00894E5C" w:rsidRPr="00CF0629">
        <w:rPr>
          <w:rFonts w:ascii="Lato" w:hAnsi="Lato" w:cs="Times New Roman"/>
          <w:b/>
          <w:bCs/>
          <w:sz w:val="20"/>
          <w:szCs w:val="20"/>
        </w:rPr>
        <w:t>Wykazie prac legislacyjnych i programowych Rady Ministrów)</w:t>
      </w:r>
    </w:p>
    <w:p w14:paraId="711D6FEE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574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5103"/>
        <w:gridCol w:w="4252"/>
        <w:gridCol w:w="1428"/>
      </w:tblGrid>
      <w:tr w:rsidR="0090574C" w:rsidRPr="008B766F" w14:paraId="47E9ED08" w14:textId="77777777" w:rsidTr="381E1325">
        <w:trPr>
          <w:trHeight w:val="551"/>
          <w:tblHeader/>
        </w:trPr>
        <w:tc>
          <w:tcPr>
            <w:tcW w:w="562" w:type="dxa"/>
          </w:tcPr>
          <w:p w14:paraId="115BF413" w14:textId="6257DDCF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</w:tcPr>
          <w:p w14:paraId="0FAF4510" w14:textId="4FD6EB74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Podmiot wnoszący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ę</w:t>
            </w:r>
          </w:p>
        </w:tc>
        <w:tc>
          <w:tcPr>
            <w:tcW w:w="2694" w:type="dxa"/>
          </w:tcPr>
          <w:p w14:paraId="51F92737" w14:textId="48E4A866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 jest</w:t>
            </w: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  <w:r w:rsidR="004F2D1D" w:rsidRPr="008B766F">
              <w:rPr>
                <w:rStyle w:val="Odwoanieprzypisudolnego"/>
                <w:rFonts w:ascii="Lato" w:hAnsi="Lato" w:cs="Times New Roman"/>
                <w:b/>
                <w:bCs/>
                <w:sz w:val="20"/>
                <w:szCs w:val="20"/>
              </w:rPr>
              <w:footnoteReference w:customMarkFollows="1" w:id="1"/>
              <w:t>1)</w:t>
            </w:r>
          </w:p>
        </w:tc>
        <w:tc>
          <w:tcPr>
            <w:tcW w:w="5103" w:type="dxa"/>
          </w:tcPr>
          <w:p w14:paraId="74AACE5A" w14:textId="0BDDBBD7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4252" w:type="dxa"/>
          </w:tcPr>
          <w:p w14:paraId="7C9E6D74" w14:textId="597CDAA9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Propozycja </w:t>
            </w:r>
            <w:r w:rsidR="00773DAD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brzmienia</w:t>
            </w:r>
            <w:r w:rsidR="00C93278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przepisu</w:t>
            </w:r>
          </w:p>
        </w:tc>
        <w:tc>
          <w:tcPr>
            <w:tcW w:w="1428" w:type="dxa"/>
          </w:tcPr>
          <w:p w14:paraId="2C049C38" w14:textId="382C7B91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Stanowisko do uwagi</w:t>
            </w:r>
          </w:p>
        </w:tc>
      </w:tr>
      <w:tr w:rsidR="00391984" w:rsidRPr="008B766F" w14:paraId="6F0C232C" w14:textId="77777777" w:rsidTr="381E1325">
        <w:tc>
          <w:tcPr>
            <w:tcW w:w="562" w:type="dxa"/>
          </w:tcPr>
          <w:p w14:paraId="782697AF" w14:textId="3A5F6169" w:rsidR="00391984" w:rsidRPr="008B766F" w:rsidRDefault="00391984" w:rsidP="00391984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B960291" w14:textId="45DD0853" w:rsidR="00391984" w:rsidRDefault="00391984" w:rsidP="00391984">
            <w:pPr>
              <w:jc w:val="both"/>
              <w:rPr>
                <w:rFonts w:ascii="Lato" w:eastAsia="Lato" w:hAnsi="Lato" w:cs="Lato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Konfederacja Lewiatan</w:t>
            </w:r>
          </w:p>
        </w:tc>
        <w:tc>
          <w:tcPr>
            <w:tcW w:w="2694" w:type="dxa"/>
          </w:tcPr>
          <w:p w14:paraId="44ED6764" w14:textId="1DB812F1" w:rsidR="00391984" w:rsidRPr="5B855FE6" w:rsidRDefault="00391984" w:rsidP="00391984">
            <w:pPr>
              <w:rPr>
                <w:rFonts w:ascii="Lato" w:eastAsia="Lato" w:hAnsi="Lato" w:cs="Lato"/>
                <w:sz w:val="20"/>
                <w:szCs w:val="20"/>
              </w:rPr>
            </w:pPr>
            <w:r w:rsidRPr="5B855FE6">
              <w:rPr>
                <w:rFonts w:ascii="Lato" w:hAnsi="Lato" w:cs="Times New Roman"/>
                <w:sz w:val="20"/>
                <w:szCs w:val="20"/>
              </w:rPr>
              <w:t>Uwaga ogólna</w:t>
            </w:r>
          </w:p>
        </w:tc>
        <w:tc>
          <w:tcPr>
            <w:tcW w:w="5103" w:type="dxa"/>
          </w:tcPr>
          <w:p w14:paraId="67E9FBCF" w14:textId="7038EC6C" w:rsidR="00391984" w:rsidRPr="008B766F" w:rsidRDefault="00391984" w:rsidP="00391984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5B855FE6">
              <w:rPr>
                <w:rFonts w:ascii="Lato" w:hAnsi="Lato" w:cs="Times New Roman"/>
                <w:sz w:val="20"/>
                <w:szCs w:val="20"/>
              </w:rPr>
              <w:t>Doceniając intencję projektodawcy, aby wprowadzić regulację umożliwiającą modernizację istniejących instalacji, należy wskazać, że propozycja projektu rozporządzenia budzi liczne wątpliwości, co w praktyce może znacząco ograniczyć możliwość jej stosowania.</w:t>
            </w:r>
          </w:p>
          <w:p w14:paraId="1C982832" w14:textId="3AEB70BD" w:rsidR="00391984" w:rsidRPr="007A1F30" w:rsidRDefault="00391984" w:rsidP="00391984">
            <w:pPr>
              <w:jc w:val="both"/>
            </w:pPr>
            <w:r w:rsidRPr="5B855FE6">
              <w:rPr>
                <w:rFonts w:ascii="Lato" w:hAnsi="Lato" w:cs="Times New Roman"/>
                <w:sz w:val="20"/>
                <w:szCs w:val="20"/>
              </w:rPr>
              <w:t>Obecnie najmniejsze turbiny w nowych projektach mają moc rzędu 4,5 MW, podczas gdy wiele istniejących instalacji opiera się na turbinach o mocy 1,5–2 MW. W praktyce oznacza to, że przy limicie 30% modernizacja jest niemal niemożliwa – wymiana turbin na nowoczesne wymaga wzrostu mocy o 50–100%. Proponujemy rozważenie podniesienia limitu do co najmniej 50%, aby przepis był realnie wykorzystywany.</w:t>
            </w:r>
          </w:p>
          <w:p w14:paraId="150234C0" w14:textId="2A831197" w:rsidR="00391984" w:rsidRPr="007A1F30" w:rsidRDefault="00391984" w:rsidP="00391984">
            <w:pPr>
              <w:jc w:val="both"/>
            </w:pPr>
            <w:r w:rsidRPr="5B855FE6">
              <w:rPr>
                <w:rFonts w:ascii="Lato" w:hAnsi="Lato" w:cs="Times New Roman"/>
                <w:sz w:val="20"/>
                <w:szCs w:val="20"/>
              </w:rPr>
              <w:t xml:space="preserve">Projekt nie precyzuje kluczowych pojęć, takich jak „lokalizacja”, czy też „elektrownia”. W kontekście „lokalizacji”, nie jest jednoznacznie przesądzone, czy chodzi o działkę, punkt geograficzny, czy obszar inwestycji. Brak tej definicji prowadzi do uznaniowości interpretacyjnej przez organy administracji (RDOŚ), co może skutkować różnymi decyzjami w podobnych przypadkach. </w:t>
            </w:r>
          </w:p>
          <w:p w14:paraId="0B49D69C" w14:textId="6F20208A" w:rsidR="00391984" w:rsidRPr="007A1F30" w:rsidRDefault="00391984" w:rsidP="00391984">
            <w:pPr>
              <w:jc w:val="both"/>
            </w:pPr>
            <w:r w:rsidRPr="5B855FE6">
              <w:rPr>
                <w:rFonts w:ascii="Lato" w:hAnsi="Lato" w:cs="Times New Roman"/>
                <w:sz w:val="20"/>
                <w:szCs w:val="20"/>
              </w:rPr>
              <w:t xml:space="preserve">Podobnie w zakresie „elektrowni”, należy doprecyzować, czy limit zwiększenia mocy odnosi się do pojedynczej turbiny, czy do farmy wiatrowej jako całości. Ma to kluczowe znaczenie dla praktycznej możliwości modernizacji – w szczególności w kontekście rozważania scenariuszy, w których część istniejących turbin mogłaby zostać zdemontowana, a na pozostałej części lokalizacji zainstalowane większe, nowocześniejsze jednostki. W takim przypadku istotne jest, aby przepisy jasno wskazywały, czy dopuszczalne jest utrzymanie całkowitej mocy farmy w granicach określonego limitu, niezależnie od liczby i mocy poszczególnych turbin. Powyższe wątpliwości rodzą </w:t>
            </w:r>
            <w:r w:rsidRPr="5B855FE6">
              <w:rPr>
                <w:rFonts w:ascii="Lato" w:hAnsi="Lato" w:cs="Times New Roman"/>
                <w:sz w:val="20"/>
                <w:szCs w:val="20"/>
              </w:rPr>
              <w:lastRenderedPageBreak/>
              <w:t>ryzyko uznaniowości decyzji organów, co może prowadzić do wydłużenia procesów administracyjnych.</w:t>
            </w:r>
          </w:p>
          <w:p w14:paraId="5C2E0CB3" w14:textId="1AE80FFB" w:rsidR="00391984" w:rsidRPr="007A1F30" w:rsidRDefault="00391984" w:rsidP="00391984">
            <w:pPr>
              <w:jc w:val="both"/>
            </w:pPr>
            <w:r w:rsidRPr="5B855FE6">
              <w:rPr>
                <w:rFonts w:ascii="Lato" w:hAnsi="Lato" w:cs="Times New Roman"/>
                <w:sz w:val="20"/>
                <w:szCs w:val="20"/>
              </w:rPr>
              <w:t>W przypadku modernizacji farm wiatrowych wybudowanych na podstawie decyzji o warunkach zabudowy (WZ), dla których nie został uchwalony w późniejszym czasie plan miejscowy, pojawia się wątpliwość, czy będzie to możliwe w kontekście obecnie obowiązujących przepisów z zakresu planowania i zagospodarowania przestrzennego, jak i inwestycji w zakresie elektrowni wiatrowych. Przepis powinien uwzględniać możliwość wymiany turbin na większe, również dla tych przypadków.</w:t>
            </w:r>
          </w:p>
          <w:p w14:paraId="62A444C3" w14:textId="2EF73DFB" w:rsidR="00391984" w:rsidRPr="5B855FE6" w:rsidRDefault="00391984" w:rsidP="00391984">
            <w:pPr>
              <w:jc w:val="both"/>
              <w:rPr>
                <w:rFonts w:ascii="Lato" w:eastAsia="Lato" w:hAnsi="Lato" w:cs="Lato"/>
                <w:sz w:val="20"/>
                <w:szCs w:val="20"/>
              </w:rPr>
            </w:pPr>
            <w:r w:rsidRPr="5B855FE6">
              <w:rPr>
                <w:rFonts w:ascii="Lato" w:hAnsi="Lato" w:cs="Times New Roman"/>
                <w:sz w:val="20"/>
                <w:szCs w:val="20"/>
              </w:rPr>
              <w:t xml:space="preserve">Należy podkreślić, że w wielu przypadkach modernizacja, rozumiana jako zwiększenie mocy nominalnej, wymaga jednocześnie zwiększenia mocy przyłączeniowej, co </w:t>
            </w:r>
            <w:r w:rsidR="00867944">
              <w:rPr>
                <w:rFonts w:ascii="Lato" w:hAnsi="Lato" w:cs="Times New Roman"/>
                <w:sz w:val="20"/>
                <w:szCs w:val="20"/>
              </w:rPr>
              <w:t>może być</w:t>
            </w:r>
            <w:r w:rsidRPr="5B855FE6">
              <w:rPr>
                <w:rFonts w:ascii="Lato" w:hAnsi="Lato" w:cs="Times New Roman"/>
                <w:sz w:val="20"/>
                <w:szCs w:val="20"/>
              </w:rPr>
              <w:t xml:space="preserve"> niemożliwe ze względu na ograniczenia sieciowe i procedury operatorów systemów przesyłowych/dystrybucyjnych. Przepisy nie odnoszą się do tej kwestii, co powoduje dalsze bariery stosowania przepisów projektowanego rozporządzenia, związane ze skalą odmów wydania warunków przyłączenia.</w:t>
            </w:r>
          </w:p>
        </w:tc>
        <w:tc>
          <w:tcPr>
            <w:tcW w:w="4252" w:type="dxa"/>
          </w:tcPr>
          <w:p w14:paraId="52EEDA16" w14:textId="77777777" w:rsidR="00391984" w:rsidRPr="381E1325" w:rsidRDefault="00391984" w:rsidP="00391984">
            <w:pPr>
              <w:jc w:val="both"/>
              <w:rPr>
                <w:rFonts w:ascii="Lato" w:eastAsia="Lato" w:hAnsi="Lato" w:cs="Lato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0315163" w14:textId="77777777" w:rsidR="00391984" w:rsidRPr="008B766F" w:rsidRDefault="00391984" w:rsidP="00391984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0574C" w:rsidRPr="008B766F" w14:paraId="27D19DF6" w14:textId="77777777" w:rsidTr="381E1325">
        <w:tc>
          <w:tcPr>
            <w:tcW w:w="562" w:type="dxa"/>
          </w:tcPr>
          <w:p w14:paraId="743719D4" w14:textId="53A7CFE7" w:rsidR="0090574C" w:rsidRPr="008B766F" w:rsidRDefault="007A1F30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37B2BAF" w14:textId="6B76FD05" w:rsidR="5B855FE6" w:rsidRDefault="00391984" w:rsidP="5B855FE6">
            <w:pPr>
              <w:jc w:val="both"/>
            </w:pPr>
            <w:r>
              <w:rPr>
                <w:rFonts w:ascii="Lato" w:eastAsia="Lato" w:hAnsi="Lato" w:cs="Lato"/>
                <w:sz w:val="20"/>
                <w:szCs w:val="20"/>
              </w:rPr>
              <w:t>Konfederacja Lewiatan</w:t>
            </w:r>
            <w:r w:rsidR="5B855FE6" w:rsidRPr="5B855FE6">
              <w:rPr>
                <w:rFonts w:ascii="Lato" w:eastAsia="Lato" w:hAnsi="Lato" w:cs="Lato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14:paraId="2E6DD579" w14:textId="5C6A2324" w:rsidR="5B855FE6" w:rsidRDefault="5B855FE6" w:rsidP="5B855FE6">
            <w:r w:rsidRPr="5B855FE6">
              <w:rPr>
                <w:rFonts w:ascii="Lato" w:eastAsia="Lato" w:hAnsi="Lato" w:cs="Lato"/>
                <w:sz w:val="20"/>
                <w:szCs w:val="20"/>
              </w:rPr>
              <w:t xml:space="preserve">§ 1 projektu rozporządzenia (zmiana § 3 ust. 1 pkt 6 lit. b rozporządzenia z dnia 10 września 2019 r.) </w:t>
            </w:r>
          </w:p>
        </w:tc>
        <w:tc>
          <w:tcPr>
            <w:tcW w:w="5103" w:type="dxa"/>
          </w:tcPr>
          <w:p w14:paraId="70DA7989" w14:textId="73656916" w:rsidR="5B855FE6" w:rsidRDefault="5B855FE6" w:rsidP="5B855FE6">
            <w:pPr>
              <w:jc w:val="both"/>
            </w:pPr>
            <w:r w:rsidRPr="5B855FE6">
              <w:rPr>
                <w:rFonts w:ascii="Lato" w:eastAsia="Lato" w:hAnsi="Lato" w:cs="Lato"/>
                <w:sz w:val="20"/>
                <w:szCs w:val="20"/>
              </w:rPr>
              <w:t xml:space="preserve">Projekt rozporządzenia w obecnym brzmieniu nie przewiduje możliwości dokonania nawet minimalnej zmiany lokalizacji turbiny wiatrowej w ramach </w:t>
            </w:r>
            <w:proofErr w:type="spellStart"/>
            <w:r w:rsidRPr="5B855FE6">
              <w:rPr>
                <w:rFonts w:ascii="Lato" w:eastAsia="Lato" w:hAnsi="Lato" w:cs="Lato"/>
                <w:sz w:val="20"/>
                <w:szCs w:val="20"/>
              </w:rPr>
              <w:t>repoweringu</w:t>
            </w:r>
            <w:proofErr w:type="spellEnd"/>
            <w:r w:rsidRPr="5B855FE6">
              <w:rPr>
                <w:rFonts w:ascii="Lato" w:eastAsia="Lato" w:hAnsi="Lato" w:cs="Lato"/>
                <w:sz w:val="20"/>
                <w:szCs w:val="20"/>
              </w:rPr>
              <w:t xml:space="preserve">. Tymczasem w poprzednich wersjach projektu rozważano dopuszczenie przesunięcia turbiny w określonym promieniu (np. do 250 m od osi wieży). W praktyce modernizacja, zwłaszcza polegająca na wymianie łopat na większe lub zastosowaniu nowoczesnych turbin, może wymagać niewielkiego przesunięcia turbiny w celu optymalizacji przepływu wiatru oraz zapewnienia prawidłowej pracy sąsiednich instalacji. Brak takiej możliwości może ograniczać efektywność </w:t>
            </w:r>
            <w:proofErr w:type="spellStart"/>
            <w:r w:rsidRPr="5B855FE6">
              <w:rPr>
                <w:rFonts w:ascii="Lato" w:eastAsia="Lato" w:hAnsi="Lato" w:cs="Lato"/>
                <w:sz w:val="20"/>
                <w:szCs w:val="20"/>
              </w:rPr>
              <w:t>repoweringu</w:t>
            </w:r>
            <w:proofErr w:type="spellEnd"/>
            <w:r w:rsidRPr="5B855FE6">
              <w:rPr>
                <w:rFonts w:ascii="Lato" w:eastAsia="Lato" w:hAnsi="Lato" w:cs="Lato"/>
                <w:sz w:val="20"/>
                <w:szCs w:val="20"/>
              </w:rPr>
              <w:t xml:space="preserve"> oraz potencjał energetyczny farmy wiatrowej, a także prowadzić do konieczności przeprowadzania pełnej procedury środowiskowej nawet przy minimalnych przesunięciach, które nie zwiększają oddziaływania na środowisko.</w:t>
            </w:r>
          </w:p>
        </w:tc>
        <w:tc>
          <w:tcPr>
            <w:tcW w:w="4252" w:type="dxa"/>
          </w:tcPr>
          <w:p w14:paraId="10CE02AB" w14:textId="011D38B2" w:rsidR="5B855FE6" w:rsidRDefault="381E1325" w:rsidP="00391984">
            <w:pPr>
              <w:jc w:val="both"/>
            </w:pPr>
            <w:r w:rsidRPr="381E1325">
              <w:rPr>
                <w:rFonts w:ascii="Lato" w:eastAsia="Lato" w:hAnsi="Lato" w:cs="Lato"/>
                <w:sz w:val="20"/>
                <w:szCs w:val="20"/>
              </w:rPr>
              <w:t>W § 3 ust. 1 pkt 6 lit. b po słowie „nie zmieni się ich lokalizacja” dodać:</w:t>
            </w:r>
            <w:r w:rsidR="5B855FE6">
              <w:br/>
            </w:r>
            <w:r w:rsidRPr="381E1325">
              <w:rPr>
                <w:rFonts w:ascii="Lato" w:eastAsia="Lato" w:hAnsi="Lato" w:cs="Lato"/>
                <w:sz w:val="20"/>
                <w:szCs w:val="20"/>
              </w:rPr>
              <w:t xml:space="preserve"> „, z zastrzeżeniem, że dopuszcza się zmianę lokalizacji turbiny wiatrowej w ramach istniejącej farmy wiatrowej o nie więcej niż 150 metrów od dotychczasowego miejsca posadowienia”.</w:t>
            </w:r>
          </w:p>
        </w:tc>
        <w:tc>
          <w:tcPr>
            <w:tcW w:w="1428" w:type="dxa"/>
          </w:tcPr>
          <w:p w14:paraId="330A28F2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bookmarkEnd w:id="0"/>
    <w:p w14:paraId="4A485AB3" w14:textId="28F0B174" w:rsidR="00CA2841" w:rsidRPr="00673DD9" w:rsidRDefault="00673DD9" w:rsidP="008B766F">
      <w:pPr>
        <w:spacing w:after="0" w:line="240" w:lineRule="auto"/>
        <w:rPr>
          <w:rFonts w:ascii="Lato" w:hAnsi="Lato" w:cs="Times New Roman"/>
          <w:b/>
          <w:bCs/>
          <w:i/>
          <w:iCs/>
          <w:sz w:val="20"/>
          <w:szCs w:val="20"/>
        </w:rPr>
      </w:pPr>
      <w:r w:rsidRPr="00673DD9">
        <w:rPr>
          <w:rFonts w:ascii="Lato" w:hAnsi="Lato" w:cs="Times New Roman"/>
          <w:b/>
          <w:bCs/>
          <w:i/>
          <w:iCs/>
          <w:sz w:val="20"/>
          <w:szCs w:val="20"/>
        </w:rPr>
        <w:t>KL/616/209/PG/2025</w:t>
      </w:r>
    </w:p>
    <w:sectPr w:rsidR="00CA2841" w:rsidRPr="00673DD9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42642" w14:textId="77777777" w:rsidR="001D39DF" w:rsidRDefault="001D39DF" w:rsidP="00CA2841">
      <w:pPr>
        <w:spacing w:after="0" w:line="240" w:lineRule="auto"/>
      </w:pPr>
      <w:r>
        <w:separator/>
      </w:r>
    </w:p>
  </w:endnote>
  <w:endnote w:type="continuationSeparator" w:id="0">
    <w:p w14:paraId="728B486A" w14:textId="77777777" w:rsidR="001D39DF" w:rsidRDefault="001D39DF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678A3" w14:textId="77777777" w:rsidR="001D39DF" w:rsidRDefault="001D39DF" w:rsidP="00CA2841">
      <w:pPr>
        <w:spacing w:after="0" w:line="240" w:lineRule="auto"/>
      </w:pPr>
      <w:r>
        <w:separator/>
      </w:r>
    </w:p>
  </w:footnote>
  <w:footnote w:type="continuationSeparator" w:id="0">
    <w:p w14:paraId="1DE0A020" w14:textId="77777777" w:rsidR="001D39DF" w:rsidRDefault="001D39DF" w:rsidP="00CA2841">
      <w:pPr>
        <w:spacing w:after="0" w:line="240" w:lineRule="auto"/>
      </w:pPr>
      <w:r>
        <w:continuationSeparator/>
      </w:r>
    </w:p>
  </w:footnote>
  <w:footnote w:id="1">
    <w:p w14:paraId="722C9D04" w14:textId="76DFC1E6" w:rsidR="004F2D1D" w:rsidRPr="00EF494C" w:rsidRDefault="004F2D1D">
      <w:pPr>
        <w:pStyle w:val="Tekstprzypisudolnego"/>
        <w:rPr>
          <w:rFonts w:ascii="Lato" w:hAnsi="Lato" w:cs="Times New Roman"/>
          <w:sz w:val="22"/>
          <w:szCs w:val="22"/>
        </w:rPr>
      </w:pPr>
      <w:r w:rsidRPr="00EF494C">
        <w:rPr>
          <w:rStyle w:val="Odwoanieprzypisudolnego"/>
          <w:rFonts w:ascii="Lato" w:hAnsi="Lato" w:cs="Times New Roman"/>
        </w:rPr>
        <w:t>1)</w:t>
      </w:r>
      <w:r w:rsidRPr="00EF494C">
        <w:rPr>
          <w:rFonts w:ascii="Lato" w:hAnsi="Lato" w:cs="Times New Roman"/>
        </w:rPr>
        <w:t xml:space="preserve"> </w:t>
      </w:r>
      <w:r w:rsidR="00B91BB7" w:rsidRPr="00EF494C">
        <w:rPr>
          <w:rFonts w:ascii="Lato" w:hAnsi="Lato" w:cs="Times New Roman"/>
        </w:rPr>
        <w:t>W przypadku aktu nowelizującego n</w:t>
      </w:r>
      <w:r w:rsidRPr="00EF494C">
        <w:rPr>
          <w:rFonts w:ascii="Lato" w:hAnsi="Lato" w:cs="Times New Roman"/>
        </w:rPr>
        <w:t xml:space="preserve">ależy wskazać jednostkę redakcyjną projektu </w:t>
      </w:r>
      <w:r w:rsidR="00EB31B4" w:rsidRPr="00EF494C">
        <w:rPr>
          <w:rFonts w:ascii="Lato" w:hAnsi="Lato" w:cs="Times New Roman"/>
        </w:rPr>
        <w:t>oraz jednostkę redakcyjną zmienianego aktu prawnego.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8393F"/>
    <w:multiLevelType w:val="hybridMultilevel"/>
    <w:tmpl w:val="D6F4DCD0"/>
    <w:lvl w:ilvl="0" w:tplc="93C44A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6CE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62E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61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A0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60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47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C5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A85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836EE"/>
    <w:multiLevelType w:val="hybridMultilevel"/>
    <w:tmpl w:val="A05A24D2"/>
    <w:lvl w:ilvl="0" w:tplc="FAFC3D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1E6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660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25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E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B41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A1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05D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BCA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74F38"/>
    <w:multiLevelType w:val="hybridMultilevel"/>
    <w:tmpl w:val="3F2CE08E"/>
    <w:lvl w:ilvl="0" w:tplc="33A6BC98">
      <w:start w:val="1"/>
      <w:numFmt w:val="lowerLetter"/>
      <w:lvlText w:val="b)"/>
      <w:lvlJc w:val="left"/>
      <w:pPr>
        <w:ind w:left="720" w:hanging="360"/>
      </w:pPr>
    </w:lvl>
    <w:lvl w:ilvl="1" w:tplc="858CAED0">
      <w:start w:val="1"/>
      <w:numFmt w:val="lowerLetter"/>
      <w:lvlText w:val="%2."/>
      <w:lvlJc w:val="left"/>
      <w:pPr>
        <w:ind w:left="1440" w:hanging="360"/>
      </w:pPr>
    </w:lvl>
    <w:lvl w:ilvl="2" w:tplc="E6C0E1A8">
      <w:start w:val="1"/>
      <w:numFmt w:val="lowerRoman"/>
      <w:lvlText w:val="%3."/>
      <w:lvlJc w:val="right"/>
      <w:pPr>
        <w:ind w:left="2160" w:hanging="180"/>
      </w:pPr>
    </w:lvl>
    <w:lvl w:ilvl="3" w:tplc="80F244BA">
      <w:start w:val="1"/>
      <w:numFmt w:val="decimal"/>
      <w:lvlText w:val="%4."/>
      <w:lvlJc w:val="left"/>
      <w:pPr>
        <w:ind w:left="2880" w:hanging="360"/>
      </w:pPr>
    </w:lvl>
    <w:lvl w:ilvl="4" w:tplc="0E9A7C5A">
      <w:start w:val="1"/>
      <w:numFmt w:val="lowerLetter"/>
      <w:lvlText w:val="%5."/>
      <w:lvlJc w:val="left"/>
      <w:pPr>
        <w:ind w:left="3600" w:hanging="360"/>
      </w:pPr>
    </w:lvl>
    <w:lvl w:ilvl="5" w:tplc="16980384">
      <w:start w:val="1"/>
      <w:numFmt w:val="lowerRoman"/>
      <w:lvlText w:val="%6."/>
      <w:lvlJc w:val="right"/>
      <w:pPr>
        <w:ind w:left="4320" w:hanging="180"/>
      </w:pPr>
    </w:lvl>
    <w:lvl w:ilvl="6" w:tplc="1A4892F2">
      <w:start w:val="1"/>
      <w:numFmt w:val="decimal"/>
      <w:lvlText w:val="%7."/>
      <w:lvlJc w:val="left"/>
      <w:pPr>
        <w:ind w:left="5040" w:hanging="360"/>
      </w:pPr>
    </w:lvl>
    <w:lvl w:ilvl="7" w:tplc="E8A21B3E">
      <w:start w:val="1"/>
      <w:numFmt w:val="lowerLetter"/>
      <w:lvlText w:val="%8."/>
      <w:lvlJc w:val="left"/>
      <w:pPr>
        <w:ind w:left="5760" w:hanging="360"/>
      </w:pPr>
    </w:lvl>
    <w:lvl w:ilvl="8" w:tplc="86BEC70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C449F"/>
    <w:multiLevelType w:val="hybridMultilevel"/>
    <w:tmpl w:val="7FB829C2"/>
    <w:lvl w:ilvl="0" w:tplc="76C60E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F47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CC3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82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49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103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01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49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AB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E2457"/>
    <w:multiLevelType w:val="hybridMultilevel"/>
    <w:tmpl w:val="AC5A7C72"/>
    <w:lvl w:ilvl="0" w:tplc="C31EDA9C">
      <w:start w:val="82"/>
      <w:numFmt w:val="decimal"/>
      <w:lvlText w:val="%1."/>
      <w:lvlJc w:val="left"/>
      <w:pPr>
        <w:ind w:left="720" w:hanging="360"/>
      </w:pPr>
    </w:lvl>
    <w:lvl w:ilvl="1" w:tplc="559EFC76">
      <w:start w:val="1"/>
      <w:numFmt w:val="lowerLetter"/>
      <w:lvlText w:val="%2."/>
      <w:lvlJc w:val="left"/>
      <w:pPr>
        <w:ind w:left="1440" w:hanging="360"/>
      </w:pPr>
    </w:lvl>
    <w:lvl w:ilvl="2" w:tplc="09463C36">
      <w:start w:val="1"/>
      <w:numFmt w:val="lowerRoman"/>
      <w:lvlText w:val="%3."/>
      <w:lvlJc w:val="right"/>
      <w:pPr>
        <w:ind w:left="2160" w:hanging="180"/>
      </w:pPr>
    </w:lvl>
    <w:lvl w:ilvl="3" w:tplc="3B42DA76">
      <w:start w:val="1"/>
      <w:numFmt w:val="decimal"/>
      <w:lvlText w:val="%4."/>
      <w:lvlJc w:val="left"/>
      <w:pPr>
        <w:ind w:left="2880" w:hanging="360"/>
      </w:pPr>
    </w:lvl>
    <w:lvl w:ilvl="4" w:tplc="73BA2FC0">
      <w:start w:val="1"/>
      <w:numFmt w:val="lowerLetter"/>
      <w:lvlText w:val="%5."/>
      <w:lvlJc w:val="left"/>
      <w:pPr>
        <w:ind w:left="3600" w:hanging="360"/>
      </w:pPr>
    </w:lvl>
    <w:lvl w:ilvl="5" w:tplc="5218DB40">
      <w:start w:val="1"/>
      <w:numFmt w:val="lowerRoman"/>
      <w:lvlText w:val="%6."/>
      <w:lvlJc w:val="right"/>
      <w:pPr>
        <w:ind w:left="4320" w:hanging="180"/>
      </w:pPr>
    </w:lvl>
    <w:lvl w:ilvl="6" w:tplc="B0DED046">
      <w:start w:val="1"/>
      <w:numFmt w:val="decimal"/>
      <w:lvlText w:val="%7."/>
      <w:lvlJc w:val="left"/>
      <w:pPr>
        <w:ind w:left="5040" w:hanging="360"/>
      </w:pPr>
    </w:lvl>
    <w:lvl w:ilvl="7" w:tplc="878C9DAA">
      <w:start w:val="1"/>
      <w:numFmt w:val="lowerLetter"/>
      <w:lvlText w:val="%8."/>
      <w:lvlJc w:val="left"/>
      <w:pPr>
        <w:ind w:left="5760" w:hanging="360"/>
      </w:pPr>
    </w:lvl>
    <w:lvl w:ilvl="8" w:tplc="0778F9D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2A0E7"/>
    <w:multiLevelType w:val="hybridMultilevel"/>
    <w:tmpl w:val="9FD2DDBE"/>
    <w:lvl w:ilvl="0" w:tplc="56B839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067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CF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8A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4E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09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6B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25F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247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F3764"/>
    <w:multiLevelType w:val="hybridMultilevel"/>
    <w:tmpl w:val="CEAE7516"/>
    <w:lvl w:ilvl="0" w:tplc="395000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7AC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D61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F4D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AC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43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A8A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0C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80C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111C5"/>
    <w:multiLevelType w:val="hybridMultilevel"/>
    <w:tmpl w:val="61F68648"/>
    <w:lvl w:ilvl="0" w:tplc="0480F6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A6E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491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6C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68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268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45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E1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F49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FE369"/>
    <w:multiLevelType w:val="hybridMultilevel"/>
    <w:tmpl w:val="9848A8A0"/>
    <w:lvl w:ilvl="0" w:tplc="B2B2E2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766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2D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C0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BAB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9AF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0A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A5C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8C9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D58C2"/>
    <w:multiLevelType w:val="hybridMultilevel"/>
    <w:tmpl w:val="69241B8A"/>
    <w:lvl w:ilvl="0" w:tplc="E94817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D445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2E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8A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86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A0AD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803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82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0F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425127">
    <w:abstractNumId w:val="4"/>
  </w:num>
  <w:num w:numId="2" w16cid:durableId="678894024">
    <w:abstractNumId w:val="8"/>
  </w:num>
  <w:num w:numId="3" w16cid:durableId="172305849">
    <w:abstractNumId w:val="9"/>
  </w:num>
  <w:num w:numId="4" w16cid:durableId="739868593">
    <w:abstractNumId w:val="7"/>
  </w:num>
  <w:num w:numId="5" w16cid:durableId="1727289761">
    <w:abstractNumId w:val="1"/>
  </w:num>
  <w:num w:numId="6" w16cid:durableId="650449300">
    <w:abstractNumId w:val="5"/>
  </w:num>
  <w:num w:numId="7" w16cid:durableId="1573732914">
    <w:abstractNumId w:val="3"/>
  </w:num>
  <w:num w:numId="8" w16cid:durableId="1964118376">
    <w:abstractNumId w:val="0"/>
  </w:num>
  <w:num w:numId="9" w16cid:durableId="234096920">
    <w:abstractNumId w:val="2"/>
  </w:num>
  <w:num w:numId="10" w16cid:durableId="13379216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A3207"/>
    <w:rsid w:val="00173E53"/>
    <w:rsid w:val="00187721"/>
    <w:rsid w:val="0019568F"/>
    <w:rsid w:val="001B734F"/>
    <w:rsid w:val="001D39DF"/>
    <w:rsid w:val="001E4824"/>
    <w:rsid w:val="001F6727"/>
    <w:rsid w:val="00391984"/>
    <w:rsid w:val="00435D45"/>
    <w:rsid w:val="004F2D1D"/>
    <w:rsid w:val="005770FE"/>
    <w:rsid w:val="0065784C"/>
    <w:rsid w:val="00673DD9"/>
    <w:rsid w:val="00773DAD"/>
    <w:rsid w:val="007A1F30"/>
    <w:rsid w:val="00823A95"/>
    <w:rsid w:val="00867944"/>
    <w:rsid w:val="00894E5C"/>
    <w:rsid w:val="008B1756"/>
    <w:rsid w:val="008B766F"/>
    <w:rsid w:val="008F0C1F"/>
    <w:rsid w:val="0090574C"/>
    <w:rsid w:val="00934B37"/>
    <w:rsid w:val="00954A3A"/>
    <w:rsid w:val="009B5AD6"/>
    <w:rsid w:val="009E504D"/>
    <w:rsid w:val="00A01497"/>
    <w:rsid w:val="00B35DDF"/>
    <w:rsid w:val="00B829F8"/>
    <w:rsid w:val="00B91BB7"/>
    <w:rsid w:val="00BC035D"/>
    <w:rsid w:val="00C93278"/>
    <w:rsid w:val="00CA2841"/>
    <w:rsid w:val="00CD3075"/>
    <w:rsid w:val="00CF0629"/>
    <w:rsid w:val="00D35962"/>
    <w:rsid w:val="00DC02EA"/>
    <w:rsid w:val="00E40E3D"/>
    <w:rsid w:val="00EB31B4"/>
    <w:rsid w:val="00EC4C43"/>
    <w:rsid w:val="00EF494C"/>
    <w:rsid w:val="00F43464"/>
    <w:rsid w:val="381E1325"/>
    <w:rsid w:val="5B85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link w:val="TekstprzypisudolnegoZnak"/>
    <w:uiPriority w:val="99"/>
    <w:semiHidden/>
    <w:unhideWhenUsed/>
    <w:rsid w:val="5B855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5B855F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F062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629"/>
    <w:rPr>
      <w:color w:val="605E5C"/>
      <w:shd w:val="clear" w:color="auto" w:fill="E1DFDD"/>
    </w:rPr>
  </w:style>
  <w:style w:type="paragraph" w:styleId="Akapitzlist">
    <w:name w:val="List Paragraph"/>
    <w:uiPriority w:val="34"/>
    <w:qFormat/>
    <w:rsid w:val="5B855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619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Magdalena Widlicka</cp:lastModifiedBy>
  <cp:revision>13</cp:revision>
  <dcterms:created xsi:type="dcterms:W3CDTF">2025-03-20T12:30:00Z</dcterms:created>
  <dcterms:modified xsi:type="dcterms:W3CDTF">2025-12-04T16:16:00Z</dcterms:modified>
</cp:coreProperties>
</file>