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B304F" w14:textId="77777777" w:rsidR="0072796D" w:rsidRDefault="0072796D">
      <w:pPr>
        <w:rPr>
          <w:rFonts w:ascii="Lato" w:eastAsia="Lato" w:hAnsi="Lato" w:cs="Lato"/>
          <w:sz w:val="20"/>
          <w:szCs w:val="20"/>
        </w:rPr>
      </w:pPr>
    </w:p>
    <w:p w14:paraId="3D7913A7" w14:textId="77777777" w:rsidR="0072796D" w:rsidRDefault="00A95B62">
      <w:pPr>
        <w:jc w:val="center"/>
        <w:rPr>
          <w:b/>
          <w:bCs/>
          <w:sz w:val="24"/>
          <w:szCs w:val="24"/>
        </w:rPr>
      </w:pPr>
      <w:r>
        <w:rPr>
          <w:b/>
          <w:bCs/>
          <w:sz w:val="24"/>
          <w:szCs w:val="24"/>
        </w:rPr>
        <w:t>Konsultacje projektu Strategii Cyfryzacji Polski na lata 2025-2035</w:t>
      </w:r>
    </w:p>
    <w:p w14:paraId="68F3B60C" w14:textId="77777777" w:rsidR="0072796D" w:rsidRDefault="0072796D">
      <w:pPr>
        <w:jc w:val="center"/>
        <w:rPr>
          <w:b/>
          <w:bCs/>
          <w:sz w:val="24"/>
          <w:szCs w:val="24"/>
        </w:rPr>
      </w:pPr>
    </w:p>
    <w:p w14:paraId="689BD607" w14:textId="77777777" w:rsidR="0072796D" w:rsidRDefault="00A95B62">
      <w:r>
        <w:t>Konsultacje publiczne projektu uchwały Rady Ministrów w sprawie strategii dotyczącej informatyzacji państwa, zwanej dalej „Strategią Cyfryzacji Państwa”, mają na celu poprawę oraz udoskonalenie dokumentu w zakresie jego treści i konkretnych zagadnień. W celu ustrukturyzowania sposobu zgłaszania uwag, udostępniamy do Państwa dyspozycji poniższy formularz, uwzględniający podział na uwagi dotyczące projektu uchwały Rady Ministrów i uzasadnienia, projektu Strategii Cyfryzacji Państwa oraz uwagi o charakterze og</w:t>
      </w:r>
      <w:r>
        <w:t>ólnym.</w:t>
      </w:r>
    </w:p>
    <w:p w14:paraId="3D6ECB6C" w14:textId="77777777" w:rsidR="0072796D" w:rsidRDefault="00A95B62">
      <w:r>
        <w:t xml:space="preserve">Prosimy o przesłanie wypełnionego formularza z uwagami na adres: …….. , w terminie do … . </w:t>
      </w:r>
    </w:p>
    <w:p w14:paraId="5E7EB1E5" w14:textId="77777777" w:rsidR="0072796D" w:rsidRDefault="00A95B62">
      <w:pPr>
        <w:numPr>
          <w:ilvl w:val="0"/>
          <w:numId w:val="5"/>
        </w:numPr>
        <w:pBdr>
          <w:top w:val="nil"/>
          <w:left w:val="nil"/>
          <w:bottom w:val="nil"/>
          <w:right w:val="nil"/>
          <w:between w:val="nil"/>
        </w:pBdr>
        <w:spacing w:line="259" w:lineRule="auto"/>
        <w:rPr>
          <w:b/>
          <w:bCs/>
          <w:color w:val="000000"/>
        </w:rPr>
      </w:pPr>
      <w:r>
        <w:rPr>
          <w:b/>
          <w:bCs/>
          <w:color w:val="000000"/>
        </w:rPr>
        <w:t>Informacje podstawowe:</w:t>
      </w:r>
    </w:p>
    <w:p w14:paraId="3D7B78DB" w14:textId="77777777" w:rsidR="0072796D" w:rsidRDefault="00A95B62">
      <w:pPr>
        <w:spacing w:line="259" w:lineRule="auto"/>
      </w:pPr>
      <w:r>
        <w:t>Zgłaszam uwagi jako:</w:t>
      </w:r>
    </w:p>
    <w:p w14:paraId="44D83B28" w14:textId="77777777" w:rsidR="0072796D" w:rsidRDefault="00A95B62">
      <w:pPr>
        <w:spacing w:before="120" w:after="120" w:line="240" w:lineRule="auto"/>
      </w:pPr>
      <w:r>
        <w:rPr>
          <w:rFonts w:ascii="MS Gothic" w:eastAsia="MS Gothic" w:hAnsi="MS Gothic" w:cs="MS Gothic"/>
        </w:rPr>
        <w:t>☐</w:t>
      </w:r>
      <w:r>
        <w:t xml:space="preserve"> Osoba fizyczna,</w:t>
      </w:r>
    </w:p>
    <w:p w14:paraId="36623FF4" w14:textId="77777777" w:rsidR="0072796D" w:rsidRDefault="00A95B62">
      <w:pPr>
        <w:spacing w:before="120" w:after="120" w:line="240" w:lineRule="auto"/>
      </w:pPr>
      <w:r>
        <w:rPr>
          <w:rFonts w:ascii="Arial Unicode MS" w:eastAsia="Arial Unicode MS" w:hAnsi="Arial Unicode MS" w:cs="Arial Unicode MS"/>
        </w:rPr>
        <w:t>☐</w:t>
      </w:r>
      <w:r>
        <w:t xml:space="preserve"> Przedsiębiorca(-czyni),</w:t>
      </w:r>
    </w:p>
    <w:p w14:paraId="723C45FC" w14:textId="77777777" w:rsidR="0072796D" w:rsidRDefault="00A95B62">
      <w:pPr>
        <w:spacing w:before="120" w:after="120" w:line="240" w:lineRule="auto"/>
      </w:pPr>
      <w:r>
        <w:rPr>
          <w:rFonts w:ascii="Arial Unicode MS" w:eastAsia="Arial Unicode MS" w:hAnsi="Arial Unicode MS" w:cs="Arial Unicode MS"/>
        </w:rPr>
        <w:t>☐</w:t>
      </w:r>
      <w:r>
        <w:t xml:space="preserve"> Przedstawiciel(ka) instytucji publicznej,</w:t>
      </w:r>
    </w:p>
    <w:p w14:paraId="0D55C64B" w14:textId="77777777" w:rsidR="0072796D" w:rsidRDefault="00A95B62">
      <w:pPr>
        <w:spacing w:before="120" w:after="120" w:line="240" w:lineRule="auto"/>
      </w:pPr>
      <w:r>
        <w:rPr>
          <w:rFonts w:ascii="Arial Unicode MS" w:eastAsia="Arial Unicode MS" w:hAnsi="Arial Unicode MS" w:cs="Arial Unicode MS"/>
        </w:rPr>
        <w:t>☐</w:t>
      </w:r>
      <w:r>
        <w:t xml:space="preserve"> Przedstawiciel(ka) organizacji trzeciego sektora,</w:t>
      </w:r>
    </w:p>
    <w:p w14:paraId="2EA4D462" w14:textId="77777777" w:rsidR="0072796D" w:rsidRDefault="00A95B62">
      <w:pPr>
        <w:tabs>
          <w:tab w:val="left" w:pos="8505"/>
        </w:tabs>
        <w:spacing w:before="120" w:after="120" w:line="240" w:lineRule="auto"/>
      </w:pPr>
      <w:bookmarkStart w:id="0" w:name="_fqsylczbljss" w:colFirst="0" w:colLast="0"/>
      <w:bookmarkEnd w:id="0"/>
      <w:r>
        <w:rPr>
          <w:rFonts w:ascii="MS Gothic" w:eastAsia="MS Gothic" w:hAnsi="MS Gothic" w:cs="MS Gothic"/>
        </w:rPr>
        <w:t>☒</w:t>
      </w:r>
      <w:r>
        <w:t xml:space="preserve"> Inne (jakie?): Organizacja pracodawców </w:t>
      </w:r>
    </w:p>
    <w:p w14:paraId="047482BB" w14:textId="77777777" w:rsidR="0072796D" w:rsidRDefault="0072796D">
      <w:pPr>
        <w:spacing w:line="257" w:lineRule="auto"/>
      </w:pPr>
    </w:p>
    <w:p w14:paraId="04C7EC38" w14:textId="77777777" w:rsidR="0072796D" w:rsidRDefault="00A95B62">
      <w:pPr>
        <w:spacing w:line="257" w:lineRule="auto"/>
      </w:pPr>
      <w:r>
        <w:t xml:space="preserve">Imię i nazwisko: </w:t>
      </w:r>
      <w:r>
        <w:tab/>
        <w:t>Eliza Turkiewicz</w:t>
      </w:r>
      <w:r>
        <w:tab/>
      </w:r>
    </w:p>
    <w:p w14:paraId="04BDE13C" w14:textId="77777777" w:rsidR="0072796D" w:rsidRDefault="00A95B62">
      <w:r>
        <w:t>Nazwa reprezentowanej instytucji: Konfederacja Lewiatan</w:t>
      </w:r>
      <w:r>
        <w:tab/>
      </w:r>
      <w:r>
        <w:tab/>
      </w:r>
    </w:p>
    <w:p w14:paraId="037679D1" w14:textId="77777777" w:rsidR="0072796D" w:rsidRPr="00637E4C" w:rsidRDefault="00A95B62">
      <w:pPr>
        <w:rPr>
          <w:lang w:val="en-GB"/>
        </w:rPr>
      </w:pPr>
      <w:r w:rsidRPr="00637E4C">
        <w:rPr>
          <w:lang w:val="en-GB"/>
        </w:rPr>
        <w:lastRenderedPageBreak/>
        <w:t xml:space="preserve">Adres e-mail: </w:t>
      </w:r>
      <w:hyperlink r:id="rId7">
        <w:r w:rsidR="0072796D" w:rsidRPr="00637E4C">
          <w:rPr>
            <w:color w:val="0563C1"/>
            <w:u w:val="single"/>
            <w:lang w:val="en-GB"/>
          </w:rPr>
          <w:t>eturkiewicz@lewiatan.org</w:t>
        </w:r>
      </w:hyperlink>
      <w:r w:rsidRPr="00637E4C">
        <w:rPr>
          <w:lang w:val="en-GB"/>
        </w:rPr>
        <w:t xml:space="preserve"> </w:t>
      </w:r>
    </w:p>
    <w:p w14:paraId="732BF12F" w14:textId="77777777" w:rsidR="0072796D" w:rsidRDefault="00A95B62">
      <w:pPr>
        <w:numPr>
          <w:ilvl w:val="0"/>
          <w:numId w:val="5"/>
        </w:numPr>
        <w:pBdr>
          <w:top w:val="nil"/>
          <w:left w:val="nil"/>
          <w:bottom w:val="nil"/>
          <w:right w:val="nil"/>
          <w:between w:val="nil"/>
        </w:pBdr>
        <w:rPr>
          <w:b/>
          <w:bCs/>
          <w:color w:val="000000"/>
        </w:rPr>
      </w:pPr>
      <w:r>
        <w:rPr>
          <w:b/>
          <w:bCs/>
          <w:color w:val="000000"/>
        </w:rPr>
        <w:t xml:space="preserve">Uwagi do projektu uchwały Rady Ministrów i uzasadnienia </w:t>
      </w:r>
    </w:p>
    <w:tbl>
      <w:tblPr>
        <w:tblStyle w:val="a"/>
        <w:tblW w:w="127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552"/>
        <w:gridCol w:w="9616"/>
      </w:tblGrid>
      <w:tr w:rsidR="0072796D" w14:paraId="405CFD2A" w14:textId="77777777">
        <w:tc>
          <w:tcPr>
            <w:tcW w:w="562" w:type="dxa"/>
            <w:shd w:val="clear" w:color="auto" w:fill="DEEBF6"/>
          </w:tcPr>
          <w:p w14:paraId="77D082FE" w14:textId="77777777" w:rsidR="0072796D" w:rsidRDefault="00A95B62">
            <w:pPr>
              <w:rPr>
                <w:b/>
                <w:bCs/>
              </w:rPr>
            </w:pPr>
            <w:r>
              <w:rPr>
                <w:b/>
                <w:bCs/>
              </w:rPr>
              <w:t xml:space="preserve">Lp. </w:t>
            </w:r>
          </w:p>
        </w:tc>
        <w:tc>
          <w:tcPr>
            <w:tcW w:w="2552" w:type="dxa"/>
            <w:shd w:val="clear" w:color="auto" w:fill="DEEBF6"/>
          </w:tcPr>
          <w:p w14:paraId="153E5245" w14:textId="77777777" w:rsidR="0072796D" w:rsidRDefault="00A95B62">
            <w:pPr>
              <w:rPr>
                <w:b/>
                <w:bCs/>
              </w:rPr>
            </w:pPr>
            <w:r>
              <w:rPr>
                <w:b/>
                <w:bCs/>
              </w:rPr>
              <w:t>Jednostka redakcyjna projektu uchwały/część uzasadnienia</w:t>
            </w:r>
          </w:p>
        </w:tc>
        <w:tc>
          <w:tcPr>
            <w:tcW w:w="9616" w:type="dxa"/>
            <w:shd w:val="clear" w:color="auto" w:fill="DEEBF6"/>
          </w:tcPr>
          <w:p w14:paraId="12E6EE9F" w14:textId="77777777" w:rsidR="0072796D" w:rsidRDefault="00A95B62">
            <w:pPr>
              <w:rPr>
                <w:b/>
                <w:bCs/>
              </w:rPr>
            </w:pPr>
            <w:r>
              <w:rPr>
                <w:b/>
                <w:bCs/>
              </w:rPr>
              <w:t>Treść uwagi</w:t>
            </w:r>
          </w:p>
        </w:tc>
      </w:tr>
      <w:tr w:rsidR="0072796D" w14:paraId="0DA1C122" w14:textId="77777777">
        <w:tc>
          <w:tcPr>
            <w:tcW w:w="562" w:type="dxa"/>
          </w:tcPr>
          <w:p w14:paraId="4A68FEF6" w14:textId="77777777" w:rsidR="0072796D" w:rsidRDefault="00A95B62">
            <w:pPr>
              <w:jc w:val="center"/>
            </w:pPr>
            <w:r>
              <w:t>1</w:t>
            </w:r>
          </w:p>
        </w:tc>
        <w:tc>
          <w:tcPr>
            <w:tcW w:w="2552" w:type="dxa"/>
          </w:tcPr>
          <w:p w14:paraId="390A00E1" w14:textId="77777777" w:rsidR="0072796D" w:rsidRDefault="0072796D"/>
        </w:tc>
        <w:tc>
          <w:tcPr>
            <w:tcW w:w="9616" w:type="dxa"/>
          </w:tcPr>
          <w:p w14:paraId="4FD08597" w14:textId="77777777" w:rsidR="0072796D" w:rsidRDefault="0072796D"/>
        </w:tc>
      </w:tr>
      <w:tr w:rsidR="0072796D" w14:paraId="330999FE" w14:textId="77777777">
        <w:tc>
          <w:tcPr>
            <w:tcW w:w="562" w:type="dxa"/>
          </w:tcPr>
          <w:p w14:paraId="117AEF93" w14:textId="77777777" w:rsidR="0072796D" w:rsidRDefault="00A95B62">
            <w:pPr>
              <w:jc w:val="center"/>
            </w:pPr>
            <w:r>
              <w:t>2</w:t>
            </w:r>
          </w:p>
        </w:tc>
        <w:tc>
          <w:tcPr>
            <w:tcW w:w="2552" w:type="dxa"/>
          </w:tcPr>
          <w:p w14:paraId="3445930D" w14:textId="77777777" w:rsidR="0072796D" w:rsidRDefault="0072796D"/>
        </w:tc>
        <w:tc>
          <w:tcPr>
            <w:tcW w:w="9616" w:type="dxa"/>
          </w:tcPr>
          <w:p w14:paraId="6C27197C" w14:textId="77777777" w:rsidR="0072796D" w:rsidRDefault="0072796D"/>
        </w:tc>
      </w:tr>
      <w:tr w:rsidR="0072796D" w14:paraId="78617DDF" w14:textId="77777777">
        <w:tc>
          <w:tcPr>
            <w:tcW w:w="562" w:type="dxa"/>
          </w:tcPr>
          <w:p w14:paraId="126566FD" w14:textId="77777777" w:rsidR="0072796D" w:rsidRDefault="00A95B62">
            <w:pPr>
              <w:jc w:val="center"/>
            </w:pPr>
            <w:r>
              <w:t>3</w:t>
            </w:r>
          </w:p>
        </w:tc>
        <w:tc>
          <w:tcPr>
            <w:tcW w:w="2552" w:type="dxa"/>
          </w:tcPr>
          <w:p w14:paraId="572CB6D9" w14:textId="77777777" w:rsidR="0072796D" w:rsidRDefault="0072796D"/>
        </w:tc>
        <w:tc>
          <w:tcPr>
            <w:tcW w:w="9616" w:type="dxa"/>
          </w:tcPr>
          <w:p w14:paraId="696F92D9" w14:textId="77777777" w:rsidR="0072796D" w:rsidRDefault="0072796D"/>
        </w:tc>
      </w:tr>
      <w:tr w:rsidR="0072796D" w14:paraId="668C766F" w14:textId="77777777">
        <w:tc>
          <w:tcPr>
            <w:tcW w:w="562" w:type="dxa"/>
          </w:tcPr>
          <w:p w14:paraId="4F26DB8E" w14:textId="77777777" w:rsidR="0072796D" w:rsidRDefault="00A95B62">
            <w:pPr>
              <w:jc w:val="center"/>
            </w:pPr>
            <w:r>
              <w:t>4</w:t>
            </w:r>
          </w:p>
        </w:tc>
        <w:tc>
          <w:tcPr>
            <w:tcW w:w="2552" w:type="dxa"/>
          </w:tcPr>
          <w:p w14:paraId="20C1C70E" w14:textId="77777777" w:rsidR="0072796D" w:rsidRDefault="0072796D"/>
        </w:tc>
        <w:tc>
          <w:tcPr>
            <w:tcW w:w="9616" w:type="dxa"/>
          </w:tcPr>
          <w:p w14:paraId="44FE3037" w14:textId="77777777" w:rsidR="0072796D" w:rsidRDefault="0072796D"/>
        </w:tc>
      </w:tr>
    </w:tbl>
    <w:p w14:paraId="35A872F7" w14:textId="77777777" w:rsidR="0072796D" w:rsidRDefault="0072796D"/>
    <w:p w14:paraId="1A4F4420" w14:textId="77777777" w:rsidR="0072796D" w:rsidRDefault="00A95B62">
      <w:pPr>
        <w:numPr>
          <w:ilvl w:val="0"/>
          <w:numId w:val="5"/>
        </w:numPr>
        <w:pBdr>
          <w:top w:val="nil"/>
          <w:left w:val="nil"/>
          <w:bottom w:val="nil"/>
          <w:right w:val="nil"/>
          <w:between w:val="nil"/>
        </w:pBdr>
        <w:rPr>
          <w:b/>
          <w:bCs/>
          <w:color w:val="000000"/>
        </w:rPr>
      </w:pPr>
      <w:r>
        <w:rPr>
          <w:b/>
          <w:bCs/>
          <w:color w:val="000000"/>
        </w:rPr>
        <w:t>Uwagi do projektu Strategii Cyfryzacji Państwa</w:t>
      </w:r>
    </w:p>
    <w:tbl>
      <w:tblPr>
        <w:tblStyle w:val="a0"/>
        <w:tblW w:w="126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5"/>
        <w:gridCol w:w="2220"/>
        <w:gridCol w:w="1515"/>
        <w:gridCol w:w="1845"/>
        <w:gridCol w:w="6210"/>
      </w:tblGrid>
      <w:tr w:rsidR="0072796D" w14:paraId="31A32F7E" w14:textId="77777777">
        <w:tc>
          <w:tcPr>
            <w:tcW w:w="885" w:type="dxa"/>
            <w:shd w:val="clear" w:color="auto" w:fill="DEEBF6"/>
          </w:tcPr>
          <w:p w14:paraId="6DF543A8" w14:textId="77777777" w:rsidR="0072796D" w:rsidRDefault="00A95B62">
            <w:pPr>
              <w:rPr>
                <w:b/>
                <w:bCs/>
              </w:rPr>
            </w:pPr>
            <w:r>
              <w:rPr>
                <w:b/>
                <w:bCs/>
              </w:rPr>
              <w:t xml:space="preserve">Lp. </w:t>
            </w:r>
          </w:p>
        </w:tc>
        <w:tc>
          <w:tcPr>
            <w:tcW w:w="2220" w:type="dxa"/>
            <w:shd w:val="clear" w:color="auto" w:fill="DEEBF6"/>
          </w:tcPr>
          <w:p w14:paraId="75318189" w14:textId="77777777" w:rsidR="0072796D" w:rsidRDefault="00A95B62">
            <w:pPr>
              <w:rPr>
                <w:b/>
                <w:bCs/>
              </w:rPr>
            </w:pPr>
            <w:r>
              <w:rPr>
                <w:b/>
                <w:bCs/>
              </w:rPr>
              <w:t>Część Strategii</w:t>
            </w:r>
          </w:p>
          <w:p w14:paraId="07434834" w14:textId="77777777" w:rsidR="0072796D" w:rsidRDefault="0072796D">
            <w:pPr>
              <w:rPr>
                <w:b/>
                <w:bCs/>
              </w:rPr>
            </w:pPr>
          </w:p>
        </w:tc>
        <w:tc>
          <w:tcPr>
            <w:tcW w:w="1515" w:type="dxa"/>
            <w:shd w:val="clear" w:color="auto" w:fill="DEEBF6"/>
          </w:tcPr>
          <w:p w14:paraId="3B35A7DE" w14:textId="77777777" w:rsidR="0072796D" w:rsidRDefault="00A95B62">
            <w:pPr>
              <w:rPr>
                <w:b/>
                <w:bCs/>
              </w:rPr>
            </w:pPr>
            <w:r>
              <w:rPr>
                <w:b/>
                <w:bCs/>
              </w:rPr>
              <w:t>Obszar Strategii</w:t>
            </w:r>
          </w:p>
        </w:tc>
        <w:tc>
          <w:tcPr>
            <w:tcW w:w="1845" w:type="dxa"/>
            <w:shd w:val="clear" w:color="auto" w:fill="DEEBF6"/>
          </w:tcPr>
          <w:p w14:paraId="1475B33D" w14:textId="77777777" w:rsidR="0072796D" w:rsidRDefault="00A95B62">
            <w:pPr>
              <w:rPr>
                <w:b/>
                <w:bCs/>
              </w:rPr>
            </w:pPr>
            <w:r>
              <w:rPr>
                <w:b/>
                <w:bCs/>
              </w:rPr>
              <w:t>Cel Strategii</w:t>
            </w:r>
          </w:p>
        </w:tc>
        <w:tc>
          <w:tcPr>
            <w:tcW w:w="6210" w:type="dxa"/>
            <w:shd w:val="clear" w:color="auto" w:fill="DEEBF6"/>
          </w:tcPr>
          <w:p w14:paraId="0269D87F" w14:textId="77777777" w:rsidR="0072796D" w:rsidRDefault="00A95B62">
            <w:pPr>
              <w:rPr>
                <w:b/>
                <w:bCs/>
              </w:rPr>
            </w:pPr>
            <w:r>
              <w:rPr>
                <w:b/>
                <w:bCs/>
              </w:rPr>
              <w:t xml:space="preserve">Treść uwagi </w:t>
            </w:r>
            <w:r>
              <w:t>(w przypadku odnoszenia się do działań zawartych w celach proszę podać literę a), b), c), itd.)</w:t>
            </w:r>
          </w:p>
        </w:tc>
      </w:tr>
      <w:tr w:rsidR="0072796D" w14:paraId="441457AB" w14:textId="77777777">
        <w:tc>
          <w:tcPr>
            <w:tcW w:w="885" w:type="dxa"/>
          </w:tcPr>
          <w:p w14:paraId="4885712F" w14:textId="037B7084" w:rsidR="0072796D" w:rsidRPr="00637E4C" w:rsidRDefault="0072796D" w:rsidP="00637E4C">
            <w:pPr>
              <w:numPr>
                <w:ilvl w:val="0"/>
                <w:numId w:val="5"/>
              </w:numPr>
              <w:pBdr>
                <w:top w:val="nil"/>
                <w:left w:val="nil"/>
                <w:bottom w:val="nil"/>
                <w:right w:val="nil"/>
                <w:between w:val="nil"/>
              </w:pBdr>
              <w:spacing w:after="160" w:line="256" w:lineRule="auto"/>
              <w:rPr>
                <w:rFonts w:ascii="Arial" w:eastAsia="Arial" w:hAnsi="Arial" w:cs="Arial"/>
                <w:color w:val="000000"/>
              </w:rPr>
            </w:pPr>
          </w:p>
        </w:tc>
        <w:tc>
          <w:tcPr>
            <w:tcW w:w="2220" w:type="dxa"/>
          </w:tcPr>
          <w:p w14:paraId="4253FDAD" w14:textId="77777777" w:rsidR="0072796D" w:rsidRDefault="00A95B62">
            <w:r>
              <w:t>VI Cele i czynniki umożliwiające ich realizację</w:t>
            </w:r>
          </w:p>
        </w:tc>
        <w:tc>
          <w:tcPr>
            <w:tcW w:w="1515" w:type="dxa"/>
          </w:tcPr>
          <w:p w14:paraId="2B37BB61" w14:textId="77777777" w:rsidR="0072796D" w:rsidRDefault="00A95B62">
            <w:r>
              <w:t>1.4 Koordynacja cyfrowej transformacji kraju</w:t>
            </w:r>
          </w:p>
        </w:tc>
        <w:tc>
          <w:tcPr>
            <w:tcW w:w="1845" w:type="dxa"/>
          </w:tcPr>
          <w:p w14:paraId="141C3070" w14:textId="77777777" w:rsidR="0072796D" w:rsidRDefault="00A95B62">
            <w:r>
              <w:t xml:space="preserve">Cel 1 </w:t>
            </w:r>
          </w:p>
        </w:tc>
        <w:tc>
          <w:tcPr>
            <w:tcW w:w="6210" w:type="dxa"/>
          </w:tcPr>
          <w:p w14:paraId="187AF502" w14:textId="77777777" w:rsidR="0072796D" w:rsidRDefault="00A95B62">
            <w:pPr>
              <w:jc w:val="both"/>
              <w:rPr>
                <w:b/>
                <w:bCs/>
              </w:rPr>
            </w:pPr>
            <w:r>
              <w:rPr>
                <w:b/>
                <w:bCs/>
              </w:rPr>
              <w:t>1.4.5: Dyplomacja cyfrowa jest skuteczna i efektywnie koordynowana</w:t>
            </w:r>
          </w:p>
          <w:p w14:paraId="401609AB" w14:textId="77777777" w:rsidR="0072796D" w:rsidRDefault="0072796D">
            <w:pPr>
              <w:jc w:val="both"/>
            </w:pPr>
          </w:p>
          <w:p w14:paraId="287DCAF3" w14:textId="77777777" w:rsidR="0072796D" w:rsidRDefault="00A95B62">
            <w:pPr>
              <w:numPr>
                <w:ilvl w:val="0"/>
                <w:numId w:val="6"/>
              </w:numPr>
              <w:pBdr>
                <w:top w:val="nil"/>
                <w:left w:val="nil"/>
                <w:bottom w:val="nil"/>
                <w:right w:val="nil"/>
                <w:between w:val="nil"/>
              </w:pBdr>
              <w:spacing w:after="160" w:line="256" w:lineRule="auto"/>
              <w:jc w:val="both"/>
              <w:rPr>
                <w:b/>
                <w:bCs/>
                <w:color w:val="000000"/>
              </w:rPr>
            </w:pPr>
            <w:r>
              <w:rPr>
                <w:b/>
                <w:bCs/>
                <w:color w:val="000000"/>
              </w:rPr>
              <w:t>Propozycja dodania nowego punktu h)</w:t>
            </w:r>
          </w:p>
          <w:p w14:paraId="7CDFA058" w14:textId="77777777" w:rsidR="0072796D" w:rsidRDefault="00A95B62">
            <w:pPr>
              <w:jc w:val="both"/>
            </w:pPr>
            <w:r>
              <w:t>„</w:t>
            </w:r>
            <w:r>
              <w:rPr>
                <w:i/>
                <w:iCs/>
              </w:rPr>
              <w:t>Podejmowanie działań mającym na celu ułatwienie polskim przedsiębiorcom wchodzenia na zagraniczne rynki i skalowania działalności poprzez wykorzystanie instrumentów dyplomacji cyfrowej.</w:t>
            </w:r>
            <w:r>
              <w:t>”</w:t>
            </w:r>
          </w:p>
          <w:p w14:paraId="2A174888" w14:textId="77777777" w:rsidR="0072796D" w:rsidRDefault="0072796D">
            <w:pPr>
              <w:jc w:val="both"/>
            </w:pPr>
          </w:p>
          <w:p w14:paraId="5A4646EC" w14:textId="77777777" w:rsidR="0072796D" w:rsidRDefault="00A95B62">
            <w:pPr>
              <w:jc w:val="both"/>
            </w:pPr>
            <w:r>
              <w:t xml:space="preserve">Włączenie do Strategii Cyfryzacji Państwa dodatkowego punktu odnoszącego się do wsparcia ekspansji międzynarodowej polskich przedsiębiorstw - w szczególności firm technologicznych - jest </w:t>
            </w:r>
            <w:r>
              <w:lastRenderedPageBreak/>
              <w:t>zasadne z uwagi na postępującą dzięki technologii globalizację oraz rosnący potencjał umiędzynarodowienia polskich podmiotów. Dyplomacja cyfrowa powinna polegać nie tylko na działaniach promocyjnych. W naszej opinii niezbędne jest aranżowanie współpracy międzynarodowej, wspieranie udziału firm w projektach transgranicznych, a także aktywne rzecznictwo regulacyjne - zwłaszcza w państwach trzecich, w przypadku których obowiązki administracyjne i regulacyjne mogą stanowić istotne bariery dla europejskich firm.</w:t>
            </w:r>
            <w:r>
              <w:t xml:space="preserve"> </w:t>
            </w:r>
            <w:proofErr w:type="spellStart"/>
            <w:r>
              <w:t>Adwokowanie</w:t>
            </w:r>
            <w:proofErr w:type="spellEnd"/>
            <w:r>
              <w:t xml:space="preserve"> mogłoby polegać rekomendowaniu: zachęt inwestycyjnych dla polskich firm za granicą, ograniczania zbędnych obciążeń administracyjnych; tworzenia lokalnych punktów kontaktowych i centrów wsparcia. Takie działania przełożyłyby się bezpośrednio na ograniczenie ryzyka po stronie polskich przedsiębiorców i większą skłonność do podejmowania przedsięwzięć w państwach trzecich.</w:t>
            </w:r>
          </w:p>
          <w:p w14:paraId="551BAA71" w14:textId="77777777" w:rsidR="0072796D" w:rsidRDefault="0072796D">
            <w:pPr>
              <w:jc w:val="both"/>
            </w:pPr>
          </w:p>
          <w:p w14:paraId="2166A1AC" w14:textId="77777777" w:rsidR="0072796D" w:rsidRDefault="00A95B62">
            <w:pPr>
              <w:numPr>
                <w:ilvl w:val="0"/>
                <w:numId w:val="6"/>
              </w:numPr>
              <w:pBdr>
                <w:top w:val="nil"/>
                <w:left w:val="nil"/>
                <w:bottom w:val="nil"/>
                <w:right w:val="nil"/>
                <w:between w:val="nil"/>
              </w:pBdr>
              <w:spacing w:after="160" w:line="256" w:lineRule="auto"/>
              <w:jc w:val="both"/>
              <w:rPr>
                <w:b/>
                <w:bCs/>
                <w:color w:val="000000"/>
              </w:rPr>
            </w:pPr>
            <w:r>
              <w:rPr>
                <w:b/>
                <w:bCs/>
                <w:color w:val="000000"/>
              </w:rPr>
              <w:t>Uwaga do pkt. f)</w:t>
            </w:r>
          </w:p>
          <w:p w14:paraId="7954F72F" w14:textId="77777777" w:rsidR="0072796D" w:rsidRDefault="00A95B62">
            <w:pPr>
              <w:jc w:val="both"/>
            </w:pPr>
            <w:r>
              <w:t>„</w:t>
            </w:r>
            <w:r>
              <w:rPr>
                <w:i/>
                <w:iCs/>
              </w:rPr>
              <w:t>Zwiększanie zaangażowania Polski w prace organizacji i instytucji międzynarodowych, co umożliwi aktywny wpływ na kształtowanie standardów i regulacji, determinujących rozwój kluczowych technologii.</w:t>
            </w:r>
            <w:r>
              <w:t>”</w:t>
            </w:r>
          </w:p>
          <w:p w14:paraId="4B9BACA7" w14:textId="77777777" w:rsidR="0072796D" w:rsidRDefault="0072796D">
            <w:pPr>
              <w:jc w:val="both"/>
            </w:pPr>
          </w:p>
          <w:p w14:paraId="2E3B4FC5" w14:textId="4899D0F8" w:rsidR="0072796D" w:rsidRDefault="00A95B62">
            <w:pPr>
              <w:jc w:val="both"/>
            </w:pPr>
            <w:r>
              <w:t xml:space="preserve">W kontekście pkt f) pragniemy podkreślić kluczowe znaczenie działań na rzecz zapewnienia jednolitej, spójnej implementacji oraz interpretacji prawa unijnego w obszarze technologii. Z perspektywy przedsiębiorstw działających na wielu rynkach UE, jedną w większych barier jest rozbieżna wykładnia regulacji oraz zróżnicowane praktyki stosowania przez organy krajowe </w:t>
            </w:r>
            <w:r>
              <w:lastRenderedPageBreak/>
              <w:t xml:space="preserve">poszczególnych państw członkowskich. Prowadzi to do powstawania fragmentacji, utrudnia prowadzenie jednolitej polityki gospodarczej i w efekcie utrudnia prowadzenie biznesu na kilku rynkach. Dlatego postulujemy, aby w ramach działań wskazanych w punkcie f) Polska aktywnie </w:t>
            </w:r>
            <w:r w:rsidR="00637E4C">
              <w:t>popierała</w:t>
            </w:r>
            <w:r>
              <w:t xml:space="preserve"> harmonizacj</w:t>
            </w:r>
            <w:r w:rsidR="00637E4C">
              <w:t>ę</w:t>
            </w:r>
            <w:r>
              <w:t xml:space="preserve"> interpretacyjną na poziomie UE przede wszystkim poprzez wspieranie prac nad wytycznymi i mechanizmami koordynacyjnymi dla organów właściwych w państwach członkowskich i promowanie innych praktyk sprzyjających jednoli</w:t>
            </w:r>
            <w:r>
              <w:t xml:space="preserve">temu wdrażaniu aktów takich jak AI </w:t>
            </w:r>
            <w:proofErr w:type="spellStart"/>
            <w:r>
              <w:t>Act</w:t>
            </w:r>
            <w:proofErr w:type="spellEnd"/>
            <w:r>
              <w:t>, DSA, DMA czy przepisów dotyczące danych.</w:t>
            </w:r>
          </w:p>
          <w:p w14:paraId="34700EE3" w14:textId="77777777" w:rsidR="0072796D" w:rsidRDefault="0072796D">
            <w:pPr>
              <w:jc w:val="both"/>
            </w:pPr>
          </w:p>
          <w:p w14:paraId="49F7D788" w14:textId="4FF29BA6" w:rsidR="0072796D" w:rsidRDefault="00A95B62">
            <w:pPr>
              <w:jc w:val="both"/>
            </w:pPr>
            <w:r>
              <w:t>Jednocześnie należy zwrócić uwagę, że w przypadku państw trzecich, w których Polska nie ma istotnego wpływu na kształtowanie regulacji i standardów, wsparcie dla firm powinno koncentrować się na udzielaniu/organizowaniu wsparcia w interpretacji lokalnych przepisów i procedur. Proponujemy rozważenie utworzenia w ramach przedstawicielstw dyplomatycznych dedykowanych punktów informacyjnych dla przedsiębiorców i kanałów konsultacyjnych ułatwiających dostęp do aktualnych informacji o wymogach, procedurach i orga</w:t>
            </w:r>
            <w:r>
              <w:t>nach nadzorczych w danym państwie.</w:t>
            </w:r>
          </w:p>
        </w:tc>
      </w:tr>
      <w:tr w:rsidR="0072796D" w14:paraId="1B4E3604" w14:textId="77777777">
        <w:tc>
          <w:tcPr>
            <w:tcW w:w="885" w:type="dxa"/>
          </w:tcPr>
          <w:p w14:paraId="0D993E0E" w14:textId="77777777" w:rsidR="0072796D" w:rsidRPr="00637E4C" w:rsidRDefault="0072796D" w:rsidP="00637E4C">
            <w:pPr>
              <w:numPr>
                <w:ilvl w:val="0"/>
                <w:numId w:val="5"/>
              </w:numPr>
              <w:pBdr>
                <w:top w:val="nil"/>
                <w:left w:val="nil"/>
                <w:bottom w:val="nil"/>
                <w:right w:val="nil"/>
                <w:between w:val="nil"/>
              </w:pBdr>
              <w:spacing w:after="160" w:line="256" w:lineRule="auto"/>
              <w:jc w:val="center"/>
              <w:rPr>
                <w:rFonts w:ascii="Arial" w:eastAsia="Arial" w:hAnsi="Arial" w:cs="Arial"/>
                <w:color w:val="000000"/>
              </w:rPr>
            </w:pPr>
          </w:p>
        </w:tc>
        <w:tc>
          <w:tcPr>
            <w:tcW w:w="2220" w:type="dxa"/>
          </w:tcPr>
          <w:p w14:paraId="4AEE62D2" w14:textId="77777777" w:rsidR="0072796D" w:rsidRDefault="0072796D"/>
        </w:tc>
        <w:tc>
          <w:tcPr>
            <w:tcW w:w="1515" w:type="dxa"/>
          </w:tcPr>
          <w:p w14:paraId="3651F3EC" w14:textId="77777777" w:rsidR="0072796D" w:rsidRDefault="0072796D"/>
        </w:tc>
        <w:tc>
          <w:tcPr>
            <w:tcW w:w="1845" w:type="dxa"/>
          </w:tcPr>
          <w:p w14:paraId="01077237" w14:textId="77777777" w:rsidR="0072796D" w:rsidRDefault="00A95B62">
            <w:r>
              <w:t>cel 2.5.3</w:t>
            </w:r>
          </w:p>
        </w:tc>
        <w:tc>
          <w:tcPr>
            <w:tcW w:w="6210" w:type="dxa"/>
          </w:tcPr>
          <w:p w14:paraId="15B5546A" w14:textId="77777777" w:rsidR="0072796D" w:rsidRPr="00D93BF0" w:rsidRDefault="00A95B62">
            <w:pPr>
              <w:spacing w:after="160" w:line="276" w:lineRule="auto"/>
              <w:rPr>
                <w:rFonts w:asciiTheme="majorHAnsi" w:eastAsia="Google Sans" w:hAnsiTheme="majorHAnsi" w:cstheme="majorHAnsi"/>
                <w:sz w:val="24"/>
                <w:szCs w:val="24"/>
              </w:rPr>
            </w:pPr>
            <w:r w:rsidRPr="00D93BF0">
              <w:rPr>
                <w:rFonts w:asciiTheme="majorHAnsi" w:eastAsia="Google Sans" w:hAnsiTheme="majorHAnsi" w:cstheme="majorHAnsi"/>
                <w:sz w:val="24"/>
                <w:szCs w:val="24"/>
              </w:rPr>
              <w:t xml:space="preserve">Strategia przewiduje, wsparcie dla podmiotów publicznych w nabywaniu, wdrażaniu i wykorzystywaniu systemów i rozwiązań informatycznych w oparciu o usługi chmurowe. Popieramy takie podejście, jednak wskazujemy, że dotychczasowe modele wsparcia były nieefektywne (ZUCH) na co wskazywała np. Najwyższa Izba Kontroli. Warto, aby </w:t>
            </w:r>
            <w:r w:rsidRPr="00D93BF0">
              <w:rPr>
                <w:rFonts w:asciiTheme="majorHAnsi" w:eastAsia="Google Sans" w:hAnsiTheme="majorHAnsi" w:cstheme="majorHAnsi"/>
                <w:sz w:val="24"/>
                <w:szCs w:val="24"/>
              </w:rPr>
              <w:lastRenderedPageBreak/>
              <w:t>Strategia wspomniała jak ZUCH miałby być zreformowany</w:t>
            </w:r>
            <w:r>
              <w:rPr>
                <w:rFonts w:ascii="Google Sans" w:eastAsia="Google Sans" w:hAnsi="Google Sans" w:cs="Google Sans"/>
              </w:rPr>
              <w:t xml:space="preserve">, </w:t>
            </w:r>
            <w:r w:rsidRPr="00D93BF0">
              <w:rPr>
                <w:rFonts w:asciiTheme="majorHAnsi" w:eastAsia="Google Sans" w:hAnsiTheme="majorHAnsi" w:cstheme="majorHAnsi"/>
                <w:sz w:val="24"/>
                <w:szCs w:val="24"/>
              </w:rPr>
              <w:t xml:space="preserve">tak aby 1) uniknąć skomplikowane procedury zakupów usług przez ZUCH, 2) zwiększenia katalogu usług dostępnych w platformie, 3) zwiększenie elastyczności mechanizmów ZUCH tak, aby nadążały za dynamicznie zmieniającymi się modelami rozliczeń w chmurze publicznej (np. </w:t>
            </w:r>
            <w:proofErr w:type="spellStart"/>
            <w:r w:rsidRPr="00D93BF0">
              <w:rPr>
                <w:rFonts w:asciiTheme="majorHAnsi" w:eastAsia="Google Sans" w:hAnsiTheme="majorHAnsi" w:cstheme="majorHAnsi"/>
                <w:sz w:val="24"/>
                <w:szCs w:val="24"/>
              </w:rPr>
              <w:t>pay</w:t>
            </w:r>
            <w:proofErr w:type="spellEnd"/>
            <w:r w:rsidRPr="00D93BF0">
              <w:rPr>
                <w:rFonts w:asciiTheme="majorHAnsi" w:eastAsia="Google Sans" w:hAnsiTheme="majorHAnsi" w:cstheme="majorHAnsi"/>
                <w:sz w:val="24"/>
                <w:szCs w:val="24"/>
              </w:rPr>
              <w:t>-as-</w:t>
            </w:r>
            <w:proofErr w:type="spellStart"/>
            <w:r w:rsidRPr="00D93BF0">
              <w:rPr>
                <w:rFonts w:asciiTheme="majorHAnsi" w:eastAsia="Google Sans" w:hAnsiTheme="majorHAnsi" w:cstheme="majorHAnsi"/>
                <w:sz w:val="24"/>
                <w:szCs w:val="24"/>
              </w:rPr>
              <w:t>you</w:t>
            </w:r>
            <w:proofErr w:type="spellEnd"/>
            <w:r w:rsidRPr="00D93BF0">
              <w:rPr>
                <w:rFonts w:asciiTheme="majorHAnsi" w:eastAsia="Google Sans" w:hAnsiTheme="majorHAnsi" w:cstheme="majorHAnsi"/>
                <w:sz w:val="24"/>
                <w:szCs w:val="24"/>
              </w:rPr>
              <w:t>-go).</w:t>
            </w:r>
          </w:p>
          <w:p w14:paraId="68743555" w14:textId="77777777" w:rsidR="0072796D" w:rsidRPr="00D93BF0" w:rsidRDefault="00A95B62">
            <w:pPr>
              <w:spacing w:line="276" w:lineRule="auto"/>
              <w:rPr>
                <w:rFonts w:asciiTheme="majorHAnsi" w:eastAsia="Google Sans" w:hAnsiTheme="majorHAnsi" w:cstheme="majorHAnsi"/>
                <w:sz w:val="24"/>
                <w:szCs w:val="24"/>
              </w:rPr>
            </w:pPr>
            <w:r w:rsidRPr="00D93BF0">
              <w:rPr>
                <w:rFonts w:asciiTheme="majorHAnsi" w:hAnsiTheme="majorHAnsi" w:cstheme="majorHAnsi"/>
                <w:sz w:val="24"/>
                <w:szCs w:val="24"/>
              </w:rPr>
              <w:t xml:space="preserve">     </w:t>
            </w:r>
          </w:p>
          <w:p w14:paraId="4D2EE684" w14:textId="77777777" w:rsidR="0072796D" w:rsidRDefault="00A95B62">
            <w:pPr>
              <w:spacing w:after="160" w:line="276" w:lineRule="auto"/>
              <w:rPr>
                <w:rFonts w:ascii="Google Sans" w:eastAsia="Google Sans" w:hAnsi="Google Sans" w:cs="Google Sans"/>
              </w:rPr>
            </w:pPr>
            <w:r w:rsidRPr="00D93BF0">
              <w:rPr>
                <w:rFonts w:asciiTheme="majorHAnsi" w:eastAsia="Google Sans" w:hAnsiTheme="majorHAnsi" w:cstheme="majorHAnsi"/>
                <w:sz w:val="24"/>
                <w:szCs w:val="24"/>
              </w:rPr>
              <w:t>Zwracamy też uwagę na potencjalną sprzeczność celów b) dot. Zawierania umów ramowych i uproszczonych umów wykonawczych z pkt. c) dotyczącym reformy ZUCH. Nie jest jasne, którą ścieżką będzie przebiegał proces zakupowy oraz jakie typy usług będzie obejmował.</w:t>
            </w:r>
            <w:r>
              <w:rPr>
                <w:rFonts w:ascii="Google Sans" w:eastAsia="Google Sans" w:hAnsi="Google Sans" w:cs="Google Sans"/>
              </w:rPr>
              <w:t xml:space="preserve"> </w:t>
            </w:r>
            <w:r>
              <w:t xml:space="preserve">     </w:t>
            </w:r>
          </w:p>
        </w:tc>
      </w:tr>
      <w:tr w:rsidR="0072796D" w14:paraId="0EDB8596" w14:textId="77777777">
        <w:tc>
          <w:tcPr>
            <w:tcW w:w="885" w:type="dxa"/>
          </w:tcPr>
          <w:p w14:paraId="56E286CE" w14:textId="77777777" w:rsidR="0072796D" w:rsidRDefault="0072796D">
            <w:pPr>
              <w:jc w:val="center"/>
            </w:pPr>
          </w:p>
        </w:tc>
        <w:tc>
          <w:tcPr>
            <w:tcW w:w="2220" w:type="dxa"/>
          </w:tcPr>
          <w:p w14:paraId="4B5A840C" w14:textId="77777777" w:rsidR="0072796D" w:rsidRDefault="00A95B62">
            <w:r>
              <w:t>VI Cele i czynniki umożliwiające ich realizację</w:t>
            </w:r>
          </w:p>
        </w:tc>
        <w:tc>
          <w:tcPr>
            <w:tcW w:w="1515" w:type="dxa"/>
          </w:tcPr>
          <w:p w14:paraId="6A8899D2" w14:textId="77777777" w:rsidR="0072796D" w:rsidRDefault="00A95B62">
            <w:pPr>
              <w:rPr>
                <w:color w:val="000000"/>
              </w:rPr>
            </w:pPr>
            <w:r>
              <w:rPr>
                <w:color w:val="000000"/>
              </w:rPr>
              <w:t>Cel 3.4. – Cyfrowy dostęp do wiedzy i kultury</w:t>
            </w:r>
          </w:p>
        </w:tc>
        <w:tc>
          <w:tcPr>
            <w:tcW w:w="1845" w:type="dxa"/>
          </w:tcPr>
          <w:p w14:paraId="158208D9" w14:textId="77777777" w:rsidR="0072796D" w:rsidRDefault="0072796D"/>
        </w:tc>
        <w:tc>
          <w:tcPr>
            <w:tcW w:w="6210" w:type="dxa"/>
          </w:tcPr>
          <w:p w14:paraId="389A3477" w14:textId="77777777" w:rsidR="0072796D" w:rsidRDefault="00A95B62">
            <w:pPr>
              <w:pBdr>
                <w:top w:val="nil"/>
                <w:left w:val="nil"/>
                <w:bottom w:val="nil"/>
                <w:right w:val="nil"/>
                <w:between w:val="nil"/>
              </w:pBdr>
              <w:shd w:val="clear" w:color="auto" w:fill="FFFFFF"/>
              <w:jc w:val="both"/>
              <w:rPr>
                <w:rFonts w:ascii="inherit" w:eastAsia="inherit" w:hAnsi="inherit" w:cs="inherit"/>
                <w:color w:val="000000"/>
              </w:rPr>
            </w:pPr>
            <w:r>
              <w:rPr>
                <w:rFonts w:ascii="Aptos" w:eastAsia="Aptos" w:hAnsi="Aptos" w:cs="Aptos"/>
                <w:color w:val="000000"/>
                <w:highlight w:val="white"/>
              </w:rPr>
              <w:t xml:space="preserve">Popieramy działania na rzecz digitalizacji zasobów kultury i nauki oraz rozwoju otwartych danych jak i współpracę z instytucjami publicznymi przy tworzeniu repozytoriów cyfrowych i archiwów multimedialnych. Tworzenie jednolitych standardów dla repozytoriów cyfrowych w celu zapewnienia interoperacyjności i integracji z platformami edukacyjnymi oraz komercyjnymi. Uzgodnienie </w:t>
            </w:r>
            <w:proofErr w:type="spellStart"/>
            <w:r>
              <w:rPr>
                <w:rFonts w:ascii="Aptos" w:eastAsia="Aptos" w:hAnsi="Aptos" w:cs="Aptos"/>
                <w:color w:val="000000"/>
                <w:highlight w:val="white"/>
              </w:rPr>
              <w:t>priorytetyzacji</w:t>
            </w:r>
            <w:proofErr w:type="spellEnd"/>
            <w:r>
              <w:rPr>
                <w:rFonts w:ascii="Aptos" w:eastAsia="Aptos" w:hAnsi="Aptos" w:cs="Aptos"/>
                <w:color w:val="000000"/>
                <w:highlight w:val="white"/>
              </w:rPr>
              <w:t xml:space="preserve"> działań digitalizacyjnych i zapewnienie stabilnych źródeł finansowania poprzez wykorzystanie funduszy UE, mechanizmów krajowych oraz partnerstw publiczno-prywatnych. Branża medialna powinna aktywnie uczestniczyć w </w:t>
            </w:r>
            <w:r>
              <w:rPr>
                <w:rFonts w:ascii="Aptos" w:eastAsia="Aptos" w:hAnsi="Aptos" w:cs="Aptos"/>
                <w:color w:val="000000"/>
                <w:highlight w:val="white"/>
              </w:rPr>
              <w:lastRenderedPageBreak/>
              <w:t>konsultacjach dotyczących harmonogramów i kryteriów finansowania, aby zagwarantować efektywne wdrożenie projektów digitalizacji zasobów kultury i nauki.</w:t>
            </w:r>
          </w:p>
        </w:tc>
      </w:tr>
      <w:tr w:rsidR="0072796D" w14:paraId="5E0847BD" w14:textId="77777777">
        <w:tc>
          <w:tcPr>
            <w:tcW w:w="885" w:type="dxa"/>
          </w:tcPr>
          <w:p w14:paraId="785035CC" w14:textId="51AA43CB" w:rsidR="0072796D" w:rsidRPr="00637E4C" w:rsidRDefault="0072796D" w:rsidP="00637E4C">
            <w:pPr>
              <w:numPr>
                <w:ilvl w:val="0"/>
                <w:numId w:val="5"/>
              </w:numPr>
              <w:pBdr>
                <w:top w:val="nil"/>
                <w:left w:val="nil"/>
                <w:bottom w:val="nil"/>
                <w:right w:val="nil"/>
                <w:between w:val="nil"/>
              </w:pBdr>
              <w:spacing w:after="160" w:line="256" w:lineRule="auto"/>
              <w:jc w:val="center"/>
              <w:rPr>
                <w:rFonts w:ascii="Arial" w:eastAsia="Arial" w:hAnsi="Arial" w:cs="Arial"/>
                <w:color w:val="000000"/>
              </w:rPr>
            </w:pPr>
          </w:p>
        </w:tc>
        <w:tc>
          <w:tcPr>
            <w:tcW w:w="2220" w:type="dxa"/>
          </w:tcPr>
          <w:p w14:paraId="382CBF02" w14:textId="77777777" w:rsidR="0072796D" w:rsidRDefault="00A95B62">
            <w:r>
              <w:t>VI Cele i czynniki umożliwiające ich realizację</w:t>
            </w:r>
          </w:p>
        </w:tc>
        <w:tc>
          <w:tcPr>
            <w:tcW w:w="1515" w:type="dxa"/>
          </w:tcPr>
          <w:p w14:paraId="27A878C9" w14:textId="77777777" w:rsidR="0072796D" w:rsidRDefault="00A95B62">
            <w:r>
              <w:t>4.2 Sztuczna inteligencja</w:t>
            </w:r>
          </w:p>
        </w:tc>
        <w:tc>
          <w:tcPr>
            <w:tcW w:w="1845" w:type="dxa"/>
          </w:tcPr>
          <w:p w14:paraId="052E6E52" w14:textId="77777777" w:rsidR="0072796D" w:rsidRDefault="00A95B62">
            <w:r>
              <w:t>Cel 4</w:t>
            </w:r>
          </w:p>
        </w:tc>
        <w:tc>
          <w:tcPr>
            <w:tcW w:w="6210" w:type="dxa"/>
          </w:tcPr>
          <w:p w14:paraId="614AF536" w14:textId="77777777" w:rsidR="0072796D" w:rsidRDefault="00A95B62">
            <w:pPr>
              <w:jc w:val="both"/>
              <w:rPr>
                <w:b/>
                <w:bCs/>
              </w:rPr>
            </w:pPr>
            <w:r>
              <w:rPr>
                <w:b/>
                <w:bCs/>
              </w:rPr>
              <w:t>Cel 4.1.2: Przedsiębiorcy postrzegają transformację cyfrową jako proces ułatwiający działalność firmy i zwiększający jej efektywność</w:t>
            </w:r>
          </w:p>
          <w:p w14:paraId="13AE0604" w14:textId="77777777" w:rsidR="0072796D" w:rsidRDefault="0072796D">
            <w:pPr>
              <w:jc w:val="both"/>
            </w:pPr>
          </w:p>
          <w:p w14:paraId="1629826D" w14:textId="77777777" w:rsidR="0072796D" w:rsidRDefault="00A95B62">
            <w:pPr>
              <w:numPr>
                <w:ilvl w:val="0"/>
                <w:numId w:val="6"/>
              </w:numPr>
              <w:pBdr>
                <w:top w:val="nil"/>
                <w:left w:val="nil"/>
                <w:bottom w:val="nil"/>
                <w:right w:val="nil"/>
                <w:between w:val="nil"/>
              </w:pBdr>
              <w:spacing w:after="160" w:line="256" w:lineRule="auto"/>
              <w:jc w:val="both"/>
              <w:rPr>
                <w:b/>
                <w:bCs/>
                <w:color w:val="000000"/>
              </w:rPr>
            </w:pPr>
            <w:r>
              <w:rPr>
                <w:b/>
                <w:bCs/>
                <w:color w:val="000000"/>
              </w:rPr>
              <w:t>Komentarz do punktu b)</w:t>
            </w:r>
          </w:p>
          <w:p w14:paraId="517D4133" w14:textId="77777777" w:rsidR="0072796D" w:rsidRDefault="00A95B62">
            <w:pPr>
              <w:jc w:val="both"/>
              <w:rPr>
                <w:i/>
                <w:iCs/>
              </w:rPr>
            </w:pPr>
            <w:r>
              <w:rPr>
                <w:i/>
                <w:iCs/>
              </w:rPr>
              <w:t>„b) Koordynacja współpracy instytucji badawczych wchodzących w skład ekosystemu AI przez instytucję wiodącą;”</w:t>
            </w:r>
          </w:p>
          <w:p w14:paraId="4D3B24CF" w14:textId="77777777" w:rsidR="0072796D" w:rsidRDefault="0072796D">
            <w:pPr>
              <w:jc w:val="both"/>
              <w:rPr>
                <w:i/>
                <w:iCs/>
              </w:rPr>
            </w:pPr>
          </w:p>
          <w:p w14:paraId="70FFE686" w14:textId="77777777" w:rsidR="0072796D" w:rsidRDefault="00A95B62">
            <w:pPr>
              <w:jc w:val="both"/>
            </w:pPr>
            <w:r>
              <w:t>Z zadowoleniem odnosimy się do tego, że kwestie związane z rozwojem i wykorzystaniem sztucznej inteligencji są szczegółowo ujęte w Polityce AI. Równocześnie, mając na uwadze, że Strategia Cyfryzacji Państwa 2035 pełni funkcję nadrzędnego dokumentu kierunkowego dla działań państwa w obszarze cyfryzacji, dostrzegamy ryzyka niespójności wynikające z braku jednoznacznych odniesień do Polityki AI.</w:t>
            </w:r>
          </w:p>
          <w:p w14:paraId="243B8DE7" w14:textId="77777777" w:rsidR="0072796D" w:rsidRDefault="0072796D">
            <w:pPr>
              <w:jc w:val="both"/>
            </w:pPr>
          </w:p>
          <w:p w14:paraId="1BBFAE10" w14:textId="77777777" w:rsidR="0072796D" w:rsidRDefault="00A95B62">
            <w:pPr>
              <w:jc w:val="both"/>
            </w:pPr>
            <w:r>
              <w:t>Przykładowo, w Polityce AI ekosystem AI definiowany jest szeroko i obejmuje nie tylko instytucje naukowe, lecz również uczelnie, ośrodki badawcze, centra badawczo-rozwojowe, przedsiębiorstwa, administrację publiczną oraz organizacje społeczne. Tymczasem w Strategii pojęcie ekosystemu AI nie zostało zdefiniowane - co może prowadzić do mylnego wrażenia, że tworzą go przede wszystkim instytucje naukowe wymienione w punkcie b. Brak precyzji w tym zakresie może utrudniać właściwe rozumienie roli poszczególnych i</w:t>
            </w:r>
            <w:r>
              <w:t xml:space="preserve">nteresariuszy oraz ograniczać skuteczność planowanej koordynacji. </w:t>
            </w:r>
            <w:r>
              <w:lastRenderedPageBreak/>
              <w:t xml:space="preserve">Rekomendujemy zatem doprecyzowanie definicji ekosystemu AI w Strategii poprzez bezpośrednie odwołanie do definicji zawartej w Polityce AI bądź jednoznaczne opisanie w Strategii, jakie podmioty wchodzą w skład ekosystemu, który pojawia się wielokrotnie w treści dokumentu. Takie doprecyzowanie zwiększy spójność obu dokumentów strategicznych oraz zapewni jasność co do roli wszystkich uczestników ekosystemu AI w procesie koordynacji i realizacji </w:t>
            </w:r>
            <w:r>
              <w:t>działań na rzecz transformacji cyfrowej przedsiębiorstw.</w:t>
            </w:r>
          </w:p>
          <w:p w14:paraId="238558CE" w14:textId="77777777" w:rsidR="0072796D" w:rsidRDefault="0072796D">
            <w:pPr>
              <w:jc w:val="both"/>
            </w:pPr>
          </w:p>
          <w:p w14:paraId="4DACAB21" w14:textId="77777777" w:rsidR="0072796D" w:rsidRDefault="00A95B62">
            <w:pPr>
              <w:numPr>
                <w:ilvl w:val="0"/>
                <w:numId w:val="6"/>
              </w:numPr>
              <w:pBdr>
                <w:top w:val="nil"/>
                <w:left w:val="nil"/>
                <w:bottom w:val="nil"/>
                <w:right w:val="nil"/>
                <w:between w:val="nil"/>
              </w:pBdr>
              <w:spacing w:after="160" w:line="256" w:lineRule="auto"/>
              <w:jc w:val="both"/>
              <w:rPr>
                <w:b/>
                <w:bCs/>
                <w:color w:val="000000"/>
              </w:rPr>
            </w:pPr>
            <w:r>
              <w:rPr>
                <w:b/>
                <w:bCs/>
                <w:color w:val="000000"/>
              </w:rPr>
              <w:t>Komentarz do punktu c)</w:t>
            </w:r>
          </w:p>
          <w:p w14:paraId="742DF816" w14:textId="77777777" w:rsidR="0072796D" w:rsidRDefault="00A95B62">
            <w:pPr>
              <w:jc w:val="both"/>
            </w:pPr>
            <w:r>
              <w:t xml:space="preserve"> „</w:t>
            </w:r>
            <w:r>
              <w:rPr>
                <w:i/>
                <w:iCs/>
              </w:rPr>
              <w:t>c) Określenie branż kluczowych, które gwarantują transfer technologii i tworzenie wewnętrznego łańcucha dostaw opartego na rodzimych firmach, w których Polska posiada potencjał do przewagi konkurencyjnej, oraz skierowanie w te obszary celowanych działań. Kluczowe będą te branże, które mają istotny wpływ na polskie PKB, duży udział w eksporcie oraz znaczący potencjał wzrostu produktywności w wyniku transformacji cyfrowej i wdrażania technologii Przemysłu 4.0.</w:t>
            </w:r>
            <w:r>
              <w:t>”</w:t>
            </w:r>
          </w:p>
          <w:p w14:paraId="229361CD" w14:textId="77777777" w:rsidR="0072796D" w:rsidRDefault="0072796D">
            <w:pPr>
              <w:jc w:val="both"/>
            </w:pPr>
          </w:p>
          <w:p w14:paraId="0B1BA80E" w14:textId="77777777" w:rsidR="0072796D" w:rsidRDefault="00A95B62">
            <w:pPr>
              <w:jc w:val="both"/>
            </w:pPr>
            <w:r>
              <w:t xml:space="preserve">Wskazana propozycja jest zasadna i obiecująca, jednak w naszej ocenie wymaga doprecyzowania. W obecnym brzmieniu „wewnętrzny łańcuch dostaw” wydaje się odnosić do technologii - konieczności budowania suwerenności cyfrowej państwa i zdolności do korzystania z europejskiego bądź krajowego stosu technologicznego na wypadek przerw w łańcuchu dostaw (np. krajowych dostawców oprogramowania, komponentów elektronicznych, usług chmurowych, infrastruktury </w:t>
            </w:r>
            <w:proofErr w:type="spellStart"/>
            <w:r>
              <w:t>itd</w:t>
            </w:r>
            <w:proofErr w:type="spellEnd"/>
            <w:r>
              <w:t xml:space="preserve">). Równocześnie dalej jest mowa o “branżach, które mają istotny </w:t>
            </w:r>
            <w:r>
              <w:lastRenderedPageBreak/>
              <w:t xml:space="preserve">wpływ na polskie PKB”, co sugerować ujęcie szersze (tj. Obejmujące wiele obszarów, w których cyfryzacja i wdrożenie AI ma największy potencjał np. logistykę, energetykę, sektor rolno-spożywczy). </w:t>
            </w:r>
          </w:p>
          <w:p w14:paraId="3F0AC580" w14:textId="77777777" w:rsidR="0072796D" w:rsidRDefault="00A95B62">
            <w:pPr>
              <w:jc w:val="both"/>
            </w:pPr>
            <w:r>
              <w:t>Oba kierunki działań są słuszne i konieczne, jednak odmienne interpretacje niosą różne konsekwencje dla projektowania instrumentów wsparcia oraz dla alokacji środków publicznych. W związku z powyższym proponujemy, aby doprecyzować pkt. f) bądź rozbić go na dwa punkty uwzględniające wyżej wymienione kwestie.</w:t>
            </w:r>
          </w:p>
          <w:p w14:paraId="1B47A3FB" w14:textId="77777777" w:rsidR="0072796D" w:rsidRDefault="0072796D">
            <w:pPr>
              <w:jc w:val="both"/>
            </w:pPr>
          </w:p>
          <w:p w14:paraId="266A9DEA" w14:textId="77777777" w:rsidR="0072796D" w:rsidRDefault="0072796D">
            <w:pPr>
              <w:jc w:val="both"/>
            </w:pPr>
          </w:p>
          <w:p w14:paraId="6338E9A8" w14:textId="77777777" w:rsidR="0072796D" w:rsidRDefault="00A95B62">
            <w:pPr>
              <w:jc w:val="both"/>
              <w:rPr>
                <w:b/>
                <w:bCs/>
              </w:rPr>
            </w:pPr>
            <w:r>
              <w:rPr>
                <w:b/>
                <w:bCs/>
              </w:rPr>
              <w:t>Cel 4.2.1: Rozwój gospodarki, przemysłu cyfrowego i dobrostanu społecznego jest wspierany przez sprawny i skoordynowany ekosystem sztucznej inteligencji</w:t>
            </w:r>
          </w:p>
          <w:p w14:paraId="1968AF18" w14:textId="77777777" w:rsidR="0072796D" w:rsidRDefault="0072796D">
            <w:pPr>
              <w:jc w:val="both"/>
            </w:pPr>
          </w:p>
          <w:p w14:paraId="6011F61F" w14:textId="77777777" w:rsidR="0072796D" w:rsidRDefault="00A95B62">
            <w:pPr>
              <w:jc w:val="both"/>
            </w:pPr>
            <w:r>
              <w:t>„</w:t>
            </w:r>
            <w:r>
              <w:rPr>
                <w:i/>
                <w:iCs/>
              </w:rPr>
              <w:t>c) Zagwarantowanie przejrzystego, skoordynowanego i efektywnego finansowania rozwoju polskich firm w obszarze AI i innowacji cyfrowych, a także zwiększanie poziomu wsparcia (prywatnego, publicznego) dla przedsiębiorców rozwijających i wdrażających AI;</w:t>
            </w:r>
            <w:r>
              <w:t>”</w:t>
            </w:r>
          </w:p>
          <w:p w14:paraId="2C1BEB44" w14:textId="77777777" w:rsidR="0072796D" w:rsidRDefault="0072796D">
            <w:pPr>
              <w:jc w:val="both"/>
            </w:pPr>
          </w:p>
          <w:p w14:paraId="461D47AD" w14:textId="77777777" w:rsidR="0072796D" w:rsidRDefault="00A95B62">
            <w:pPr>
              <w:jc w:val="both"/>
            </w:pPr>
            <w:r>
              <w:t>Przedstawiony kierunek działań jest zasadny, jednak w naszej opinii warto uzupełnić go o elementy dotyczące zachęt pozafinansowych, które są równie istotne dla budowania silnego ekosystemu sztucznej inteligencji. Same instrumenty finansowe, choć ważne, nie gwarantują trwałego wzrostu innowacyjności, jeżeli przedsiębiorcy nie mają dostępu do odpowiednich zasobów, warunków regulacyjnych ani otoczenia umożliwiającego szybkie i bezpieczne wdrażanie i testowanie technologii AI.</w:t>
            </w:r>
          </w:p>
          <w:p w14:paraId="6C53859F" w14:textId="77777777" w:rsidR="0072796D" w:rsidRDefault="0072796D">
            <w:pPr>
              <w:jc w:val="both"/>
            </w:pPr>
          </w:p>
          <w:p w14:paraId="5B3A136E" w14:textId="77777777" w:rsidR="0072796D" w:rsidRDefault="00A95B62">
            <w:pPr>
              <w:jc w:val="both"/>
            </w:pPr>
            <w:r>
              <w:t xml:space="preserve">W zakresie zachęt pozafinansowych na uznanie zasługują proponowane piaskownice regulacyjne. Warto jednak uwzględnić inne mechanizmy takie jak chociażby zapewnianie możliwości współpracy z administracją publiczną w roli „wczesnego odbiorcy” innowacji (model </w:t>
            </w:r>
            <w:proofErr w:type="spellStart"/>
            <w:r>
              <w:t>first</w:t>
            </w:r>
            <w:proofErr w:type="spellEnd"/>
            <w:r>
              <w:t xml:space="preserve"> </w:t>
            </w:r>
            <w:proofErr w:type="spellStart"/>
            <w:r>
              <w:t>customer</w:t>
            </w:r>
            <w:proofErr w:type="spellEnd"/>
            <w:r>
              <w:t>), tworzenie szybkich kanałów komunikacji w celu wyjaśnienia obowiązków dotyczących zgodności AI z regulacjami; zapewnienie nie tylko uczelniom, ale też firmom dostępu do krajowych centrów superkomputerów, na których mogłyby trenować swoje narzędzia.</w:t>
            </w:r>
          </w:p>
        </w:tc>
      </w:tr>
      <w:tr w:rsidR="0072796D" w14:paraId="7615E175" w14:textId="77777777">
        <w:tc>
          <w:tcPr>
            <w:tcW w:w="885" w:type="dxa"/>
          </w:tcPr>
          <w:p w14:paraId="7EB50342" w14:textId="0BF79E50" w:rsidR="0072796D" w:rsidRPr="00637E4C" w:rsidRDefault="0072796D" w:rsidP="00637E4C">
            <w:pPr>
              <w:numPr>
                <w:ilvl w:val="0"/>
                <w:numId w:val="5"/>
              </w:numPr>
              <w:pBdr>
                <w:top w:val="nil"/>
                <w:left w:val="nil"/>
                <w:bottom w:val="nil"/>
                <w:right w:val="nil"/>
                <w:between w:val="nil"/>
              </w:pBdr>
              <w:spacing w:after="160" w:line="256" w:lineRule="auto"/>
              <w:jc w:val="center"/>
              <w:rPr>
                <w:rFonts w:ascii="Arial" w:eastAsia="Arial" w:hAnsi="Arial" w:cs="Arial"/>
                <w:color w:val="000000"/>
              </w:rPr>
            </w:pPr>
          </w:p>
        </w:tc>
        <w:tc>
          <w:tcPr>
            <w:tcW w:w="2220" w:type="dxa"/>
          </w:tcPr>
          <w:p w14:paraId="014B06DF" w14:textId="77777777" w:rsidR="0072796D" w:rsidRDefault="00A95B62">
            <w:r>
              <w:rPr>
                <w:color w:val="666666"/>
              </w:rPr>
              <w:t>Wybierz element.</w:t>
            </w:r>
          </w:p>
        </w:tc>
        <w:tc>
          <w:tcPr>
            <w:tcW w:w="1515" w:type="dxa"/>
          </w:tcPr>
          <w:p w14:paraId="36535149" w14:textId="77777777" w:rsidR="0072796D" w:rsidRDefault="00A95B62">
            <w:r>
              <w:rPr>
                <w:color w:val="666666"/>
              </w:rPr>
              <w:t>Wybierz element.</w:t>
            </w:r>
          </w:p>
        </w:tc>
        <w:tc>
          <w:tcPr>
            <w:tcW w:w="1845" w:type="dxa"/>
          </w:tcPr>
          <w:p w14:paraId="356220CF" w14:textId="77777777" w:rsidR="0072796D" w:rsidRDefault="00A95B62">
            <w:r>
              <w:rPr>
                <w:color w:val="666666"/>
              </w:rPr>
              <w:t>Wybierz element.</w:t>
            </w:r>
          </w:p>
        </w:tc>
        <w:tc>
          <w:tcPr>
            <w:tcW w:w="6210" w:type="dxa"/>
          </w:tcPr>
          <w:p w14:paraId="1091687D" w14:textId="77777777" w:rsidR="0072796D" w:rsidRDefault="00A95B62">
            <w:pPr>
              <w:jc w:val="both"/>
              <w:rPr>
                <w:b/>
                <w:bCs/>
              </w:rPr>
            </w:pPr>
            <w:r>
              <w:rPr>
                <w:b/>
                <w:bCs/>
              </w:rPr>
              <w:t>Rozdział 2 – „Interoperacyjność i jakość publicznych systemów teleinformatycznych”, w części dotyczącej weryfikowania aktów prawnych i przedsięwzięć informatycznych przez Komitet ds. Cyfryzacji</w:t>
            </w:r>
          </w:p>
          <w:p w14:paraId="35623B3C" w14:textId="77777777" w:rsidR="0072796D" w:rsidRDefault="0072796D">
            <w:pPr>
              <w:jc w:val="both"/>
            </w:pPr>
          </w:p>
          <w:p w14:paraId="14872CA4" w14:textId="77777777" w:rsidR="0072796D" w:rsidRDefault="00A95B62">
            <w:pPr>
              <w:jc w:val="both"/>
            </w:pPr>
            <w:r>
              <w:t xml:space="preserve">Rekomendujemy uwzględnienie w Strategii kwestii oceny wpływu regulacji na bezpieczeństwo i </w:t>
            </w:r>
            <w:proofErr w:type="spellStart"/>
            <w:r>
              <w:t>cyberbezpieczeństwo</w:t>
            </w:r>
            <w:proofErr w:type="spellEnd"/>
            <w:r>
              <w:t xml:space="preserve"> obywateli/konsumenta w procesie badania oceny wpływu i skutków regulacyjnych danej legislacji (tzw. </w:t>
            </w:r>
            <w:proofErr w:type="spellStart"/>
            <w:r>
              <w:t>Impact</w:t>
            </w:r>
            <w:proofErr w:type="spellEnd"/>
            <w:r>
              <w:t xml:space="preserve"> </w:t>
            </w:r>
            <w:proofErr w:type="spellStart"/>
            <w:r>
              <w:t>assessment</w:t>
            </w:r>
            <w:proofErr w:type="spellEnd"/>
            <w:r>
              <w:t xml:space="preserve">). </w:t>
            </w:r>
          </w:p>
          <w:p w14:paraId="20C839C4" w14:textId="77777777" w:rsidR="0072796D" w:rsidRDefault="0072796D">
            <w:pPr>
              <w:jc w:val="both"/>
            </w:pPr>
          </w:p>
          <w:p w14:paraId="3C5CD1CB" w14:textId="77777777" w:rsidR="0072796D" w:rsidRDefault="00A95B62">
            <w:pPr>
              <w:jc w:val="both"/>
            </w:pPr>
            <w:r>
              <w:t xml:space="preserve">Celem tego ćwiczenia jest systematyczne sprawdzanie, w jaki sposób nowe regulacje, zmiany organizacyjne lub przedsięwzięcia cyfrowe wpływają na poziom bezpieczeństwa cyberprzestrzeni państwa, w tym na podmioty krajowego systemu cyberbezpieczeństwa, obywateli i przedsiębiorstwa. </w:t>
            </w:r>
          </w:p>
          <w:p w14:paraId="4FE93E6C" w14:textId="77777777" w:rsidR="0072796D" w:rsidRDefault="0072796D">
            <w:pPr>
              <w:jc w:val="both"/>
            </w:pPr>
          </w:p>
          <w:p w14:paraId="420CA1BB" w14:textId="77777777" w:rsidR="0072796D" w:rsidRDefault="00A95B62">
            <w:pPr>
              <w:jc w:val="both"/>
            </w:pPr>
            <w:r>
              <w:t xml:space="preserve">Projektowane regulacje w najróżniejszych obszarach coraz częściej wpływają na funkcjonowanie systemów teleinformatycznych administracji publicznej oraz podmiotów objętych krajowym </w:t>
            </w:r>
            <w:r>
              <w:lastRenderedPageBreak/>
              <w:t>systemem cyberbezpieczeństwa. Brak systematycznej oceny ich konsekwencji dla bezpieczeństwa cyfrowego prowadzi do powstawania niezamierzonych luk, niespójności oraz kosztownych interwencji naprawczych na późniejszych etapach wdrożeń.</w:t>
            </w:r>
          </w:p>
          <w:p w14:paraId="79A55D5E" w14:textId="77777777" w:rsidR="0072796D" w:rsidRDefault="0072796D">
            <w:pPr>
              <w:jc w:val="both"/>
            </w:pPr>
          </w:p>
          <w:p w14:paraId="57FBE891" w14:textId="77777777" w:rsidR="0072796D" w:rsidRDefault="00A95B62">
            <w:pPr>
              <w:jc w:val="both"/>
            </w:pPr>
            <w:r>
              <w:t xml:space="preserve">Projekt strategii cyfryzacji, w części dotyczącej cyberbezpieczeństwa dokument silnie akcentuje potrzebę kompleksowych rozwiązań prawnych oraz podnoszenia odporności systemów państwa. Uwzględnienie kwestii wpływu regulacji na bezpieczeństwo konsumentów pomaga realizować powyższy cel. Ponadto, projekt  podkreśla zasadę </w:t>
            </w:r>
            <w:proofErr w:type="spellStart"/>
            <w:r>
              <w:rPr>
                <w:i/>
                <w:iCs/>
              </w:rPr>
              <w:t>security</w:t>
            </w:r>
            <w:proofErr w:type="spellEnd"/>
            <w:r>
              <w:rPr>
                <w:i/>
                <w:iCs/>
              </w:rPr>
              <w:t xml:space="preserve"> by design</w:t>
            </w:r>
            <w:r>
              <w:t xml:space="preserve"> jako kluczową dla projektowania usług i systemów publicznych. Zaproponowany instrument wdrażałby  tę zasadę na poziomie legislacyjnym i strategicznym.</w:t>
            </w:r>
          </w:p>
        </w:tc>
      </w:tr>
      <w:tr w:rsidR="0072796D" w14:paraId="730E5B54" w14:textId="77777777">
        <w:tc>
          <w:tcPr>
            <w:tcW w:w="885" w:type="dxa"/>
          </w:tcPr>
          <w:p w14:paraId="40773D17" w14:textId="35811531" w:rsidR="0072796D" w:rsidRPr="00637E4C" w:rsidRDefault="0072796D" w:rsidP="00637E4C">
            <w:pPr>
              <w:numPr>
                <w:ilvl w:val="0"/>
                <w:numId w:val="5"/>
              </w:numPr>
              <w:pBdr>
                <w:top w:val="nil"/>
                <w:left w:val="nil"/>
                <w:bottom w:val="nil"/>
                <w:right w:val="nil"/>
                <w:between w:val="nil"/>
              </w:pBdr>
              <w:spacing w:after="160" w:line="256" w:lineRule="auto"/>
              <w:jc w:val="center"/>
              <w:rPr>
                <w:rFonts w:ascii="Arial" w:eastAsia="Arial" w:hAnsi="Arial" w:cs="Arial"/>
                <w:color w:val="000000"/>
              </w:rPr>
            </w:pPr>
          </w:p>
        </w:tc>
        <w:tc>
          <w:tcPr>
            <w:tcW w:w="2220" w:type="dxa"/>
          </w:tcPr>
          <w:p w14:paraId="396F714D" w14:textId="77777777" w:rsidR="0072796D" w:rsidRDefault="00A95B62">
            <w:r>
              <w:rPr>
                <w:color w:val="666666"/>
              </w:rPr>
              <w:t>Wybierz element.</w:t>
            </w:r>
          </w:p>
        </w:tc>
        <w:tc>
          <w:tcPr>
            <w:tcW w:w="1515" w:type="dxa"/>
          </w:tcPr>
          <w:p w14:paraId="035A5791" w14:textId="77777777" w:rsidR="0072796D" w:rsidRDefault="00A95B62">
            <w:r>
              <w:rPr>
                <w:color w:val="666666"/>
              </w:rPr>
              <w:t>Wybierz element.</w:t>
            </w:r>
          </w:p>
        </w:tc>
        <w:tc>
          <w:tcPr>
            <w:tcW w:w="1845" w:type="dxa"/>
          </w:tcPr>
          <w:p w14:paraId="3BDDF8D1" w14:textId="77777777" w:rsidR="0072796D" w:rsidRDefault="00A95B62">
            <w:r>
              <w:rPr>
                <w:color w:val="666666"/>
              </w:rPr>
              <w:t>Wybierz element.</w:t>
            </w:r>
          </w:p>
        </w:tc>
        <w:tc>
          <w:tcPr>
            <w:tcW w:w="6210" w:type="dxa"/>
          </w:tcPr>
          <w:p w14:paraId="4D9F4B08" w14:textId="77777777" w:rsidR="0072796D" w:rsidRDefault="0072796D"/>
        </w:tc>
      </w:tr>
    </w:tbl>
    <w:p w14:paraId="08D2952A" w14:textId="77777777" w:rsidR="0072796D" w:rsidRDefault="0072796D"/>
    <w:p w14:paraId="11B1121A" w14:textId="77777777" w:rsidR="0072796D" w:rsidRDefault="0072796D"/>
    <w:p w14:paraId="51101881" w14:textId="77777777" w:rsidR="0072796D" w:rsidRDefault="0072796D"/>
    <w:p w14:paraId="7188FB61" w14:textId="77777777" w:rsidR="0072796D" w:rsidRDefault="00A95B62">
      <w:pPr>
        <w:numPr>
          <w:ilvl w:val="0"/>
          <w:numId w:val="5"/>
        </w:numPr>
        <w:pBdr>
          <w:top w:val="nil"/>
          <w:left w:val="nil"/>
          <w:bottom w:val="nil"/>
          <w:right w:val="nil"/>
          <w:between w:val="nil"/>
        </w:pBdr>
        <w:rPr>
          <w:b/>
          <w:bCs/>
          <w:color w:val="000000"/>
        </w:rPr>
      </w:pPr>
      <w:r>
        <w:rPr>
          <w:b/>
          <w:bCs/>
          <w:color w:val="000000"/>
        </w:rPr>
        <w:t xml:space="preserve">Uwagi o charakterze ogólnym </w:t>
      </w:r>
    </w:p>
    <w:tbl>
      <w:tblPr>
        <w:tblStyle w:val="a1"/>
        <w:tblW w:w="127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2168"/>
      </w:tblGrid>
      <w:tr w:rsidR="0072796D" w14:paraId="26B8D515" w14:textId="77777777">
        <w:tc>
          <w:tcPr>
            <w:tcW w:w="562" w:type="dxa"/>
            <w:shd w:val="clear" w:color="auto" w:fill="DEEBF6"/>
          </w:tcPr>
          <w:p w14:paraId="2F20B55F" w14:textId="77777777" w:rsidR="0072796D" w:rsidRDefault="00A95B62">
            <w:pPr>
              <w:jc w:val="center"/>
              <w:rPr>
                <w:b/>
                <w:bCs/>
              </w:rPr>
            </w:pPr>
            <w:r>
              <w:rPr>
                <w:b/>
                <w:bCs/>
              </w:rPr>
              <w:t>Lp.</w:t>
            </w:r>
          </w:p>
        </w:tc>
        <w:tc>
          <w:tcPr>
            <w:tcW w:w="12168" w:type="dxa"/>
            <w:shd w:val="clear" w:color="auto" w:fill="DEEBF6"/>
          </w:tcPr>
          <w:p w14:paraId="14DABE07" w14:textId="77777777" w:rsidR="0072796D" w:rsidRDefault="00A95B62">
            <w:pPr>
              <w:rPr>
                <w:b/>
                <w:bCs/>
              </w:rPr>
            </w:pPr>
            <w:r>
              <w:rPr>
                <w:b/>
                <w:bCs/>
              </w:rPr>
              <w:t>Treść uwagi</w:t>
            </w:r>
          </w:p>
        </w:tc>
      </w:tr>
      <w:tr w:rsidR="0072796D" w14:paraId="066A0196" w14:textId="77777777">
        <w:tc>
          <w:tcPr>
            <w:tcW w:w="562" w:type="dxa"/>
          </w:tcPr>
          <w:p w14:paraId="1BD3457F" w14:textId="77777777" w:rsidR="0072796D" w:rsidRDefault="00A95B62">
            <w:pPr>
              <w:jc w:val="center"/>
            </w:pPr>
            <w:r>
              <w:t>1</w:t>
            </w:r>
          </w:p>
        </w:tc>
        <w:tc>
          <w:tcPr>
            <w:tcW w:w="12168" w:type="dxa"/>
          </w:tcPr>
          <w:p w14:paraId="131DDBD3" w14:textId="77777777" w:rsidR="0072796D" w:rsidRPr="00D93BF0" w:rsidRDefault="00A95B62" w:rsidP="00D93BF0">
            <w:pPr>
              <w:tabs>
                <w:tab w:val="left" w:pos="3700"/>
              </w:tabs>
              <w:jc w:val="both"/>
              <w:rPr>
                <w:rFonts w:asciiTheme="majorHAnsi" w:eastAsia="Google Sans" w:hAnsiTheme="majorHAnsi" w:cstheme="majorHAnsi"/>
                <w:b/>
                <w:bCs/>
                <w:sz w:val="24"/>
                <w:szCs w:val="24"/>
              </w:rPr>
            </w:pPr>
            <w:r w:rsidRPr="00D93BF0">
              <w:rPr>
                <w:rFonts w:asciiTheme="majorHAnsi" w:eastAsia="Google Sans" w:hAnsiTheme="majorHAnsi" w:cstheme="majorHAnsi"/>
                <w:b/>
                <w:bCs/>
                <w:sz w:val="24"/>
                <w:szCs w:val="24"/>
              </w:rPr>
              <w:t xml:space="preserve">  Część I Wstęp:</w:t>
            </w:r>
          </w:p>
          <w:p w14:paraId="7B86FA73" w14:textId="3416C022" w:rsidR="0072796D" w:rsidRPr="00D93BF0" w:rsidRDefault="00A95B62" w:rsidP="00D93BF0">
            <w:pPr>
              <w:pBdr>
                <w:top w:val="nil"/>
                <w:left w:val="nil"/>
                <w:bottom w:val="nil"/>
                <w:right w:val="nil"/>
                <w:between w:val="nil"/>
              </w:pBdr>
              <w:spacing w:after="160"/>
              <w:jc w:val="both"/>
              <w:rPr>
                <w:rFonts w:asciiTheme="majorHAnsi" w:eastAsia="Times" w:hAnsiTheme="majorHAnsi" w:cstheme="majorHAnsi"/>
                <w:color w:val="000000"/>
                <w:sz w:val="24"/>
                <w:szCs w:val="24"/>
              </w:rPr>
            </w:pPr>
            <w:r w:rsidRPr="00D93BF0">
              <w:rPr>
                <w:rFonts w:asciiTheme="majorHAnsi" w:eastAsia="Times" w:hAnsiTheme="majorHAnsi" w:cstheme="majorHAnsi"/>
                <w:color w:val="000000"/>
                <w:sz w:val="24"/>
                <w:szCs w:val="24"/>
              </w:rPr>
              <w:t xml:space="preserve"> Suwerenność technologiczna (cyfrowa) to zdolność państwa lub wspólnoty – jak UE – do autonomicznego kształtowania rozwoju w domenie cyfrowej oraz korzystania z technologii zgodnie z własnymi wartościami i interesami. Nie oznacza izolacjonizmu, lecz polega na swobodzie w wyborze, łączeniu i przechodzeniu między technologiami i rozwiązaniami, które najlepiej odpowiadają potrzebom państw lub wspólnoty, w szczególności w zakresie maksymalizacji redukcji zależności od </w:t>
            </w:r>
            <w:r w:rsidRPr="00D93BF0">
              <w:rPr>
                <w:rFonts w:asciiTheme="majorHAnsi" w:eastAsia="Times" w:hAnsiTheme="majorHAnsi" w:cstheme="majorHAnsi"/>
                <w:color w:val="000000"/>
                <w:sz w:val="24"/>
                <w:szCs w:val="24"/>
              </w:rPr>
              <w:lastRenderedPageBreak/>
              <w:t>zewnętrznych podmiotów i zachowaniu kontroli np. nad miejscem przechowywania danych, ich szyfrowaniem i dostępem do danych.</w:t>
            </w:r>
          </w:p>
          <w:p w14:paraId="044314F4" w14:textId="77777777" w:rsidR="0072796D" w:rsidRPr="00D93BF0" w:rsidRDefault="00A95B62" w:rsidP="00D93BF0">
            <w:pPr>
              <w:pBdr>
                <w:top w:val="nil"/>
                <w:left w:val="nil"/>
                <w:bottom w:val="nil"/>
                <w:right w:val="nil"/>
                <w:between w:val="nil"/>
              </w:pBdr>
              <w:spacing w:after="160"/>
              <w:jc w:val="both"/>
              <w:rPr>
                <w:rFonts w:asciiTheme="majorHAnsi" w:eastAsia="Times" w:hAnsiTheme="majorHAnsi" w:cstheme="majorHAnsi"/>
                <w:color w:val="000000"/>
                <w:sz w:val="24"/>
                <w:szCs w:val="24"/>
              </w:rPr>
            </w:pPr>
            <w:r w:rsidRPr="00D93BF0">
              <w:rPr>
                <w:rFonts w:asciiTheme="majorHAnsi" w:eastAsia="Times" w:hAnsiTheme="majorHAnsi" w:cstheme="majorHAnsi"/>
                <w:color w:val="000000"/>
                <w:sz w:val="24"/>
                <w:szCs w:val="24"/>
              </w:rPr>
              <w:t>Tak rozumiana suwerenność technologiczna prowadzi do wzmacniania odporności gospodarczej, informacyjnej i militarnej.</w:t>
            </w:r>
          </w:p>
          <w:p w14:paraId="1C877BD5" w14:textId="77067672" w:rsidR="0072796D" w:rsidRPr="00D93BF0" w:rsidRDefault="00A95B62" w:rsidP="00D93BF0">
            <w:pPr>
              <w:pBdr>
                <w:top w:val="nil"/>
                <w:left w:val="nil"/>
                <w:bottom w:val="nil"/>
                <w:right w:val="nil"/>
                <w:between w:val="nil"/>
              </w:pBdr>
              <w:spacing w:after="160"/>
              <w:jc w:val="both"/>
              <w:rPr>
                <w:rFonts w:asciiTheme="majorHAnsi" w:eastAsia="Times" w:hAnsiTheme="majorHAnsi" w:cstheme="majorHAnsi"/>
                <w:color w:val="000000"/>
                <w:sz w:val="24"/>
                <w:szCs w:val="24"/>
              </w:rPr>
            </w:pPr>
            <w:r w:rsidRPr="00D93BF0">
              <w:rPr>
                <w:rFonts w:asciiTheme="majorHAnsi" w:eastAsia="Times" w:hAnsiTheme="majorHAnsi" w:cstheme="majorHAnsi"/>
                <w:color w:val="000000"/>
                <w:sz w:val="24"/>
                <w:szCs w:val="24"/>
              </w:rPr>
              <w:t xml:space="preserve">Suwerenność technologiczna to projekt polityczny, gospodarczy i cywilizacyjny, który powinien być realizowany. Jego celem jest utrzymanie przez Polskę i  Europę zdolności do samostanowienia w erze cyfrowej, w oparciu o wspólne wartości, zdolności technologiczne i współpracę – nie zaś poprzez protekcjonizm. Stanowi ona fundament nowoczesnej, bezpiecznej i </w:t>
            </w:r>
            <w:proofErr w:type="spellStart"/>
            <w:r w:rsidRPr="00D93BF0">
              <w:rPr>
                <w:rFonts w:asciiTheme="majorHAnsi" w:eastAsia="Times" w:hAnsiTheme="majorHAnsi" w:cstheme="majorHAnsi"/>
                <w:color w:val="000000"/>
                <w:sz w:val="24"/>
                <w:szCs w:val="24"/>
              </w:rPr>
              <w:t>konkurencyjnejPolski</w:t>
            </w:r>
            <w:proofErr w:type="spellEnd"/>
            <w:r w:rsidRPr="00D93BF0">
              <w:rPr>
                <w:rFonts w:asciiTheme="majorHAnsi" w:eastAsia="Times" w:hAnsiTheme="majorHAnsi" w:cstheme="majorHAnsi"/>
                <w:color w:val="000000"/>
                <w:sz w:val="24"/>
                <w:szCs w:val="24"/>
              </w:rPr>
              <w:t xml:space="preserve"> i Europy, </w:t>
            </w:r>
            <w:proofErr w:type="spellStart"/>
            <w:r w:rsidRPr="00D93BF0">
              <w:rPr>
                <w:rFonts w:asciiTheme="majorHAnsi" w:eastAsia="Times" w:hAnsiTheme="majorHAnsi" w:cstheme="majorHAnsi"/>
                <w:color w:val="000000"/>
                <w:sz w:val="24"/>
                <w:szCs w:val="24"/>
              </w:rPr>
              <w:t>współpracującychz</w:t>
            </w:r>
            <w:proofErr w:type="spellEnd"/>
            <w:r w:rsidRPr="00D93BF0">
              <w:rPr>
                <w:rFonts w:asciiTheme="majorHAnsi" w:eastAsia="Times" w:hAnsiTheme="majorHAnsi" w:cstheme="majorHAnsi"/>
                <w:color w:val="000000"/>
                <w:sz w:val="24"/>
                <w:szCs w:val="24"/>
              </w:rPr>
              <w:t xml:space="preserve"> międzynarodowymi partnerami.</w:t>
            </w:r>
          </w:p>
          <w:p w14:paraId="14A64DC8" w14:textId="77777777" w:rsidR="0072796D" w:rsidRPr="00D93BF0" w:rsidRDefault="00A95B62" w:rsidP="00D93BF0">
            <w:pPr>
              <w:pBdr>
                <w:top w:val="nil"/>
                <w:left w:val="nil"/>
                <w:bottom w:val="nil"/>
                <w:right w:val="nil"/>
                <w:between w:val="nil"/>
              </w:pBdr>
              <w:spacing w:after="160"/>
              <w:jc w:val="both"/>
              <w:rPr>
                <w:rFonts w:asciiTheme="majorHAnsi" w:eastAsia="Times" w:hAnsiTheme="majorHAnsi" w:cstheme="majorHAnsi"/>
                <w:color w:val="000000"/>
                <w:sz w:val="24"/>
                <w:szCs w:val="24"/>
              </w:rPr>
            </w:pPr>
            <w:r w:rsidRPr="00D93BF0">
              <w:rPr>
                <w:rFonts w:asciiTheme="majorHAnsi" w:eastAsia="Times" w:hAnsiTheme="majorHAnsi" w:cstheme="majorHAnsi"/>
                <w:color w:val="000000"/>
                <w:sz w:val="24"/>
                <w:szCs w:val="24"/>
              </w:rPr>
              <w:t>Konieczne jest uznanie technologicznej suwerenności za filar bezpieczeństwa gospodarczego i przemysłowego Polski i Europy, równoważny z bezpieczeństwem energetycznym i obronnym. Zasada ta powinna uwzględniać możliwość wyboru i zmiany dostawcy technologii i usług oraz wzmacnianie gospodarek europejskich tak, by miały wybór alternatywnych dostawców spełniających europejskie wymagania.</w:t>
            </w:r>
          </w:p>
          <w:p w14:paraId="4B02BC5C" w14:textId="77777777" w:rsidR="0072796D" w:rsidRPr="00D93BF0" w:rsidRDefault="00A95B62" w:rsidP="00D93BF0">
            <w:pPr>
              <w:pBdr>
                <w:top w:val="nil"/>
                <w:left w:val="nil"/>
                <w:bottom w:val="nil"/>
                <w:right w:val="nil"/>
                <w:between w:val="nil"/>
              </w:pBdr>
              <w:spacing w:after="160"/>
              <w:jc w:val="both"/>
              <w:rPr>
                <w:rFonts w:asciiTheme="majorHAnsi" w:eastAsia="Times" w:hAnsiTheme="majorHAnsi" w:cstheme="majorHAnsi"/>
                <w:color w:val="000000"/>
                <w:sz w:val="24"/>
                <w:szCs w:val="24"/>
              </w:rPr>
            </w:pPr>
            <w:r w:rsidRPr="00D93BF0">
              <w:rPr>
                <w:rFonts w:asciiTheme="majorHAnsi" w:eastAsia="Times" w:hAnsiTheme="majorHAnsi" w:cstheme="majorHAnsi"/>
                <w:color w:val="000000"/>
                <w:sz w:val="24"/>
                <w:szCs w:val="24"/>
              </w:rPr>
              <w:t>Drugim elementem suwerenności technologicznej jest przede wszystkim zdolność Polski i Europy do tworzenia własnych, nowoczesnych technologii, usług i produktów. Konkurencyjna gospodarka cyfrowa to taka, w której polskie i europejskie firmy również są liderami i innowatorami, a nie jedynie odbiorcami cudzych rozwiązań.      ]</w:t>
            </w:r>
          </w:p>
          <w:p w14:paraId="4300F2EF" w14:textId="77777777" w:rsidR="0072796D" w:rsidRPr="00D93BF0" w:rsidRDefault="00A95B62" w:rsidP="00D93BF0">
            <w:pPr>
              <w:pBdr>
                <w:top w:val="nil"/>
                <w:left w:val="nil"/>
                <w:bottom w:val="nil"/>
                <w:right w:val="nil"/>
                <w:between w:val="nil"/>
              </w:pBdr>
              <w:spacing w:after="160"/>
              <w:jc w:val="both"/>
              <w:rPr>
                <w:rFonts w:asciiTheme="majorHAnsi" w:eastAsia="Times" w:hAnsiTheme="majorHAnsi" w:cstheme="majorHAnsi"/>
                <w:color w:val="000000"/>
                <w:sz w:val="24"/>
                <w:szCs w:val="24"/>
              </w:rPr>
            </w:pPr>
            <w:r w:rsidRPr="00D93BF0">
              <w:rPr>
                <w:rFonts w:asciiTheme="majorHAnsi" w:eastAsia="Times" w:hAnsiTheme="majorHAnsi" w:cstheme="majorHAnsi"/>
                <w:color w:val="000000"/>
                <w:sz w:val="24"/>
                <w:szCs w:val="24"/>
              </w:rPr>
              <w:t>Istotne jest przyjęcie strategii i systematyczne realizowanie w jej ramach uzgodnionych projektów, dokonywanie okresowych przeglądów i analiza osiągniętych rezultatów.</w:t>
            </w:r>
          </w:p>
          <w:p w14:paraId="0FAC2420" w14:textId="54B318B9" w:rsidR="0072796D" w:rsidRPr="00D93BF0" w:rsidRDefault="00A95B62" w:rsidP="00D93BF0">
            <w:pPr>
              <w:tabs>
                <w:tab w:val="left" w:pos="3700"/>
              </w:tabs>
              <w:jc w:val="both"/>
              <w:rPr>
                <w:rFonts w:asciiTheme="majorHAnsi" w:hAnsiTheme="majorHAnsi" w:cstheme="majorHAnsi"/>
                <w:sz w:val="24"/>
                <w:szCs w:val="24"/>
              </w:rPr>
            </w:pPr>
            <w:r w:rsidRPr="00D93BF0">
              <w:rPr>
                <w:rFonts w:asciiTheme="majorHAnsi" w:eastAsia="Times" w:hAnsiTheme="majorHAnsi" w:cstheme="majorHAnsi"/>
                <w:color w:val="000000"/>
                <w:sz w:val="24"/>
                <w:szCs w:val="24"/>
              </w:rPr>
              <w:t xml:space="preserve">Rozwój rozwiązań i zdolności europejskich oraz współpraca ze strategicznymi partnerami technologicznymi z państw trzecich, z którymi Polska  i Unia dzielą te same wartości, są niezbędne, aby Europa mogła sprostać wyzwaniom geopolitycznym. </w:t>
            </w:r>
          </w:p>
          <w:p w14:paraId="59F299D8" w14:textId="77777777" w:rsidR="0072796D" w:rsidRPr="00D93BF0" w:rsidRDefault="00A95B62" w:rsidP="00D93BF0">
            <w:pPr>
              <w:spacing w:line="276" w:lineRule="auto"/>
              <w:jc w:val="both"/>
              <w:rPr>
                <w:rFonts w:asciiTheme="majorHAnsi" w:eastAsia="Google Sans" w:hAnsiTheme="majorHAnsi" w:cstheme="majorHAnsi"/>
                <w:sz w:val="24"/>
                <w:szCs w:val="24"/>
              </w:rPr>
            </w:pPr>
            <w:r w:rsidRPr="00D93BF0">
              <w:rPr>
                <w:rFonts w:asciiTheme="majorHAnsi" w:hAnsiTheme="majorHAnsi" w:cstheme="majorHAnsi"/>
                <w:sz w:val="24"/>
                <w:szCs w:val="24"/>
              </w:rPr>
              <w:t xml:space="preserve">     </w:t>
            </w:r>
          </w:p>
          <w:p w14:paraId="75D613AF" w14:textId="66FC32E5" w:rsidR="0072796D" w:rsidRPr="00D93BF0" w:rsidRDefault="0072796D" w:rsidP="00D93BF0">
            <w:pPr>
              <w:spacing w:line="276" w:lineRule="auto"/>
              <w:jc w:val="both"/>
              <w:rPr>
                <w:rFonts w:asciiTheme="majorHAnsi" w:hAnsiTheme="majorHAnsi" w:cstheme="majorHAnsi"/>
                <w:sz w:val="24"/>
                <w:szCs w:val="24"/>
              </w:rPr>
            </w:pPr>
          </w:p>
          <w:p w14:paraId="30BE0F9F" w14:textId="77777777" w:rsidR="0072796D" w:rsidRPr="00D93BF0" w:rsidRDefault="00A95B62" w:rsidP="00D93BF0">
            <w:pPr>
              <w:tabs>
                <w:tab w:val="left" w:pos="3700"/>
              </w:tabs>
              <w:jc w:val="both"/>
              <w:rPr>
                <w:rFonts w:asciiTheme="majorHAnsi" w:hAnsiTheme="majorHAnsi" w:cstheme="majorHAnsi"/>
                <w:sz w:val="24"/>
                <w:szCs w:val="24"/>
              </w:rPr>
            </w:pPr>
            <w:r w:rsidRPr="00D93BF0">
              <w:rPr>
                <w:rFonts w:asciiTheme="majorHAnsi" w:hAnsiTheme="majorHAnsi" w:cstheme="majorHAnsi"/>
                <w:sz w:val="24"/>
                <w:szCs w:val="24"/>
              </w:rPr>
              <w:tab/>
            </w:r>
          </w:p>
        </w:tc>
      </w:tr>
    </w:tbl>
    <w:p w14:paraId="4ACF37A9" w14:textId="77777777" w:rsidR="0072796D" w:rsidRDefault="0072796D">
      <w:pPr>
        <w:tabs>
          <w:tab w:val="left" w:pos="2039"/>
        </w:tabs>
        <w:rPr>
          <w:rFonts w:ascii="Lato" w:eastAsia="Lato" w:hAnsi="Lato" w:cs="Lato"/>
          <w:sz w:val="20"/>
          <w:szCs w:val="20"/>
        </w:rPr>
      </w:pPr>
    </w:p>
    <w:sectPr w:rsidR="0072796D">
      <w:headerReference w:type="default" r:id="rId8"/>
      <w:footerReference w:type="even" r:id="rId9"/>
      <w:footerReference w:type="default" r:id="rId10"/>
      <w:headerReference w:type="first" r:id="rId11"/>
      <w:footerReference w:type="first" r:id="rId12"/>
      <w:pgSz w:w="16838" w:h="11906" w:orient="landscape"/>
      <w:pgMar w:top="1985" w:right="2113" w:bottom="1985" w:left="1985"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1A6BD" w14:textId="77777777" w:rsidR="00A95B62" w:rsidRDefault="00A95B62">
      <w:pPr>
        <w:spacing w:after="0" w:line="240" w:lineRule="auto"/>
      </w:pPr>
      <w:r>
        <w:separator/>
      </w:r>
    </w:p>
  </w:endnote>
  <w:endnote w:type="continuationSeparator" w:id="0">
    <w:p w14:paraId="4F729EE7" w14:textId="77777777" w:rsidR="00A95B62" w:rsidRDefault="00A95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embedRegular r:id="rId1" w:fontKey="{DD2589D8-FBED-4319-8E51-ECDCF7106FD7}"/>
    <w:embedBold r:id="rId2" w:fontKey="{2984F762-489D-4B50-B90F-9D805BA671BC}"/>
    <w:embedItalic r:id="rId3" w:fontKey="{EB735327-0637-4DDF-963D-674A71C10F04}"/>
  </w:font>
  <w:font w:name="Times New Roman">
    <w:panose1 w:val="02020603050405020304"/>
    <w:charset w:val="EE"/>
    <w:family w:val="roman"/>
    <w:pitch w:val="variable"/>
    <w:sig w:usb0="E0002EFF" w:usb1="C000785B" w:usb2="00000009" w:usb3="00000000" w:csb0="000001FF" w:csb1="00000000"/>
  </w:font>
  <w:font w:name="Noto Sans Symbols">
    <w:altName w:val="Times New Roman"/>
    <w:charset w:val="00"/>
    <w:family w:val="auto"/>
    <w:pitch w:val="default"/>
    <w:embedRegular r:id="rId4" w:fontKey="{D45938A4-ACA3-472C-BB3F-E7B5F14C9D5D}"/>
  </w:font>
  <w:font w:name="Courier New">
    <w:panose1 w:val="02070309020205020404"/>
    <w:charset w:val="EE"/>
    <w:family w:val="modern"/>
    <w:pitch w:val="fixed"/>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embedItalic r:id="rId5" w:fontKey="{74142B12-8F11-4EC4-B75A-8355115DE9B0}"/>
  </w:font>
  <w:font w:name="Lato">
    <w:charset w:val="00"/>
    <w:family w:val="swiss"/>
    <w:pitch w:val="variable"/>
    <w:sig w:usb0="E10002FF" w:usb1="5000ECFF" w:usb2="00000021" w:usb3="00000000" w:csb0="0000019F" w:csb1="00000000"/>
    <w:embedRegular r:id="rId6" w:fontKey="{C8EC3BE9-32E8-400B-BE73-030A55841411}"/>
  </w:font>
  <w:font w:name="MS Gothic">
    <w:altName w:val="ＭＳ ゴシック"/>
    <w:panose1 w:val="020B0609070205080204"/>
    <w:charset w:val="80"/>
    <w:family w:val="modern"/>
    <w:pitch w:val="fixed"/>
    <w:sig w:usb0="E00002FF" w:usb1="6AC7FDFB" w:usb2="08000012" w:usb3="00000000" w:csb0="0002009F" w:csb1="00000000"/>
    <w:embedRegular r:id="rId7" w:subsetted="1" w:fontKey="{F0006381-49E1-4170-B677-07D16391BF0B}"/>
  </w:font>
  <w:font w:name="Arial Unicode MS">
    <w:panose1 w:val="020B0604020202020204"/>
    <w:charset w:val="80"/>
    <w:family w:val="swiss"/>
    <w:pitch w:val="variable"/>
    <w:sig w:usb0="F7FFAFFF" w:usb1="E9DFFFFF" w:usb2="0000003F" w:usb3="00000000" w:csb0="003F01FF" w:csb1="00000000"/>
    <w:embedRegular r:id="rId8" w:subsetted="1" w:fontKey="{64F750A3-2937-493D-A1E7-BFF86F381E39}"/>
  </w:font>
  <w:font w:name="Arial">
    <w:panose1 w:val="020B0604020202020204"/>
    <w:charset w:val="EE"/>
    <w:family w:val="swiss"/>
    <w:pitch w:val="variable"/>
    <w:sig w:usb0="E0002EFF" w:usb1="C000785B" w:usb2="00000009" w:usb3="00000000" w:csb0="000001FF" w:csb1="00000000"/>
  </w:font>
  <w:font w:name="Google Sans">
    <w:altName w:val="Calibri"/>
    <w:charset w:val="00"/>
    <w:family w:val="auto"/>
    <w:pitch w:val="default"/>
    <w:embedRegular r:id="rId9" w:fontKey="{D2FD0803-FF15-4087-AEBA-C94FB338D2E1}"/>
    <w:embedBold r:id="rId10" w:fontKey="{341A1064-DB2D-4A69-B597-21839CD1D0B3}"/>
  </w:font>
  <w:font w:name="Aptos">
    <w:charset w:val="00"/>
    <w:family w:val="swiss"/>
    <w:pitch w:val="variable"/>
    <w:sig w:usb0="20000287" w:usb1="00000003" w:usb2="00000000" w:usb3="00000000" w:csb0="0000019F" w:csb1="00000000"/>
    <w:embedRegular r:id="rId11" w:fontKey="{CE032005-6EF8-4A44-8E15-A10A7B5D2CD3}"/>
  </w:font>
  <w:font w:name="inherit">
    <w:altName w:val="Cambria"/>
    <w:charset w:val="00"/>
    <w:family w:val="auto"/>
    <w:pitch w:val="default"/>
  </w:font>
  <w:font w:name="Times">
    <w:altName w:val="Times New Roman"/>
    <w:panose1 w:val="02020603050405020304"/>
    <w:charset w:val="00"/>
    <w:family w:val="auto"/>
    <w:pitch w:val="default"/>
    <w:embedRegular r:id="rId12" w:fontKey="{CE36C4FB-4DBC-4F37-B14E-A0D4CD481DEA}"/>
  </w:font>
  <w:font w:name="Cambria">
    <w:panose1 w:val="02040503050406030204"/>
    <w:charset w:val="EE"/>
    <w:family w:val="roman"/>
    <w:pitch w:val="variable"/>
    <w:sig w:usb0="E00006FF" w:usb1="420024FF" w:usb2="02000000" w:usb3="00000000" w:csb0="0000019F" w:csb1="00000000"/>
    <w:embedRegular r:id="rId13" w:fontKey="{D67A8EFA-C380-4081-8EA9-F2F7D1E1E40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ECE75" w14:textId="77777777" w:rsidR="0072796D" w:rsidRDefault="00A95B62">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0032E01" w14:textId="77777777" w:rsidR="0072796D" w:rsidRDefault="00A95B62" w:rsidP="00637E4C">
    <w:pPr>
      <w:pBdr>
        <w:top w:val="nil"/>
        <w:left w:val="nil"/>
        <w:bottom w:val="nil"/>
        <w:right w:val="nil"/>
        <w:between w:val="nil"/>
      </w:pBdr>
      <w:tabs>
        <w:tab w:val="center" w:pos="4536"/>
        <w:tab w:val="right" w:pos="9072"/>
      </w:tabs>
      <w:spacing w:after="0" w:line="240" w:lineRule="auto"/>
      <w:ind w:right="360"/>
      <w:rPr>
        <w:color w:val="000000"/>
      </w:rPr>
    </w:pPr>
    <w:r>
      <w:rPr>
        <w:noProof/>
      </w:rPr>
      <mc:AlternateContent>
        <mc:Choice Requires="wps">
          <w:drawing>
            <wp:anchor distT="0" distB="0" distL="0" distR="0" simplePos="0" relativeHeight="251661312" behindDoc="0" locked="0" layoutInCell="1" hidden="0" allowOverlap="1" wp14:anchorId="7702F414" wp14:editId="475AAA49">
              <wp:simplePos x="0" y="0"/>
              <wp:positionH relativeFrom="column">
                <wp:posOffset>-1265236</wp:posOffset>
              </wp:positionH>
              <wp:positionV relativeFrom="paragraph">
                <wp:posOffset>-4761</wp:posOffset>
              </wp:positionV>
              <wp:extent cx="3381375" cy="365125"/>
              <wp:effectExtent l="0" t="0" r="0" b="0"/>
              <wp:wrapNone/>
              <wp:docPr id="2" name="Prostokąt 2" descr="Klasa ochrony informacji P4 sp. z o.o. - chronione(protected)"/>
              <wp:cNvGraphicFramePr/>
              <a:graphic xmlns:a="http://schemas.openxmlformats.org/drawingml/2006/main">
                <a:graphicData uri="http://schemas.microsoft.com/office/word/2010/wordprocessingShape">
                  <wps:wsp>
                    <wps:cNvSpPr/>
                    <wps:spPr>
                      <a:xfrm>
                        <a:off x="3660075" y="3602200"/>
                        <a:ext cx="3371850" cy="355600"/>
                      </a:xfrm>
                      <a:prstGeom prst="rect">
                        <a:avLst/>
                      </a:prstGeom>
                      <a:noFill/>
                      <a:ln>
                        <a:noFill/>
                      </a:ln>
                    </wps:spPr>
                    <wps:txbx>
                      <w:txbxContent>
                        <w:p w14:paraId="501E5EE5" w14:textId="77777777" w:rsidR="0072796D" w:rsidRDefault="00A95B62">
                          <w:pPr>
                            <w:spacing w:after="0" w:line="255" w:lineRule="auto"/>
                            <w:textDirection w:val="btLr"/>
                          </w:pPr>
                          <w:r>
                            <w:rPr>
                              <w:color w:val="000000"/>
                              <w:sz w:val="20"/>
                            </w:rPr>
                            <w:t>Klasa ochrony informacji P4 sp. z o.o. - chronione(</w:t>
                          </w:r>
                          <w:proofErr w:type="spellStart"/>
                          <w:r>
                            <w:rPr>
                              <w:color w:val="000000"/>
                              <w:sz w:val="20"/>
                            </w:rPr>
                            <w:t>protected</w:t>
                          </w:r>
                          <w:proofErr w:type="spellEnd"/>
                          <w:r>
                            <w:rPr>
                              <w:color w:val="000000"/>
                              <w:sz w:val="20"/>
                            </w:rPr>
                            <w:t>)</w:t>
                          </w:r>
                        </w:p>
                      </w:txbxContent>
                    </wps:txbx>
                    <wps:bodyPr spcFirstLastPara="1" wrap="square" lIns="254000" tIns="0" rIns="0" bIns="190500" anchor="b" anchorCtr="0">
                      <a:noAutofit/>
                    </wps:bodyPr>
                  </wps:wsp>
                </a:graphicData>
              </a:graphic>
            </wp:anchor>
          </w:drawing>
        </mc:Choice>
        <mc:Fallback>
          <w:pict>
            <v:rect w14:anchorId="7702F414" id="Prostokąt 2" o:spid="_x0000_s1026" alt="Klasa ochrony informacji P4 sp. z o.o. - chronione(protected)" style="position:absolute;margin-left:-99.6pt;margin-top:-.35pt;width:266.25pt;height:28.75pt;z-index:25166131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" filled="f" stroked="f">
              <v:textbox inset="20pt,0,0,15pt">
                <w:txbxContent>
                  <w:p w14:paraId="501E5EE5" w14:textId="77777777" w:rsidR="0072796D" w:rsidRDefault="00A95B62">
                    <w:pPr>
                      <w:spacing w:after="0" w:line="255" w:lineRule="auto"/>
                      <w:textDirection w:val="btLr"/>
                    </w:pPr>
                    <w:r>
                      <w:rPr>
                        <w:color w:val="000000"/>
                        <w:sz w:val="20"/>
                      </w:rPr>
                      <w:t>Klasa ochrony informacji P4 sp. z o.o. - chronione(</w:t>
                    </w:r>
                    <w:proofErr w:type="spellStart"/>
                    <w:r>
                      <w:rPr>
                        <w:color w:val="000000"/>
                        <w:sz w:val="20"/>
                      </w:rPr>
                      <w:t>protected</w:t>
                    </w:r>
                    <w:proofErr w:type="spellEnd"/>
                    <w:r>
                      <w:rPr>
                        <w:color w:val="000000"/>
                        <w:sz w:val="20"/>
                      </w:rPr>
                      <w:t>)</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7AD0E" w14:textId="77777777" w:rsidR="0072796D" w:rsidRDefault="00A95B62">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37E4C">
      <w:rPr>
        <w:noProof/>
        <w:color w:val="000000"/>
      </w:rPr>
      <w:t>2</w:t>
    </w:r>
    <w:r>
      <w:rPr>
        <w:color w:val="000000"/>
      </w:rPr>
      <w:fldChar w:fldCharType="end"/>
    </w:r>
  </w:p>
  <w:p w14:paraId="33A6D957" w14:textId="594BA560" w:rsidR="0072796D" w:rsidRDefault="0072796D" w:rsidP="00637E4C">
    <w:pPr>
      <w:pBdr>
        <w:top w:val="nil"/>
        <w:left w:val="nil"/>
        <w:bottom w:val="nil"/>
        <w:right w:val="nil"/>
        <w:between w:val="nil"/>
      </w:pBdr>
      <w:tabs>
        <w:tab w:val="center" w:pos="4536"/>
        <w:tab w:val="right" w:pos="9072"/>
      </w:tabs>
      <w:spacing w:after="0" w:line="240" w:lineRule="auto"/>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3BD3D" w14:textId="77777777" w:rsidR="0072796D" w:rsidRDefault="00A95B62">
    <w:pPr>
      <w:pBdr>
        <w:top w:val="nil"/>
        <w:left w:val="nil"/>
        <w:bottom w:val="nil"/>
        <w:right w:val="nil"/>
        <w:between w:val="nil"/>
      </w:pBdr>
      <w:tabs>
        <w:tab w:val="center" w:pos="4536"/>
        <w:tab w:val="right" w:pos="9072"/>
        <w:tab w:val="left" w:pos="5954"/>
      </w:tabs>
      <w:spacing w:after="0" w:line="240" w:lineRule="auto"/>
      <w:rPr>
        <w:rFonts w:ascii="Lato" w:eastAsia="Lato" w:hAnsi="Lato" w:cs="Lato"/>
        <w:color w:val="000000"/>
        <w:sz w:val="16"/>
        <w:szCs w:val="16"/>
      </w:rPr>
    </w:pPr>
    <w:r>
      <w:rPr>
        <w:noProof/>
      </w:rPr>
      <mc:AlternateContent>
        <mc:Choice Requires="wps">
          <w:drawing>
            <wp:anchor distT="0" distB="0" distL="0" distR="0" simplePos="0" relativeHeight="251660288" behindDoc="0" locked="0" layoutInCell="1" hidden="0" allowOverlap="1" wp14:anchorId="4C3B3396" wp14:editId="1636CD06">
              <wp:simplePos x="0" y="0"/>
              <wp:positionH relativeFrom="column">
                <wp:posOffset>-1265236</wp:posOffset>
              </wp:positionH>
              <wp:positionV relativeFrom="paragraph">
                <wp:posOffset>-4761</wp:posOffset>
              </wp:positionV>
              <wp:extent cx="3381375" cy="365125"/>
              <wp:effectExtent l="0" t="0" r="0" b="0"/>
              <wp:wrapNone/>
              <wp:docPr id="1" name="Prostokąt 1" descr="Klasa ochrony informacji P4 sp. z o.o. - chronione(protected)"/>
              <wp:cNvGraphicFramePr/>
              <a:graphic xmlns:a="http://schemas.openxmlformats.org/drawingml/2006/main">
                <a:graphicData uri="http://schemas.microsoft.com/office/word/2010/wordprocessingShape">
                  <wps:wsp>
                    <wps:cNvSpPr/>
                    <wps:spPr>
                      <a:xfrm>
                        <a:off x="3660075" y="3602200"/>
                        <a:ext cx="3371850" cy="355600"/>
                      </a:xfrm>
                      <a:prstGeom prst="rect">
                        <a:avLst/>
                      </a:prstGeom>
                      <a:noFill/>
                      <a:ln>
                        <a:noFill/>
                      </a:ln>
                    </wps:spPr>
                    <wps:txbx>
                      <w:txbxContent>
                        <w:p w14:paraId="7C1E6362" w14:textId="77777777" w:rsidR="0072796D" w:rsidRDefault="00A95B62">
                          <w:pPr>
                            <w:spacing w:after="0" w:line="255" w:lineRule="auto"/>
                            <w:textDirection w:val="btLr"/>
                          </w:pPr>
                          <w:r>
                            <w:rPr>
                              <w:color w:val="000000"/>
                              <w:sz w:val="20"/>
                            </w:rPr>
                            <w:t>Klasa ochrony informacji P4 sp. z o.o. - chronione(</w:t>
                          </w:r>
                          <w:proofErr w:type="spellStart"/>
                          <w:r>
                            <w:rPr>
                              <w:color w:val="000000"/>
                              <w:sz w:val="20"/>
                            </w:rPr>
                            <w:t>protected</w:t>
                          </w:r>
                          <w:proofErr w:type="spellEnd"/>
                          <w:r>
                            <w:rPr>
                              <w:color w:val="000000"/>
                              <w:sz w:val="20"/>
                            </w:rPr>
                            <w:t>)</w:t>
                          </w:r>
                        </w:p>
                      </w:txbxContent>
                    </wps:txbx>
                    <wps:bodyPr spcFirstLastPara="1" wrap="square" lIns="254000" tIns="0" rIns="0" bIns="190500" anchor="b" anchorCtr="0">
                      <a:noAutofit/>
                    </wps:bodyPr>
                  </wps:wsp>
                </a:graphicData>
              </a:graphic>
            </wp:anchor>
          </w:drawing>
        </mc:Choice>
        <mc:Fallback>
          <w:pict>
            <v:rect w14:anchorId="4C3B3396" id="Prostokąt 1" o:spid="_x0000_s1027" alt="Klasa ochrony informacji P4 sp. z o.o. - chronione(protected)" style="position:absolute;margin-left:-99.6pt;margin-top:-.35pt;width:266.25pt;height:28.75pt;z-index:251660288;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" filled="f" stroked="f">
              <v:textbox inset="20pt,0,0,15pt">
                <w:txbxContent>
                  <w:p w14:paraId="7C1E6362" w14:textId="77777777" w:rsidR="0072796D" w:rsidRDefault="00A95B62">
                    <w:pPr>
                      <w:spacing w:after="0" w:line="255" w:lineRule="auto"/>
                      <w:textDirection w:val="btLr"/>
                    </w:pPr>
                    <w:r>
                      <w:rPr>
                        <w:color w:val="000000"/>
                        <w:sz w:val="20"/>
                      </w:rPr>
                      <w:t>Klasa ochrony informacji P4 sp. z o.o. - chronione(</w:t>
                    </w:r>
                    <w:proofErr w:type="spellStart"/>
                    <w:r>
                      <w:rPr>
                        <w:color w:val="000000"/>
                        <w:sz w:val="20"/>
                      </w:rPr>
                      <w:t>protected</w:t>
                    </w:r>
                    <w:proofErr w:type="spellEnd"/>
                    <w:r>
                      <w:rPr>
                        <w:color w:val="000000"/>
                        <w:sz w:val="20"/>
                      </w:rPr>
                      <w:t>)</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02DE2" w14:textId="77777777" w:rsidR="00A95B62" w:rsidRDefault="00A95B62">
      <w:pPr>
        <w:spacing w:after="0" w:line="240" w:lineRule="auto"/>
      </w:pPr>
      <w:r>
        <w:separator/>
      </w:r>
    </w:p>
  </w:footnote>
  <w:footnote w:type="continuationSeparator" w:id="0">
    <w:p w14:paraId="5922F1DC" w14:textId="77777777" w:rsidR="00A95B62" w:rsidRDefault="00A95B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CC048" w14:textId="77777777" w:rsidR="0072796D" w:rsidRDefault="0072796D">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AD62" w14:textId="77777777" w:rsidR="0072796D" w:rsidRDefault="00A95B62">
    <w:pPr>
      <w:pBdr>
        <w:top w:val="nil"/>
        <w:left w:val="nil"/>
        <w:bottom w:val="nil"/>
        <w:right w:val="nil"/>
        <w:between w:val="nil"/>
      </w:pBdr>
      <w:tabs>
        <w:tab w:val="center" w:pos="4536"/>
        <w:tab w:val="right" w:pos="9072"/>
      </w:tabs>
      <w:spacing w:after="0" w:line="240" w:lineRule="auto"/>
      <w:rPr>
        <w:color w:val="000000"/>
      </w:rPr>
    </w:pPr>
    <w:r>
      <w:rPr>
        <w:noProof/>
      </w:rPr>
      <w:drawing>
        <wp:anchor distT="0" distB="0" distL="114300" distR="114300" simplePos="0" relativeHeight="251658240" behindDoc="0" locked="0" layoutInCell="1" hidden="0" allowOverlap="1" wp14:anchorId="12B0AF66" wp14:editId="1F459A3F">
          <wp:simplePos x="0" y="0"/>
          <wp:positionH relativeFrom="column">
            <wp:posOffset>-927098</wp:posOffset>
          </wp:positionH>
          <wp:positionV relativeFrom="paragraph">
            <wp:posOffset>-50162</wp:posOffset>
          </wp:positionV>
          <wp:extent cx="2381885" cy="1061720"/>
          <wp:effectExtent l="0" t="0" r="0" b="0"/>
          <wp:wrapSquare wrapText="bothSides" distT="0" distB="0" distL="114300" distR="114300"/>
          <wp:docPr id="4" name="image1.png" descr="Godło i nagłówek MC"/>
          <wp:cNvGraphicFramePr/>
          <a:graphic xmlns:a="http://schemas.openxmlformats.org/drawingml/2006/main">
            <a:graphicData uri="http://schemas.openxmlformats.org/drawingml/2006/picture">
              <pic:pic xmlns:pic="http://schemas.openxmlformats.org/drawingml/2006/picture">
                <pic:nvPicPr>
                  <pic:cNvPr id="0" name="image1.png" descr="Godło i nagłówek MC"/>
                  <pic:cNvPicPr preferRelativeResize="0"/>
                </pic:nvPicPr>
                <pic:blipFill>
                  <a:blip r:embed="rId1"/>
                  <a:srcRect/>
                  <a:stretch>
                    <a:fillRect/>
                  </a:stretch>
                </pic:blipFill>
                <pic:spPr>
                  <a:xfrm>
                    <a:off x="0" y="0"/>
                    <a:ext cx="2381885" cy="106172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6151"/>
    <w:multiLevelType w:val="multilevel"/>
    <w:tmpl w:val="693C9A44"/>
    <w:lvl w:ilvl="0">
      <w:start w:val="1"/>
      <w:numFmt w:val="lowerLetter"/>
      <w:lvlText w:val="%1)"/>
      <w:lvlJc w:val="left"/>
      <w:pPr>
        <w:ind w:left="700" w:hanging="360"/>
      </w:pPr>
      <w:rPr>
        <w:rFonts w:ascii="Calibri" w:eastAsia="Calibri" w:hAnsi="Calibri" w:cs="Calibri"/>
      </w:r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1" w15:restartNumberingAfterBreak="0">
    <w:nsid w:val="3F404B9B"/>
    <w:multiLevelType w:val="multilevel"/>
    <w:tmpl w:val="75EEC8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B0B3071"/>
    <w:multiLevelType w:val="multilevel"/>
    <w:tmpl w:val="2F2CF8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20C3614"/>
    <w:multiLevelType w:val="multilevel"/>
    <w:tmpl w:val="AAF2B5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79C2730"/>
    <w:multiLevelType w:val="multilevel"/>
    <w:tmpl w:val="12524A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8D5770E"/>
    <w:multiLevelType w:val="multilevel"/>
    <w:tmpl w:val="2B1E86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C0A7DDE"/>
    <w:multiLevelType w:val="multilevel"/>
    <w:tmpl w:val="1C5AEA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8B92372"/>
    <w:multiLevelType w:val="multilevel"/>
    <w:tmpl w:val="E844FFA6"/>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613825158">
    <w:abstractNumId w:val="3"/>
  </w:num>
  <w:num w:numId="2" w16cid:durableId="1689133852">
    <w:abstractNumId w:val="4"/>
  </w:num>
  <w:num w:numId="3" w16cid:durableId="2085255170">
    <w:abstractNumId w:val="2"/>
  </w:num>
  <w:num w:numId="4" w16cid:durableId="551158677">
    <w:abstractNumId w:val="6"/>
  </w:num>
  <w:num w:numId="5" w16cid:durableId="513301883">
    <w:abstractNumId w:val="7"/>
  </w:num>
  <w:num w:numId="6" w16cid:durableId="1451634141">
    <w:abstractNumId w:val="5"/>
  </w:num>
  <w:num w:numId="7" w16cid:durableId="1168667050">
    <w:abstractNumId w:val="1"/>
  </w:num>
  <w:num w:numId="8" w16cid:durableId="339239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96D"/>
    <w:rsid w:val="003E501E"/>
    <w:rsid w:val="0045393B"/>
    <w:rsid w:val="005E3445"/>
    <w:rsid w:val="005F1C92"/>
    <w:rsid w:val="00637E4C"/>
    <w:rsid w:val="0072796D"/>
    <w:rsid w:val="0075747B"/>
    <w:rsid w:val="008628E7"/>
    <w:rsid w:val="008B57C6"/>
    <w:rsid w:val="00A95B62"/>
    <w:rsid w:val="00B817B7"/>
    <w:rsid w:val="00D93BF0"/>
    <w:rsid w:val="00FC60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1E0FE"/>
  <w15:docId w15:val="{17598C7D-C36A-C444-9A6E-0FAAEC3C5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 w:eastAsia="pl-PL"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bCs/>
      <w:sz w:val="48"/>
      <w:szCs w:val="48"/>
    </w:rPr>
  </w:style>
  <w:style w:type="paragraph" w:styleId="Nagwek2">
    <w:name w:val="heading 2"/>
    <w:basedOn w:val="Normalny"/>
    <w:next w:val="Normalny"/>
    <w:uiPriority w:val="9"/>
    <w:semiHidden/>
    <w:unhideWhenUsed/>
    <w:qFormat/>
    <w:pPr>
      <w:keepNext/>
      <w:keepLines/>
      <w:spacing w:before="360" w:after="80"/>
      <w:outlineLvl w:val="1"/>
    </w:pPr>
    <w:rPr>
      <w:b/>
      <w:bCs/>
      <w:sz w:val="36"/>
      <w:szCs w:val="36"/>
    </w:rPr>
  </w:style>
  <w:style w:type="paragraph" w:styleId="Nagwek3">
    <w:name w:val="heading 3"/>
    <w:basedOn w:val="Normalny"/>
    <w:next w:val="Normalny"/>
    <w:uiPriority w:val="9"/>
    <w:semiHidden/>
    <w:unhideWhenUsed/>
    <w:qFormat/>
    <w:pPr>
      <w:keepNext/>
      <w:keepLines/>
      <w:spacing w:before="280" w:after="80"/>
      <w:outlineLvl w:val="2"/>
    </w:pPr>
    <w:rPr>
      <w:b/>
      <w:bCs/>
      <w:sz w:val="28"/>
      <w:szCs w:val="28"/>
    </w:rPr>
  </w:style>
  <w:style w:type="paragraph" w:styleId="Nagwek4">
    <w:name w:val="heading 4"/>
    <w:basedOn w:val="Normalny"/>
    <w:next w:val="Normalny"/>
    <w:uiPriority w:val="9"/>
    <w:semiHidden/>
    <w:unhideWhenUsed/>
    <w:qFormat/>
    <w:pPr>
      <w:keepNext/>
      <w:keepLines/>
      <w:spacing w:before="240" w:after="40"/>
      <w:outlineLvl w:val="3"/>
    </w:pPr>
    <w:rPr>
      <w:b/>
      <w:bCs/>
      <w:sz w:val="24"/>
      <w:szCs w:val="24"/>
    </w:rPr>
  </w:style>
  <w:style w:type="paragraph" w:styleId="Nagwek5">
    <w:name w:val="heading 5"/>
    <w:basedOn w:val="Normalny"/>
    <w:next w:val="Normalny"/>
    <w:uiPriority w:val="9"/>
    <w:semiHidden/>
    <w:unhideWhenUsed/>
    <w:qFormat/>
    <w:pPr>
      <w:keepNext/>
      <w:keepLines/>
      <w:spacing w:before="220" w:after="40"/>
      <w:outlineLvl w:val="4"/>
    </w:pPr>
    <w:rPr>
      <w:b/>
      <w:bCs/>
    </w:rPr>
  </w:style>
  <w:style w:type="paragraph" w:styleId="Nagwek6">
    <w:name w:val="heading 6"/>
    <w:basedOn w:val="Normalny"/>
    <w:next w:val="Normalny"/>
    <w:uiPriority w:val="9"/>
    <w:semiHidden/>
    <w:unhideWhenUsed/>
    <w:qFormat/>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bCs/>
      <w:sz w:val="72"/>
      <w:szCs w:val="72"/>
    </w:r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turkiewicz@lewiatan.org"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2182</Words>
  <Characters>13095</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Magdalena Widlicka</cp:lastModifiedBy>
  <cp:revision>3</cp:revision>
  <dcterms:created xsi:type="dcterms:W3CDTF">2025-12-08T17:12:00Z</dcterms:created>
  <dcterms:modified xsi:type="dcterms:W3CDTF">2025-12-08T18:27:00Z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0x010100E09CCED9D407FE42B8CB6D4FEA51AA4E</vt:lpwstr>
  </property>
  <property fmtid="{D5CDD505-2E9C-101B-9397-08002B2CF9AE}" pid="3" name="MediaServiceImageTags">
    <vt:lpwstr>MediaServiceImageTags</vt:lpwstr>
  </property>
  <property fmtid="{D5CDD505-2E9C-101B-9397-08002B2CF9AE}" pid="4" name="ClassificationContentMarkingFooterShapeIds">
    <vt:lpwstr>771b7b6e,2c982bff,38b85439</vt:lpwstr>
  </property>
  <property fmtid="{D5CDD505-2E9C-101B-9397-08002B2CF9AE}" pid="5" name="ClassificationContentMarkingFooterFontProps">
    <vt:lpwstr>#000000,10,Calibri</vt:lpwstr>
  </property>
  <property fmtid="{D5CDD505-2E9C-101B-9397-08002B2CF9AE}" pid="6" name="ClassificationContentMarkingFooterText">
    <vt:lpwstr>Klasa ochrony informacji P4 sp. z o.o. - chronione(protected)</vt:lpwstr>
  </property>
  <property fmtid="{D5CDD505-2E9C-101B-9397-08002B2CF9AE}" pid="7" name="MSIP_Label_88f924f1-585a-4e2c-a8a3-c1b9b47eb1ca_Enabled">
    <vt:lpwstr>true</vt:lpwstr>
  </property>
  <property fmtid="{D5CDD505-2E9C-101B-9397-08002B2CF9AE}" pid="8" name="MSIP_Label_88f924f1-585a-4e2c-a8a3-c1b9b47eb1ca_SetDate">
    <vt:lpwstr>2025-12-03T18:18:44Z</vt:lpwstr>
  </property>
  <property fmtid="{D5CDD505-2E9C-101B-9397-08002B2CF9AE}" pid="9" name="MSIP_Label_88f924f1-585a-4e2c-a8a3-c1b9b47eb1ca_Method">
    <vt:lpwstr>Standard</vt:lpwstr>
  </property>
  <property fmtid="{D5CDD505-2E9C-101B-9397-08002B2CF9AE}" pid="10" name="MSIP_Label_88f924f1-585a-4e2c-a8a3-c1b9b47eb1ca_Name">
    <vt:lpwstr>92d040bf-9624-60fa-bd7c-20253faf442f</vt:lpwstr>
  </property>
  <property fmtid="{D5CDD505-2E9C-101B-9397-08002B2CF9AE}" pid="11" name="MSIP_Label_88f924f1-585a-4e2c-a8a3-c1b9b47eb1ca_SiteId">
    <vt:lpwstr>c0627ec3-7e6c-493d-9763-bf943844e332</vt:lpwstr>
  </property>
  <property fmtid="{D5CDD505-2E9C-101B-9397-08002B2CF9AE}" pid="12" name="MSIP_Label_88f924f1-585a-4e2c-a8a3-c1b9b47eb1ca_ActionId">
    <vt:lpwstr>86eec2e2-92e1-4b0d-bd7b-6dcfe907db16</vt:lpwstr>
  </property>
  <property fmtid="{D5CDD505-2E9C-101B-9397-08002B2CF9AE}" pid="13" name="MSIP_Label_88f924f1-585a-4e2c-a8a3-c1b9b47eb1ca_ContentBits">
    <vt:lpwstr>2</vt:lpwstr>
  </property>
  <property fmtid="{D5CDD505-2E9C-101B-9397-08002B2CF9AE}" pid="14" name="MSIP_Label_88f924f1-585a-4e2c-a8a3-c1b9b47eb1ca_Tag">
    <vt:lpwstr>10, 3, 0, 1</vt:lpwstr>
  </property>
</Properties>
</file>