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2" w:rightFromText="142" w:vertAnchor="text" w:horzAnchor="margin" w:tblpY="1172"/>
        <w:tblW w:w="14312" w:type="dxa"/>
        <w:tblLayout w:type="fixed"/>
        <w:tblLook w:val="04A0" w:firstRow="1" w:lastRow="0" w:firstColumn="1" w:lastColumn="0" w:noHBand="0" w:noVBand="1"/>
      </w:tblPr>
      <w:tblGrid>
        <w:gridCol w:w="704"/>
        <w:gridCol w:w="1418"/>
        <w:gridCol w:w="1299"/>
        <w:gridCol w:w="5528"/>
        <w:gridCol w:w="3119"/>
        <w:gridCol w:w="2244"/>
      </w:tblGrid>
      <w:tr w:rsidR="00981B74" w:rsidRPr="000C426A" w14:paraId="5191567B" w14:textId="77777777" w:rsidTr="0093318E">
        <w:trPr>
          <w:trHeight w:val="551"/>
          <w:tblHeader/>
        </w:trPr>
        <w:tc>
          <w:tcPr>
            <w:tcW w:w="704" w:type="dxa"/>
          </w:tcPr>
          <w:p w14:paraId="0C9AB889" w14:textId="77777777" w:rsidR="00981B74" w:rsidRPr="00617185" w:rsidRDefault="00981B74" w:rsidP="00617185">
            <w:pPr>
              <w:spacing w:line="240" w:lineRule="auto"/>
              <w:jc w:val="center"/>
              <w:rPr>
                <w:rFonts w:ascii="Calibri" w:hAnsi="Calibri" w:cs="Calibri"/>
                <w:b/>
              </w:rPr>
            </w:pPr>
            <w:r w:rsidRPr="00617185">
              <w:rPr>
                <w:rFonts w:ascii="Calibri" w:hAnsi="Calibri" w:cs="Calibri"/>
                <w:b/>
              </w:rPr>
              <w:t>Lp.</w:t>
            </w:r>
          </w:p>
        </w:tc>
        <w:tc>
          <w:tcPr>
            <w:tcW w:w="1418" w:type="dxa"/>
          </w:tcPr>
          <w:p w14:paraId="26A604B6" w14:textId="77777777" w:rsidR="00981B74" w:rsidRPr="000C426A" w:rsidRDefault="00981B74" w:rsidP="000C426A">
            <w:pPr>
              <w:spacing w:line="240" w:lineRule="auto"/>
              <w:jc w:val="center"/>
              <w:rPr>
                <w:rFonts w:ascii="Calibri" w:hAnsi="Calibri" w:cs="Calibri"/>
                <w:b/>
                <w:bCs/>
              </w:rPr>
            </w:pPr>
            <w:r w:rsidRPr="000C426A">
              <w:rPr>
                <w:rFonts w:ascii="Calibri" w:hAnsi="Calibri" w:cs="Calibri"/>
                <w:b/>
                <w:bCs/>
              </w:rPr>
              <w:t>Podmiot wnoszący uwagę</w:t>
            </w:r>
          </w:p>
        </w:tc>
        <w:tc>
          <w:tcPr>
            <w:tcW w:w="1299" w:type="dxa"/>
          </w:tcPr>
          <w:p w14:paraId="4A0F82A6" w14:textId="77777777" w:rsidR="00981B74" w:rsidRPr="000C426A" w:rsidRDefault="00981B74" w:rsidP="000C426A">
            <w:pPr>
              <w:spacing w:line="240" w:lineRule="auto"/>
              <w:jc w:val="center"/>
              <w:rPr>
                <w:rFonts w:ascii="Calibri" w:hAnsi="Calibri" w:cs="Calibri"/>
                <w:b/>
                <w:bCs/>
              </w:rPr>
            </w:pPr>
            <w:r w:rsidRPr="000C426A">
              <w:rPr>
                <w:rFonts w:ascii="Calibri" w:hAnsi="Calibri" w:cs="Calibri"/>
                <w:b/>
                <w:bCs/>
              </w:rPr>
              <w:t>Jednostka redakcyjna, do której wnoszona jest uwaga</w:t>
            </w:r>
            <w:r w:rsidRPr="000C426A">
              <w:rPr>
                <w:rStyle w:val="Odwoanieprzypisudolnego"/>
                <w:rFonts w:ascii="Calibri" w:hAnsi="Calibri" w:cs="Calibri"/>
                <w:b/>
                <w:bCs/>
              </w:rPr>
              <w:footnoteReference w:customMarkFollows="1" w:id="1"/>
              <w:t>1)</w:t>
            </w:r>
          </w:p>
        </w:tc>
        <w:tc>
          <w:tcPr>
            <w:tcW w:w="5528" w:type="dxa"/>
            <w:shd w:val="clear" w:color="auto" w:fill="FFFFFF" w:themeFill="background1"/>
          </w:tcPr>
          <w:p w14:paraId="5013ED8D" w14:textId="77777777" w:rsidR="00981B74" w:rsidRPr="000C426A" w:rsidRDefault="00981B74" w:rsidP="000C426A">
            <w:pPr>
              <w:spacing w:line="240" w:lineRule="auto"/>
              <w:jc w:val="center"/>
              <w:rPr>
                <w:rFonts w:ascii="Calibri" w:hAnsi="Calibri" w:cs="Calibri"/>
                <w:b/>
                <w:bCs/>
              </w:rPr>
            </w:pPr>
            <w:r w:rsidRPr="000C426A">
              <w:rPr>
                <w:rFonts w:ascii="Calibri" w:hAnsi="Calibri" w:cs="Calibri"/>
                <w:b/>
                <w:bCs/>
              </w:rPr>
              <w:t>Treść uwagi</w:t>
            </w:r>
          </w:p>
        </w:tc>
        <w:tc>
          <w:tcPr>
            <w:tcW w:w="3119" w:type="dxa"/>
          </w:tcPr>
          <w:p w14:paraId="278D0C7F" w14:textId="77777777" w:rsidR="00981B74" w:rsidRPr="000C426A" w:rsidRDefault="00981B74" w:rsidP="000C426A">
            <w:pPr>
              <w:spacing w:line="240" w:lineRule="auto"/>
              <w:jc w:val="center"/>
              <w:rPr>
                <w:rFonts w:ascii="Calibri" w:hAnsi="Calibri" w:cs="Calibri"/>
                <w:b/>
                <w:bCs/>
              </w:rPr>
            </w:pPr>
            <w:r w:rsidRPr="000C426A">
              <w:rPr>
                <w:rFonts w:ascii="Calibri" w:hAnsi="Calibri" w:cs="Calibri"/>
                <w:b/>
                <w:bCs/>
              </w:rPr>
              <w:t>Propozycja brzmienia przepisu</w:t>
            </w:r>
          </w:p>
        </w:tc>
        <w:tc>
          <w:tcPr>
            <w:tcW w:w="2244" w:type="dxa"/>
          </w:tcPr>
          <w:p w14:paraId="6925288B" w14:textId="77777777" w:rsidR="00981B74" w:rsidRPr="000C426A" w:rsidRDefault="00981B74" w:rsidP="000C426A">
            <w:pPr>
              <w:spacing w:line="240" w:lineRule="auto"/>
              <w:jc w:val="center"/>
              <w:rPr>
                <w:rFonts w:ascii="Calibri" w:hAnsi="Calibri" w:cs="Calibri"/>
                <w:b/>
                <w:bCs/>
              </w:rPr>
            </w:pPr>
            <w:r w:rsidRPr="000C426A">
              <w:rPr>
                <w:rFonts w:ascii="Calibri" w:hAnsi="Calibri" w:cs="Calibri"/>
                <w:b/>
                <w:bCs/>
              </w:rPr>
              <w:t>Stanowisko do uwagi</w:t>
            </w:r>
          </w:p>
        </w:tc>
      </w:tr>
      <w:tr w:rsidR="00637504" w:rsidRPr="000C426A" w14:paraId="4E9E8B99" w14:textId="77777777" w:rsidTr="0093318E">
        <w:trPr>
          <w:trHeight w:val="35"/>
        </w:trPr>
        <w:tc>
          <w:tcPr>
            <w:tcW w:w="704" w:type="dxa"/>
            <w:shd w:val="clear" w:color="auto" w:fill="FFFFFF" w:themeFill="background1"/>
          </w:tcPr>
          <w:p w14:paraId="3AA3030C" w14:textId="77777777" w:rsidR="00637504" w:rsidRPr="00896C45" w:rsidRDefault="00637504" w:rsidP="00896C45">
            <w:pPr>
              <w:pStyle w:val="Akapitzlist"/>
              <w:numPr>
                <w:ilvl w:val="0"/>
                <w:numId w:val="14"/>
              </w:numPr>
              <w:spacing w:line="240" w:lineRule="auto"/>
              <w:jc w:val="center"/>
              <w:rPr>
                <w:rFonts w:ascii="Calibri" w:eastAsia="Lato" w:hAnsi="Calibri" w:cs="Calibri"/>
                <w:b/>
                <w:bCs/>
                <w:lang w:val="pl"/>
              </w:rPr>
            </w:pPr>
          </w:p>
        </w:tc>
        <w:tc>
          <w:tcPr>
            <w:tcW w:w="1418" w:type="dxa"/>
          </w:tcPr>
          <w:p w14:paraId="1AB8B9C1" w14:textId="3D392AAC" w:rsidR="00637504" w:rsidRPr="00E96FF3" w:rsidRDefault="001421A9" w:rsidP="00637504">
            <w:pPr>
              <w:spacing w:line="240" w:lineRule="auto"/>
              <w:jc w:val="both"/>
              <w:rPr>
                <w:rFonts w:ascii="Lato" w:eastAsia="Times New Roman" w:hAnsi="Lato" w:cs="Times New Roman"/>
                <w:sz w:val="20"/>
                <w:szCs w:val="20"/>
                <w:lang w:eastAsia="pl-PL"/>
              </w:rPr>
            </w:pPr>
            <w:r>
              <w:rPr>
                <w:rFonts w:ascii="Lato" w:eastAsia="Times New Roman" w:hAnsi="Lato" w:cs="Times New Roman"/>
                <w:sz w:val="20"/>
                <w:szCs w:val="20"/>
                <w:lang w:eastAsia="pl-PL"/>
              </w:rPr>
              <w:t>Konfederacja Lewiatan</w:t>
            </w:r>
          </w:p>
        </w:tc>
        <w:tc>
          <w:tcPr>
            <w:tcW w:w="1299" w:type="dxa"/>
          </w:tcPr>
          <w:p w14:paraId="256EF004" w14:textId="14F354E7" w:rsidR="00637504" w:rsidRPr="000C426A" w:rsidRDefault="00637504" w:rsidP="00637504">
            <w:pPr>
              <w:spacing w:line="240" w:lineRule="auto"/>
              <w:jc w:val="both"/>
              <w:rPr>
                <w:rFonts w:ascii="Calibri" w:hAnsi="Calibri" w:cs="Calibri"/>
              </w:rPr>
            </w:pPr>
            <w:r w:rsidRPr="000C426A">
              <w:rPr>
                <w:rFonts w:ascii="Calibri" w:hAnsi="Calibri" w:cs="Calibri"/>
              </w:rPr>
              <w:t xml:space="preserve">Art. 1 pkt 1 Projektu </w:t>
            </w:r>
          </w:p>
          <w:p w14:paraId="2BFA9069" w14:textId="77777777" w:rsidR="00637504" w:rsidRPr="000C426A" w:rsidRDefault="00637504" w:rsidP="00637504">
            <w:pPr>
              <w:spacing w:line="240" w:lineRule="auto"/>
              <w:jc w:val="both"/>
              <w:rPr>
                <w:rFonts w:ascii="Calibri" w:hAnsi="Calibri" w:cs="Calibri"/>
              </w:rPr>
            </w:pPr>
          </w:p>
          <w:p w14:paraId="3BBAE526" w14:textId="4682E682" w:rsidR="00637504" w:rsidRPr="000C426A" w:rsidRDefault="00637504" w:rsidP="00637504">
            <w:pPr>
              <w:tabs>
                <w:tab w:val="center" w:pos="648"/>
              </w:tabs>
              <w:spacing w:line="240" w:lineRule="auto"/>
              <w:jc w:val="both"/>
              <w:rPr>
                <w:rFonts w:ascii="Calibri" w:eastAsia="Lato" w:hAnsi="Calibri" w:cs="Calibri"/>
              </w:rPr>
            </w:pPr>
            <w:r w:rsidRPr="000C426A">
              <w:rPr>
                <w:rFonts w:ascii="Calibri" w:hAnsi="Calibri" w:cs="Calibri"/>
              </w:rPr>
              <w:t xml:space="preserve">Art. 3 pkt 10ka i 10kb ustawy  z dnia 10 kwietnia 1997 r. – Prawo energetyczne (Dz. U. z 2024 r. poz. 266, z </w:t>
            </w:r>
            <w:proofErr w:type="spellStart"/>
            <w:r w:rsidRPr="000C426A">
              <w:rPr>
                <w:rFonts w:ascii="Calibri" w:hAnsi="Calibri" w:cs="Calibri"/>
              </w:rPr>
              <w:t>późn</w:t>
            </w:r>
            <w:proofErr w:type="spellEnd"/>
            <w:r w:rsidRPr="000C426A">
              <w:rPr>
                <w:rFonts w:ascii="Calibri" w:hAnsi="Calibri" w:cs="Calibri"/>
              </w:rPr>
              <w:t>. zm. )</w:t>
            </w:r>
          </w:p>
        </w:tc>
        <w:tc>
          <w:tcPr>
            <w:tcW w:w="5528" w:type="dxa"/>
            <w:shd w:val="clear" w:color="auto" w:fill="FFFFFF" w:themeFill="background1"/>
          </w:tcPr>
          <w:p w14:paraId="0BF5B9F3" w14:textId="26D1E551" w:rsidR="00637504" w:rsidRPr="000C426A" w:rsidRDefault="00637504" w:rsidP="00637504">
            <w:pPr>
              <w:tabs>
                <w:tab w:val="left" w:pos="3320"/>
              </w:tabs>
              <w:spacing w:line="240" w:lineRule="auto"/>
              <w:jc w:val="both"/>
              <w:rPr>
                <w:rFonts w:ascii="Calibri" w:eastAsia="Lato" w:hAnsi="Calibri" w:cs="Calibri"/>
              </w:rPr>
            </w:pPr>
            <w:r w:rsidRPr="000C426A">
              <w:rPr>
                <w:rFonts w:ascii="Calibri" w:hAnsi="Calibri" w:cs="Calibri"/>
              </w:rPr>
              <w:t xml:space="preserve">Ze względu na analogiczne przeznaczenie instalacji magazynów energii oraz magazynów ciepła lub chłodu (jako podkategorii magazynów energii) ich definicje powinny posługiwać się tożsamymi pojęciami, by nie generować wątpliwości co do konieczności nadawania tym pojęciom (a w konsekwencji instalacjom) różnych znaczeń. </w:t>
            </w:r>
          </w:p>
        </w:tc>
        <w:tc>
          <w:tcPr>
            <w:tcW w:w="3119" w:type="dxa"/>
          </w:tcPr>
          <w:p w14:paraId="5D5710F7" w14:textId="77777777" w:rsidR="00637504" w:rsidRPr="000C426A" w:rsidRDefault="00637504" w:rsidP="00637504">
            <w:pPr>
              <w:spacing w:line="240" w:lineRule="auto"/>
              <w:jc w:val="both"/>
              <w:rPr>
                <w:rFonts w:ascii="Calibri" w:hAnsi="Calibri" w:cs="Calibri"/>
              </w:rPr>
            </w:pPr>
            <w:r w:rsidRPr="000C426A">
              <w:rPr>
                <w:rFonts w:ascii="Calibri" w:hAnsi="Calibri" w:cs="Calibri"/>
              </w:rPr>
              <w:t>W art. 3:</w:t>
            </w:r>
          </w:p>
          <w:p w14:paraId="7032CAF0" w14:textId="77777777" w:rsidR="00637504" w:rsidRPr="000C426A" w:rsidRDefault="00637504" w:rsidP="00637504">
            <w:pPr>
              <w:pStyle w:val="Akapitzlist"/>
              <w:numPr>
                <w:ilvl w:val="0"/>
                <w:numId w:val="12"/>
              </w:numPr>
              <w:spacing w:line="240" w:lineRule="auto"/>
              <w:jc w:val="both"/>
              <w:rPr>
                <w:rFonts w:ascii="Calibri" w:hAnsi="Calibri" w:cs="Calibri"/>
              </w:rPr>
            </w:pPr>
            <w:r w:rsidRPr="000C426A">
              <w:rPr>
                <w:rFonts w:ascii="Calibri" w:hAnsi="Calibri" w:cs="Calibri"/>
              </w:rPr>
              <w:t>pkt 10ka otrzymuje brzmienie:</w:t>
            </w:r>
          </w:p>
          <w:p w14:paraId="67A05903" w14:textId="77777777" w:rsidR="00637504" w:rsidRPr="000C426A" w:rsidRDefault="00637504" w:rsidP="00637504">
            <w:pPr>
              <w:spacing w:line="240" w:lineRule="auto"/>
              <w:jc w:val="both"/>
              <w:rPr>
                <w:rFonts w:ascii="Calibri" w:hAnsi="Calibri" w:cs="Calibri"/>
              </w:rPr>
            </w:pPr>
            <w:r w:rsidRPr="000C426A">
              <w:rPr>
                <w:rFonts w:ascii="Calibri" w:hAnsi="Calibri" w:cs="Calibri"/>
              </w:rPr>
              <w:t>„10ka) magazyn energii – instalację przeznaczoną do magazynowanie energii, w tym magazyn energii elektrycznej, magazyn ciepła lub magazyn chłodu;”;</w:t>
            </w:r>
          </w:p>
          <w:p w14:paraId="0D83C3CD" w14:textId="77777777" w:rsidR="00637504" w:rsidRPr="000C426A" w:rsidRDefault="00637504" w:rsidP="00637504">
            <w:pPr>
              <w:pStyle w:val="Akapitzlist"/>
              <w:numPr>
                <w:ilvl w:val="0"/>
                <w:numId w:val="12"/>
              </w:numPr>
              <w:spacing w:line="240" w:lineRule="auto"/>
              <w:jc w:val="both"/>
              <w:rPr>
                <w:rFonts w:ascii="Calibri" w:hAnsi="Calibri" w:cs="Calibri"/>
              </w:rPr>
            </w:pPr>
            <w:r w:rsidRPr="000C426A">
              <w:rPr>
                <w:rFonts w:ascii="Calibri" w:hAnsi="Calibri" w:cs="Calibri"/>
              </w:rPr>
              <w:t>po pkt 10ka dodaje się pkt 10kb w brzmieniu:</w:t>
            </w:r>
          </w:p>
          <w:p w14:paraId="6CEB5C44" w14:textId="12FB3EAE" w:rsidR="00637504" w:rsidRDefault="00637504" w:rsidP="00637504">
            <w:pPr>
              <w:spacing w:line="240" w:lineRule="auto"/>
              <w:jc w:val="both"/>
              <w:rPr>
                <w:rFonts w:ascii="Calibri" w:eastAsia="Lato" w:hAnsi="Calibri" w:cs="Calibri"/>
              </w:rPr>
            </w:pPr>
            <w:r w:rsidRPr="000C426A">
              <w:rPr>
                <w:rFonts w:ascii="Calibri" w:hAnsi="Calibri" w:cs="Calibri"/>
              </w:rPr>
              <w:t>„10kb) magazyn ciepła lub magazyn chłodu – instalację przeznaczoną   do magazynowania ciepła lub chłodu w postaci energii cieplnej, w celu późniejszego wykorzystania</w:t>
            </w:r>
          </w:p>
        </w:tc>
        <w:tc>
          <w:tcPr>
            <w:tcW w:w="2244" w:type="dxa"/>
          </w:tcPr>
          <w:p w14:paraId="1C3F975D" w14:textId="77777777" w:rsidR="00637504" w:rsidRPr="000C426A" w:rsidRDefault="00637504" w:rsidP="00637504">
            <w:pPr>
              <w:spacing w:line="240" w:lineRule="auto"/>
              <w:jc w:val="center"/>
              <w:rPr>
                <w:rFonts w:ascii="Calibri" w:eastAsia="Lato" w:hAnsi="Calibri" w:cs="Calibri"/>
                <w:lang w:val="pl"/>
              </w:rPr>
            </w:pPr>
          </w:p>
        </w:tc>
      </w:tr>
      <w:tr w:rsidR="009C7417" w:rsidRPr="000C426A" w14:paraId="3BAF85D0" w14:textId="77777777" w:rsidTr="0093318E">
        <w:trPr>
          <w:trHeight w:val="35"/>
        </w:trPr>
        <w:tc>
          <w:tcPr>
            <w:tcW w:w="704" w:type="dxa"/>
            <w:shd w:val="clear" w:color="auto" w:fill="FFFFFF" w:themeFill="background1"/>
          </w:tcPr>
          <w:p w14:paraId="10311AA9" w14:textId="77777777" w:rsidR="009C7417" w:rsidRPr="00896C45" w:rsidRDefault="009C7417" w:rsidP="00896C45">
            <w:pPr>
              <w:pStyle w:val="Akapitzlist"/>
              <w:numPr>
                <w:ilvl w:val="0"/>
                <w:numId w:val="14"/>
              </w:numPr>
              <w:spacing w:line="240" w:lineRule="auto"/>
              <w:jc w:val="center"/>
              <w:rPr>
                <w:rFonts w:ascii="Calibri" w:eastAsia="Lato" w:hAnsi="Calibri" w:cs="Calibri"/>
                <w:b/>
                <w:bCs/>
                <w:lang w:val="pl"/>
              </w:rPr>
            </w:pPr>
          </w:p>
        </w:tc>
        <w:tc>
          <w:tcPr>
            <w:tcW w:w="1418" w:type="dxa"/>
          </w:tcPr>
          <w:p w14:paraId="46D886CF" w14:textId="30D49A1F" w:rsidR="009C7417" w:rsidRDefault="009C7417" w:rsidP="009C7417">
            <w:pPr>
              <w:spacing w:line="240" w:lineRule="auto"/>
              <w:jc w:val="both"/>
              <w:rPr>
                <w:rFonts w:ascii="Calibri" w:eastAsia="Lato" w:hAnsi="Calibri" w:cs="Calibri"/>
              </w:rPr>
            </w:pPr>
            <w:r>
              <w:rPr>
                <w:rFonts w:ascii="Calibri" w:eastAsia="Lato" w:hAnsi="Calibri" w:cs="Calibri"/>
              </w:rPr>
              <w:t>Konfederacja Lewiatan</w:t>
            </w:r>
          </w:p>
        </w:tc>
        <w:tc>
          <w:tcPr>
            <w:tcW w:w="1299" w:type="dxa"/>
          </w:tcPr>
          <w:p w14:paraId="67925DED" w14:textId="77777777" w:rsidR="009C7417" w:rsidRPr="000C426A" w:rsidRDefault="009C7417" w:rsidP="009C7417">
            <w:pPr>
              <w:spacing w:line="240" w:lineRule="auto"/>
              <w:jc w:val="both"/>
              <w:rPr>
                <w:rFonts w:ascii="Calibri" w:hAnsi="Calibri" w:cs="Calibri"/>
              </w:rPr>
            </w:pPr>
            <w:r w:rsidRPr="000C426A">
              <w:rPr>
                <w:rFonts w:ascii="Calibri" w:eastAsia="Lato" w:hAnsi="Calibri" w:cs="Calibri"/>
              </w:rPr>
              <w:t>Art. 1 pkt 3</w:t>
            </w:r>
          </w:p>
          <w:p w14:paraId="7BB87CA0" w14:textId="55E9C74B" w:rsidR="009C7417" w:rsidRPr="000C426A" w:rsidRDefault="009C7417" w:rsidP="009C7417">
            <w:pPr>
              <w:tabs>
                <w:tab w:val="center" w:pos="648"/>
              </w:tabs>
              <w:spacing w:line="240" w:lineRule="auto"/>
              <w:jc w:val="both"/>
              <w:rPr>
                <w:rFonts w:ascii="Calibri" w:eastAsia="Lato" w:hAnsi="Calibri" w:cs="Calibri"/>
              </w:rPr>
            </w:pPr>
            <w:r>
              <w:rPr>
                <w:rFonts w:ascii="Calibri" w:eastAsia="Lato" w:hAnsi="Calibri" w:cs="Calibri"/>
              </w:rPr>
              <w:t>Projektu</w:t>
            </w:r>
          </w:p>
        </w:tc>
        <w:tc>
          <w:tcPr>
            <w:tcW w:w="5528" w:type="dxa"/>
            <w:shd w:val="clear" w:color="auto" w:fill="FFFFFF" w:themeFill="background1"/>
          </w:tcPr>
          <w:p w14:paraId="6F9206A0" w14:textId="71DEC069" w:rsidR="009C7417" w:rsidRPr="000C426A" w:rsidRDefault="009C7417" w:rsidP="009C7417">
            <w:pPr>
              <w:tabs>
                <w:tab w:val="left" w:pos="3320"/>
              </w:tabs>
              <w:spacing w:line="240" w:lineRule="auto"/>
              <w:ind w:left="180"/>
              <w:jc w:val="both"/>
              <w:rPr>
                <w:rFonts w:ascii="Calibri" w:eastAsia="Lato" w:hAnsi="Calibri" w:cs="Calibri"/>
              </w:rPr>
            </w:pPr>
            <w:r w:rsidRPr="000C426A">
              <w:rPr>
                <w:rFonts w:ascii="Calibri" w:eastAsia="Lato" w:hAnsi="Calibri" w:cs="Calibri"/>
              </w:rPr>
              <w:t xml:space="preserve">Czy pod pojęciem „łączna kwota na rachunku” należy rozumieć wyłącznie sumę opłaty za obrót i dystrybucję, czy również inne należności widoczne na fakturze, takie </w:t>
            </w:r>
            <w:r w:rsidRPr="000C426A">
              <w:rPr>
                <w:rFonts w:ascii="Calibri" w:eastAsia="Lato" w:hAnsi="Calibri" w:cs="Calibri"/>
              </w:rPr>
              <w:lastRenderedPageBreak/>
              <w:t>jak odsetki, zaległości, korekty wynikające z poprzednich okresów rozliczeniowych?</w:t>
            </w:r>
          </w:p>
        </w:tc>
        <w:tc>
          <w:tcPr>
            <w:tcW w:w="3119" w:type="dxa"/>
          </w:tcPr>
          <w:p w14:paraId="0988735C" w14:textId="77777777" w:rsidR="009C7417" w:rsidRPr="000C426A" w:rsidRDefault="009C7417" w:rsidP="009C7417">
            <w:pPr>
              <w:spacing w:line="240" w:lineRule="auto"/>
              <w:jc w:val="both"/>
              <w:rPr>
                <w:rFonts w:ascii="Calibri" w:hAnsi="Calibri" w:cs="Calibri"/>
              </w:rPr>
            </w:pPr>
            <w:r w:rsidRPr="000C426A">
              <w:rPr>
                <w:rFonts w:ascii="Calibri" w:eastAsia="Lato" w:hAnsi="Calibri" w:cs="Calibri"/>
              </w:rPr>
              <w:lastRenderedPageBreak/>
              <w:t>Zmiana brzmienia</w:t>
            </w:r>
          </w:p>
          <w:p w14:paraId="52BE4399" w14:textId="77777777" w:rsidR="009C7417" w:rsidRPr="000C426A" w:rsidRDefault="009C7417" w:rsidP="009C7417">
            <w:pPr>
              <w:spacing w:line="240" w:lineRule="auto"/>
              <w:jc w:val="both"/>
              <w:rPr>
                <w:rFonts w:ascii="Calibri" w:hAnsi="Calibri" w:cs="Calibri"/>
              </w:rPr>
            </w:pPr>
            <w:r w:rsidRPr="000C426A">
              <w:rPr>
                <w:rFonts w:ascii="Calibri" w:eastAsia="Lato" w:hAnsi="Calibri" w:cs="Calibri"/>
              </w:rPr>
              <w:t xml:space="preserve"> </w:t>
            </w:r>
          </w:p>
          <w:p w14:paraId="683420BE" w14:textId="77777777" w:rsidR="009C7417" w:rsidRPr="000C426A" w:rsidRDefault="009C7417" w:rsidP="009C7417">
            <w:pPr>
              <w:spacing w:line="240" w:lineRule="auto"/>
              <w:jc w:val="both"/>
              <w:rPr>
                <w:rFonts w:ascii="Calibri" w:hAnsi="Calibri" w:cs="Calibri"/>
              </w:rPr>
            </w:pPr>
            <w:r w:rsidRPr="000C426A">
              <w:rPr>
                <w:rFonts w:ascii="Calibri" w:eastAsia="Lato" w:hAnsi="Calibri" w:cs="Calibri"/>
              </w:rPr>
              <w:lastRenderedPageBreak/>
              <w:t>6i.</w:t>
            </w:r>
            <w:r>
              <w:rPr>
                <w:rFonts w:ascii="Calibri" w:eastAsia="Lato" w:hAnsi="Calibri" w:cs="Calibri"/>
              </w:rPr>
              <w:t xml:space="preserve"> </w:t>
            </w:r>
            <w:r w:rsidRPr="000C426A">
              <w:rPr>
                <w:rFonts w:ascii="Calibri" w:eastAsia="Lato" w:hAnsi="Calibri" w:cs="Calibri"/>
              </w:rPr>
              <w:t xml:space="preserve">Sprzedawca energii elektrycznej, wystawiając odbiorcy energii elektrycznej w gospodarstwie domowym fakturę, w rozumieniu ustawy z dnia 11 marca 2004 r. o podatku od towarów i usług (Dz. U. z 2025 r. poz. 775, 894, 896, 1203 i 1541), jest obowiązany do przekazania wraz z tą fakturą przejrzystego i zrozumiałego podsumowania informacji zawartych w tej fakturze, wyrażonego w języku niespecjalistycznym, zawierającego łączną kwotę do zapłaty, </w:t>
            </w:r>
            <w:r w:rsidRPr="000C426A">
              <w:rPr>
                <w:rFonts w:ascii="Calibri" w:eastAsia="Lato" w:hAnsi="Calibri" w:cs="Calibri"/>
                <w:color w:val="FF0000"/>
              </w:rPr>
              <w:t xml:space="preserve">na którą składa się </w:t>
            </w:r>
            <w:r w:rsidRPr="000C426A">
              <w:rPr>
                <w:rFonts w:ascii="Calibri" w:eastAsia="Lato" w:hAnsi="Calibri" w:cs="Calibri"/>
              </w:rPr>
              <w:t>kwota do zapłaty za obrót energią elektryczną</w:t>
            </w:r>
            <w:r w:rsidRPr="000C426A">
              <w:rPr>
                <w:rFonts w:ascii="Calibri" w:eastAsia="Lato" w:hAnsi="Calibri" w:cs="Calibri"/>
                <w:color w:val="FF0000"/>
              </w:rPr>
              <w:t xml:space="preserve">, </w:t>
            </w:r>
            <w:r w:rsidRPr="000C426A">
              <w:rPr>
                <w:rFonts w:ascii="Calibri" w:eastAsia="Lato" w:hAnsi="Calibri" w:cs="Calibri"/>
              </w:rPr>
              <w:t xml:space="preserve">kwotę do zapłaty za usługi dystrybucji tej energii </w:t>
            </w:r>
            <w:r w:rsidRPr="000C426A">
              <w:rPr>
                <w:rFonts w:ascii="Calibri" w:eastAsia="Lato" w:hAnsi="Calibri" w:cs="Calibri"/>
                <w:color w:val="FF0000"/>
              </w:rPr>
              <w:t>oraz zaległości odbiorcy wynikające z poprzednich okresów rozliczeniowych</w:t>
            </w:r>
            <w:r w:rsidRPr="000C426A">
              <w:rPr>
                <w:rFonts w:ascii="Calibri" w:eastAsia="Lato" w:hAnsi="Calibri" w:cs="Calibri"/>
              </w:rPr>
              <w:t xml:space="preserve">. Podsumowanie nie stanowi integralnej części faktury oraz nie jest załącznikiem do faktury, w rozumieniu przepisów ustawy </w:t>
            </w:r>
            <w:r w:rsidRPr="000C426A">
              <w:rPr>
                <w:rFonts w:ascii="Calibri" w:eastAsia="Lato" w:hAnsi="Calibri" w:cs="Calibri"/>
              </w:rPr>
              <w:lastRenderedPageBreak/>
              <w:t>z dnia 11 marca 2004 r. o podatku od towarów i usług”.</w:t>
            </w:r>
          </w:p>
          <w:p w14:paraId="32D902E6" w14:textId="77777777" w:rsidR="009C7417" w:rsidRPr="000C426A" w:rsidRDefault="009C7417" w:rsidP="009C7417">
            <w:pPr>
              <w:spacing w:line="240" w:lineRule="auto"/>
              <w:jc w:val="both"/>
              <w:rPr>
                <w:rFonts w:ascii="Calibri" w:eastAsia="Lato" w:hAnsi="Calibri" w:cs="Calibri"/>
              </w:rPr>
            </w:pPr>
          </w:p>
          <w:p w14:paraId="501515BF" w14:textId="4A50FE48" w:rsidR="009C7417" w:rsidRDefault="009C7417" w:rsidP="009C7417">
            <w:pPr>
              <w:spacing w:line="240" w:lineRule="auto"/>
              <w:jc w:val="both"/>
              <w:rPr>
                <w:rFonts w:ascii="Calibri" w:eastAsia="Lato" w:hAnsi="Calibri" w:cs="Calibri"/>
              </w:rPr>
            </w:pPr>
            <w:r w:rsidRPr="000C426A">
              <w:rPr>
                <w:rFonts w:ascii="Calibri" w:eastAsia="Lato" w:hAnsi="Calibri" w:cs="Calibri"/>
                <w:color w:val="FF0000"/>
              </w:rPr>
              <w:t>Dodatkowo proponujemy rozważenie, aby z części dystrybucyjnej wyłączyć i pokazać jako oddzielną pozycję koszty dotyczące funkcjonowania systemu (opłata jakościowa) oraz systemów wsparcia (OZE, kogeneracyjna i mocowa). Taki podział już dziś funkcjonuje w zatwierdzanych przez Prezesa URE taryfach Operatorów Systemów Dystrybucyjnych. Należy wyraźnie podkreślić, że szczególnie ta druga grupa opłat nie stanowi</w:t>
            </w:r>
            <w:r w:rsidRPr="000C426A">
              <w:rPr>
                <w:rFonts w:ascii="Calibri" w:eastAsia="Aptos" w:hAnsi="Calibri" w:cs="Calibri"/>
                <w:color w:val="FF0000"/>
              </w:rPr>
              <w:t xml:space="preserve"> </w:t>
            </w:r>
            <w:r w:rsidRPr="000C426A">
              <w:rPr>
                <w:rFonts w:ascii="Calibri" w:eastAsia="Lato" w:hAnsi="Calibri" w:cs="Calibri"/>
                <w:color w:val="FF0000"/>
              </w:rPr>
              <w:t>kosztu dystrybucji. OSD są jedynie pośrednikami w pobieraniu i przekazywaniu tych opłat między odbiorcami a innymi podmiotami (PSE S.A., Zarządca Rozliczeń S.A.).</w:t>
            </w:r>
          </w:p>
        </w:tc>
        <w:tc>
          <w:tcPr>
            <w:tcW w:w="2244" w:type="dxa"/>
          </w:tcPr>
          <w:p w14:paraId="53F01056" w14:textId="77777777" w:rsidR="009C7417" w:rsidRPr="000C426A" w:rsidRDefault="009C7417" w:rsidP="009C7417">
            <w:pPr>
              <w:spacing w:line="240" w:lineRule="auto"/>
              <w:jc w:val="center"/>
              <w:rPr>
                <w:rFonts w:ascii="Calibri" w:eastAsia="Lato" w:hAnsi="Calibri" w:cs="Calibri"/>
                <w:lang w:val="pl"/>
              </w:rPr>
            </w:pPr>
          </w:p>
        </w:tc>
      </w:tr>
      <w:tr w:rsidR="00C24D0A" w:rsidRPr="000C426A" w14:paraId="2ECEC0FB" w14:textId="77777777" w:rsidTr="0093318E">
        <w:trPr>
          <w:trHeight w:val="35"/>
        </w:trPr>
        <w:tc>
          <w:tcPr>
            <w:tcW w:w="704" w:type="dxa"/>
            <w:shd w:val="clear" w:color="auto" w:fill="FFFFFF" w:themeFill="background1"/>
          </w:tcPr>
          <w:p w14:paraId="245811CD" w14:textId="77777777" w:rsidR="00C24D0A" w:rsidRPr="00896C45" w:rsidRDefault="00C24D0A" w:rsidP="00896C45">
            <w:pPr>
              <w:pStyle w:val="Akapitzlist"/>
              <w:numPr>
                <w:ilvl w:val="0"/>
                <w:numId w:val="14"/>
              </w:numPr>
              <w:spacing w:line="240" w:lineRule="auto"/>
              <w:jc w:val="center"/>
              <w:rPr>
                <w:rFonts w:ascii="Calibri" w:eastAsia="Lato" w:hAnsi="Calibri" w:cs="Calibri"/>
                <w:b/>
                <w:bCs/>
                <w:lang w:val="pl"/>
              </w:rPr>
            </w:pPr>
          </w:p>
        </w:tc>
        <w:tc>
          <w:tcPr>
            <w:tcW w:w="1418" w:type="dxa"/>
          </w:tcPr>
          <w:p w14:paraId="61AFB4F8" w14:textId="5318EF18" w:rsidR="00C24D0A" w:rsidRPr="000C426A" w:rsidRDefault="00C24D0A" w:rsidP="00C24D0A">
            <w:pPr>
              <w:spacing w:line="240" w:lineRule="auto"/>
              <w:jc w:val="both"/>
              <w:rPr>
                <w:rFonts w:ascii="Calibri" w:eastAsia="Lato" w:hAnsi="Calibri" w:cs="Calibri"/>
                <w:lang w:val="pl"/>
              </w:rPr>
            </w:pPr>
            <w:r>
              <w:rPr>
                <w:rFonts w:ascii="Calibri" w:eastAsia="Lato" w:hAnsi="Calibri" w:cs="Calibri"/>
                <w:lang w:val="pl"/>
              </w:rPr>
              <w:t>Konfederacja Lewiatan</w:t>
            </w:r>
          </w:p>
        </w:tc>
        <w:tc>
          <w:tcPr>
            <w:tcW w:w="1299" w:type="dxa"/>
          </w:tcPr>
          <w:p w14:paraId="186F8D3D" w14:textId="7E993D03" w:rsidR="00C24D0A" w:rsidRPr="000C426A" w:rsidRDefault="00C24D0A" w:rsidP="00C24D0A">
            <w:pPr>
              <w:spacing w:line="240" w:lineRule="auto"/>
              <w:rPr>
                <w:rFonts w:ascii="Calibri" w:hAnsi="Calibri" w:cs="Calibri"/>
              </w:rPr>
            </w:pPr>
            <w:r w:rsidRPr="000C426A">
              <w:rPr>
                <w:rFonts w:ascii="Calibri" w:hAnsi="Calibri" w:cs="Calibri"/>
              </w:rPr>
              <w:t xml:space="preserve">Art. 1 pkt 4 Projektu </w:t>
            </w:r>
          </w:p>
          <w:p w14:paraId="0A8A20D3" w14:textId="77777777" w:rsidR="00C24D0A" w:rsidRPr="000C426A" w:rsidRDefault="00C24D0A" w:rsidP="00C24D0A">
            <w:pPr>
              <w:spacing w:line="240" w:lineRule="auto"/>
              <w:rPr>
                <w:rFonts w:ascii="Calibri" w:hAnsi="Calibri" w:cs="Calibri"/>
              </w:rPr>
            </w:pPr>
          </w:p>
          <w:p w14:paraId="7019F2F3" w14:textId="77777777" w:rsidR="00C24D0A" w:rsidRPr="000C426A" w:rsidRDefault="00C24D0A" w:rsidP="00C24D0A">
            <w:pPr>
              <w:spacing w:line="240" w:lineRule="auto"/>
              <w:rPr>
                <w:rFonts w:ascii="Calibri" w:hAnsi="Calibri" w:cs="Calibri"/>
              </w:rPr>
            </w:pPr>
          </w:p>
          <w:p w14:paraId="2CBE8395" w14:textId="2E8A4C3D" w:rsidR="00C24D0A" w:rsidRPr="000C426A" w:rsidRDefault="00C24D0A" w:rsidP="00C24D0A">
            <w:pPr>
              <w:spacing w:line="240" w:lineRule="auto"/>
              <w:jc w:val="both"/>
              <w:rPr>
                <w:rFonts w:ascii="Calibri" w:eastAsia="Lato" w:hAnsi="Calibri" w:cs="Calibri"/>
                <w:lang w:val="pl"/>
              </w:rPr>
            </w:pPr>
            <w:r w:rsidRPr="000C426A">
              <w:rPr>
                <w:rFonts w:ascii="Calibri" w:hAnsi="Calibri" w:cs="Calibri"/>
              </w:rPr>
              <w:t xml:space="preserve">Art. 7 b ust. 4a ustawy z dnia 10 kwietnia 1997 r. – Prawo energetyczne (Dz. U. z 2024 r. poz. 266, z </w:t>
            </w:r>
            <w:proofErr w:type="spellStart"/>
            <w:r w:rsidRPr="000C426A">
              <w:rPr>
                <w:rFonts w:ascii="Calibri" w:hAnsi="Calibri" w:cs="Calibri"/>
              </w:rPr>
              <w:t>późn</w:t>
            </w:r>
            <w:proofErr w:type="spellEnd"/>
            <w:r w:rsidRPr="000C426A">
              <w:rPr>
                <w:rFonts w:ascii="Calibri" w:hAnsi="Calibri" w:cs="Calibri"/>
              </w:rPr>
              <w:t>. zm.)</w:t>
            </w:r>
          </w:p>
        </w:tc>
        <w:tc>
          <w:tcPr>
            <w:tcW w:w="5528" w:type="dxa"/>
            <w:shd w:val="clear" w:color="auto" w:fill="FFFFFF" w:themeFill="background1"/>
          </w:tcPr>
          <w:p w14:paraId="0A9B92A9" w14:textId="77777777" w:rsidR="00C24D0A" w:rsidRPr="000C426A" w:rsidRDefault="00C24D0A" w:rsidP="00C24D0A">
            <w:pPr>
              <w:spacing w:after="120" w:line="240" w:lineRule="auto"/>
              <w:jc w:val="both"/>
              <w:rPr>
                <w:rFonts w:ascii="Calibri" w:hAnsi="Calibri" w:cs="Calibri"/>
              </w:rPr>
            </w:pPr>
            <w:r w:rsidRPr="000C426A">
              <w:rPr>
                <w:rFonts w:ascii="Calibri" w:hAnsi="Calibri" w:cs="Calibri"/>
              </w:rPr>
              <w:lastRenderedPageBreak/>
              <w:t xml:space="preserve">W związku z projektowaną zmianą art. 7b ustawy prawo energetyczne (art. 1 pkt 4. projektu) poprzez dodanie ust. 4a) - właściwym byłoby jednoczesne objęcie tą nowelizacją </w:t>
            </w:r>
            <w:r w:rsidRPr="000C426A">
              <w:rPr>
                <w:rFonts w:ascii="Calibri" w:hAnsi="Calibri" w:cs="Calibri"/>
              </w:rPr>
              <w:lastRenderedPageBreak/>
              <w:t xml:space="preserve">kwalifikacji – na potrzeby uznania systemu ciepłowniczego za efektywny -  całości ciepła wytworzonego i wprowadzonego do systemu ciepłowniczego z pompy ciepła, pod warunkiem że spełnia ona w momencie instalacji minimalne warunki efektywności określone w załączniku VII do dyrektywy (UE) 2018/2001 – a transponowane do krajowego porządku prawnego w art. 116 ust. 1 b) ustawy o odnawialnych źródłach energii.   </w:t>
            </w:r>
          </w:p>
          <w:p w14:paraId="0D561059" w14:textId="77777777" w:rsidR="00C24D0A" w:rsidRPr="000C426A" w:rsidRDefault="00C24D0A" w:rsidP="00C24D0A">
            <w:pPr>
              <w:spacing w:after="120" w:line="240" w:lineRule="auto"/>
              <w:jc w:val="both"/>
              <w:rPr>
                <w:rFonts w:ascii="Calibri" w:hAnsi="Calibri" w:cs="Calibri"/>
                <w:i/>
                <w:iCs/>
              </w:rPr>
            </w:pPr>
            <w:r w:rsidRPr="000C426A">
              <w:rPr>
                <w:rFonts w:ascii="Calibri" w:hAnsi="Calibri" w:cs="Calibri"/>
              </w:rPr>
              <w:t>Taka zmiana byłaby działaniem zgodnym z zaleceniami Komisji  (UE) 2024/2395 z dnia 2 września 2024 r. ustanawiającymi wytyczne dotyczące interpretacji art. 26 dyrektywy Parlamentu Europejskiego i Rady (UE) 2023/1791 w odniesieniu do zaopatrzenia w energię cieplną i chłodniczą oraz zgodna z motywem 107 Dyrektywy Parlamentu Europejskiego i Rady (UE)  2023/1791 z dnia 13 września 2023 r. w sprawie efektywności energetycznej oraz zmieniająca rozporządzenie (UE) 2023/955, w którym wskazano</w:t>
            </w:r>
            <w:r w:rsidRPr="000C426A">
              <w:rPr>
                <w:rFonts w:ascii="Calibri" w:hAnsi="Calibri" w:cs="Calibri"/>
                <w:i/>
                <w:iCs/>
              </w:rPr>
              <w:t xml:space="preserve"> „Pompy ciepła mają znaczenie dla obniżania emisyjności zaopatrzenia w energię cieplną i chłodniczą, także w systemach ciepłowniczych. Metodyka ustanowiona w załączniku VII do dyrektywy (UE) 2018/2001 zawiera zasady rozliczania energii z pomp ciepła jako energii ze źródeł odnawialnych i zapobiega podwójnemu rozliczaniu energii elektrycznej ze źródeł odnawialnych. Do celów obliczania udziału ze źródeł odnawialnych w sieci ciepłowniczej ciepło w całości pochodzące z pompy ciepła i trafiające do sieci powinno być rozliczane jako energia ze </w:t>
            </w:r>
            <w:r w:rsidRPr="000C426A">
              <w:rPr>
                <w:rFonts w:ascii="Calibri" w:hAnsi="Calibri" w:cs="Calibri"/>
                <w:i/>
                <w:iCs/>
              </w:rPr>
              <w:lastRenderedPageBreak/>
              <w:t>źródeł odnawialnych, pod warunkiem, że dana pompa ciepła spełnia w momencie instalacji minimalne warunki efektywności określone w załączniku VII do dyrektywy (UE) 2018/2001.</w:t>
            </w:r>
          </w:p>
          <w:p w14:paraId="23CABDC7" w14:textId="0101D071" w:rsidR="00C24D0A" w:rsidRPr="00E959AC" w:rsidRDefault="00C24D0A" w:rsidP="00C24D0A">
            <w:pPr>
              <w:spacing w:after="120" w:line="240" w:lineRule="auto"/>
              <w:jc w:val="both"/>
              <w:rPr>
                <w:rFonts w:ascii="Calibri" w:hAnsi="Calibri" w:cs="Calibri"/>
              </w:rPr>
            </w:pPr>
            <w:r w:rsidRPr="000C426A">
              <w:rPr>
                <w:rFonts w:ascii="Calibri" w:hAnsi="Calibri" w:cs="Calibri"/>
              </w:rPr>
              <w:t>Na potrzeby oceny efektywnego energetycznie systemu ciepłowniczego zasadnym jest również uwzględnianie ciepła wytworzonego w pompie ciepłowniczej, niespełniającej kryterium SPF, w ilości w jakiej ciepło zostało wytworzone z energii z OZE, wyliczanej na zasadach analogicznych jak dla kotłów elektrycznych.</w:t>
            </w:r>
          </w:p>
        </w:tc>
        <w:tc>
          <w:tcPr>
            <w:tcW w:w="3119" w:type="dxa"/>
          </w:tcPr>
          <w:p w14:paraId="465089BB" w14:textId="57C69F5D" w:rsidR="00C24D0A" w:rsidRPr="000C426A" w:rsidRDefault="00C24D0A" w:rsidP="00C24D0A">
            <w:pPr>
              <w:spacing w:line="240" w:lineRule="auto"/>
              <w:jc w:val="both"/>
              <w:rPr>
                <w:rFonts w:ascii="Calibri" w:hAnsi="Calibri" w:cs="Calibri"/>
              </w:rPr>
            </w:pPr>
            <w:r w:rsidRPr="000C426A">
              <w:rPr>
                <w:rFonts w:ascii="Calibri" w:hAnsi="Calibri" w:cs="Calibri"/>
              </w:rPr>
              <w:lastRenderedPageBreak/>
              <w:t>Art. 1 pkt 4 w art. 7b po ust. 4 dodaje się ust. 4a w brzmieniu:</w:t>
            </w:r>
          </w:p>
          <w:p w14:paraId="1AC0968A" w14:textId="77777777" w:rsidR="00C24D0A" w:rsidRPr="000C426A" w:rsidRDefault="00C24D0A" w:rsidP="00C24D0A">
            <w:pPr>
              <w:spacing w:line="240" w:lineRule="auto"/>
              <w:jc w:val="both"/>
              <w:rPr>
                <w:rFonts w:ascii="Calibri" w:hAnsi="Calibri" w:cs="Calibri"/>
              </w:rPr>
            </w:pPr>
            <w:r w:rsidRPr="000C426A">
              <w:rPr>
                <w:rFonts w:ascii="Calibri" w:hAnsi="Calibri" w:cs="Calibri"/>
              </w:rPr>
              <w:lastRenderedPageBreak/>
              <w:t>„4a. Na potrzeby uznania systemu ciepłowniczego lub chłodniczego za efektywny energetycznie system ciepłowniczy lub chłodniczy, w rozumieniu ust. 4 pkt 1, za energię z odnawialnych źródeł energii w przypadku:</w:t>
            </w:r>
          </w:p>
          <w:p w14:paraId="695BEA2C" w14:textId="77777777" w:rsidR="00C24D0A" w:rsidRPr="000C426A" w:rsidRDefault="00C24D0A" w:rsidP="00C24D0A">
            <w:pPr>
              <w:pStyle w:val="Akapitzlist"/>
              <w:numPr>
                <w:ilvl w:val="0"/>
                <w:numId w:val="10"/>
              </w:numPr>
              <w:spacing w:line="240" w:lineRule="auto"/>
              <w:jc w:val="both"/>
              <w:rPr>
                <w:rFonts w:ascii="Calibri" w:hAnsi="Calibri" w:cs="Calibri"/>
              </w:rPr>
            </w:pPr>
            <w:r w:rsidRPr="000C426A">
              <w:rPr>
                <w:rFonts w:ascii="Calibri" w:hAnsi="Calibri" w:cs="Calibri"/>
              </w:rPr>
              <w:t>pomp ciepła uznaje się:</w:t>
            </w:r>
          </w:p>
          <w:p w14:paraId="0633831D" w14:textId="77777777" w:rsidR="00C24D0A" w:rsidRPr="000C426A" w:rsidRDefault="00C24D0A" w:rsidP="00C24D0A">
            <w:pPr>
              <w:pStyle w:val="Akapitzlist"/>
              <w:numPr>
                <w:ilvl w:val="0"/>
                <w:numId w:val="11"/>
              </w:numPr>
              <w:spacing w:line="240" w:lineRule="auto"/>
              <w:jc w:val="both"/>
              <w:rPr>
                <w:rFonts w:ascii="Calibri" w:hAnsi="Calibri" w:cs="Calibri"/>
              </w:rPr>
            </w:pPr>
            <w:r w:rsidRPr="000C426A">
              <w:rPr>
                <w:rFonts w:ascii="Calibri" w:hAnsi="Calibri" w:cs="Calibri"/>
              </w:rPr>
              <w:t xml:space="preserve"> całość ciepła wytworzonego w pompie ciepła, pod warunkiem, że w momencie instalacji pompa ciepła spełnia minimalne warunki efektywności zgodnie z art. 116 ust. 1b ustawy o odnawialnych źródłach energii, lub</w:t>
            </w:r>
          </w:p>
          <w:p w14:paraId="01399CF2" w14:textId="77777777" w:rsidR="00C24D0A" w:rsidRPr="000C426A" w:rsidRDefault="00C24D0A" w:rsidP="00C24D0A">
            <w:pPr>
              <w:pStyle w:val="Akapitzlist"/>
              <w:numPr>
                <w:ilvl w:val="0"/>
                <w:numId w:val="11"/>
              </w:numPr>
              <w:spacing w:line="240" w:lineRule="auto"/>
              <w:jc w:val="both"/>
              <w:rPr>
                <w:rFonts w:ascii="Calibri" w:hAnsi="Calibri" w:cs="Calibri"/>
              </w:rPr>
            </w:pPr>
            <w:r w:rsidRPr="000C426A">
              <w:rPr>
                <w:rFonts w:ascii="Calibri" w:hAnsi="Calibri" w:cs="Calibri"/>
              </w:rPr>
              <w:t xml:space="preserve">całość ciepła wytworzonego w pompie ciepła z energii elektrycznej ze źródeł </w:t>
            </w:r>
            <w:r w:rsidRPr="000C426A">
              <w:rPr>
                <w:rFonts w:ascii="Calibri" w:hAnsi="Calibri" w:cs="Calibri"/>
              </w:rPr>
              <w:lastRenderedPageBreak/>
              <w:t>odnawialnych, wyliczaną zgodnie z art. 116 ust. 1c ustawy o odnawialnych źródłach energii.</w:t>
            </w:r>
          </w:p>
          <w:p w14:paraId="33DF3C2F" w14:textId="1A46A63D" w:rsidR="00C24D0A" w:rsidRPr="000C426A" w:rsidRDefault="00C24D0A" w:rsidP="00C24D0A">
            <w:pPr>
              <w:spacing w:line="240" w:lineRule="auto"/>
              <w:jc w:val="both"/>
              <w:rPr>
                <w:rFonts w:ascii="Calibri" w:eastAsia="Lato" w:hAnsi="Calibri" w:cs="Calibri"/>
              </w:rPr>
            </w:pPr>
            <w:r w:rsidRPr="000C426A">
              <w:rPr>
                <w:rFonts w:ascii="Calibri" w:hAnsi="Calibri" w:cs="Calibri"/>
              </w:rPr>
              <w:t>kotłów elektrycznych uznaje się całość ciepła wytworzonego w kotle elektrycznym z energii elektrycznej ze źródeł odnawialnych, wyliczaną zgodnie z art. 116 ust. 1c ustawy o odnawialnych źródłach energii.”;</w:t>
            </w:r>
          </w:p>
        </w:tc>
        <w:tc>
          <w:tcPr>
            <w:tcW w:w="2244" w:type="dxa"/>
          </w:tcPr>
          <w:p w14:paraId="16149618" w14:textId="77777777" w:rsidR="00C24D0A" w:rsidRPr="000C426A" w:rsidRDefault="00C24D0A" w:rsidP="00C24D0A">
            <w:pPr>
              <w:spacing w:line="240" w:lineRule="auto"/>
              <w:jc w:val="center"/>
              <w:rPr>
                <w:rFonts w:ascii="Calibri" w:eastAsia="Lato" w:hAnsi="Calibri" w:cs="Calibri"/>
                <w:lang w:val="pl"/>
              </w:rPr>
            </w:pPr>
          </w:p>
        </w:tc>
      </w:tr>
      <w:tr w:rsidR="00F55E3E" w:rsidRPr="000C426A" w14:paraId="02DF195D" w14:textId="77777777" w:rsidTr="0093318E">
        <w:trPr>
          <w:trHeight w:val="35"/>
        </w:trPr>
        <w:tc>
          <w:tcPr>
            <w:tcW w:w="704" w:type="dxa"/>
            <w:shd w:val="clear" w:color="auto" w:fill="FFFFFF" w:themeFill="background1"/>
          </w:tcPr>
          <w:p w14:paraId="48712633" w14:textId="0BD01CED" w:rsidR="00F55E3E" w:rsidRPr="00896C45" w:rsidRDefault="00F55E3E" w:rsidP="00896C45">
            <w:pPr>
              <w:pStyle w:val="Akapitzlist"/>
              <w:numPr>
                <w:ilvl w:val="0"/>
                <w:numId w:val="14"/>
              </w:numPr>
              <w:spacing w:line="240" w:lineRule="auto"/>
              <w:jc w:val="center"/>
              <w:rPr>
                <w:rFonts w:ascii="Calibri" w:eastAsia="Lato" w:hAnsi="Calibri" w:cs="Calibri"/>
                <w:b/>
                <w:bCs/>
                <w:lang w:val="pl"/>
              </w:rPr>
            </w:pPr>
          </w:p>
        </w:tc>
        <w:tc>
          <w:tcPr>
            <w:tcW w:w="1418" w:type="dxa"/>
          </w:tcPr>
          <w:p w14:paraId="34791569" w14:textId="11DA1371" w:rsidR="00F55E3E" w:rsidRPr="000C426A" w:rsidRDefault="00F55E3E" w:rsidP="00F55E3E">
            <w:pPr>
              <w:spacing w:after="160" w:line="240" w:lineRule="auto"/>
              <w:jc w:val="both"/>
              <w:rPr>
                <w:rFonts w:ascii="Calibri" w:hAnsi="Calibri" w:cs="Calibri"/>
              </w:rPr>
            </w:pPr>
            <w:r w:rsidRPr="000C426A">
              <w:rPr>
                <w:rFonts w:ascii="Calibri" w:eastAsia="Lato" w:hAnsi="Calibri" w:cs="Calibri"/>
                <w:lang w:val="pl"/>
              </w:rPr>
              <w:t>Konfederacja Lewiatan</w:t>
            </w:r>
          </w:p>
          <w:p w14:paraId="37D33B49" w14:textId="77777777" w:rsidR="00F55E3E" w:rsidRPr="000C426A" w:rsidRDefault="00F55E3E" w:rsidP="00F55E3E">
            <w:pPr>
              <w:spacing w:line="240" w:lineRule="auto"/>
              <w:jc w:val="both"/>
              <w:rPr>
                <w:rFonts w:ascii="Calibri" w:eastAsia="Lato" w:hAnsi="Calibri" w:cs="Calibri"/>
                <w:b/>
                <w:bCs/>
                <w:lang w:val="pl"/>
              </w:rPr>
            </w:pPr>
          </w:p>
        </w:tc>
        <w:tc>
          <w:tcPr>
            <w:tcW w:w="1299" w:type="dxa"/>
          </w:tcPr>
          <w:p w14:paraId="3D96214F" w14:textId="2437363C" w:rsidR="00F55E3E" w:rsidRPr="000C426A" w:rsidRDefault="00F55E3E" w:rsidP="00F55E3E">
            <w:pPr>
              <w:spacing w:line="240" w:lineRule="auto"/>
              <w:jc w:val="both"/>
              <w:rPr>
                <w:rFonts w:ascii="Calibri" w:eastAsia="Lato" w:hAnsi="Calibri" w:cs="Calibri"/>
                <w:lang w:val="pl"/>
              </w:rPr>
            </w:pPr>
            <w:r w:rsidRPr="000C426A">
              <w:rPr>
                <w:rFonts w:ascii="Calibri" w:eastAsia="Lato" w:hAnsi="Calibri" w:cs="Calibri"/>
                <w:lang w:val="pl"/>
              </w:rPr>
              <w:t>Art. 1 pkt 5 Projektu w zakresie zmienianego art. 32 ust. 4a ustawy Prawo energetyczne</w:t>
            </w:r>
          </w:p>
        </w:tc>
        <w:tc>
          <w:tcPr>
            <w:tcW w:w="5528" w:type="dxa"/>
            <w:shd w:val="clear" w:color="auto" w:fill="FFFFFF" w:themeFill="background1"/>
          </w:tcPr>
          <w:p w14:paraId="75287482" w14:textId="77777777" w:rsidR="00F55E3E" w:rsidRPr="000C426A" w:rsidRDefault="00F55E3E" w:rsidP="00F55E3E">
            <w:pPr>
              <w:spacing w:after="120" w:line="240" w:lineRule="auto"/>
              <w:jc w:val="both"/>
              <w:rPr>
                <w:rFonts w:ascii="Calibri" w:hAnsi="Calibri" w:cs="Calibri"/>
              </w:rPr>
            </w:pPr>
            <w:r w:rsidRPr="000C426A">
              <w:rPr>
                <w:rFonts w:ascii="Calibri" w:eastAsia="Lato" w:hAnsi="Calibri" w:cs="Calibri"/>
                <w:lang w:val="pl"/>
              </w:rPr>
              <w:t xml:space="preserve">Propozycja deregulacji dotyczy wyłączenia z obowiązku koncesyjnego wytwarzania ciepła w źródle, które dostarcza ciepło do jednego odbiorcy, wyłącznie na potrzeby przemysłowych procesów technologicznych. Popieramy kierunek proponowanej zmiany – natomiast zwracamy uwagę, że gdy źródło ciepła oddalone będzie od odbiorcy wystąpi element związany z </w:t>
            </w:r>
            <w:proofErr w:type="spellStart"/>
            <w:r w:rsidRPr="000C426A">
              <w:rPr>
                <w:rFonts w:ascii="Calibri" w:eastAsia="Lato" w:hAnsi="Calibri" w:cs="Calibri"/>
                <w:lang w:val="pl"/>
              </w:rPr>
              <w:t>przesyłem</w:t>
            </w:r>
            <w:proofErr w:type="spellEnd"/>
            <w:r w:rsidRPr="000C426A">
              <w:rPr>
                <w:rFonts w:ascii="Calibri" w:eastAsia="Lato" w:hAnsi="Calibri" w:cs="Calibri"/>
                <w:lang w:val="pl"/>
              </w:rPr>
              <w:t xml:space="preserve"> i dystrybucją ciepła.</w:t>
            </w:r>
          </w:p>
          <w:p w14:paraId="2C0AA1D4" w14:textId="77777777" w:rsidR="00F55E3E" w:rsidRPr="000C426A" w:rsidRDefault="00F55E3E" w:rsidP="00F55E3E">
            <w:pPr>
              <w:spacing w:after="120" w:line="240" w:lineRule="auto"/>
              <w:jc w:val="both"/>
              <w:rPr>
                <w:rFonts w:ascii="Calibri" w:hAnsi="Calibri" w:cs="Calibri"/>
              </w:rPr>
            </w:pPr>
            <w:r w:rsidRPr="000C426A">
              <w:rPr>
                <w:rFonts w:ascii="Calibri" w:eastAsia="Lato" w:hAnsi="Calibri" w:cs="Calibri"/>
                <w:lang w:val="pl"/>
              </w:rPr>
              <w:t xml:space="preserve">Ten rodzaj działalności przedsiębiorstwa, wnioskując z treści przepisu pozostanie w obowiązku uzyskania koncesji. Wydaje się to nieuzasadnione, gdyż jest to relacja biznesowa przedsiębiorstwo energetyczne - odbiorca przemysłowy, gdzie nie ma innej kategorii podmiotów pobierających ciepło z sieci, więc zarówno ceny jak i stawki </w:t>
            </w:r>
            <w:r w:rsidRPr="000C426A">
              <w:rPr>
                <w:rFonts w:ascii="Calibri" w:eastAsia="Lato" w:hAnsi="Calibri" w:cs="Calibri"/>
                <w:lang w:val="pl"/>
              </w:rPr>
              <w:lastRenderedPageBreak/>
              <w:t>opłat powinny zostać wyłączone z taryfy poprzez wcześniejsze wyłączenie wytwarzania oraz przesyłania i dystrybucji ciepła z koncesji.</w:t>
            </w:r>
          </w:p>
          <w:p w14:paraId="2EEF0C92" w14:textId="77777777" w:rsidR="00F55E3E" w:rsidRPr="000C426A" w:rsidRDefault="00F55E3E" w:rsidP="00F55E3E">
            <w:pPr>
              <w:spacing w:after="160" w:line="240" w:lineRule="auto"/>
              <w:jc w:val="both"/>
              <w:rPr>
                <w:rFonts w:ascii="Calibri" w:hAnsi="Calibri" w:cs="Calibri"/>
              </w:rPr>
            </w:pPr>
            <w:r w:rsidRPr="000C426A">
              <w:rPr>
                <w:rFonts w:ascii="Calibri" w:eastAsia="Lato" w:hAnsi="Calibri" w:cs="Calibri"/>
                <w:lang w:val="pl"/>
              </w:rPr>
              <w:t xml:space="preserve">Zwracamy uwagę, że przepis nie powinien ograniczać się do jednego odbiorcy – ale do jednej </w:t>
            </w:r>
            <w:r w:rsidRPr="000C426A">
              <w:rPr>
                <w:rFonts w:ascii="Calibri" w:eastAsia="Lato" w:hAnsi="Calibri" w:cs="Calibri"/>
                <w:u w:val="single"/>
                <w:lang w:val="pl"/>
              </w:rPr>
              <w:t>kategorii</w:t>
            </w:r>
            <w:r w:rsidRPr="000C426A">
              <w:rPr>
                <w:rFonts w:ascii="Calibri" w:eastAsia="Lato" w:hAnsi="Calibri" w:cs="Calibri"/>
                <w:lang w:val="pl"/>
              </w:rPr>
              <w:t xml:space="preserve"> odbiorców: odbiorców przemysłowych. Dlatego proponujemy zmianę, która wskazuje, że takich odbiorców może być kilku. </w:t>
            </w:r>
          </w:p>
          <w:p w14:paraId="23C20C9D" w14:textId="77777777" w:rsidR="00F55E3E" w:rsidRPr="000C426A" w:rsidRDefault="00F55E3E" w:rsidP="00F55E3E">
            <w:pPr>
              <w:spacing w:after="160" w:line="240" w:lineRule="auto"/>
              <w:jc w:val="both"/>
              <w:rPr>
                <w:rFonts w:ascii="Calibri" w:hAnsi="Calibri" w:cs="Calibri"/>
              </w:rPr>
            </w:pPr>
            <w:r w:rsidRPr="000C426A">
              <w:rPr>
                <w:rFonts w:ascii="Calibri" w:eastAsia="Lato" w:hAnsi="Calibri" w:cs="Calibri"/>
              </w:rPr>
              <w:t xml:space="preserve"> </w:t>
            </w:r>
          </w:p>
          <w:p w14:paraId="4388999C" w14:textId="3374FA7A" w:rsidR="00F55E3E" w:rsidRPr="000C426A" w:rsidRDefault="00F55E3E" w:rsidP="00F55E3E">
            <w:pPr>
              <w:spacing w:after="120" w:line="240" w:lineRule="auto"/>
              <w:jc w:val="both"/>
              <w:rPr>
                <w:rFonts w:ascii="Calibri" w:eastAsia="Lato" w:hAnsi="Calibri" w:cs="Calibri"/>
                <w:lang w:val="pl"/>
              </w:rPr>
            </w:pPr>
            <w:r w:rsidRPr="000C426A">
              <w:rPr>
                <w:rFonts w:ascii="Calibri" w:eastAsia="Lato" w:hAnsi="Calibri" w:cs="Calibri"/>
                <w:lang w:val="pl"/>
              </w:rPr>
              <w:t xml:space="preserve">Ponadto, zastanawiające jest dlaczego ustawodawca wyłącza tylko z obowiązku koncesyjnego ciepło technologiczne. Bezpośrednia dostawa ciepła dla odbiorcy przemysłowego zarówno na cele technologiczne jak i na potrzeby socjalno- bytowe (ogrzewanie biura, szatni i innych pomieszczeń gospodarczych) może wpłynąć pozytywnie na koszt finalnego produktu wytworzonego przez tego odbiorcę. Ponadto odrębne źródła ciepła zasilające procesy technologiczne oraz cele </w:t>
            </w:r>
            <w:proofErr w:type="spellStart"/>
            <w:r w:rsidRPr="000C426A">
              <w:rPr>
                <w:rFonts w:ascii="Calibri" w:eastAsia="Lato" w:hAnsi="Calibri" w:cs="Calibri"/>
                <w:lang w:val="pl"/>
              </w:rPr>
              <w:t>socjalno</w:t>
            </w:r>
            <w:proofErr w:type="spellEnd"/>
            <w:r w:rsidRPr="000C426A">
              <w:rPr>
                <w:rFonts w:ascii="Calibri" w:eastAsia="Lato" w:hAnsi="Calibri" w:cs="Calibri"/>
                <w:lang w:val="pl"/>
              </w:rPr>
              <w:t xml:space="preserve"> bytowe z uwagi na niekorzystny wpływ na środowisko wydają się być nieuzasadnione. </w:t>
            </w:r>
          </w:p>
        </w:tc>
        <w:tc>
          <w:tcPr>
            <w:tcW w:w="3119" w:type="dxa"/>
          </w:tcPr>
          <w:p w14:paraId="6078B512" w14:textId="77777777" w:rsidR="00F55E3E" w:rsidRPr="000C426A" w:rsidRDefault="00F55E3E" w:rsidP="00F55E3E">
            <w:pPr>
              <w:spacing w:after="160" w:line="240" w:lineRule="auto"/>
              <w:jc w:val="both"/>
              <w:rPr>
                <w:rFonts w:ascii="Calibri" w:hAnsi="Calibri" w:cs="Calibri"/>
              </w:rPr>
            </w:pPr>
            <w:r w:rsidRPr="000C426A">
              <w:rPr>
                <w:rFonts w:ascii="Calibri" w:eastAsia="Lato" w:hAnsi="Calibri" w:cs="Calibri"/>
              </w:rPr>
              <w:lastRenderedPageBreak/>
              <w:t xml:space="preserve">4a. Uzyskania koncesji, o której mowa w ust. 1 pkt 1, nie wymaga wykonywanie działalności gospodarczej w zakresie wytwarzania ciepła w źródle, </w:t>
            </w:r>
            <w:r w:rsidRPr="000C426A">
              <w:rPr>
                <w:rFonts w:ascii="Calibri" w:eastAsia="Lato" w:hAnsi="Calibri" w:cs="Calibri"/>
                <w:b/>
                <w:bCs/>
              </w:rPr>
              <w:t xml:space="preserve"> z którego całość wytworzonego ciepła jest dostarczana</w:t>
            </w:r>
            <w:r w:rsidRPr="000C426A">
              <w:rPr>
                <w:rFonts w:ascii="Calibri" w:eastAsia="Lato" w:hAnsi="Calibri" w:cs="Calibri"/>
                <w:strike/>
              </w:rPr>
              <w:t xml:space="preserve"> które dostarcza ciepło</w:t>
            </w:r>
            <w:r w:rsidRPr="000C426A">
              <w:rPr>
                <w:rFonts w:ascii="Calibri" w:eastAsia="Lato" w:hAnsi="Calibri" w:cs="Calibri"/>
              </w:rPr>
              <w:t xml:space="preserve"> tylko do </w:t>
            </w:r>
            <w:r w:rsidRPr="000C426A">
              <w:rPr>
                <w:rFonts w:ascii="Calibri" w:eastAsia="Lato" w:hAnsi="Calibri" w:cs="Calibri"/>
                <w:b/>
                <w:bCs/>
              </w:rPr>
              <w:t xml:space="preserve">jednego lub </w:t>
            </w:r>
            <w:r>
              <w:rPr>
                <w:rFonts w:ascii="Calibri" w:eastAsia="Lato" w:hAnsi="Calibri" w:cs="Calibri"/>
                <w:b/>
                <w:bCs/>
              </w:rPr>
              <w:t>większej liczby</w:t>
            </w:r>
            <w:r w:rsidRPr="000C426A">
              <w:rPr>
                <w:rFonts w:ascii="Calibri" w:eastAsia="Lato" w:hAnsi="Calibri" w:cs="Calibri"/>
                <w:strike/>
              </w:rPr>
              <w:t xml:space="preserve"> odbiorcy</w:t>
            </w:r>
            <w:r w:rsidRPr="000C426A">
              <w:rPr>
                <w:rFonts w:ascii="Calibri" w:eastAsia="Lato" w:hAnsi="Calibri" w:cs="Calibri"/>
                <w:b/>
                <w:bCs/>
              </w:rPr>
              <w:t xml:space="preserve"> odbiorców końcowych prowadzących działalność gospodarczą</w:t>
            </w:r>
            <w:r w:rsidRPr="000C426A">
              <w:rPr>
                <w:rFonts w:ascii="Calibri" w:eastAsia="Lato" w:hAnsi="Calibri" w:cs="Calibri"/>
              </w:rPr>
              <w:t xml:space="preserve"> </w:t>
            </w:r>
            <w:r w:rsidRPr="000C426A">
              <w:rPr>
                <w:rFonts w:ascii="Calibri" w:eastAsia="Lato" w:hAnsi="Calibri" w:cs="Calibri"/>
                <w:strike/>
              </w:rPr>
              <w:t>wyłącznie</w:t>
            </w:r>
            <w:r w:rsidRPr="000C426A">
              <w:rPr>
                <w:rFonts w:ascii="Calibri" w:eastAsia="Lato" w:hAnsi="Calibri" w:cs="Calibri"/>
              </w:rPr>
              <w:t xml:space="preserve"> na potrzeby przemysłowych </w:t>
            </w:r>
            <w:r w:rsidRPr="000C426A">
              <w:rPr>
                <w:rFonts w:ascii="Calibri" w:eastAsia="Lato" w:hAnsi="Calibri" w:cs="Calibri"/>
              </w:rPr>
              <w:lastRenderedPageBreak/>
              <w:t xml:space="preserve">procesów technologicznych </w:t>
            </w:r>
            <w:r w:rsidRPr="000C426A">
              <w:rPr>
                <w:rFonts w:ascii="Calibri" w:eastAsia="Lato" w:hAnsi="Calibri" w:cs="Calibri"/>
                <w:b/>
                <w:bCs/>
              </w:rPr>
              <w:t>oraz innych potrzeb tych odbiorców końcowych, pod warunkiem że wytwarzane ciepło nie jest zużywane w gospodarstwach domowych.</w:t>
            </w:r>
          </w:p>
          <w:p w14:paraId="6A79BB34" w14:textId="11C75300" w:rsidR="00F55E3E" w:rsidRPr="000C426A" w:rsidRDefault="00F55E3E" w:rsidP="00F55E3E">
            <w:pPr>
              <w:spacing w:line="240" w:lineRule="auto"/>
              <w:jc w:val="both"/>
              <w:rPr>
                <w:rFonts w:ascii="Calibri" w:eastAsia="Lato" w:hAnsi="Calibri" w:cs="Calibri"/>
              </w:rPr>
            </w:pPr>
            <w:r w:rsidRPr="000C426A">
              <w:rPr>
                <w:rFonts w:ascii="Calibri" w:eastAsia="Lato" w:hAnsi="Calibri" w:cs="Calibri"/>
                <w:b/>
                <w:bCs/>
              </w:rPr>
              <w:t xml:space="preserve">4b. </w:t>
            </w:r>
            <w:r>
              <w:t xml:space="preserve"> </w:t>
            </w:r>
            <w:r w:rsidRPr="00B91FD0">
              <w:rPr>
                <w:rFonts w:ascii="Calibri" w:eastAsia="Lato" w:hAnsi="Calibri" w:cs="Calibri"/>
                <w:b/>
                <w:bCs/>
              </w:rPr>
              <w:t xml:space="preserve">Uzyskanie koncesji, o których mowa w ust. 1 pkt 3 i 4, nie wymaga wykonywanie działalności gospodarczej w zakresie przesyłania, dystrybucji lub obrotu ciepłem w sieci ciepłowniczej, z której całość przesyłanego, dystrybuowanego oraz sprzedawanego ciepła jest dostarczana wyłącznie do jednego albo kilku odbiorców końcowych prowadzących działalność gospodarczą na potrzeby przemysłowych procesów technologicznych oraz innych potrzeb tych odbiorców, pod warunkiem że przesyłane, dystrybuowane oraz sprzedawane ciepło nie </w:t>
            </w:r>
            <w:r w:rsidRPr="00B91FD0">
              <w:rPr>
                <w:rFonts w:ascii="Calibri" w:eastAsia="Lato" w:hAnsi="Calibri" w:cs="Calibri"/>
                <w:b/>
                <w:bCs/>
              </w:rPr>
              <w:lastRenderedPageBreak/>
              <w:t>jest zużywane w gospodarstwach domowych.</w:t>
            </w:r>
          </w:p>
        </w:tc>
        <w:tc>
          <w:tcPr>
            <w:tcW w:w="2244" w:type="dxa"/>
          </w:tcPr>
          <w:p w14:paraId="5B0FA94F" w14:textId="700C911F" w:rsidR="00F55E3E" w:rsidRPr="000C426A" w:rsidRDefault="00F55E3E" w:rsidP="00F55E3E">
            <w:pPr>
              <w:spacing w:line="240" w:lineRule="auto"/>
              <w:jc w:val="center"/>
              <w:rPr>
                <w:rFonts w:ascii="Calibri" w:eastAsia="Lato" w:hAnsi="Calibri" w:cs="Calibri"/>
                <w:lang w:val="pl"/>
              </w:rPr>
            </w:pPr>
            <w:r w:rsidRPr="000C426A">
              <w:rPr>
                <w:rFonts w:ascii="Calibri" w:eastAsia="Lato" w:hAnsi="Calibri" w:cs="Calibri"/>
                <w:lang w:val="pl"/>
              </w:rPr>
              <w:lastRenderedPageBreak/>
              <w:t xml:space="preserve"> </w:t>
            </w:r>
          </w:p>
        </w:tc>
      </w:tr>
      <w:tr w:rsidR="005576ED" w:rsidRPr="000C426A" w14:paraId="33DE3AFC" w14:textId="77777777" w:rsidTr="0093318E">
        <w:trPr>
          <w:trHeight w:val="35"/>
        </w:trPr>
        <w:tc>
          <w:tcPr>
            <w:tcW w:w="704" w:type="dxa"/>
            <w:shd w:val="clear" w:color="auto" w:fill="FFFFFF" w:themeFill="background1"/>
          </w:tcPr>
          <w:p w14:paraId="47790780" w14:textId="77777777" w:rsidR="005576ED" w:rsidRPr="00896C45" w:rsidRDefault="005576ED" w:rsidP="00896C45">
            <w:pPr>
              <w:pStyle w:val="Akapitzlist"/>
              <w:numPr>
                <w:ilvl w:val="0"/>
                <w:numId w:val="14"/>
              </w:numPr>
              <w:spacing w:line="240" w:lineRule="auto"/>
              <w:jc w:val="center"/>
              <w:rPr>
                <w:rFonts w:ascii="Calibri" w:hAnsi="Calibri" w:cs="Calibri"/>
              </w:rPr>
            </w:pPr>
          </w:p>
        </w:tc>
        <w:tc>
          <w:tcPr>
            <w:tcW w:w="1418" w:type="dxa"/>
          </w:tcPr>
          <w:p w14:paraId="6DAC634B" w14:textId="7B61E047" w:rsidR="005576ED" w:rsidRPr="000C426A" w:rsidRDefault="0069779E" w:rsidP="005576ED">
            <w:pPr>
              <w:spacing w:line="240" w:lineRule="auto"/>
              <w:jc w:val="both"/>
              <w:rPr>
                <w:rFonts w:ascii="Calibri" w:eastAsia="Arial" w:hAnsi="Calibri" w:cs="Calibri"/>
                <w:color w:val="000000" w:themeColor="text1"/>
              </w:rPr>
            </w:pPr>
            <w:r>
              <w:rPr>
                <w:rFonts w:ascii="Calibri" w:eastAsia="Arial" w:hAnsi="Calibri" w:cs="Calibri"/>
                <w:color w:val="000000" w:themeColor="text1"/>
              </w:rPr>
              <w:t>Konfederacja Lewiatan</w:t>
            </w:r>
          </w:p>
          <w:p w14:paraId="0921887A" w14:textId="77777777" w:rsidR="005576ED" w:rsidRPr="000C426A" w:rsidRDefault="005576ED" w:rsidP="005576ED">
            <w:pPr>
              <w:spacing w:line="240" w:lineRule="auto"/>
              <w:jc w:val="both"/>
              <w:rPr>
                <w:rFonts w:ascii="Calibri" w:eastAsia="Lato" w:hAnsi="Calibri" w:cs="Calibri"/>
                <w:lang w:val="pl"/>
              </w:rPr>
            </w:pPr>
          </w:p>
        </w:tc>
        <w:tc>
          <w:tcPr>
            <w:tcW w:w="1299" w:type="dxa"/>
          </w:tcPr>
          <w:p w14:paraId="667D7507" w14:textId="4362618E" w:rsidR="005576ED" w:rsidRPr="000C426A" w:rsidRDefault="005576ED" w:rsidP="005576ED">
            <w:pPr>
              <w:spacing w:line="240" w:lineRule="auto"/>
              <w:jc w:val="both"/>
              <w:rPr>
                <w:rFonts w:ascii="Calibri" w:eastAsia="Lato" w:hAnsi="Calibri" w:cs="Calibri"/>
                <w:lang w:val="pl"/>
              </w:rPr>
            </w:pPr>
            <w:r w:rsidRPr="000C426A">
              <w:rPr>
                <w:rFonts w:ascii="Calibri" w:eastAsia="Lato" w:hAnsi="Calibri" w:cs="Calibri"/>
                <w:lang w:val="pl"/>
              </w:rPr>
              <w:t>Art. 1 pkt 8 Projektu w zakresie zmienianego art. 45 ust. 1 pkt 1b ustawy Prawo energetyczne</w:t>
            </w:r>
          </w:p>
        </w:tc>
        <w:tc>
          <w:tcPr>
            <w:tcW w:w="5528" w:type="dxa"/>
            <w:shd w:val="clear" w:color="auto" w:fill="FFFFFF" w:themeFill="background1"/>
          </w:tcPr>
          <w:p w14:paraId="2DD018CB" w14:textId="77777777" w:rsidR="005576ED" w:rsidRPr="000C426A" w:rsidRDefault="005576ED" w:rsidP="005576ED">
            <w:pPr>
              <w:spacing w:after="120" w:line="240" w:lineRule="auto"/>
              <w:jc w:val="both"/>
              <w:rPr>
                <w:rFonts w:ascii="Calibri" w:hAnsi="Calibri" w:cs="Calibri"/>
              </w:rPr>
            </w:pPr>
            <w:r w:rsidRPr="000C426A">
              <w:rPr>
                <w:rFonts w:ascii="Calibri" w:eastAsia="Lato" w:hAnsi="Calibri" w:cs="Calibri"/>
              </w:rPr>
              <w:t>Obecnie zwrot z kapitału naliczany jest od wartości księgowej środków trwałych. Skutkiem tego jest malejący w latach zwrot z kapitału, a tym samym rentowność projektów. W</w:t>
            </w:r>
            <w:proofErr w:type="spellStart"/>
            <w:r w:rsidRPr="000C426A">
              <w:rPr>
                <w:rFonts w:ascii="Calibri" w:eastAsia="Lato" w:hAnsi="Calibri" w:cs="Calibri"/>
                <w:lang w:val="pl"/>
              </w:rPr>
              <w:t>nioskujemy</w:t>
            </w:r>
            <w:proofErr w:type="spellEnd"/>
            <w:r w:rsidRPr="000C426A">
              <w:rPr>
                <w:rFonts w:ascii="Calibri" w:eastAsia="Lato" w:hAnsi="Calibri" w:cs="Calibri"/>
                <w:lang w:val="pl"/>
              </w:rPr>
              <w:t xml:space="preserve"> o wprowadzenie zmiany sposobu ustalania WRA (wartości regulacyjnej aktywów) w modelu liczenia zwrotu z kapitału.</w:t>
            </w:r>
          </w:p>
          <w:p w14:paraId="15836005" w14:textId="77221B3B" w:rsidR="005576ED" w:rsidRDefault="005576ED" w:rsidP="005576ED">
            <w:pPr>
              <w:spacing w:after="120" w:line="240" w:lineRule="auto"/>
              <w:jc w:val="both"/>
              <w:rPr>
                <w:rFonts w:ascii="Calibri" w:eastAsia="Arial" w:hAnsi="Calibri" w:cs="Calibri"/>
                <w:color w:val="000000" w:themeColor="text1"/>
              </w:rPr>
            </w:pPr>
            <w:r w:rsidRPr="000C426A">
              <w:rPr>
                <w:rFonts w:ascii="Calibri" w:eastAsia="Lato" w:hAnsi="Calibri" w:cs="Calibri"/>
                <w:lang w:val="pl"/>
              </w:rPr>
              <w:t>Proponujemy aby WRA ustalana była w oparciu o wartość początkową (wysokość poniesionych nakładów). Powyższe jest szczególnie istotne w projektach dotyczących transformacji energetycznej - budowy nowych źródeł OZE, instalacji odzysku ciepła odpadowego.</w:t>
            </w:r>
          </w:p>
          <w:p w14:paraId="52024269" w14:textId="4AACADA2" w:rsidR="0069779E" w:rsidRDefault="0069779E" w:rsidP="0069779E">
            <w:pPr>
              <w:spacing w:after="120" w:line="240" w:lineRule="auto"/>
              <w:jc w:val="both"/>
              <w:rPr>
                <w:rFonts w:ascii="Calibri" w:hAnsi="Calibri" w:cs="Calibri"/>
              </w:rPr>
            </w:pPr>
            <w:r w:rsidRPr="000C426A">
              <w:rPr>
                <w:rFonts w:ascii="Calibri" w:hAnsi="Calibri" w:cs="Calibri"/>
              </w:rPr>
              <w:t>Pozostawienie zapisu o minimalnej stopie zwrotu z zaangażowanego kapitału na poziomie 7% zapewni gwarancję uzyskania przez przedsiębiorstwo energetyczne zwrotu z inwestycji na wymaganym poziomie. Stanowi także zachętę do prowadzenia działalności inwestycyjnej we wskazanym zakresie rzeczowym poprzez ograniczenie ryzyka inwestycyjnego.</w:t>
            </w:r>
          </w:p>
          <w:p w14:paraId="6904824B" w14:textId="6D075727" w:rsidR="0069779E" w:rsidRPr="000C426A" w:rsidRDefault="0069779E" w:rsidP="0069779E">
            <w:pPr>
              <w:spacing w:after="120" w:line="240" w:lineRule="auto"/>
              <w:jc w:val="both"/>
              <w:rPr>
                <w:rFonts w:ascii="Calibri" w:hAnsi="Calibri" w:cs="Calibri"/>
              </w:rPr>
            </w:pPr>
            <w:r w:rsidRPr="000C426A">
              <w:rPr>
                <w:rFonts w:ascii="Calibri" w:hAnsi="Calibri" w:cs="Calibri"/>
              </w:rPr>
              <w:t xml:space="preserve">Aktualnie zapewnienie nieprzerwanych dostaw ciepła i zachowanie standardów jakościowych wymaga ogromnych nakładów inwestycyjnych także w zasoby informatyczne, cyfryzację działalności, inteligentne sterowanie siecią, rozwiązania gwarantujące </w:t>
            </w:r>
            <w:proofErr w:type="spellStart"/>
            <w:r w:rsidRPr="000C426A">
              <w:rPr>
                <w:rFonts w:ascii="Calibri" w:hAnsi="Calibri" w:cs="Calibri"/>
              </w:rPr>
              <w:t>cyberbezpieczeństwo</w:t>
            </w:r>
            <w:proofErr w:type="spellEnd"/>
            <w:r w:rsidRPr="000C426A">
              <w:rPr>
                <w:rFonts w:ascii="Calibri" w:hAnsi="Calibri" w:cs="Calibri"/>
              </w:rPr>
              <w:t xml:space="preserve">. W związku z powyższym brak jest uzasadnienia do ograniczenia zwrotu </w:t>
            </w:r>
            <w:r w:rsidRPr="000C426A">
              <w:rPr>
                <w:rFonts w:ascii="Calibri" w:hAnsi="Calibri" w:cs="Calibri"/>
              </w:rPr>
              <w:lastRenderedPageBreak/>
              <w:t>z kapitału zaangażowanego jedynie do rzeczowych aktywów trwałych, powodujących wyłączenie wartości niematerialnych i prawnych.</w:t>
            </w:r>
          </w:p>
          <w:p w14:paraId="75FF7D09" w14:textId="3BBA9215" w:rsidR="005576ED" w:rsidRPr="000C426A" w:rsidRDefault="005576ED" w:rsidP="005576ED">
            <w:pPr>
              <w:spacing w:after="120" w:line="240" w:lineRule="auto"/>
              <w:jc w:val="both"/>
              <w:rPr>
                <w:rFonts w:ascii="Calibri" w:eastAsia="Lato" w:hAnsi="Calibri" w:cs="Calibri"/>
              </w:rPr>
            </w:pPr>
          </w:p>
        </w:tc>
        <w:tc>
          <w:tcPr>
            <w:tcW w:w="3119" w:type="dxa"/>
          </w:tcPr>
          <w:p w14:paraId="656CA6E5" w14:textId="24DB5585" w:rsidR="005576ED" w:rsidRPr="000C426A" w:rsidRDefault="005576ED" w:rsidP="005576ED">
            <w:pPr>
              <w:spacing w:line="240" w:lineRule="auto"/>
              <w:jc w:val="both"/>
              <w:rPr>
                <w:rFonts w:ascii="Calibri" w:eastAsia="Lato" w:hAnsi="Calibri" w:cs="Calibri"/>
              </w:rPr>
            </w:pPr>
            <w:r w:rsidRPr="000C426A">
              <w:rPr>
                <w:rFonts w:ascii="Calibri" w:eastAsia="Arial" w:hAnsi="Calibri" w:cs="Calibri"/>
              </w:rPr>
              <w:lastRenderedPageBreak/>
              <w:t>“pokrycie kosztów uzasadnionych działalności gospodarczej przedsiębiorstw energetycznych w zakresie wytwarzania, przetwarzania, przesyłania, dystrybucji lub obrotu ciepłem, jego magazynowania oraz zagospodarowania ciepła odpadowego, wraz z uzasadnionym zwrotem z kapitału zaangażowanego w tę działalność w odniesieniu do wartości</w:t>
            </w:r>
            <w:r w:rsidRPr="000C426A">
              <w:rPr>
                <w:rFonts w:ascii="Calibri" w:eastAsia="Arial" w:hAnsi="Calibri" w:cs="Calibri"/>
              </w:rPr>
              <w:t xml:space="preserve"> </w:t>
            </w:r>
            <w:r w:rsidRPr="005576ED">
              <w:rPr>
                <w:rFonts w:ascii="Calibri" w:eastAsia="Arial" w:hAnsi="Calibri" w:cs="Calibri"/>
                <w:b/>
                <w:bCs/>
              </w:rPr>
              <w:t>początkowej</w:t>
            </w:r>
            <w:r>
              <w:rPr>
                <w:rFonts w:ascii="Calibri" w:eastAsia="Arial" w:hAnsi="Calibri" w:cs="Calibri"/>
              </w:rPr>
              <w:t xml:space="preserve"> </w:t>
            </w:r>
            <w:r w:rsidRPr="0069779E">
              <w:rPr>
                <w:rFonts w:ascii="Calibri" w:eastAsia="Arial" w:hAnsi="Calibri" w:cs="Calibri"/>
                <w:b/>
                <w:bCs/>
                <w:strike/>
              </w:rPr>
              <w:t>księgowej</w:t>
            </w:r>
            <w:r w:rsidRPr="0069779E">
              <w:rPr>
                <w:rFonts w:ascii="Calibri" w:eastAsia="Arial" w:hAnsi="Calibri" w:cs="Calibri"/>
                <w:strike/>
              </w:rPr>
              <w:t xml:space="preserve"> </w:t>
            </w:r>
            <w:r w:rsidRPr="000C426A">
              <w:rPr>
                <w:rFonts w:ascii="Calibri" w:eastAsia="Arial" w:hAnsi="Calibri" w:cs="Calibri"/>
              </w:rPr>
              <w:t xml:space="preserve">poszczególnych </w:t>
            </w:r>
            <w:r w:rsidRPr="00C63AD3">
              <w:rPr>
                <w:rFonts w:ascii="Calibri" w:eastAsia="Arial" w:hAnsi="Calibri" w:cs="Calibri"/>
                <w:strike/>
              </w:rPr>
              <w:t>rzeczowych</w:t>
            </w:r>
            <w:r w:rsidRPr="000C426A">
              <w:rPr>
                <w:rFonts w:ascii="Calibri" w:eastAsia="Arial" w:hAnsi="Calibri" w:cs="Calibri"/>
              </w:rPr>
              <w:t xml:space="preserve"> aktywów </w:t>
            </w:r>
            <w:r w:rsidRPr="005576ED">
              <w:rPr>
                <w:rFonts w:ascii="Calibri" w:eastAsia="Arial" w:hAnsi="Calibri" w:cs="Calibri"/>
              </w:rPr>
              <w:t>trwałych</w:t>
            </w:r>
            <w:r w:rsidRPr="005576ED">
              <w:rPr>
                <w:rFonts w:ascii="Calibri" w:eastAsia="Arial" w:hAnsi="Calibri" w:cs="Calibri"/>
                <w:b/>
                <w:bCs/>
              </w:rPr>
              <w:t>.</w:t>
            </w:r>
            <w:r w:rsidRPr="005576ED">
              <w:rPr>
                <w:rFonts w:ascii="Calibri" w:eastAsia="Arial" w:hAnsi="Calibri" w:cs="Calibri"/>
                <w:b/>
                <w:bCs/>
                <w:color w:val="333333"/>
              </w:rPr>
              <w:t xml:space="preserve"> Poziom uzasadnionego zwrot z kapitału zaangażowanego w zakresie budowy, modernizacji i przyłączania jednostek wytwórczych będących instalacjami odnawialnego źródła energii, w których jest wytwarzane ciepło, oraz instalacji, w których jest </w:t>
            </w:r>
            <w:r w:rsidRPr="005576ED">
              <w:rPr>
                <w:rFonts w:ascii="Calibri" w:eastAsia="Arial" w:hAnsi="Calibri" w:cs="Calibri"/>
                <w:b/>
                <w:bCs/>
                <w:color w:val="333333"/>
              </w:rPr>
              <w:lastRenderedPageBreak/>
              <w:t>zagospodarowywane ciepło odpadowe będzie uwzględniał wysokość stopy zwrotu nie mniejszej niż na poziomie 7%;</w:t>
            </w:r>
            <w:r w:rsidRPr="005576ED">
              <w:rPr>
                <w:rFonts w:ascii="Calibri" w:eastAsia="Arial" w:hAnsi="Calibri" w:cs="Calibri"/>
              </w:rPr>
              <w:t xml:space="preserve"> na zwrot z kapitału składa się</w:t>
            </w:r>
            <w:r w:rsidRPr="000C426A">
              <w:rPr>
                <w:rFonts w:ascii="Calibri" w:eastAsia="Arial" w:hAnsi="Calibri" w:cs="Calibri"/>
              </w:rPr>
              <w:t xml:space="preserve"> stopa wolna od ryzyka oraz premia za ryzyko, które zostaną określone przez ministra właściwego do spraw energii; minister właściwy do spraw energii określając premię za ryzyko, zróżnicuje ją w odniesieniu do poszczególnych rzeczowych aktywów trwałych zaangażowanych w prowadzenie powyższej działalności gospodarczej, z uwzględnieniem planowanych nakładów inwestycyjnych w te aktywa”;</w:t>
            </w:r>
          </w:p>
        </w:tc>
        <w:tc>
          <w:tcPr>
            <w:tcW w:w="2244" w:type="dxa"/>
          </w:tcPr>
          <w:p w14:paraId="144B9D4C" w14:textId="77777777" w:rsidR="005576ED" w:rsidRPr="000C426A" w:rsidRDefault="005576ED" w:rsidP="005576ED">
            <w:pPr>
              <w:spacing w:line="240" w:lineRule="auto"/>
              <w:jc w:val="center"/>
              <w:rPr>
                <w:rFonts w:ascii="Calibri" w:eastAsia="Lato" w:hAnsi="Calibri" w:cs="Calibri"/>
                <w:lang w:val="pl"/>
              </w:rPr>
            </w:pPr>
          </w:p>
        </w:tc>
      </w:tr>
      <w:tr w:rsidR="005576ED" w:rsidRPr="000C426A" w14:paraId="6101597A" w14:textId="77777777" w:rsidTr="0093318E">
        <w:trPr>
          <w:trHeight w:val="35"/>
        </w:trPr>
        <w:tc>
          <w:tcPr>
            <w:tcW w:w="704" w:type="dxa"/>
            <w:shd w:val="clear" w:color="auto" w:fill="FFFFFF" w:themeFill="background1"/>
          </w:tcPr>
          <w:p w14:paraId="2A803E94" w14:textId="77F049E8" w:rsidR="005576ED" w:rsidRPr="00896C45" w:rsidRDefault="005576ED" w:rsidP="00896C45">
            <w:pPr>
              <w:pStyle w:val="Akapitzlist"/>
              <w:numPr>
                <w:ilvl w:val="0"/>
                <w:numId w:val="14"/>
              </w:numPr>
              <w:spacing w:line="240" w:lineRule="auto"/>
              <w:jc w:val="center"/>
              <w:rPr>
                <w:rFonts w:ascii="Calibri" w:hAnsi="Calibri" w:cs="Calibri"/>
              </w:rPr>
            </w:pPr>
          </w:p>
        </w:tc>
        <w:tc>
          <w:tcPr>
            <w:tcW w:w="1418" w:type="dxa"/>
          </w:tcPr>
          <w:p w14:paraId="41A15FD3" w14:textId="77777777" w:rsidR="005576ED" w:rsidRPr="000C426A" w:rsidRDefault="005576ED" w:rsidP="005576ED">
            <w:pPr>
              <w:spacing w:after="160" w:line="240" w:lineRule="auto"/>
              <w:jc w:val="both"/>
              <w:rPr>
                <w:rFonts w:ascii="Calibri" w:hAnsi="Calibri" w:cs="Calibri"/>
              </w:rPr>
            </w:pPr>
            <w:r w:rsidRPr="000C426A">
              <w:rPr>
                <w:rFonts w:ascii="Calibri" w:eastAsia="Lato" w:hAnsi="Calibri" w:cs="Calibri"/>
                <w:lang w:val="pl"/>
              </w:rPr>
              <w:t>Konfederacja Lewiatan</w:t>
            </w:r>
          </w:p>
          <w:p w14:paraId="0208F969" w14:textId="660AA679" w:rsidR="005576ED" w:rsidRPr="000C426A" w:rsidRDefault="005576ED" w:rsidP="005576ED">
            <w:pPr>
              <w:spacing w:after="160" w:line="240" w:lineRule="auto"/>
              <w:jc w:val="both"/>
              <w:rPr>
                <w:rFonts w:ascii="Calibri" w:hAnsi="Calibri" w:cs="Calibri"/>
              </w:rPr>
            </w:pPr>
          </w:p>
        </w:tc>
        <w:tc>
          <w:tcPr>
            <w:tcW w:w="1299" w:type="dxa"/>
          </w:tcPr>
          <w:p w14:paraId="54A3A22E" w14:textId="425B6743" w:rsidR="005576ED" w:rsidRPr="000C426A" w:rsidRDefault="005576ED" w:rsidP="005576ED">
            <w:pPr>
              <w:spacing w:after="160" w:line="240" w:lineRule="auto"/>
              <w:jc w:val="both"/>
              <w:rPr>
                <w:rFonts w:ascii="Calibri" w:hAnsi="Calibri" w:cs="Calibri"/>
              </w:rPr>
            </w:pPr>
            <w:r w:rsidRPr="000C426A">
              <w:rPr>
                <w:rFonts w:ascii="Calibri" w:eastAsia="Lato" w:hAnsi="Calibri" w:cs="Calibri"/>
                <w:lang w:val="pl"/>
              </w:rPr>
              <w:t xml:space="preserve">art. 1 pkt 8 – 10 Projektu w zakresie zmienianych art. 45 ust. 1 pkt 1b, art. 46 ust. 5 i ust. </w:t>
            </w:r>
            <w:r w:rsidRPr="000C426A">
              <w:rPr>
                <w:rFonts w:ascii="Calibri" w:eastAsia="Lato" w:hAnsi="Calibri" w:cs="Calibri"/>
                <w:lang w:val="pl"/>
              </w:rPr>
              <w:lastRenderedPageBreak/>
              <w:t>6  ustawy Prawo energetyczne</w:t>
            </w:r>
          </w:p>
        </w:tc>
        <w:tc>
          <w:tcPr>
            <w:tcW w:w="5528" w:type="dxa"/>
            <w:shd w:val="clear" w:color="auto" w:fill="FFFFFF" w:themeFill="background1"/>
          </w:tcPr>
          <w:p w14:paraId="62D7B30E" w14:textId="0124AEFE" w:rsidR="005576ED" w:rsidRPr="000C426A" w:rsidRDefault="005576ED" w:rsidP="005576ED">
            <w:pPr>
              <w:spacing w:after="120" w:line="240" w:lineRule="auto"/>
              <w:jc w:val="both"/>
              <w:rPr>
                <w:rFonts w:ascii="Calibri" w:hAnsi="Calibri" w:cs="Calibri"/>
              </w:rPr>
            </w:pPr>
            <w:r w:rsidRPr="000C426A">
              <w:rPr>
                <w:rFonts w:ascii="Calibri" w:eastAsia="Lato" w:hAnsi="Calibri" w:cs="Calibri"/>
                <w:lang w:val="pl"/>
              </w:rPr>
              <w:lastRenderedPageBreak/>
              <w:t xml:space="preserve">Projekt zmiany ustawy Prawo energetyczne nie zawiera w pakiecie projektu zmiany rozporządzenia ministra właściwego ds. energii wydanego na podstawie art. 46 ust. 5 ustawy Prawo energetyczne. W związku z tym nie ma możliwości, aby kompleksowo odnieść się do treści przepisu zmieniającego. Proponowany sposób zwrotu z kapitału znacząco zmienia kształt regulacji, dlatego powinien zostać przedstawiony jako kompleksowe rozwiązanie. </w:t>
            </w:r>
            <w:r w:rsidRPr="000C426A">
              <w:rPr>
                <w:rFonts w:ascii="Calibri" w:eastAsia="Lato" w:hAnsi="Calibri" w:cs="Calibri"/>
                <w:lang w:val="pl"/>
              </w:rPr>
              <w:lastRenderedPageBreak/>
              <w:t xml:space="preserve">Przedsiębiorstwa energetyczne realizują lub przygotowują się do realizacji projektów transformacyjnych, które analizowane były w oparciu o aktualny model zwrotu z kapitału, zapewniający minimalny zwrot z kapitału dla części inwestycji. </w:t>
            </w:r>
          </w:p>
          <w:p w14:paraId="3FF8873A" w14:textId="53A0AD6D" w:rsidR="005576ED" w:rsidRPr="000C426A" w:rsidRDefault="005576ED" w:rsidP="005576ED">
            <w:pPr>
              <w:spacing w:after="120" w:line="240" w:lineRule="auto"/>
              <w:jc w:val="both"/>
              <w:rPr>
                <w:rFonts w:ascii="Calibri" w:hAnsi="Calibri" w:cs="Calibri"/>
              </w:rPr>
            </w:pPr>
            <w:r w:rsidRPr="000C426A">
              <w:rPr>
                <w:rFonts w:ascii="Calibri" w:eastAsia="Lato" w:hAnsi="Calibri" w:cs="Calibri"/>
                <w:lang w:val="pl"/>
              </w:rPr>
              <w:t xml:space="preserve">W świetle przedstawionych propozycji nie jesteśmy w stanie w pełni ocenić proponowanych zmian ze względu na: </w:t>
            </w:r>
          </w:p>
          <w:p w14:paraId="5AF10D2D" w14:textId="386B7821" w:rsidR="005576ED" w:rsidRPr="000C426A" w:rsidRDefault="005576ED" w:rsidP="005576ED">
            <w:pPr>
              <w:spacing w:after="120" w:line="240" w:lineRule="auto"/>
              <w:ind w:left="183"/>
              <w:jc w:val="both"/>
              <w:rPr>
                <w:rFonts w:ascii="Calibri" w:hAnsi="Calibri" w:cs="Calibri"/>
              </w:rPr>
            </w:pPr>
            <w:r w:rsidRPr="000C426A">
              <w:rPr>
                <w:rFonts w:ascii="Calibri" w:eastAsia="Lato" w:hAnsi="Calibri" w:cs="Calibri"/>
                <w:lang w:val="pl"/>
              </w:rPr>
              <w:t>1.  brak definicji stopy wolnej od ryzyka.</w:t>
            </w:r>
          </w:p>
          <w:p w14:paraId="63D62BC5" w14:textId="6B3A7596" w:rsidR="005576ED" w:rsidRPr="000C426A" w:rsidRDefault="005576ED" w:rsidP="005576ED">
            <w:pPr>
              <w:spacing w:after="120" w:line="240" w:lineRule="auto"/>
              <w:ind w:left="183"/>
              <w:jc w:val="both"/>
              <w:rPr>
                <w:rFonts w:ascii="Calibri" w:hAnsi="Calibri" w:cs="Calibri"/>
              </w:rPr>
            </w:pPr>
            <w:r w:rsidRPr="000C426A">
              <w:rPr>
                <w:rFonts w:ascii="Calibri" w:eastAsia="Lato" w:hAnsi="Calibri" w:cs="Calibri"/>
                <w:lang w:val="pl"/>
              </w:rPr>
              <w:t>2. brak proponowanego katalogu rzeczowych aktywów trwałych z przypisanym projektowanym poziomem premii za ryzyko.</w:t>
            </w:r>
          </w:p>
          <w:p w14:paraId="25584B9E" w14:textId="511EA9CA" w:rsidR="005576ED" w:rsidRPr="000C426A" w:rsidRDefault="005576ED" w:rsidP="005576ED">
            <w:pPr>
              <w:spacing w:after="120" w:line="240" w:lineRule="auto"/>
              <w:ind w:left="183"/>
              <w:jc w:val="both"/>
              <w:rPr>
                <w:rFonts w:ascii="Calibri" w:hAnsi="Calibri" w:cs="Calibri"/>
              </w:rPr>
            </w:pPr>
            <w:r>
              <w:rPr>
                <w:rFonts w:ascii="Calibri" w:eastAsia="Lato" w:hAnsi="Calibri" w:cs="Calibri"/>
                <w:lang w:val="pl"/>
              </w:rPr>
              <w:t>3</w:t>
            </w:r>
            <w:r w:rsidRPr="000C426A">
              <w:rPr>
                <w:rFonts w:ascii="Calibri" w:eastAsia="Lato" w:hAnsi="Calibri" w:cs="Calibri"/>
                <w:lang w:val="pl"/>
              </w:rPr>
              <w:t xml:space="preserve">.  brak zagwarantowania inwestorom minimalnej stopy zwrotu dla inwestycji OZE oraz ciepła odpadowego na poziomie minimum 7%. </w:t>
            </w:r>
          </w:p>
          <w:p w14:paraId="1CBB752B" w14:textId="3A5BF791" w:rsidR="005576ED" w:rsidRPr="000C426A" w:rsidRDefault="005576ED" w:rsidP="005576ED">
            <w:pPr>
              <w:spacing w:after="120" w:line="240" w:lineRule="auto"/>
              <w:ind w:left="183"/>
              <w:jc w:val="both"/>
              <w:rPr>
                <w:rFonts w:ascii="Calibri" w:hAnsi="Calibri" w:cs="Calibri"/>
              </w:rPr>
            </w:pPr>
            <w:r w:rsidRPr="000C426A">
              <w:rPr>
                <w:rFonts w:ascii="Calibri" w:eastAsia="Lato" w:hAnsi="Calibri" w:cs="Calibri"/>
                <w:b/>
                <w:bCs/>
                <w:lang w:val="pl"/>
              </w:rPr>
              <w:t>Zasadne wydaje się, aby minimalny zwrot z kapitału został utrzymany a nawet rozszerzony dla wszystkich technologii pozwalających dojść do statusu efektywnego systemu ciepłowniczego oraz w przyszłości utrzymać status efektywnego systemu ciepłowniczego.</w:t>
            </w:r>
          </w:p>
          <w:p w14:paraId="4F40F005" w14:textId="4BA72B13" w:rsidR="005576ED" w:rsidRPr="000C426A" w:rsidRDefault="005576ED" w:rsidP="005576ED">
            <w:pPr>
              <w:spacing w:after="120" w:line="240" w:lineRule="auto"/>
              <w:ind w:left="183"/>
              <w:jc w:val="both"/>
              <w:rPr>
                <w:rFonts w:ascii="Calibri" w:hAnsi="Calibri" w:cs="Calibri"/>
              </w:rPr>
            </w:pPr>
            <w:r>
              <w:rPr>
                <w:rFonts w:ascii="Calibri" w:eastAsia="Lato" w:hAnsi="Calibri" w:cs="Calibri"/>
                <w:lang w:val="pl"/>
              </w:rPr>
              <w:t>4</w:t>
            </w:r>
            <w:r w:rsidRPr="000C426A">
              <w:rPr>
                <w:rFonts w:ascii="Calibri" w:eastAsia="Lato" w:hAnsi="Calibri" w:cs="Calibri"/>
                <w:lang w:val="pl"/>
              </w:rPr>
              <w:t xml:space="preserve">. brak precyzyjnego zdefiniowania pojęcia „nakładów inwestycyjnych” - literalnie proponowana treść przepisu odnosi się do całych nakładów inwestycyjnych, bez podziału na okresy w jakich nakłady zostaną poniesione. W treści uzasadnienia czytamy, że ustawodawca ma na </w:t>
            </w:r>
            <w:r w:rsidRPr="000C426A">
              <w:rPr>
                <w:rFonts w:ascii="Calibri" w:eastAsia="Lato" w:hAnsi="Calibri" w:cs="Calibri"/>
                <w:lang w:val="pl"/>
              </w:rPr>
              <w:lastRenderedPageBreak/>
              <w:t>myśli nakłady inwestycyjne planowane (…”z uwzględnieniem planowanych nakładów inwestycyjnych”...), które zostaną uruchomione w okresie pierwszego roku obowiązywania taryfy dla ciepła. Jeżeli taka była intencja ustawodawcy, należy to uwzględnić w przepisie.</w:t>
            </w:r>
          </w:p>
        </w:tc>
        <w:tc>
          <w:tcPr>
            <w:tcW w:w="3119" w:type="dxa"/>
          </w:tcPr>
          <w:p w14:paraId="411A2D23" w14:textId="32B8C52C" w:rsidR="005576ED" w:rsidRPr="000C426A" w:rsidRDefault="005576ED" w:rsidP="005576ED">
            <w:pPr>
              <w:spacing w:after="160" w:line="240" w:lineRule="auto"/>
              <w:jc w:val="both"/>
              <w:rPr>
                <w:rFonts w:ascii="Calibri" w:hAnsi="Calibri" w:cs="Calibri"/>
              </w:rPr>
            </w:pPr>
            <w:r w:rsidRPr="000C426A">
              <w:rPr>
                <w:rFonts w:ascii="Calibri" w:eastAsia="Lato" w:hAnsi="Calibri" w:cs="Calibri"/>
              </w:rPr>
              <w:lastRenderedPageBreak/>
              <w:t xml:space="preserve"> </w:t>
            </w:r>
          </w:p>
        </w:tc>
        <w:tc>
          <w:tcPr>
            <w:tcW w:w="2244" w:type="dxa"/>
          </w:tcPr>
          <w:p w14:paraId="1DDC4543" w14:textId="556E60B9" w:rsidR="005576ED" w:rsidRPr="000C426A" w:rsidRDefault="005576ED" w:rsidP="005576ED">
            <w:pPr>
              <w:spacing w:after="160" w:line="240" w:lineRule="auto"/>
              <w:jc w:val="center"/>
              <w:rPr>
                <w:rFonts w:ascii="Calibri" w:hAnsi="Calibri" w:cs="Calibri"/>
              </w:rPr>
            </w:pPr>
            <w:r w:rsidRPr="000C426A">
              <w:rPr>
                <w:rFonts w:ascii="Calibri" w:eastAsia="Lato" w:hAnsi="Calibri" w:cs="Calibri"/>
                <w:lang w:val="pl"/>
              </w:rPr>
              <w:t xml:space="preserve"> </w:t>
            </w:r>
          </w:p>
        </w:tc>
      </w:tr>
      <w:tr w:rsidR="005576ED" w:rsidRPr="000C426A" w14:paraId="525EA7AD" w14:textId="77777777" w:rsidTr="0093318E">
        <w:trPr>
          <w:trHeight w:val="35"/>
        </w:trPr>
        <w:tc>
          <w:tcPr>
            <w:tcW w:w="704" w:type="dxa"/>
            <w:shd w:val="clear" w:color="auto" w:fill="FFFFFF" w:themeFill="background1"/>
          </w:tcPr>
          <w:p w14:paraId="7D0D3106" w14:textId="77777777" w:rsidR="005576ED" w:rsidRPr="00896C45" w:rsidRDefault="005576ED" w:rsidP="00896C45">
            <w:pPr>
              <w:pStyle w:val="Akapitzlist"/>
              <w:numPr>
                <w:ilvl w:val="0"/>
                <w:numId w:val="14"/>
              </w:numPr>
              <w:spacing w:line="240" w:lineRule="auto"/>
              <w:jc w:val="center"/>
              <w:rPr>
                <w:rFonts w:ascii="Calibri" w:hAnsi="Calibri" w:cs="Calibri"/>
              </w:rPr>
            </w:pPr>
          </w:p>
        </w:tc>
        <w:tc>
          <w:tcPr>
            <w:tcW w:w="1418" w:type="dxa"/>
          </w:tcPr>
          <w:p w14:paraId="5FCF2AED" w14:textId="77777777" w:rsidR="0093318E" w:rsidRPr="000C426A" w:rsidRDefault="0093318E" w:rsidP="0093318E">
            <w:pPr>
              <w:spacing w:after="160" w:line="240" w:lineRule="auto"/>
              <w:jc w:val="both"/>
              <w:rPr>
                <w:rFonts w:ascii="Calibri" w:hAnsi="Calibri" w:cs="Calibri"/>
              </w:rPr>
            </w:pPr>
            <w:r w:rsidRPr="000C426A">
              <w:rPr>
                <w:rFonts w:ascii="Calibri" w:eastAsia="Lato" w:hAnsi="Calibri" w:cs="Calibri"/>
                <w:lang w:val="pl"/>
              </w:rPr>
              <w:t>Konfederacja Lewiatan</w:t>
            </w:r>
          </w:p>
          <w:p w14:paraId="7E1EAD62" w14:textId="77777777" w:rsidR="005576ED" w:rsidRPr="000C426A" w:rsidRDefault="005576ED" w:rsidP="005576ED">
            <w:pPr>
              <w:spacing w:line="240" w:lineRule="auto"/>
              <w:jc w:val="both"/>
              <w:rPr>
                <w:rFonts w:ascii="Calibri" w:eastAsia="Lato" w:hAnsi="Calibri" w:cs="Calibri"/>
                <w:lang w:val="pl"/>
              </w:rPr>
            </w:pPr>
          </w:p>
        </w:tc>
        <w:tc>
          <w:tcPr>
            <w:tcW w:w="1299" w:type="dxa"/>
          </w:tcPr>
          <w:p w14:paraId="06EC45FC" w14:textId="5A453D4C" w:rsidR="005576ED" w:rsidRPr="000C426A" w:rsidRDefault="005576ED" w:rsidP="005576ED">
            <w:pPr>
              <w:spacing w:line="240" w:lineRule="auto"/>
              <w:jc w:val="both"/>
              <w:rPr>
                <w:rFonts w:ascii="Calibri" w:hAnsi="Calibri" w:cs="Calibri"/>
              </w:rPr>
            </w:pPr>
            <w:r w:rsidRPr="000C426A">
              <w:rPr>
                <w:rFonts w:ascii="Calibri" w:hAnsi="Calibri" w:cs="Calibri"/>
              </w:rPr>
              <w:t>Art. 1 pkt 10</w:t>
            </w:r>
            <w:r>
              <w:rPr>
                <w:rFonts w:ascii="Calibri" w:hAnsi="Calibri" w:cs="Calibri"/>
              </w:rPr>
              <w:t xml:space="preserve"> </w:t>
            </w:r>
            <w:r w:rsidRPr="000C426A">
              <w:rPr>
                <w:rFonts w:ascii="Calibri" w:hAnsi="Calibri" w:cs="Calibri"/>
              </w:rPr>
              <w:t>Projektu</w:t>
            </w:r>
          </w:p>
          <w:p w14:paraId="314583D4" w14:textId="77777777" w:rsidR="005576ED" w:rsidRPr="000C426A" w:rsidRDefault="005576ED" w:rsidP="005576ED">
            <w:pPr>
              <w:spacing w:line="240" w:lineRule="auto"/>
              <w:jc w:val="both"/>
              <w:rPr>
                <w:rFonts w:ascii="Calibri" w:hAnsi="Calibri" w:cs="Calibri"/>
              </w:rPr>
            </w:pPr>
          </w:p>
          <w:p w14:paraId="52DF2718" w14:textId="77777777" w:rsidR="005576ED" w:rsidRPr="000C426A" w:rsidRDefault="005576ED" w:rsidP="005576ED">
            <w:pPr>
              <w:spacing w:line="240" w:lineRule="auto"/>
              <w:jc w:val="both"/>
              <w:rPr>
                <w:rFonts w:ascii="Calibri" w:hAnsi="Calibri" w:cs="Calibri"/>
              </w:rPr>
            </w:pPr>
            <w:r w:rsidRPr="000C426A">
              <w:rPr>
                <w:rFonts w:ascii="Calibri" w:hAnsi="Calibri" w:cs="Calibri"/>
              </w:rPr>
              <w:t>Art. 46 ust. 6 pkt 3a) ustawy Prawo energetyczne</w:t>
            </w:r>
          </w:p>
          <w:p w14:paraId="79EE92B1" w14:textId="77777777" w:rsidR="005576ED" w:rsidRPr="000C426A" w:rsidRDefault="005576ED" w:rsidP="005576ED">
            <w:pPr>
              <w:spacing w:line="240" w:lineRule="auto"/>
              <w:jc w:val="both"/>
              <w:rPr>
                <w:rFonts w:ascii="Calibri" w:eastAsia="Lato" w:hAnsi="Calibri" w:cs="Calibri"/>
                <w:lang w:val="pl"/>
              </w:rPr>
            </w:pPr>
          </w:p>
        </w:tc>
        <w:tc>
          <w:tcPr>
            <w:tcW w:w="5528" w:type="dxa"/>
            <w:shd w:val="clear" w:color="auto" w:fill="FFFFFF" w:themeFill="background1"/>
          </w:tcPr>
          <w:p w14:paraId="507E8783" w14:textId="55EB9DB5" w:rsidR="005576ED" w:rsidRPr="000C426A" w:rsidRDefault="005576ED" w:rsidP="005576ED">
            <w:pPr>
              <w:spacing w:after="120" w:line="240" w:lineRule="auto"/>
              <w:jc w:val="both"/>
              <w:rPr>
                <w:rFonts w:ascii="Calibri" w:eastAsia="Lato" w:hAnsi="Calibri" w:cs="Calibri"/>
                <w:lang w:val="pl"/>
              </w:rPr>
            </w:pPr>
            <w:r w:rsidRPr="000C426A">
              <w:rPr>
                <w:rFonts w:ascii="Calibri" w:hAnsi="Calibri" w:cs="Calibri"/>
              </w:rPr>
              <w:t xml:space="preserve">Aktualnie zapewnienie nieprzerwanych dostaw ciepła i zachowanie standardów jakościowych wymaga ogromnych nakładów inwestycyjnych także w zasoby informatyczne, cyfryzację działalności, inteligentne sterowanie siecią, rozwiązania gwarantujące </w:t>
            </w:r>
            <w:proofErr w:type="spellStart"/>
            <w:r w:rsidRPr="000C426A">
              <w:rPr>
                <w:rFonts w:ascii="Calibri" w:hAnsi="Calibri" w:cs="Calibri"/>
              </w:rPr>
              <w:t>cyberbezpieczeństwo</w:t>
            </w:r>
            <w:proofErr w:type="spellEnd"/>
            <w:r w:rsidRPr="000C426A">
              <w:rPr>
                <w:rFonts w:ascii="Calibri" w:hAnsi="Calibri" w:cs="Calibri"/>
              </w:rPr>
              <w:t>. W związku z powyższym brak jest uzasadnienia dla ograniczenia uwzględnienia w kalkulacji taryf jedynie do rzeczowych aktywów trwałych, powodujących wyłączenie wartości niematerialnych i prawnych.</w:t>
            </w:r>
          </w:p>
        </w:tc>
        <w:tc>
          <w:tcPr>
            <w:tcW w:w="3119" w:type="dxa"/>
          </w:tcPr>
          <w:p w14:paraId="4B0E085D" w14:textId="77777777" w:rsidR="005576ED" w:rsidRPr="000C426A" w:rsidRDefault="005576ED" w:rsidP="005576ED">
            <w:pPr>
              <w:spacing w:line="240" w:lineRule="auto"/>
              <w:jc w:val="both"/>
              <w:rPr>
                <w:rFonts w:ascii="Calibri" w:hAnsi="Calibri" w:cs="Calibri"/>
                <w:bCs/>
              </w:rPr>
            </w:pPr>
            <w:r w:rsidRPr="000C426A">
              <w:rPr>
                <w:rFonts w:ascii="Calibri" w:hAnsi="Calibri" w:cs="Calibri"/>
                <w:bCs/>
              </w:rPr>
              <w:t>w art. 46 w ust. 6 po pkt 3 dodaje się pkt 3a w brzmieniu:</w:t>
            </w:r>
          </w:p>
          <w:p w14:paraId="7463A8EE" w14:textId="77777777" w:rsidR="005576ED" w:rsidRPr="000C426A" w:rsidRDefault="005576ED" w:rsidP="005576ED">
            <w:pPr>
              <w:spacing w:line="240" w:lineRule="auto"/>
              <w:jc w:val="both"/>
              <w:rPr>
                <w:rFonts w:ascii="Calibri" w:hAnsi="Calibri" w:cs="Calibri"/>
              </w:rPr>
            </w:pPr>
            <w:r w:rsidRPr="000C426A">
              <w:rPr>
                <w:rFonts w:ascii="Calibri" w:hAnsi="Calibri" w:cs="Calibri"/>
              </w:rPr>
              <w:t>3a)stopę wolną od ryzyka oraz aktywa trwałe, dla których uwzględnia się premię za ryzyko i procentową wysokość tej premii dla poszczególnych aktywów trwałych, z uwzględnieniem planowanych nakładów inwestycyjnych w te aktywa;”;</w:t>
            </w:r>
          </w:p>
          <w:p w14:paraId="21218622" w14:textId="77777777" w:rsidR="005576ED" w:rsidRPr="000C426A" w:rsidRDefault="005576ED" w:rsidP="005576ED">
            <w:pPr>
              <w:spacing w:line="240" w:lineRule="auto"/>
              <w:jc w:val="both"/>
              <w:rPr>
                <w:rFonts w:ascii="Calibri" w:eastAsia="Lato" w:hAnsi="Calibri" w:cs="Calibri"/>
              </w:rPr>
            </w:pPr>
          </w:p>
        </w:tc>
        <w:tc>
          <w:tcPr>
            <w:tcW w:w="2244" w:type="dxa"/>
          </w:tcPr>
          <w:p w14:paraId="1E237C27" w14:textId="77777777" w:rsidR="005576ED" w:rsidRPr="000C426A" w:rsidRDefault="005576ED" w:rsidP="005576ED">
            <w:pPr>
              <w:spacing w:line="240" w:lineRule="auto"/>
              <w:jc w:val="center"/>
              <w:rPr>
                <w:rFonts w:ascii="Calibri" w:eastAsia="Lato" w:hAnsi="Calibri" w:cs="Calibri"/>
                <w:lang w:val="pl"/>
              </w:rPr>
            </w:pPr>
          </w:p>
        </w:tc>
      </w:tr>
      <w:tr w:rsidR="005576ED" w:rsidRPr="000C426A" w14:paraId="3C5F7A29" w14:textId="77777777" w:rsidTr="0093318E">
        <w:trPr>
          <w:trHeight w:val="35"/>
        </w:trPr>
        <w:tc>
          <w:tcPr>
            <w:tcW w:w="704" w:type="dxa"/>
            <w:shd w:val="clear" w:color="auto" w:fill="FFFFFF" w:themeFill="background1"/>
          </w:tcPr>
          <w:p w14:paraId="195DB4ED" w14:textId="2104B5E7" w:rsidR="005576ED" w:rsidRPr="00896C45" w:rsidRDefault="005576ED" w:rsidP="00896C45">
            <w:pPr>
              <w:pStyle w:val="Akapitzlist"/>
              <w:numPr>
                <w:ilvl w:val="0"/>
                <w:numId w:val="14"/>
              </w:numPr>
              <w:spacing w:line="240" w:lineRule="auto"/>
              <w:jc w:val="center"/>
              <w:rPr>
                <w:rFonts w:ascii="Calibri" w:hAnsi="Calibri" w:cs="Calibri"/>
              </w:rPr>
            </w:pPr>
          </w:p>
        </w:tc>
        <w:tc>
          <w:tcPr>
            <w:tcW w:w="1418" w:type="dxa"/>
          </w:tcPr>
          <w:p w14:paraId="47F1C688" w14:textId="77777777" w:rsidR="005576ED" w:rsidRPr="000C426A" w:rsidRDefault="005576ED" w:rsidP="005576ED">
            <w:pPr>
              <w:spacing w:after="160" w:line="240" w:lineRule="auto"/>
              <w:jc w:val="both"/>
              <w:rPr>
                <w:rFonts w:ascii="Calibri" w:hAnsi="Calibri" w:cs="Calibri"/>
              </w:rPr>
            </w:pPr>
            <w:r w:rsidRPr="000C426A">
              <w:rPr>
                <w:rFonts w:ascii="Calibri" w:eastAsia="Lato" w:hAnsi="Calibri" w:cs="Calibri"/>
                <w:lang w:val="pl"/>
              </w:rPr>
              <w:t>Konfederacja Lewiatan</w:t>
            </w:r>
          </w:p>
          <w:p w14:paraId="75DCF2A5" w14:textId="087F833D" w:rsidR="005576ED" w:rsidRPr="000C426A" w:rsidRDefault="005576ED" w:rsidP="005576ED">
            <w:pPr>
              <w:spacing w:after="160" w:line="240" w:lineRule="auto"/>
              <w:jc w:val="both"/>
              <w:rPr>
                <w:rFonts w:ascii="Calibri" w:eastAsia="Lato" w:hAnsi="Calibri" w:cs="Calibri"/>
                <w:b/>
                <w:bCs/>
                <w:lang w:val="pl"/>
              </w:rPr>
            </w:pPr>
          </w:p>
        </w:tc>
        <w:tc>
          <w:tcPr>
            <w:tcW w:w="1299" w:type="dxa"/>
          </w:tcPr>
          <w:p w14:paraId="02BC99D7" w14:textId="1D7F0997" w:rsidR="005576ED" w:rsidRPr="000C426A" w:rsidRDefault="005576ED" w:rsidP="005576ED">
            <w:pPr>
              <w:spacing w:after="160" w:line="240" w:lineRule="auto"/>
              <w:jc w:val="both"/>
              <w:rPr>
                <w:rFonts w:ascii="Calibri" w:hAnsi="Calibri" w:cs="Calibri"/>
              </w:rPr>
            </w:pPr>
            <w:r w:rsidRPr="006A5FC4">
              <w:rPr>
                <w:rFonts w:ascii="Calibri" w:eastAsia="Lato" w:hAnsi="Calibri" w:cs="Calibri"/>
                <w:lang w:val="pl"/>
              </w:rPr>
              <w:t>do art. 1 pkt 11 Projektu w zakresie zmienianego art</w:t>
            </w:r>
            <w:r w:rsidRPr="000C426A">
              <w:rPr>
                <w:rFonts w:ascii="Calibri" w:eastAsia="Lato" w:hAnsi="Calibri" w:cs="Calibri"/>
                <w:lang w:val="pl"/>
              </w:rPr>
              <w:t xml:space="preserve">. 47 ust. 1d ustawy Prawo </w:t>
            </w:r>
            <w:r w:rsidRPr="000C426A">
              <w:rPr>
                <w:rFonts w:ascii="Calibri" w:eastAsia="Lato" w:hAnsi="Calibri" w:cs="Calibri"/>
                <w:lang w:val="pl"/>
              </w:rPr>
              <w:lastRenderedPageBreak/>
              <w:t>energetyczne</w:t>
            </w:r>
          </w:p>
        </w:tc>
        <w:tc>
          <w:tcPr>
            <w:tcW w:w="5528" w:type="dxa"/>
            <w:shd w:val="clear" w:color="auto" w:fill="FFFFFF" w:themeFill="background1"/>
          </w:tcPr>
          <w:p w14:paraId="4888D770" w14:textId="77777777" w:rsidR="005576ED" w:rsidRDefault="005576ED" w:rsidP="005576ED">
            <w:pPr>
              <w:spacing w:after="120" w:line="240" w:lineRule="auto"/>
              <w:jc w:val="both"/>
              <w:rPr>
                <w:rFonts w:ascii="Calibri" w:eastAsia="Lato" w:hAnsi="Calibri" w:cs="Calibri"/>
                <w:lang w:val="pl"/>
              </w:rPr>
            </w:pPr>
            <w:r w:rsidRPr="000C426A">
              <w:rPr>
                <w:rFonts w:ascii="Calibri" w:eastAsia="Lato" w:hAnsi="Calibri" w:cs="Calibri"/>
                <w:lang w:val="pl"/>
              </w:rPr>
              <w:lastRenderedPageBreak/>
              <w:t>Proponowana zmiana budzi wątpliwość interpretacyjną w zakresie bezpośredniego dostarczania ciepła do odbiorcy.</w:t>
            </w:r>
            <w:r>
              <w:rPr>
                <w:rFonts w:ascii="Calibri" w:eastAsia="Lato" w:hAnsi="Calibri" w:cs="Calibri"/>
                <w:lang w:val="pl"/>
              </w:rPr>
              <w:t xml:space="preserve"> </w:t>
            </w:r>
          </w:p>
          <w:p w14:paraId="53A96181" w14:textId="267A9A94" w:rsidR="005576ED" w:rsidRPr="000C426A" w:rsidRDefault="005576ED" w:rsidP="005576ED">
            <w:pPr>
              <w:spacing w:after="120" w:line="240" w:lineRule="auto"/>
              <w:jc w:val="both"/>
              <w:rPr>
                <w:rFonts w:ascii="Calibri" w:hAnsi="Calibri" w:cs="Calibri"/>
              </w:rPr>
            </w:pPr>
            <w:r w:rsidRPr="000C426A">
              <w:rPr>
                <w:rFonts w:ascii="Calibri" w:eastAsia="Lato" w:hAnsi="Calibri" w:cs="Calibri"/>
                <w:lang w:val="pl"/>
              </w:rPr>
              <w:t xml:space="preserve">1. Czy przez bezpośrednią dostawę należy rozumieć fizyczne/techniczne warunki dostawy ciepła, odrębne źródło, odrębna sieć ciepłownicza? </w:t>
            </w:r>
          </w:p>
          <w:p w14:paraId="56318BC6" w14:textId="2EFBD7B1" w:rsidR="005576ED" w:rsidRPr="000C426A" w:rsidRDefault="005576ED" w:rsidP="005576ED">
            <w:pPr>
              <w:spacing w:after="120" w:line="240" w:lineRule="auto"/>
              <w:jc w:val="both"/>
              <w:rPr>
                <w:rFonts w:ascii="Calibri" w:hAnsi="Calibri" w:cs="Calibri"/>
              </w:rPr>
            </w:pPr>
            <w:r w:rsidRPr="000C426A">
              <w:rPr>
                <w:rFonts w:ascii="Calibri" w:eastAsia="Lato" w:hAnsi="Calibri" w:cs="Calibri"/>
                <w:lang w:val="pl"/>
              </w:rPr>
              <w:t xml:space="preserve">2. Czy możliwa będzie bezpośrednia dostawa ciepła do odbiorcy prowadzącego działalność gospodarczą za pośrednictwem sieci ciepłowniczej ze źródła ciepła, z </w:t>
            </w:r>
            <w:r w:rsidRPr="000C426A">
              <w:rPr>
                <w:rFonts w:ascii="Calibri" w:eastAsia="Lato" w:hAnsi="Calibri" w:cs="Calibri"/>
                <w:lang w:val="pl"/>
              </w:rPr>
              <w:lastRenderedPageBreak/>
              <w:t>którego wyprodukowane ciepło za pośrednictwem tej samej sieci ciepłowniczej trafia do innych odbiorców ciepła? W takim przypadku z wniosku taryfowego wyłączony zostanie planowany wolumen produkcji/sprzedaży ciepła oraz kosztów uzasadnionych?</w:t>
            </w:r>
          </w:p>
          <w:p w14:paraId="42416486" w14:textId="7A9E0669" w:rsidR="005576ED" w:rsidRPr="000C426A" w:rsidRDefault="005576ED" w:rsidP="005576ED">
            <w:pPr>
              <w:spacing w:after="120" w:line="240" w:lineRule="auto"/>
              <w:jc w:val="both"/>
              <w:rPr>
                <w:rFonts w:ascii="Calibri" w:hAnsi="Calibri" w:cs="Calibri"/>
              </w:rPr>
            </w:pPr>
            <w:r w:rsidRPr="000C426A">
              <w:rPr>
                <w:rFonts w:ascii="Calibri" w:eastAsia="Lato" w:hAnsi="Calibri" w:cs="Calibri"/>
                <w:lang w:val="pl"/>
              </w:rPr>
              <w:t xml:space="preserve">3. Odnosząc się do dostawy ciepła, odnosimy się tylko do zwolnienia z taryfy wytwórcy ciepła? Stawki w dalszym ciągu będą zatwierdzane przez PURE? </w:t>
            </w:r>
          </w:p>
          <w:p w14:paraId="56EC212E" w14:textId="224E2B8C" w:rsidR="005576ED" w:rsidRPr="000C426A" w:rsidRDefault="005576ED" w:rsidP="005576ED">
            <w:pPr>
              <w:spacing w:after="120" w:line="240" w:lineRule="auto"/>
              <w:jc w:val="both"/>
              <w:rPr>
                <w:rFonts w:ascii="Calibri" w:hAnsi="Calibri" w:cs="Calibri"/>
              </w:rPr>
            </w:pPr>
            <w:r w:rsidRPr="000C426A">
              <w:rPr>
                <w:rFonts w:ascii="Calibri" w:eastAsia="Lato" w:hAnsi="Calibri" w:cs="Calibri"/>
                <w:lang w:val="pl"/>
              </w:rPr>
              <w:t>4. Czym dotyczy to tylko i wyłącznie źródeł ciepła, które bez udziału sieci ciepłowniczej dostarczają ciepło do odbiorcy przemysłowego?</w:t>
            </w:r>
          </w:p>
          <w:p w14:paraId="279C24D3" w14:textId="3D91A696" w:rsidR="005576ED" w:rsidRPr="000C426A" w:rsidRDefault="005576ED" w:rsidP="005576ED">
            <w:pPr>
              <w:spacing w:after="120" w:line="240" w:lineRule="auto"/>
              <w:jc w:val="both"/>
              <w:rPr>
                <w:rFonts w:ascii="Calibri" w:hAnsi="Calibri" w:cs="Calibri"/>
              </w:rPr>
            </w:pPr>
            <w:r w:rsidRPr="000C426A">
              <w:rPr>
                <w:rFonts w:ascii="Calibri" w:eastAsia="Lato" w:hAnsi="Calibri" w:cs="Calibri"/>
                <w:lang w:val="pl"/>
              </w:rPr>
              <w:t xml:space="preserve">5. Przepis nie jest możliwy do zastosowania w sytuacji gdy wytwarzanie ciepła oraz </w:t>
            </w:r>
            <w:proofErr w:type="spellStart"/>
            <w:r w:rsidRPr="000C426A">
              <w:rPr>
                <w:rFonts w:ascii="Calibri" w:eastAsia="Lato" w:hAnsi="Calibri" w:cs="Calibri"/>
                <w:lang w:val="pl"/>
              </w:rPr>
              <w:t>przesył</w:t>
            </w:r>
            <w:proofErr w:type="spellEnd"/>
            <w:r w:rsidRPr="000C426A">
              <w:rPr>
                <w:rFonts w:ascii="Calibri" w:eastAsia="Lato" w:hAnsi="Calibri" w:cs="Calibri"/>
                <w:lang w:val="pl"/>
              </w:rPr>
              <w:t xml:space="preserve"> i dystrybucja ciepła nie są w jednym przedsiębiorstwie zintegrowanym pionowo.</w:t>
            </w:r>
          </w:p>
        </w:tc>
        <w:tc>
          <w:tcPr>
            <w:tcW w:w="3119" w:type="dxa"/>
          </w:tcPr>
          <w:p w14:paraId="4686EB0A" w14:textId="0B82FCD8" w:rsidR="005576ED" w:rsidRPr="000C426A" w:rsidRDefault="005576ED" w:rsidP="005576ED">
            <w:pPr>
              <w:spacing w:after="160" w:line="240" w:lineRule="auto"/>
              <w:jc w:val="both"/>
              <w:rPr>
                <w:rFonts w:ascii="Calibri" w:hAnsi="Calibri" w:cs="Calibri"/>
              </w:rPr>
            </w:pPr>
            <w:r w:rsidRPr="000C426A">
              <w:rPr>
                <w:rFonts w:ascii="Calibri" w:eastAsia="Lato" w:hAnsi="Calibri" w:cs="Calibri"/>
              </w:rPr>
              <w:lastRenderedPageBreak/>
              <w:t xml:space="preserve"> </w:t>
            </w:r>
          </w:p>
        </w:tc>
        <w:tc>
          <w:tcPr>
            <w:tcW w:w="2244" w:type="dxa"/>
          </w:tcPr>
          <w:p w14:paraId="5CEDA63B" w14:textId="46420703" w:rsidR="005576ED" w:rsidRPr="000C426A" w:rsidRDefault="005576ED" w:rsidP="005576ED">
            <w:pPr>
              <w:spacing w:after="160" w:line="240" w:lineRule="auto"/>
              <w:jc w:val="center"/>
              <w:rPr>
                <w:rFonts w:ascii="Calibri" w:hAnsi="Calibri" w:cs="Calibri"/>
              </w:rPr>
            </w:pPr>
            <w:r w:rsidRPr="000C426A">
              <w:rPr>
                <w:rFonts w:ascii="Calibri" w:eastAsia="Lato" w:hAnsi="Calibri" w:cs="Calibri"/>
                <w:lang w:val="pl"/>
              </w:rPr>
              <w:t xml:space="preserve"> </w:t>
            </w:r>
          </w:p>
        </w:tc>
      </w:tr>
      <w:tr w:rsidR="005576ED" w:rsidRPr="000C426A" w14:paraId="2BCC238F" w14:textId="77777777" w:rsidTr="0093318E">
        <w:trPr>
          <w:trHeight w:val="35"/>
        </w:trPr>
        <w:tc>
          <w:tcPr>
            <w:tcW w:w="704" w:type="dxa"/>
            <w:shd w:val="clear" w:color="auto" w:fill="FFFFFF" w:themeFill="background1"/>
          </w:tcPr>
          <w:p w14:paraId="1F3C0495" w14:textId="77777777" w:rsidR="005576ED" w:rsidRPr="00896C45" w:rsidRDefault="005576ED" w:rsidP="00896C45">
            <w:pPr>
              <w:pStyle w:val="Akapitzlist"/>
              <w:numPr>
                <w:ilvl w:val="0"/>
                <w:numId w:val="14"/>
              </w:numPr>
              <w:spacing w:line="240" w:lineRule="auto"/>
              <w:jc w:val="center"/>
              <w:rPr>
                <w:rFonts w:ascii="Calibri" w:hAnsi="Calibri" w:cs="Calibri"/>
              </w:rPr>
            </w:pPr>
          </w:p>
        </w:tc>
        <w:tc>
          <w:tcPr>
            <w:tcW w:w="1418" w:type="dxa"/>
          </w:tcPr>
          <w:p w14:paraId="5C888CFD" w14:textId="04A5FEE5" w:rsidR="005576ED" w:rsidRPr="000C426A" w:rsidRDefault="00F06D33" w:rsidP="005576ED">
            <w:pPr>
              <w:spacing w:line="240" w:lineRule="auto"/>
              <w:jc w:val="both"/>
              <w:rPr>
                <w:rFonts w:ascii="Calibri" w:eastAsia="Lato" w:hAnsi="Calibri" w:cs="Calibri"/>
                <w:lang w:val="pl"/>
              </w:rPr>
            </w:pPr>
            <w:r>
              <w:rPr>
                <w:rFonts w:ascii="Calibri" w:eastAsia="Arial" w:hAnsi="Calibri" w:cs="Calibri"/>
                <w:color w:val="000000" w:themeColor="text1"/>
              </w:rPr>
              <w:t>Konfederacja Lewiatan</w:t>
            </w:r>
          </w:p>
        </w:tc>
        <w:tc>
          <w:tcPr>
            <w:tcW w:w="1299" w:type="dxa"/>
          </w:tcPr>
          <w:p w14:paraId="7D959CF9" w14:textId="2C853BD9" w:rsidR="005576ED" w:rsidRPr="000C426A" w:rsidRDefault="005576ED" w:rsidP="005576ED">
            <w:pPr>
              <w:spacing w:line="240" w:lineRule="auto"/>
              <w:jc w:val="both"/>
              <w:rPr>
                <w:rFonts w:ascii="Calibri" w:eastAsia="Lato" w:hAnsi="Calibri" w:cs="Calibri"/>
                <w:lang w:val="pl"/>
              </w:rPr>
            </w:pPr>
            <w:r w:rsidRPr="006A5FC4">
              <w:rPr>
                <w:rFonts w:ascii="Calibri" w:eastAsia="Arial" w:hAnsi="Calibri" w:cs="Calibri"/>
              </w:rPr>
              <w:t>Art. 1 pkt 11 Projektu</w:t>
            </w:r>
            <w:r>
              <w:rPr>
                <w:rFonts w:ascii="Calibri" w:eastAsia="Arial" w:hAnsi="Calibri" w:cs="Calibri"/>
              </w:rPr>
              <w:t xml:space="preserve"> </w:t>
            </w:r>
          </w:p>
        </w:tc>
        <w:tc>
          <w:tcPr>
            <w:tcW w:w="5528" w:type="dxa"/>
            <w:shd w:val="clear" w:color="auto" w:fill="FFFFFF" w:themeFill="background1"/>
          </w:tcPr>
          <w:p w14:paraId="6FB3FF34" w14:textId="0E55B95E" w:rsidR="005576ED" w:rsidRPr="000C426A" w:rsidRDefault="005576ED" w:rsidP="005576ED">
            <w:pPr>
              <w:spacing w:after="120" w:line="240" w:lineRule="auto"/>
              <w:jc w:val="both"/>
              <w:rPr>
                <w:rFonts w:ascii="Calibri" w:eastAsia="Lato" w:hAnsi="Calibri" w:cs="Calibri"/>
                <w:lang w:val="pl"/>
              </w:rPr>
            </w:pPr>
            <w:r w:rsidRPr="000C426A">
              <w:rPr>
                <w:rFonts w:ascii="Calibri" w:eastAsia="Arial" w:hAnsi="Calibri" w:cs="Calibri"/>
                <w:color w:val="000000" w:themeColor="text1"/>
              </w:rPr>
              <w:t>W korespondencji z proponowaną zmianą do art. 32 ust. 4a</w:t>
            </w:r>
            <w:r>
              <w:rPr>
                <w:rFonts w:ascii="Calibri" w:eastAsia="Arial" w:hAnsi="Calibri" w:cs="Calibri"/>
                <w:color w:val="000000" w:themeColor="text1"/>
              </w:rPr>
              <w:t xml:space="preserve"> (art. 1 pkt 5 Projektu)</w:t>
            </w:r>
          </w:p>
        </w:tc>
        <w:tc>
          <w:tcPr>
            <w:tcW w:w="3119" w:type="dxa"/>
          </w:tcPr>
          <w:p w14:paraId="09B51435" w14:textId="5901660C" w:rsidR="005576ED" w:rsidRPr="000C426A" w:rsidRDefault="005576ED" w:rsidP="005576ED">
            <w:pPr>
              <w:spacing w:line="240" w:lineRule="auto"/>
              <w:jc w:val="both"/>
              <w:rPr>
                <w:rFonts w:ascii="Calibri" w:hAnsi="Calibri" w:cs="Calibri"/>
              </w:rPr>
            </w:pPr>
            <w:r w:rsidRPr="000C426A">
              <w:rPr>
                <w:rFonts w:ascii="Calibri" w:eastAsia="Arial" w:hAnsi="Calibri" w:cs="Calibri"/>
              </w:rPr>
              <w:t xml:space="preserve">“Nie podlegają zatwierdzeniu przez Prezesa URE taryfy ustalane przez przedsiębiorstwo energetyczne posiadające koncesję na wytwarzanie ciepła, </w:t>
            </w:r>
            <w:proofErr w:type="spellStart"/>
            <w:r w:rsidRPr="000C426A">
              <w:rPr>
                <w:rFonts w:ascii="Calibri" w:eastAsia="Arial" w:hAnsi="Calibri" w:cs="Calibri"/>
              </w:rPr>
              <w:t>przesył</w:t>
            </w:r>
            <w:proofErr w:type="spellEnd"/>
            <w:r w:rsidR="00D02F3A">
              <w:rPr>
                <w:rFonts w:ascii="Calibri" w:eastAsia="Arial" w:hAnsi="Calibri" w:cs="Calibri"/>
              </w:rPr>
              <w:t>,</w:t>
            </w:r>
            <w:r w:rsidRPr="000C426A">
              <w:rPr>
                <w:rFonts w:ascii="Calibri" w:eastAsia="Arial" w:hAnsi="Calibri" w:cs="Calibri"/>
              </w:rPr>
              <w:t xml:space="preserve"> dystrybucję </w:t>
            </w:r>
            <w:r w:rsidR="00D02F3A">
              <w:rPr>
                <w:rFonts w:ascii="Calibri" w:eastAsia="Arial" w:hAnsi="Calibri" w:cs="Calibri"/>
              </w:rPr>
              <w:t xml:space="preserve">i obrót </w:t>
            </w:r>
            <w:r w:rsidRPr="000C426A">
              <w:rPr>
                <w:rFonts w:ascii="Calibri" w:eastAsia="Arial" w:hAnsi="Calibri" w:cs="Calibri"/>
              </w:rPr>
              <w:t>w części spełniającej łącznie następujące warunki:</w:t>
            </w:r>
          </w:p>
          <w:p w14:paraId="02D4EC8E" w14:textId="77777777" w:rsidR="005576ED" w:rsidRPr="000C426A" w:rsidRDefault="005576ED" w:rsidP="005576ED">
            <w:pPr>
              <w:spacing w:line="240" w:lineRule="auto"/>
              <w:jc w:val="both"/>
              <w:rPr>
                <w:rFonts w:ascii="Calibri" w:hAnsi="Calibri" w:cs="Calibri"/>
              </w:rPr>
            </w:pPr>
            <w:r w:rsidRPr="000C426A">
              <w:rPr>
                <w:rFonts w:ascii="Calibri" w:eastAsia="Arial" w:hAnsi="Calibri" w:cs="Calibri"/>
              </w:rPr>
              <w:t xml:space="preserve">1)przedsiębiorstwo energetyczne bezpośrednio dostarcza ciepło do odbiorcy, </w:t>
            </w:r>
            <w:r w:rsidRPr="000C426A">
              <w:rPr>
                <w:rFonts w:ascii="Calibri" w:eastAsia="Arial" w:hAnsi="Calibri" w:cs="Calibri"/>
              </w:rPr>
              <w:lastRenderedPageBreak/>
              <w:t xml:space="preserve">który prowadzi działalność gospodarczą, </w:t>
            </w:r>
          </w:p>
          <w:p w14:paraId="3D83B903" w14:textId="77777777" w:rsidR="005576ED" w:rsidRPr="000C426A" w:rsidRDefault="005576ED" w:rsidP="005576ED">
            <w:pPr>
              <w:spacing w:line="240" w:lineRule="auto"/>
              <w:jc w:val="both"/>
              <w:rPr>
                <w:rFonts w:ascii="Calibri" w:hAnsi="Calibri" w:cs="Calibri"/>
              </w:rPr>
            </w:pPr>
            <w:r w:rsidRPr="000C426A">
              <w:rPr>
                <w:rFonts w:ascii="Calibri" w:eastAsia="Arial" w:hAnsi="Calibri" w:cs="Calibri"/>
              </w:rPr>
              <w:t xml:space="preserve">2)występuje brak uprawnienia lub zobowiązania tego odbiorcy do zapewnienia ciepła w lokalach mieszkalnych na potrzeby gospodarstw domowych i </w:t>
            </w:r>
          </w:p>
          <w:p w14:paraId="67526CBE" w14:textId="015D6F21" w:rsidR="005576ED" w:rsidRPr="000C426A" w:rsidRDefault="005576ED" w:rsidP="005576ED">
            <w:pPr>
              <w:spacing w:line="240" w:lineRule="auto"/>
              <w:jc w:val="both"/>
              <w:rPr>
                <w:rFonts w:ascii="Calibri" w:eastAsia="Lato" w:hAnsi="Calibri" w:cs="Calibri"/>
              </w:rPr>
            </w:pPr>
            <w:r w:rsidRPr="000C426A">
              <w:rPr>
                <w:rFonts w:ascii="Calibri" w:eastAsia="Arial" w:hAnsi="Calibri" w:cs="Calibri"/>
              </w:rPr>
              <w:t>3)zachodzi zgodna wola dwóch stron na sprzedaż i zakup ciepła na podstawie umowy, z pominięciem cen i stawek opłat zawartych w taryfie dla ciepła.”</w:t>
            </w:r>
          </w:p>
        </w:tc>
        <w:tc>
          <w:tcPr>
            <w:tcW w:w="2244" w:type="dxa"/>
          </w:tcPr>
          <w:p w14:paraId="6022A2CB" w14:textId="77777777" w:rsidR="005576ED" w:rsidRPr="000C426A" w:rsidRDefault="005576ED" w:rsidP="005576ED">
            <w:pPr>
              <w:spacing w:line="240" w:lineRule="auto"/>
              <w:jc w:val="center"/>
              <w:rPr>
                <w:rFonts w:ascii="Calibri" w:eastAsia="Lato" w:hAnsi="Calibri" w:cs="Calibri"/>
                <w:lang w:val="pl"/>
              </w:rPr>
            </w:pPr>
          </w:p>
        </w:tc>
      </w:tr>
      <w:tr w:rsidR="005576ED" w:rsidRPr="000C426A" w14:paraId="75020B5E" w14:textId="77777777" w:rsidTr="0093318E">
        <w:trPr>
          <w:trHeight w:val="35"/>
        </w:trPr>
        <w:tc>
          <w:tcPr>
            <w:tcW w:w="704" w:type="dxa"/>
            <w:shd w:val="clear" w:color="auto" w:fill="FFFFFF" w:themeFill="background1"/>
          </w:tcPr>
          <w:p w14:paraId="3CA6E0DA" w14:textId="1CE1510F" w:rsidR="005576ED" w:rsidRPr="00896C45" w:rsidRDefault="005576ED" w:rsidP="00896C45">
            <w:pPr>
              <w:pStyle w:val="Akapitzlist"/>
              <w:numPr>
                <w:ilvl w:val="0"/>
                <w:numId w:val="14"/>
              </w:numPr>
              <w:spacing w:line="240" w:lineRule="auto"/>
              <w:jc w:val="center"/>
              <w:rPr>
                <w:rFonts w:ascii="Calibri" w:hAnsi="Calibri" w:cs="Calibri"/>
              </w:rPr>
            </w:pPr>
          </w:p>
        </w:tc>
        <w:tc>
          <w:tcPr>
            <w:tcW w:w="1418" w:type="dxa"/>
          </w:tcPr>
          <w:p w14:paraId="78F9DA45" w14:textId="77777777" w:rsidR="005576ED" w:rsidRPr="000C426A" w:rsidRDefault="005576ED" w:rsidP="005576ED">
            <w:pPr>
              <w:spacing w:after="160" w:line="240" w:lineRule="auto"/>
              <w:jc w:val="both"/>
              <w:rPr>
                <w:rFonts w:ascii="Calibri" w:hAnsi="Calibri" w:cs="Calibri"/>
              </w:rPr>
            </w:pPr>
            <w:r w:rsidRPr="000C426A">
              <w:rPr>
                <w:rFonts w:ascii="Calibri" w:eastAsia="Lato" w:hAnsi="Calibri" w:cs="Calibri"/>
                <w:lang w:val="pl"/>
              </w:rPr>
              <w:t>Konfederacja Lewiatan</w:t>
            </w:r>
          </w:p>
          <w:p w14:paraId="7171C6A5" w14:textId="093AD328" w:rsidR="005576ED" w:rsidRPr="000C426A" w:rsidRDefault="005576ED" w:rsidP="005576ED">
            <w:pPr>
              <w:spacing w:after="160" w:line="240" w:lineRule="auto"/>
              <w:jc w:val="both"/>
              <w:rPr>
                <w:rFonts w:ascii="Calibri" w:eastAsia="Lato" w:hAnsi="Calibri" w:cs="Calibri"/>
                <w:b/>
                <w:bCs/>
                <w:lang w:val="pl"/>
              </w:rPr>
            </w:pPr>
          </w:p>
        </w:tc>
        <w:tc>
          <w:tcPr>
            <w:tcW w:w="1299" w:type="dxa"/>
          </w:tcPr>
          <w:p w14:paraId="063AA060" w14:textId="20AF4DB6" w:rsidR="005576ED" w:rsidRPr="000C426A" w:rsidRDefault="005576ED" w:rsidP="005576ED">
            <w:pPr>
              <w:spacing w:after="160" w:line="240" w:lineRule="auto"/>
              <w:jc w:val="both"/>
              <w:rPr>
                <w:rFonts w:ascii="Calibri" w:hAnsi="Calibri" w:cs="Calibri"/>
              </w:rPr>
            </w:pPr>
            <w:r w:rsidRPr="000C426A">
              <w:rPr>
                <w:rFonts w:ascii="Calibri" w:eastAsia="Lato" w:hAnsi="Calibri" w:cs="Calibri"/>
                <w:lang w:val="pl"/>
              </w:rPr>
              <w:t>Przepisy przejściowe i końcowe w zakresie zmienianego art. 32 ustawy Prawo energetyczne (koncesje)</w:t>
            </w:r>
          </w:p>
        </w:tc>
        <w:tc>
          <w:tcPr>
            <w:tcW w:w="5528" w:type="dxa"/>
            <w:shd w:val="clear" w:color="auto" w:fill="FFFFFF" w:themeFill="background1"/>
          </w:tcPr>
          <w:p w14:paraId="20A4E492" w14:textId="2C195B90" w:rsidR="005576ED" w:rsidRPr="000C426A" w:rsidRDefault="005576ED" w:rsidP="005576ED">
            <w:pPr>
              <w:spacing w:after="120" w:line="240" w:lineRule="auto"/>
              <w:jc w:val="both"/>
              <w:rPr>
                <w:rFonts w:ascii="Calibri" w:hAnsi="Calibri" w:cs="Calibri"/>
              </w:rPr>
            </w:pPr>
            <w:r w:rsidRPr="000C426A">
              <w:rPr>
                <w:rFonts w:ascii="Calibri" w:eastAsia="Lato" w:hAnsi="Calibri" w:cs="Calibri"/>
              </w:rPr>
              <w:t xml:space="preserve">Zwracamy uwagę, że ustawa w zakresie zwolnienia z koncesjonowania nie powinna dotyczyć tylko i wyłącznie źródeł ciepła/systemów ciepłowniczych oddanych do użytku po wejściu w życie ustawy. Powinny zostać sformułowane odpowiednie przepisy przejściowe oraz końcowe, które dadzą możliwość wyjścia z koncesjonowania źródłom/systemom ciepłowniczym spełniającym warunek wynikający z art. 32 ust. 4a ustawy Prawo energetyczne. </w:t>
            </w:r>
          </w:p>
        </w:tc>
        <w:tc>
          <w:tcPr>
            <w:tcW w:w="3119" w:type="dxa"/>
          </w:tcPr>
          <w:p w14:paraId="02523CA8" w14:textId="1E4F7DAF" w:rsidR="005576ED" w:rsidRPr="000C426A" w:rsidRDefault="005576ED" w:rsidP="005576ED">
            <w:pPr>
              <w:spacing w:after="160" w:line="240" w:lineRule="auto"/>
              <w:jc w:val="both"/>
              <w:rPr>
                <w:rFonts w:ascii="Calibri" w:hAnsi="Calibri" w:cs="Calibri"/>
              </w:rPr>
            </w:pPr>
            <w:r w:rsidRPr="000C426A">
              <w:rPr>
                <w:rFonts w:ascii="Calibri" w:eastAsia="Lato" w:hAnsi="Calibri" w:cs="Calibri"/>
              </w:rPr>
              <w:t xml:space="preserve"> </w:t>
            </w:r>
          </w:p>
        </w:tc>
        <w:tc>
          <w:tcPr>
            <w:tcW w:w="2244" w:type="dxa"/>
          </w:tcPr>
          <w:p w14:paraId="5FF0C025" w14:textId="61393E34" w:rsidR="005576ED" w:rsidRPr="000C426A" w:rsidRDefault="005576ED" w:rsidP="005576ED">
            <w:pPr>
              <w:spacing w:after="160" w:line="240" w:lineRule="auto"/>
              <w:jc w:val="center"/>
              <w:rPr>
                <w:rFonts w:ascii="Calibri" w:hAnsi="Calibri" w:cs="Calibri"/>
              </w:rPr>
            </w:pPr>
            <w:r w:rsidRPr="000C426A">
              <w:rPr>
                <w:rFonts w:ascii="Calibri" w:eastAsia="Lato" w:hAnsi="Calibri" w:cs="Calibri"/>
                <w:lang w:val="pl"/>
              </w:rPr>
              <w:t xml:space="preserve"> </w:t>
            </w:r>
          </w:p>
        </w:tc>
      </w:tr>
      <w:tr w:rsidR="005576ED" w:rsidRPr="000C426A" w14:paraId="2BD852AD" w14:textId="77777777" w:rsidTr="0093318E">
        <w:trPr>
          <w:trHeight w:val="275"/>
        </w:trPr>
        <w:tc>
          <w:tcPr>
            <w:tcW w:w="704" w:type="dxa"/>
            <w:shd w:val="clear" w:color="auto" w:fill="FFFFFF" w:themeFill="background1"/>
          </w:tcPr>
          <w:p w14:paraId="38950C5D" w14:textId="26771530" w:rsidR="005576ED" w:rsidRPr="00896C45" w:rsidRDefault="005576ED" w:rsidP="00896C45">
            <w:pPr>
              <w:pStyle w:val="Akapitzlist"/>
              <w:numPr>
                <w:ilvl w:val="0"/>
                <w:numId w:val="14"/>
              </w:numPr>
              <w:spacing w:line="240" w:lineRule="auto"/>
              <w:jc w:val="center"/>
              <w:rPr>
                <w:rFonts w:ascii="Calibri" w:hAnsi="Calibri" w:cs="Calibri"/>
                <w:b/>
                <w:bCs/>
              </w:rPr>
            </w:pPr>
          </w:p>
        </w:tc>
        <w:tc>
          <w:tcPr>
            <w:tcW w:w="1418" w:type="dxa"/>
          </w:tcPr>
          <w:p w14:paraId="7A59A987" w14:textId="0795DBD2" w:rsidR="005576ED" w:rsidRPr="000C426A" w:rsidRDefault="00807D54" w:rsidP="005576ED">
            <w:pPr>
              <w:spacing w:line="240" w:lineRule="auto"/>
              <w:jc w:val="both"/>
              <w:rPr>
                <w:rFonts w:ascii="Calibri" w:eastAsia="Arial" w:hAnsi="Calibri" w:cs="Calibri"/>
                <w:color w:val="000000" w:themeColor="text1"/>
              </w:rPr>
            </w:pPr>
            <w:r>
              <w:rPr>
                <w:rFonts w:ascii="Calibri" w:eastAsia="Arial" w:hAnsi="Calibri" w:cs="Calibri"/>
                <w:color w:val="000000" w:themeColor="text1"/>
              </w:rPr>
              <w:t>Konfederacja Lewiatan</w:t>
            </w:r>
          </w:p>
          <w:p w14:paraId="49082ACB" w14:textId="7965CB35" w:rsidR="005576ED" w:rsidRPr="000C426A" w:rsidRDefault="005576ED" w:rsidP="005576ED">
            <w:pPr>
              <w:spacing w:line="240" w:lineRule="auto"/>
              <w:jc w:val="both"/>
              <w:rPr>
                <w:rFonts w:ascii="Calibri" w:eastAsia="Arial" w:hAnsi="Calibri" w:cs="Calibri"/>
                <w:color w:val="000000" w:themeColor="text1"/>
              </w:rPr>
            </w:pPr>
          </w:p>
        </w:tc>
        <w:tc>
          <w:tcPr>
            <w:tcW w:w="1299" w:type="dxa"/>
          </w:tcPr>
          <w:p w14:paraId="5B7C280D" w14:textId="3324D11D" w:rsidR="005576ED" w:rsidRPr="000C426A" w:rsidRDefault="005576ED" w:rsidP="005576ED">
            <w:pPr>
              <w:spacing w:line="240" w:lineRule="auto"/>
              <w:jc w:val="both"/>
              <w:rPr>
                <w:rFonts w:ascii="Calibri" w:hAnsi="Calibri" w:cs="Calibri"/>
              </w:rPr>
            </w:pPr>
            <w:r>
              <w:rPr>
                <w:rFonts w:ascii="Calibri" w:eastAsia="Arial" w:hAnsi="Calibri" w:cs="Calibri"/>
              </w:rPr>
              <w:t xml:space="preserve">Art. 2 pkt 1 Projektu w zakresie </w:t>
            </w:r>
            <w:r w:rsidRPr="000C426A">
              <w:rPr>
                <w:rFonts w:ascii="Calibri" w:eastAsia="Arial" w:hAnsi="Calibri" w:cs="Calibri"/>
              </w:rPr>
              <w:t xml:space="preserve"> ust. 1c </w:t>
            </w:r>
            <w:r>
              <w:rPr>
                <w:rFonts w:ascii="Calibri" w:eastAsia="Arial" w:hAnsi="Calibri" w:cs="Calibri"/>
              </w:rPr>
              <w:t>dodawanego  w a</w:t>
            </w:r>
            <w:r w:rsidRPr="000C426A">
              <w:rPr>
                <w:rFonts w:ascii="Calibri" w:eastAsia="Arial" w:hAnsi="Calibri" w:cs="Calibri"/>
              </w:rPr>
              <w:t xml:space="preserve">rt. 116 </w:t>
            </w:r>
          </w:p>
        </w:tc>
        <w:tc>
          <w:tcPr>
            <w:tcW w:w="5528" w:type="dxa"/>
            <w:shd w:val="clear" w:color="auto" w:fill="FFFFFF" w:themeFill="background1"/>
          </w:tcPr>
          <w:p w14:paraId="4E786A84" w14:textId="177FC55A" w:rsidR="005576ED" w:rsidRPr="000C426A" w:rsidRDefault="005576ED" w:rsidP="005576ED">
            <w:pPr>
              <w:spacing w:line="240" w:lineRule="auto"/>
              <w:jc w:val="both"/>
              <w:rPr>
                <w:rFonts w:ascii="Calibri" w:hAnsi="Calibri" w:cs="Calibri"/>
              </w:rPr>
            </w:pPr>
            <w:r w:rsidRPr="000C426A">
              <w:rPr>
                <w:rFonts w:ascii="Calibri" w:eastAsia="Arial" w:hAnsi="Calibri" w:cs="Calibri"/>
                <w:color w:val="000000" w:themeColor="text1"/>
              </w:rPr>
              <w:t xml:space="preserve">Na poziomie operacyjnym niemożliwym będzie określenie wolumenu zakupu ciepła, które podlegać obowiązkowi zakupu. </w:t>
            </w:r>
          </w:p>
        </w:tc>
        <w:tc>
          <w:tcPr>
            <w:tcW w:w="3119" w:type="dxa"/>
          </w:tcPr>
          <w:p w14:paraId="58452326" w14:textId="61BE4DE6" w:rsidR="005576ED" w:rsidRPr="000C426A" w:rsidRDefault="005576ED" w:rsidP="005576ED">
            <w:pPr>
              <w:spacing w:line="240" w:lineRule="auto"/>
              <w:jc w:val="both"/>
              <w:rPr>
                <w:rFonts w:ascii="Calibri" w:hAnsi="Calibri" w:cs="Calibri"/>
              </w:rPr>
            </w:pPr>
            <w:r w:rsidRPr="000C426A">
              <w:rPr>
                <w:rFonts w:ascii="Calibri" w:eastAsia="Arial" w:hAnsi="Calibri" w:cs="Calibri"/>
              </w:rPr>
              <w:t>“- przy czym warunkiem objęcia wytworzonego ciepła obowiązkiem zakupu jest: określenie planowanego wolumenu ciepła wyprodukowanego przez jednostkę w umowie zakupu ciepła, opomiarowanie energii elektrycznej dostarczanej do kotła elektrycznego w sposób umożliwiający określenie ilości energii elektrycznej dostarczonej zgodnie z pkt 1–3.”</w:t>
            </w:r>
          </w:p>
        </w:tc>
        <w:tc>
          <w:tcPr>
            <w:tcW w:w="2244" w:type="dxa"/>
          </w:tcPr>
          <w:p w14:paraId="547872C8" w14:textId="77777777" w:rsidR="005576ED" w:rsidRPr="000C426A" w:rsidRDefault="005576ED" w:rsidP="005576ED">
            <w:pPr>
              <w:spacing w:line="240" w:lineRule="auto"/>
              <w:jc w:val="center"/>
              <w:rPr>
                <w:rFonts w:ascii="Calibri" w:hAnsi="Calibri" w:cs="Calibri"/>
              </w:rPr>
            </w:pPr>
          </w:p>
        </w:tc>
      </w:tr>
      <w:tr w:rsidR="005576ED" w:rsidRPr="000C426A" w14:paraId="35599F63" w14:textId="77777777" w:rsidTr="0093318E">
        <w:trPr>
          <w:trHeight w:val="35"/>
        </w:trPr>
        <w:tc>
          <w:tcPr>
            <w:tcW w:w="704" w:type="dxa"/>
            <w:shd w:val="clear" w:color="auto" w:fill="FFFFFF" w:themeFill="background1"/>
          </w:tcPr>
          <w:p w14:paraId="215D1DF5" w14:textId="77777777" w:rsidR="005576ED" w:rsidRPr="00896C45" w:rsidRDefault="005576ED" w:rsidP="00896C45">
            <w:pPr>
              <w:pStyle w:val="Akapitzlist"/>
              <w:numPr>
                <w:ilvl w:val="0"/>
                <w:numId w:val="14"/>
              </w:numPr>
              <w:spacing w:line="240" w:lineRule="auto"/>
              <w:jc w:val="center"/>
              <w:rPr>
                <w:rFonts w:ascii="Calibri" w:hAnsi="Calibri" w:cs="Calibri"/>
                <w:b/>
                <w:bCs/>
              </w:rPr>
            </w:pPr>
          </w:p>
        </w:tc>
        <w:tc>
          <w:tcPr>
            <w:tcW w:w="1418" w:type="dxa"/>
          </w:tcPr>
          <w:p w14:paraId="0C5310B5" w14:textId="2E8D0331" w:rsidR="005576ED" w:rsidRPr="000C426A" w:rsidRDefault="00BC396C" w:rsidP="005576ED">
            <w:pPr>
              <w:spacing w:line="240" w:lineRule="auto"/>
              <w:jc w:val="both"/>
              <w:rPr>
                <w:rFonts w:ascii="Calibri" w:eastAsia="Arial" w:hAnsi="Calibri" w:cs="Calibri"/>
                <w:color w:val="000000" w:themeColor="text1"/>
              </w:rPr>
            </w:pPr>
            <w:r>
              <w:rPr>
                <w:rFonts w:ascii="Calibri" w:eastAsia="Arial" w:hAnsi="Calibri" w:cs="Calibri"/>
                <w:color w:val="000000" w:themeColor="text1"/>
              </w:rPr>
              <w:t>Konfederacja Lewiatan</w:t>
            </w:r>
          </w:p>
        </w:tc>
        <w:tc>
          <w:tcPr>
            <w:tcW w:w="1299" w:type="dxa"/>
          </w:tcPr>
          <w:p w14:paraId="49AAE887" w14:textId="68CDF3CB" w:rsidR="005576ED" w:rsidRPr="000C426A" w:rsidRDefault="005576ED" w:rsidP="005576ED">
            <w:pPr>
              <w:spacing w:line="240" w:lineRule="auto"/>
              <w:jc w:val="both"/>
              <w:rPr>
                <w:rFonts w:ascii="Calibri" w:hAnsi="Calibri" w:cs="Calibri"/>
              </w:rPr>
            </w:pPr>
            <w:r w:rsidRPr="000C426A">
              <w:rPr>
                <w:rFonts w:ascii="Calibri" w:hAnsi="Calibri" w:cs="Calibri"/>
              </w:rPr>
              <w:t xml:space="preserve">Art. 3 pkt 1 Projektu </w:t>
            </w:r>
          </w:p>
          <w:p w14:paraId="3CA75A7C" w14:textId="77777777" w:rsidR="005576ED" w:rsidRPr="000C426A" w:rsidRDefault="005576ED" w:rsidP="005576ED">
            <w:pPr>
              <w:spacing w:line="240" w:lineRule="auto"/>
              <w:jc w:val="both"/>
              <w:rPr>
                <w:rFonts w:ascii="Calibri" w:hAnsi="Calibri" w:cs="Calibri"/>
              </w:rPr>
            </w:pPr>
          </w:p>
          <w:p w14:paraId="69B494EB" w14:textId="7B471FE9" w:rsidR="005576ED" w:rsidRDefault="005576ED" w:rsidP="005576ED">
            <w:pPr>
              <w:spacing w:line="240" w:lineRule="auto"/>
              <w:jc w:val="both"/>
              <w:rPr>
                <w:rFonts w:ascii="Calibri" w:eastAsia="Arial" w:hAnsi="Calibri" w:cs="Calibri"/>
              </w:rPr>
            </w:pPr>
            <w:r w:rsidRPr="000C426A">
              <w:rPr>
                <w:rFonts w:ascii="Calibri" w:hAnsi="Calibri" w:cs="Calibri"/>
              </w:rPr>
              <w:t xml:space="preserve">Art. 5 ust. 1 a) ustawy z dnia 14 grudnia 2018 r. o promowaniu energii elektrycznej z wysokosprawnej </w:t>
            </w:r>
            <w:r w:rsidRPr="000C426A">
              <w:rPr>
                <w:rFonts w:ascii="Calibri" w:hAnsi="Calibri" w:cs="Calibri"/>
              </w:rPr>
              <w:lastRenderedPageBreak/>
              <w:t>kogeneracji (Dz. U. z 2025 r. poz. 602)</w:t>
            </w:r>
          </w:p>
        </w:tc>
        <w:tc>
          <w:tcPr>
            <w:tcW w:w="5528" w:type="dxa"/>
            <w:shd w:val="clear" w:color="auto" w:fill="FFFFFF" w:themeFill="background1"/>
          </w:tcPr>
          <w:p w14:paraId="72A017D1" w14:textId="77777777" w:rsidR="005576ED" w:rsidRPr="000C426A" w:rsidRDefault="005576ED" w:rsidP="005576ED">
            <w:pPr>
              <w:spacing w:after="120" w:line="240" w:lineRule="auto"/>
              <w:jc w:val="both"/>
              <w:rPr>
                <w:rFonts w:ascii="Calibri" w:hAnsi="Calibri" w:cs="Calibri"/>
              </w:rPr>
            </w:pPr>
            <w:r w:rsidRPr="000C426A">
              <w:rPr>
                <w:rFonts w:ascii="Calibri" w:hAnsi="Calibri" w:cs="Calibri"/>
              </w:rPr>
              <w:lastRenderedPageBreak/>
              <w:t>Projektowana zmiana w sposób nieuzasadniony ogranicza możliwość lokalizowania nowych małych jednostek kogeneracji, wprowadzenie przesłanek w punktach 2 i 3 należy uznać za wymogi zbyt daleko idące. Ponadto, zapis wymaga doprecyzowania w sposób wykluczający wątpliwości, gdyż przesłanki zostały sformułowane bardzo ogólnikowo, na przykład:</w:t>
            </w:r>
          </w:p>
          <w:p w14:paraId="02BE959B" w14:textId="77777777" w:rsidR="005576ED" w:rsidRPr="000C426A" w:rsidRDefault="005576ED" w:rsidP="005576ED">
            <w:pPr>
              <w:pStyle w:val="Akapitzlist"/>
              <w:numPr>
                <w:ilvl w:val="0"/>
                <w:numId w:val="13"/>
              </w:numPr>
              <w:spacing w:after="120" w:line="240" w:lineRule="auto"/>
              <w:jc w:val="both"/>
              <w:rPr>
                <w:rFonts w:ascii="Calibri" w:hAnsi="Calibri" w:cs="Calibri"/>
              </w:rPr>
            </w:pPr>
            <w:r w:rsidRPr="000C426A">
              <w:rPr>
                <w:rFonts w:ascii="Calibri" w:hAnsi="Calibri" w:cs="Calibri"/>
              </w:rPr>
              <w:t xml:space="preserve"> czy przepis znajduje zastosowanie również w przypadku, w którym poprzednie źródło lub źródła  wytwórcy w danej lokalizacji miało łączną moc zainstalowaną elektryczną powyżej 1 MW;</w:t>
            </w:r>
          </w:p>
          <w:p w14:paraId="647E0557" w14:textId="77777777" w:rsidR="005576ED" w:rsidRPr="000C426A" w:rsidRDefault="005576ED" w:rsidP="005576ED">
            <w:pPr>
              <w:pStyle w:val="Akapitzlist"/>
              <w:numPr>
                <w:ilvl w:val="0"/>
                <w:numId w:val="13"/>
              </w:numPr>
              <w:spacing w:after="120" w:line="240" w:lineRule="auto"/>
              <w:jc w:val="both"/>
              <w:rPr>
                <w:rFonts w:ascii="Calibri" w:hAnsi="Calibri" w:cs="Calibri"/>
              </w:rPr>
            </w:pPr>
            <w:r w:rsidRPr="000C426A">
              <w:rPr>
                <w:rFonts w:ascii="Calibri" w:hAnsi="Calibri" w:cs="Calibri"/>
              </w:rPr>
              <w:t xml:space="preserve">do czego odnosi się „brak połączeń pomiędzy jednostkami kogeneracyjnymi wchodzącymi w skład poszczególnych źródeł” – czy takie połączenie </w:t>
            </w:r>
            <w:r w:rsidRPr="000C426A">
              <w:rPr>
                <w:rFonts w:ascii="Calibri" w:hAnsi="Calibri" w:cs="Calibri"/>
              </w:rPr>
              <w:lastRenderedPageBreak/>
              <w:t>wyłącza np. wspólna droga, zbiornik oleju, wspólne przyłącze, przyłączenie w jednym GPZ?;</w:t>
            </w:r>
          </w:p>
          <w:p w14:paraId="519FD6FD" w14:textId="77777777" w:rsidR="005576ED" w:rsidRPr="000C426A" w:rsidRDefault="005576ED" w:rsidP="005576ED">
            <w:pPr>
              <w:pStyle w:val="Akapitzlist"/>
              <w:numPr>
                <w:ilvl w:val="0"/>
                <w:numId w:val="13"/>
              </w:numPr>
              <w:spacing w:after="120" w:line="240" w:lineRule="auto"/>
              <w:jc w:val="both"/>
              <w:rPr>
                <w:rFonts w:ascii="Calibri" w:hAnsi="Calibri" w:cs="Calibri"/>
              </w:rPr>
            </w:pPr>
            <w:r w:rsidRPr="000C426A">
              <w:rPr>
                <w:rFonts w:ascii="Calibri" w:hAnsi="Calibri" w:cs="Calibri"/>
              </w:rPr>
              <w:t>czyje zapotrzebowanie, w jaki sposób potwierdzone i na jaką energię decyduje o spełnieniu przesłanki, że „budowa nowego źródła uzasadniona jest zwiększeniem zapotrzebowania na energię”</w:t>
            </w:r>
          </w:p>
          <w:p w14:paraId="4FC1D8CE" w14:textId="7C078677" w:rsidR="005576ED" w:rsidRPr="000C426A" w:rsidRDefault="005576ED" w:rsidP="005576ED">
            <w:pPr>
              <w:spacing w:line="240" w:lineRule="auto"/>
              <w:jc w:val="both"/>
              <w:rPr>
                <w:rFonts w:ascii="Calibri" w:eastAsia="Arial" w:hAnsi="Calibri" w:cs="Calibri"/>
                <w:color w:val="000000" w:themeColor="text1"/>
              </w:rPr>
            </w:pPr>
            <w:r w:rsidRPr="000C426A">
              <w:rPr>
                <w:rFonts w:ascii="Calibri" w:hAnsi="Calibri" w:cs="Calibri"/>
              </w:rPr>
              <w:t xml:space="preserve">Dodatkowo zasadnym byłoby uzupełnienie przesłanki z punktu 3) o inne przyczyny budowy źródła, w szczególności zastąpienie w całości lub części innego źródła lub poprawienie wskaźników wymaganych do uzyskaniach statusu efektywnego systemu ciepłowniczego </w:t>
            </w:r>
          </w:p>
        </w:tc>
        <w:tc>
          <w:tcPr>
            <w:tcW w:w="3119" w:type="dxa"/>
          </w:tcPr>
          <w:p w14:paraId="47BE8C46" w14:textId="77777777" w:rsidR="005576ED" w:rsidRPr="000C426A" w:rsidRDefault="005576ED" w:rsidP="005576ED">
            <w:pPr>
              <w:spacing w:line="240" w:lineRule="auto"/>
              <w:jc w:val="both"/>
              <w:rPr>
                <w:rFonts w:ascii="Calibri" w:eastAsia="Lato" w:hAnsi="Calibri" w:cs="Calibri"/>
              </w:rPr>
            </w:pPr>
            <w:r w:rsidRPr="000C426A">
              <w:rPr>
                <w:rFonts w:ascii="Calibri" w:eastAsia="Lato" w:hAnsi="Calibri" w:cs="Calibri"/>
              </w:rPr>
              <w:lastRenderedPageBreak/>
              <w:t xml:space="preserve">„1a. W przypadku gdy w danej lokalizacji zostało wybudowane przez wytwórcę kolejne źródło, którego łączna moc zainstalowanej elektrycznej mniejszej niż 1 MW jednostki kogeneracji wchodzące w skład tego źródła mogą uzyskać dopuszczenie do systemu wsparcia w formie premii gwarantowanej dla nowej małej jednostki kogeneracji o ile wybudowanie tego źródła nastąpiło po upływie trzech lat </w:t>
            </w:r>
            <w:r w:rsidRPr="000C426A">
              <w:rPr>
                <w:rFonts w:ascii="Calibri" w:eastAsia="Lato" w:hAnsi="Calibri" w:cs="Calibri"/>
              </w:rPr>
              <w:lastRenderedPageBreak/>
              <w:t>od wydania ostatniego dopuszczenia dla nowej małej jednostki kogeneracji, znacznie zmodernizowanej małej jednostki kogeneracji, istniejącej małej jednostki kogeneracji i zmodernizowanej małej jednostki kogeneracji wchodzących w skład istniejącego źródła.”</w:t>
            </w:r>
          </w:p>
          <w:p w14:paraId="74183BCF" w14:textId="77777777" w:rsidR="005576ED" w:rsidRPr="000C426A" w:rsidRDefault="005576ED" w:rsidP="005576ED">
            <w:pPr>
              <w:spacing w:line="240" w:lineRule="auto"/>
              <w:jc w:val="both"/>
              <w:rPr>
                <w:rFonts w:ascii="Calibri" w:eastAsia="Lato" w:hAnsi="Calibri" w:cs="Calibri"/>
              </w:rPr>
            </w:pPr>
          </w:p>
          <w:p w14:paraId="5AA74415" w14:textId="4C418312" w:rsidR="005576ED" w:rsidRPr="00FB7B55" w:rsidRDefault="005576ED" w:rsidP="005576ED">
            <w:pPr>
              <w:spacing w:line="240" w:lineRule="auto"/>
              <w:jc w:val="both"/>
              <w:rPr>
                <w:rFonts w:ascii="Calibri" w:eastAsia="Lato" w:hAnsi="Calibri" w:cs="Calibri"/>
              </w:rPr>
            </w:pPr>
            <w:r w:rsidRPr="000C426A">
              <w:rPr>
                <w:rFonts w:ascii="Calibri" w:eastAsia="Lato" w:hAnsi="Calibri" w:cs="Calibri"/>
              </w:rPr>
              <w:t xml:space="preserve">W przypadku utrzymania punktu 3) nadanie mu brzmienia: „3) </w:t>
            </w:r>
            <w:r w:rsidRPr="000C426A">
              <w:rPr>
                <w:rFonts w:ascii="Calibri" w:hAnsi="Calibri" w:cs="Calibri"/>
              </w:rPr>
              <w:t>budowa nowego źródła uzasadniona jest zwiększeniem zapotrzebowania na energię, zastępowaniem innego źródła ciepła dostarczającego ciepło do tej samej sieci ciepłowniczej lub zmierza do uzyskania przez system statusu efektywnego energetycznie systemu ciepłowniczego lub chłodniczego</w:t>
            </w:r>
          </w:p>
        </w:tc>
        <w:tc>
          <w:tcPr>
            <w:tcW w:w="2244" w:type="dxa"/>
          </w:tcPr>
          <w:p w14:paraId="5DEBAD06" w14:textId="77777777" w:rsidR="005576ED" w:rsidRPr="000C426A" w:rsidRDefault="005576ED" w:rsidP="005576ED">
            <w:pPr>
              <w:spacing w:line="240" w:lineRule="auto"/>
              <w:jc w:val="center"/>
              <w:rPr>
                <w:rFonts w:ascii="Calibri" w:hAnsi="Calibri" w:cs="Calibri"/>
              </w:rPr>
            </w:pPr>
          </w:p>
        </w:tc>
      </w:tr>
      <w:tr w:rsidR="005576ED" w:rsidRPr="000C426A" w14:paraId="316AEA04" w14:textId="77777777" w:rsidTr="0093318E">
        <w:trPr>
          <w:trHeight w:val="35"/>
        </w:trPr>
        <w:tc>
          <w:tcPr>
            <w:tcW w:w="704" w:type="dxa"/>
            <w:shd w:val="clear" w:color="auto" w:fill="FFFFFF" w:themeFill="background1"/>
          </w:tcPr>
          <w:p w14:paraId="7A1A3B4C" w14:textId="23598AD1" w:rsidR="005576ED" w:rsidRPr="00896C45" w:rsidRDefault="005576ED" w:rsidP="00896C45">
            <w:pPr>
              <w:pStyle w:val="Akapitzlist"/>
              <w:numPr>
                <w:ilvl w:val="0"/>
                <w:numId w:val="14"/>
              </w:numPr>
              <w:spacing w:line="240" w:lineRule="auto"/>
              <w:jc w:val="center"/>
              <w:rPr>
                <w:rFonts w:ascii="Calibri" w:hAnsi="Calibri" w:cs="Calibri"/>
                <w:b/>
                <w:bCs/>
              </w:rPr>
            </w:pPr>
          </w:p>
        </w:tc>
        <w:tc>
          <w:tcPr>
            <w:tcW w:w="1418" w:type="dxa"/>
          </w:tcPr>
          <w:p w14:paraId="333D72ED" w14:textId="5E415CD5" w:rsidR="005576ED" w:rsidRPr="000C426A" w:rsidRDefault="005576ED" w:rsidP="005576ED">
            <w:pPr>
              <w:spacing w:line="240" w:lineRule="auto"/>
              <w:jc w:val="both"/>
              <w:rPr>
                <w:rFonts w:ascii="Calibri" w:eastAsia="Arial" w:hAnsi="Calibri" w:cs="Calibri"/>
              </w:rPr>
            </w:pPr>
            <w:r>
              <w:rPr>
                <w:rFonts w:ascii="Calibri" w:eastAsia="Lato" w:hAnsi="Calibri" w:cs="Calibri"/>
              </w:rPr>
              <w:t>Konfederacja Lewiatan</w:t>
            </w:r>
          </w:p>
        </w:tc>
        <w:tc>
          <w:tcPr>
            <w:tcW w:w="1299" w:type="dxa"/>
          </w:tcPr>
          <w:p w14:paraId="2F5FDC70" w14:textId="6BF63848" w:rsidR="005576ED" w:rsidRPr="000C426A" w:rsidRDefault="005576ED" w:rsidP="005576ED">
            <w:pPr>
              <w:spacing w:line="240" w:lineRule="auto"/>
              <w:jc w:val="both"/>
              <w:rPr>
                <w:rFonts w:ascii="Calibri" w:eastAsia="Arial" w:hAnsi="Calibri" w:cs="Calibri"/>
              </w:rPr>
            </w:pPr>
            <w:r w:rsidRPr="000C426A">
              <w:rPr>
                <w:rFonts w:ascii="Calibri" w:eastAsia="Lato" w:hAnsi="Calibri" w:cs="Calibri"/>
              </w:rPr>
              <w:t>Art.</w:t>
            </w:r>
            <w:r>
              <w:rPr>
                <w:rFonts w:ascii="Calibri" w:eastAsia="Lato" w:hAnsi="Calibri" w:cs="Calibri"/>
              </w:rPr>
              <w:t xml:space="preserve"> </w:t>
            </w:r>
            <w:r w:rsidRPr="000C426A">
              <w:rPr>
                <w:rFonts w:ascii="Calibri" w:eastAsia="Lato" w:hAnsi="Calibri" w:cs="Calibri"/>
              </w:rPr>
              <w:t xml:space="preserve">4 </w:t>
            </w:r>
            <w:r>
              <w:rPr>
                <w:rFonts w:ascii="Calibri" w:eastAsia="Lato" w:hAnsi="Calibri" w:cs="Calibri"/>
              </w:rPr>
              <w:t>Projektu</w:t>
            </w:r>
          </w:p>
        </w:tc>
        <w:tc>
          <w:tcPr>
            <w:tcW w:w="5528" w:type="dxa"/>
            <w:shd w:val="clear" w:color="auto" w:fill="FFFFFF" w:themeFill="background1"/>
          </w:tcPr>
          <w:p w14:paraId="1957DBED" w14:textId="2D37D1A9" w:rsidR="005576ED" w:rsidRPr="000C426A" w:rsidRDefault="005576ED" w:rsidP="005576ED">
            <w:pPr>
              <w:spacing w:line="240" w:lineRule="auto"/>
              <w:jc w:val="both"/>
              <w:rPr>
                <w:rFonts w:ascii="Calibri" w:hAnsi="Calibri" w:cs="Calibri"/>
              </w:rPr>
            </w:pPr>
            <w:r w:rsidRPr="000C426A">
              <w:rPr>
                <w:rFonts w:ascii="Calibri" w:eastAsia="Lato" w:hAnsi="Calibri" w:cs="Calibri"/>
              </w:rPr>
              <w:t xml:space="preserve">Proponuje się usunąć z pouczenia odbiorcy, o którym mowa w art. 4 ust. 2 niniejszego projektu ustawy, danych odbiorcy odnoszących się do </w:t>
            </w:r>
            <w:r w:rsidRPr="000C426A">
              <w:rPr>
                <w:rFonts w:ascii="Calibri" w:eastAsia="Lato" w:hAnsi="Calibri" w:cs="Calibri"/>
                <w:i/>
                <w:iCs/>
              </w:rPr>
              <w:t xml:space="preserve">miejsca dostarczania paliw gazowych, </w:t>
            </w:r>
            <w:r w:rsidRPr="000C426A">
              <w:rPr>
                <w:rFonts w:ascii="Calibri" w:eastAsia="Lato" w:hAnsi="Calibri" w:cs="Calibri"/>
                <w:i/>
                <w:iCs/>
              </w:rPr>
              <w:lastRenderedPageBreak/>
              <w:t>energii elektrycznej lub ciepła przez przedsiębiorstwo energetyczne.</w:t>
            </w:r>
          </w:p>
          <w:p w14:paraId="63BE0DB3" w14:textId="75951B72" w:rsidR="005576ED" w:rsidRPr="000C426A" w:rsidRDefault="005576ED" w:rsidP="005576ED">
            <w:pPr>
              <w:spacing w:line="240" w:lineRule="auto"/>
              <w:jc w:val="both"/>
              <w:rPr>
                <w:rFonts w:ascii="Calibri" w:eastAsia="Arial" w:hAnsi="Calibri" w:cs="Calibri"/>
                <w:color w:val="000000" w:themeColor="text1"/>
              </w:rPr>
            </w:pPr>
          </w:p>
        </w:tc>
        <w:tc>
          <w:tcPr>
            <w:tcW w:w="3119" w:type="dxa"/>
          </w:tcPr>
          <w:p w14:paraId="6B89E5CA" w14:textId="106E930D" w:rsidR="005576ED" w:rsidRPr="000C426A" w:rsidRDefault="005576ED" w:rsidP="005576ED">
            <w:pPr>
              <w:spacing w:before="120" w:line="240" w:lineRule="auto"/>
              <w:jc w:val="both"/>
              <w:rPr>
                <w:rFonts w:ascii="Calibri" w:hAnsi="Calibri" w:cs="Calibri"/>
              </w:rPr>
            </w:pPr>
            <w:r w:rsidRPr="000C426A">
              <w:rPr>
                <w:rFonts w:ascii="Calibri" w:eastAsia="Lato" w:hAnsi="Calibri" w:cs="Calibri"/>
                <w:b/>
                <w:bCs/>
              </w:rPr>
              <w:lastRenderedPageBreak/>
              <w:t>Art. 4.</w:t>
            </w:r>
            <w:r w:rsidRPr="000C426A">
              <w:rPr>
                <w:rFonts w:ascii="Calibri" w:eastAsia="Lato" w:hAnsi="Calibri" w:cs="Calibri"/>
              </w:rPr>
              <w:t xml:space="preserve"> 1. Korespondencja z </w:t>
            </w:r>
            <w:r w:rsidRPr="000C426A">
              <w:rPr>
                <w:rFonts w:ascii="Calibri" w:eastAsia="Lato" w:hAnsi="Calibri" w:cs="Calibri"/>
                <w:b/>
                <w:bCs/>
              </w:rPr>
              <w:t xml:space="preserve">odbiorcą, </w:t>
            </w:r>
            <w:r w:rsidRPr="000C426A">
              <w:rPr>
                <w:rFonts w:ascii="Calibri" w:eastAsia="Lato" w:hAnsi="Calibri" w:cs="Calibri"/>
              </w:rPr>
              <w:t xml:space="preserve">o którym mowa w art. 3 pkt 13 ustawy zmienianej w art. 1, zwanym dalej „odbiorcą”, </w:t>
            </w:r>
            <w:r w:rsidRPr="000C426A">
              <w:rPr>
                <w:rFonts w:ascii="Calibri" w:eastAsia="Lato" w:hAnsi="Calibri" w:cs="Calibri"/>
              </w:rPr>
              <w:lastRenderedPageBreak/>
              <w:t>który miał zawartą umowę z przedsiębiorstwem</w:t>
            </w:r>
            <w:r>
              <w:rPr>
                <w:rFonts w:ascii="Calibri" w:eastAsia="Lato" w:hAnsi="Calibri" w:cs="Calibri"/>
              </w:rPr>
              <w:t xml:space="preserve"> e</w:t>
            </w:r>
            <w:r w:rsidRPr="000C426A">
              <w:rPr>
                <w:rFonts w:ascii="Calibri" w:eastAsia="Lato" w:hAnsi="Calibri" w:cs="Calibri"/>
              </w:rPr>
              <w:t>nergetycznym, o którym mowa w art. 3 pkt 12 ustawy zmienianej w art. 1, zwanym dalej „przedsiębiorstwem energetycznym”, przed dniem wejścia w życie niniejszej ustawy i która była prowadzona z tym odbiorcą w postaci papierowej, odbywa się na dotychczasowych zasadach.</w:t>
            </w:r>
          </w:p>
          <w:p w14:paraId="4E0A6ADF" w14:textId="0DF8559A" w:rsidR="005576ED" w:rsidRPr="000C426A" w:rsidRDefault="005576ED" w:rsidP="005576ED">
            <w:pPr>
              <w:spacing w:line="240" w:lineRule="auto"/>
              <w:jc w:val="both"/>
              <w:rPr>
                <w:rFonts w:ascii="Calibri" w:hAnsi="Calibri" w:cs="Calibri"/>
              </w:rPr>
            </w:pPr>
            <w:r w:rsidRPr="000C426A">
              <w:rPr>
                <w:rFonts w:ascii="Calibri" w:eastAsia="Lato" w:hAnsi="Calibri" w:cs="Calibri"/>
              </w:rPr>
              <w:t xml:space="preserve">2. Przedsiębiorstwo energetyczne poucza odbiorcę o możliwości udzielenia przez niego zgody na prowadzenie korespondencji za pomocą środków komunikacji elektronicznej w rozumieniu art. 2 pkt 5 ustawy z dnia 18 lipca 2002 r. o świadczeniu usług drogą elektroniczną (Dz. U. z 2024 r. poz. 1513) lub w dedykowanym do obsługi odbiorców portalu internetowym, wraz z pierwszą korespondencją kierowaną do </w:t>
            </w:r>
            <w:r w:rsidRPr="000C426A">
              <w:rPr>
                <w:rFonts w:ascii="Calibri" w:eastAsia="Lato" w:hAnsi="Calibri" w:cs="Calibri"/>
              </w:rPr>
              <w:lastRenderedPageBreak/>
              <w:t>tego odbiorcy po dniu wejścia w życie niniejszej ustawy.</w:t>
            </w:r>
          </w:p>
          <w:p w14:paraId="15CB6196" w14:textId="079986F0" w:rsidR="005576ED" w:rsidRPr="000C426A" w:rsidRDefault="005576ED" w:rsidP="005576ED">
            <w:pPr>
              <w:spacing w:line="240" w:lineRule="auto"/>
              <w:jc w:val="both"/>
              <w:rPr>
                <w:rFonts w:ascii="Calibri" w:hAnsi="Calibri" w:cs="Calibri"/>
              </w:rPr>
            </w:pPr>
            <w:r w:rsidRPr="000C426A">
              <w:rPr>
                <w:rFonts w:ascii="Calibri" w:eastAsia="Lato" w:hAnsi="Calibri" w:cs="Calibri"/>
              </w:rPr>
              <w:t>3. Do pouczenia, o którym mowa w ust. 2, przedsiębiorstwo energetyczne dołącza formularz, który zawiera:</w:t>
            </w:r>
          </w:p>
          <w:p w14:paraId="6B8CC7BC" w14:textId="6A70BA06" w:rsidR="005576ED" w:rsidRPr="000C426A" w:rsidRDefault="005576ED" w:rsidP="005576ED">
            <w:pPr>
              <w:spacing w:line="240" w:lineRule="auto"/>
              <w:ind w:left="510" w:hanging="510"/>
              <w:jc w:val="both"/>
              <w:rPr>
                <w:rFonts w:ascii="Calibri" w:hAnsi="Calibri" w:cs="Calibri"/>
              </w:rPr>
            </w:pPr>
            <w:r w:rsidRPr="000C426A">
              <w:rPr>
                <w:rFonts w:ascii="Calibri" w:eastAsia="Lato" w:hAnsi="Calibri" w:cs="Calibri"/>
              </w:rPr>
              <w:t>1) dane odbiorcy:</w:t>
            </w:r>
          </w:p>
          <w:p w14:paraId="13BAAC3F" w14:textId="55C25F0F" w:rsidR="005576ED" w:rsidRPr="000C426A" w:rsidRDefault="005576ED" w:rsidP="005576ED">
            <w:pPr>
              <w:spacing w:line="240" w:lineRule="auto"/>
              <w:ind w:left="986" w:hanging="476"/>
              <w:jc w:val="both"/>
              <w:rPr>
                <w:rFonts w:ascii="Calibri" w:hAnsi="Calibri" w:cs="Calibri"/>
              </w:rPr>
            </w:pPr>
            <w:r w:rsidRPr="000C426A">
              <w:rPr>
                <w:rFonts w:ascii="Calibri" w:eastAsia="Lato" w:hAnsi="Calibri" w:cs="Calibri"/>
              </w:rPr>
              <w:t>a) imię (imiona) i nazwisko,</w:t>
            </w:r>
          </w:p>
          <w:p w14:paraId="5AEA4D4C" w14:textId="176FE299" w:rsidR="005576ED" w:rsidRPr="000C426A" w:rsidRDefault="005576ED" w:rsidP="005576ED">
            <w:pPr>
              <w:spacing w:line="240" w:lineRule="auto"/>
              <w:ind w:left="986" w:hanging="476"/>
              <w:jc w:val="both"/>
              <w:rPr>
                <w:rFonts w:ascii="Calibri" w:hAnsi="Calibri" w:cs="Calibri"/>
              </w:rPr>
            </w:pPr>
            <w:r w:rsidRPr="000C426A">
              <w:rPr>
                <w:rFonts w:ascii="Calibri" w:eastAsia="Lato" w:hAnsi="Calibri" w:cs="Calibri"/>
              </w:rPr>
              <w:t xml:space="preserve">b) </w:t>
            </w:r>
            <w:r w:rsidRPr="000C426A">
              <w:rPr>
                <w:rFonts w:ascii="Calibri" w:eastAsia="Lato" w:hAnsi="Calibri" w:cs="Calibri"/>
                <w:strike/>
                <w:color w:val="FF0000"/>
              </w:rPr>
              <w:t>miejsce dostarczania paliw gazowych, energii elektrycznej lub ciepła przez przedsiębiorstwo energetyczne,</w:t>
            </w:r>
          </w:p>
          <w:p w14:paraId="29D90755" w14:textId="3E7661D4" w:rsidR="005576ED" w:rsidRPr="000C426A" w:rsidRDefault="005576ED" w:rsidP="005576ED">
            <w:pPr>
              <w:spacing w:line="240" w:lineRule="auto"/>
              <w:ind w:left="986" w:hanging="476"/>
              <w:jc w:val="both"/>
              <w:rPr>
                <w:rFonts w:ascii="Calibri" w:hAnsi="Calibri" w:cs="Calibri"/>
              </w:rPr>
            </w:pPr>
            <w:r w:rsidRPr="000C426A">
              <w:rPr>
                <w:rFonts w:ascii="Calibri" w:eastAsia="Lato" w:hAnsi="Calibri" w:cs="Calibri"/>
              </w:rPr>
              <w:t>c)numer umowy odbiorcy zawartej z przedsiębiorstwem energetycznym,</w:t>
            </w:r>
          </w:p>
          <w:p w14:paraId="16EC3B30" w14:textId="68E167E7" w:rsidR="005576ED" w:rsidRPr="000C426A" w:rsidRDefault="005576ED" w:rsidP="005576ED">
            <w:pPr>
              <w:spacing w:line="240" w:lineRule="auto"/>
              <w:ind w:left="986" w:hanging="476"/>
              <w:jc w:val="both"/>
              <w:rPr>
                <w:rFonts w:ascii="Calibri" w:hAnsi="Calibri" w:cs="Calibri"/>
              </w:rPr>
            </w:pPr>
            <w:r w:rsidRPr="000C426A">
              <w:rPr>
                <w:rFonts w:ascii="Calibri" w:eastAsia="Lato" w:hAnsi="Calibri" w:cs="Calibri"/>
              </w:rPr>
              <w:t>d)numer klienta, jeżeli został nadany,</w:t>
            </w:r>
          </w:p>
          <w:p w14:paraId="3BE6B1FB" w14:textId="464B1FB8" w:rsidR="005576ED" w:rsidRPr="000C426A" w:rsidRDefault="005576ED" w:rsidP="005576ED">
            <w:pPr>
              <w:spacing w:line="240" w:lineRule="auto"/>
              <w:ind w:left="986" w:hanging="476"/>
              <w:jc w:val="both"/>
              <w:rPr>
                <w:rFonts w:ascii="Calibri" w:hAnsi="Calibri" w:cs="Calibri"/>
              </w:rPr>
            </w:pPr>
            <w:r w:rsidRPr="000C426A">
              <w:rPr>
                <w:rFonts w:ascii="Calibri" w:eastAsia="Lato" w:hAnsi="Calibri" w:cs="Calibri"/>
              </w:rPr>
              <w:t>e)adres poczty elektronicznej,</w:t>
            </w:r>
          </w:p>
          <w:p w14:paraId="3EF86E5A" w14:textId="4BB2ADE0" w:rsidR="005576ED" w:rsidRPr="000C426A" w:rsidRDefault="005576ED" w:rsidP="005576ED">
            <w:pPr>
              <w:spacing w:line="240" w:lineRule="auto"/>
              <w:ind w:left="986" w:hanging="476"/>
              <w:jc w:val="both"/>
              <w:rPr>
                <w:rFonts w:ascii="Calibri" w:hAnsi="Calibri" w:cs="Calibri"/>
              </w:rPr>
            </w:pPr>
            <w:r w:rsidRPr="000C426A">
              <w:rPr>
                <w:rFonts w:ascii="Calibri" w:eastAsia="Lato" w:hAnsi="Calibri" w:cs="Calibri"/>
              </w:rPr>
              <w:t>f)numer telefonu, jeżeli odbiorca wyraża na to zgodę;</w:t>
            </w:r>
          </w:p>
          <w:p w14:paraId="34FB38A3" w14:textId="5E293A23" w:rsidR="005576ED" w:rsidRPr="000C426A" w:rsidRDefault="005576ED" w:rsidP="005576ED">
            <w:pPr>
              <w:spacing w:line="240" w:lineRule="auto"/>
              <w:ind w:left="510" w:hanging="510"/>
              <w:jc w:val="both"/>
              <w:rPr>
                <w:rFonts w:ascii="Calibri" w:hAnsi="Calibri" w:cs="Calibri"/>
              </w:rPr>
            </w:pPr>
            <w:r w:rsidRPr="000C426A">
              <w:rPr>
                <w:rFonts w:ascii="Calibri" w:eastAsia="Lato" w:hAnsi="Calibri" w:cs="Calibri"/>
              </w:rPr>
              <w:t xml:space="preserve">2) listę oferowanych przez przedsiębiorstwo </w:t>
            </w:r>
            <w:r w:rsidRPr="000C426A">
              <w:rPr>
                <w:rFonts w:ascii="Calibri" w:eastAsia="Lato" w:hAnsi="Calibri" w:cs="Calibri"/>
              </w:rPr>
              <w:lastRenderedPageBreak/>
              <w:t>energetyczne sposobów komunikowania się z odbiorcą, zawierającą wskazanie rodzajów dostępnych środków komunikacji elektronicznej oraz informację o dedykowanym do obsługi odbiorców portalu internetowym, jeżeli przedsiębiorstwo energetyczne taki portal posiada.</w:t>
            </w:r>
          </w:p>
          <w:p w14:paraId="05B66E4A" w14:textId="490461B7" w:rsidR="005576ED" w:rsidRPr="000C426A" w:rsidRDefault="005576ED" w:rsidP="005576ED">
            <w:pPr>
              <w:spacing w:line="240" w:lineRule="auto"/>
              <w:jc w:val="both"/>
              <w:rPr>
                <w:rFonts w:ascii="Calibri" w:hAnsi="Calibri" w:cs="Calibri"/>
              </w:rPr>
            </w:pPr>
            <w:r w:rsidRPr="000C426A">
              <w:rPr>
                <w:rFonts w:ascii="Calibri" w:eastAsia="Lato" w:hAnsi="Calibri" w:cs="Calibri"/>
              </w:rPr>
              <w:t>4. Odbiorca udzielając zgody przedsiębiorstwu energetycznemu, przekazuje wypełniony formularz, o którym mowa w ust. 3.</w:t>
            </w:r>
          </w:p>
        </w:tc>
        <w:tc>
          <w:tcPr>
            <w:tcW w:w="2244" w:type="dxa"/>
          </w:tcPr>
          <w:p w14:paraId="57C31B53" w14:textId="6A8AA99E" w:rsidR="005576ED" w:rsidRPr="000C426A" w:rsidRDefault="005576ED" w:rsidP="005576ED">
            <w:pPr>
              <w:spacing w:line="240" w:lineRule="auto"/>
              <w:rPr>
                <w:rFonts w:ascii="Calibri" w:eastAsia="Lato" w:hAnsi="Calibri" w:cs="Calibri"/>
              </w:rPr>
            </w:pPr>
          </w:p>
        </w:tc>
      </w:tr>
      <w:tr w:rsidR="005576ED" w:rsidRPr="000C426A" w14:paraId="6D2963DE" w14:textId="77777777" w:rsidTr="0093318E">
        <w:trPr>
          <w:trHeight w:val="35"/>
        </w:trPr>
        <w:tc>
          <w:tcPr>
            <w:tcW w:w="704" w:type="dxa"/>
            <w:shd w:val="clear" w:color="auto" w:fill="FFFFFF" w:themeFill="background1"/>
          </w:tcPr>
          <w:p w14:paraId="5611628B" w14:textId="2F619072" w:rsidR="005576ED" w:rsidRPr="00896C45" w:rsidRDefault="005576ED" w:rsidP="00896C45">
            <w:pPr>
              <w:pStyle w:val="Akapitzlist"/>
              <w:numPr>
                <w:ilvl w:val="0"/>
                <w:numId w:val="14"/>
              </w:numPr>
              <w:spacing w:line="240" w:lineRule="auto"/>
              <w:jc w:val="center"/>
              <w:rPr>
                <w:rFonts w:ascii="Calibri" w:hAnsi="Calibri" w:cs="Calibri"/>
                <w:b/>
                <w:bCs/>
              </w:rPr>
            </w:pPr>
          </w:p>
        </w:tc>
        <w:tc>
          <w:tcPr>
            <w:tcW w:w="1418" w:type="dxa"/>
          </w:tcPr>
          <w:p w14:paraId="2CB63830" w14:textId="15F8A1C7" w:rsidR="005576ED" w:rsidRPr="000C426A" w:rsidRDefault="005576ED" w:rsidP="005576ED">
            <w:pPr>
              <w:spacing w:line="240" w:lineRule="auto"/>
              <w:jc w:val="both"/>
              <w:rPr>
                <w:rFonts w:ascii="Calibri" w:eastAsia="Arial" w:hAnsi="Calibri" w:cs="Calibri"/>
              </w:rPr>
            </w:pPr>
            <w:r>
              <w:rPr>
                <w:rFonts w:ascii="Calibri" w:eastAsia="Lato" w:hAnsi="Calibri" w:cs="Calibri"/>
              </w:rPr>
              <w:t>Konfederacja Lewiatan</w:t>
            </w:r>
          </w:p>
        </w:tc>
        <w:tc>
          <w:tcPr>
            <w:tcW w:w="1299" w:type="dxa"/>
          </w:tcPr>
          <w:p w14:paraId="5FA9D3E3" w14:textId="627D3768" w:rsidR="005576ED" w:rsidRPr="000C426A" w:rsidRDefault="005576ED" w:rsidP="005576ED">
            <w:pPr>
              <w:spacing w:line="240" w:lineRule="auto"/>
              <w:jc w:val="both"/>
              <w:rPr>
                <w:rFonts w:ascii="Calibri" w:eastAsia="Arial" w:hAnsi="Calibri" w:cs="Calibri"/>
              </w:rPr>
            </w:pPr>
            <w:r w:rsidRPr="000C426A">
              <w:rPr>
                <w:rFonts w:ascii="Calibri" w:eastAsia="Lato" w:hAnsi="Calibri" w:cs="Calibri"/>
              </w:rPr>
              <w:t>Art. 5</w:t>
            </w:r>
          </w:p>
        </w:tc>
        <w:tc>
          <w:tcPr>
            <w:tcW w:w="5528" w:type="dxa"/>
            <w:shd w:val="clear" w:color="auto" w:fill="FFFFFF" w:themeFill="background1"/>
          </w:tcPr>
          <w:p w14:paraId="01507416" w14:textId="77777777" w:rsidR="005576ED" w:rsidRDefault="005576ED" w:rsidP="005576ED">
            <w:pPr>
              <w:spacing w:line="240" w:lineRule="auto"/>
              <w:jc w:val="both"/>
              <w:rPr>
                <w:rFonts w:ascii="Calibri" w:eastAsia="Lato" w:hAnsi="Calibri" w:cs="Calibri"/>
              </w:rPr>
            </w:pPr>
            <w:r w:rsidRPr="000C426A">
              <w:rPr>
                <w:rFonts w:ascii="Calibri" w:eastAsia="Lato" w:hAnsi="Calibri" w:cs="Calibri"/>
              </w:rPr>
              <w:t>Skoro ustawodawca przesunął datę wejścia w życie proponowanej zmiany związanej z art. 5 ust.</w:t>
            </w:r>
            <w:r>
              <w:rPr>
                <w:rFonts w:ascii="Calibri" w:eastAsia="Lato" w:hAnsi="Calibri" w:cs="Calibri"/>
              </w:rPr>
              <w:t xml:space="preserve"> </w:t>
            </w:r>
            <w:r w:rsidRPr="000C426A">
              <w:rPr>
                <w:rFonts w:ascii="Calibri" w:eastAsia="Lato" w:hAnsi="Calibri" w:cs="Calibri"/>
              </w:rPr>
              <w:t xml:space="preserve">6i </w:t>
            </w:r>
            <w:proofErr w:type="spellStart"/>
            <w:r w:rsidRPr="000C426A">
              <w:rPr>
                <w:rFonts w:ascii="Calibri" w:eastAsia="Lato" w:hAnsi="Calibri" w:cs="Calibri"/>
              </w:rPr>
              <w:t>uPE</w:t>
            </w:r>
            <w:proofErr w:type="spellEnd"/>
            <w:r w:rsidRPr="000C426A">
              <w:rPr>
                <w:rFonts w:ascii="Calibri" w:eastAsia="Lato" w:hAnsi="Calibri" w:cs="Calibri"/>
              </w:rPr>
              <w:t xml:space="preserve"> na dzień 30 czerwca 2027 r., to niezrozumiały jest obowiązek realizacji tego obowiązku od 1 stycznia 2026.</w:t>
            </w:r>
          </w:p>
          <w:p w14:paraId="551760E9" w14:textId="77777777" w:rsidR="005576ED" w:rsidRDefault="005576ED" w:rsidP="005576ED">
            <w:pPr>
              <w:spacing w:line="240" w:lineRule="auto"/>
              <w:jc w:val="both"/>
              <w:rPr>
                <w:rFonts w:ascii="Calibri" w:eastAsia="Lato" w:hAnsi="Calibri" w:cs="Calibri"/>
              </w:rPr>
            </w:pPr>
          </w:p>
          <w:p w14:paraId="2D3AA7DA" w14:textId="068214DC" w:rsidR="005576ED" w:rsidRPr="000C426A" w:rsidRDefault="005576ED" w:rsidP="005576ED">
            <w:pPr>
              <w:spacing w:line="240" w:lineRule="auto"/>
              <w:jc w:val="both"/>
              <w:rPr>
                <w:rFonts w:ascii="Calibri" w:hAnsi="Calibri" w:cs="Calibri"/>
              </w:rPr>
            </w:pPr>
            <w:r w:rsidRPr="000C426A">
              <w:rPr>
                <w:rFonts w:ascii="Calibri" w:eastAsia="Lato" w:hAnsi="Calibri" w:cs="Calibri"/>
              </w:rPr>
              <w:t xml:space="preserve">Przepisy art. 1 pkt 3 w zw. z art. 14 ust. 1, wykluczają możliwość zastosowania art. 5 w treści proponowanej.  </w:t>
            </w:r>
          </w:p>
        </w:tc>
        <w:tc>
          <w:tcPr>
            <w:tcW w:w="3119" w:type="dxa"/>
          </w:tcPr>
          <w:p w14:paraId="23457FDC" w14:textId="13125656" w:rsidR="005576ED" w:rsidRPr="000C426A" w:rsidRDefault="005576ED" w:rsidP="005576ED">
            <w:pPr>
              <w:spacing w:line="240" w:lineRule="auto"/>
              <w:jc w:val="both"/>
              <w:rPr>
                <w:rFonts w:ascii="Calibri" w:hAnsi="Calibri" w:cs="Calibri"/>
              </w:rPr>
            </w:pPr>
            <w:r w:rsidRPr="000C426A">
              <w:rPr>
                <w:rFonts w:ascii="Calibri" w:eastAsia="Lato" w:hAnsi="Calibri" w:cs="Calibri"/>
              </w:rPr>
              <w:t>Zmiana brzmienia</w:t>
            </w:r>
          </w:p>
          <w:p w14:paraId="35CC287C" w14:textId="6D38192B" w:rsidR="005576ED" w:rsidRPr="0045580F" w:rsidRDefault="005576ED" w:rsidP="005576ED">
            <w:pPr>
              <w:spacing w:before="120" w:line="240" w:lineRule="auto"/>
              <w:jc w:val="both"/>
              <w:rPr>
                <w:rFonts w:ascii="Calibri" w:hAnsi="Calibri" w:cs="Calibri"/>
              </w:rPr>
            </w:pPr>
            <w:r w:rsidRPr="000C426A">
              <w:rPr>
                <w:rFonts w:ascii="Calibri" w:eastAsia="Lato" w:hAnsi="Calibri" w:cs="Calibri"/>
                <w:b/>
                <w:bCs/>
              </w:rPr>
              <w:t>Art. 5.</w:t>
            </w:r>
            <w:r w:rsidRPr="000C426A">
              <w:rPr>
                <w:rFonts w:ascii="Calibri" w:eastAsia="Lato" w:hAnsi="Calibri" w:cs="Calibri"/>
              </w:rPr>
              <w:t xml:space="preserve"> Podsumowanie informacji, o którym mowa w art. 5 ust. 6i ustawy zmienianej w art. 1, dołącza się po raz pierwszy do pierwszej faktury wystawionej po dniu </w:t>
            </w:r>
            <w:r w:rsidRPr="000C426A">
              <w:rPr>
                <w:rFonts w:ascii="Calibri" w:eastAsia="Lato" w:hAnsi="Calibri" w:cs="Calibri"/>
                <w:color w:val="FF0000"/>
              </w:rPr>
              <w:t>30 czerwca 2027 r.</w:t>
            </w:r>
          </w:p>
        </w:tc>
        <w:tc>
          <w:tcPr>
            <w:tcW w:w="2244" w:type="dxa"/>
          </w:tcPr>
          <w:p w14:paraId="6E7033E7" w14:textId="25890994" w:rsidR="005576ED" w:rsidRPr="000C426A" w:rsidRDefault="005576ED" w:rsidP="005576ED">
            <w:pPr>
              <w:spacing w:line="240" w:lineRule="auto"/>
              <w:rPr>
                <w:rFonts w:ascii="Calibri" w:hAnsi="Calibri" w:cs="Calibri"/>
              </w:rPr>
            </w:pPr>
          </w:p>
        </w:tc>
      </w:tr>
      <w:tr w:rsidR="005576ED" w:rsidRPr="000C426A" w14:paraId="5D9F6E0D" w14:textId="77777777" w:rsidTr="0093318E">
        <w:trPr>
          <w:trHeight w:val="35"/>
        </w:trPr>
        <w:tc>
          <w:tcPr>
            <w:tcW w:w="704" w:type="dxa"/>
            <w:shd w:val="clear" w:color="auto" w:fill="FFFFFF" w:themeFill="background1"/>
          </w:tcPr>
          <w:p w14:paraId="7DF40D15" w14:textId="1BC670E6" w:rsidR="005576ED" w:rsidRPr="00896C45" w:rsidRDefault="005576ED" w:rsidP="00896C45">
            <w:pPr>
              <w:pStyle w:val="Akapitzlist"/>
              <w:numPr>
                <w:ilvl w:val="0"/>
                <w:numId w:val="14"/>
              </w:numPr>
              <w:spacing w:line="240" w:lineRule="auto"/>
              <w:jc w:val="center"/>
              <w:rPr>
                <w:rFonts w:ascii="Calibri" w:hAnsi="Calibri" w:cs="Calibri"/>
                <w:b/>
                <w:bCs/>
              </w:rPr>
            </w:pPr>
          </w:p>
        </w:tc>
        <w:tc>
          <w:tcPr>
            <w:tcW w:w="1418" w:type="dxa"/>
          </w:tcPr>
          <w:p w14:paraId="48A5AB24" w14:textId="321D2302" w:rsidR="005576ED" w:rsidRPr="000C426A" w:rsidRDefault="005576ED" w:rsidP="005576ED">
            <w:pPr>
              <w:spacing w:line="240" w:lineRule="auto"/>
              <w:jc w:val="both"/>
              <w:rPr>
                <w:rFonts w:ascii="Calibri" w:eastAsia="Arial" w:hAnsi="Calibri" w:cs="Calibri"/>
              </w:rPr>
            </w:pPr>
            <w:r>
              <w:rPr>
                <w:rFonts w:ascii="Calibri" w:eastAsia="Lato" w:hAnsi="Calibri" w:cs="Calibri"/>
              </w:rPr>
              <w:t>Konfederacja Lewiatan</w:t>
            </w:r>
          </w:p>
        </w:tc>
        <w:tc>
          <w:tcPr>
            <w:tcW w:w="1299" w:type="dxa"/>
          </w:tcPr>
          <w:p w14:paraId="0535E50F" w14:textId="1066F2F5" w:rsidR="005576ED" w:rsidRPr="000C426A" w:rsidRDefault="005576ED" w:rsidP="005576ED">
            <w:pPr>
              <w:spacing w:line="240" w:lineRule="auto"/>
              <w:jc w:val="both"/>
              <w:rPr>
                <w:rFonts w:ascii="Calibri" w:eastAsia="Arial" w:hAnsi="Calibri" w:cs="Calibri"/>
              </w:rPr>
            </w:pPr>
            <w:r w:rsidRPr="000C426A">
              <w:rPr>
                <w:rFonts w:ascii="Calibri" w:eastAsia="Lato" w:hAnsi="Calibri" w:cs="Calibri"/>
              </w:rPr>
              <w:t>Art. 14</w:t>
            </w:r>
          </w:p>
        </w:tc>
        <w:tc>
          <w:tcPr>
            <w:tcW w:w="5528" w:type="dxa"/>
            <w:shd w:val="clear" w:color="auto" w:fill="FFFFFF" w:themeFill="background1"/>
          </w:tcPr>
          <w:p w14:paraId="59E254F1" w14:textId="77777777" w:rsidR="005576ED" w:rsidRDefault="005576ED" w:rsidP="005576ED">
            <w:pPr>
              <w:spacing w:line="240" w:lineRule="auto"/>
              <w:jc w:val="both"/>
              <w:rPr>
                <w:rFonts w:ascii="Calibri" w:eastAsia="Lato" w:hAnsi="Calibri" w:cs="Calibri"/>
              </w:rPr>
            </w:pPr>
            <w:r w:rsidRPr="000C426A">
              <w:rPr>
                <w:rFonts w:ascii="Calibri" w:eastAsia="Lato" w:hAnsi="Calibri" w:cs="Calibri"/>
              </w:rPr>
              <w:t>Proponuje się dodać art. 5 do pkt 1, który przewiduje wydłużony okres wejścia w życie przepisów w nim wymienionych.</w:t>
            </w:r>
          </w:p>
          <w:p w14:paraId="443B6957" w14:textId="2D7C13EE" w:rsidR="005576ED" w:rsidRPr="000C426A" w:rsidRDefault="005576ED" w:rsidP="005576ED">
            <w:pPr>
              <w:spacing w:line="240" w:lineRule="auto"/>
              <w:jc w:val="both"/>
              <w:rPr>
                <w:rFonts w:ascii="Calibri" w:eastAsia="Arial" w:hAnsi="Calibri" w:cs="Calibri"/>
              </w:rPr>
            </w:pPr>
            <w:r w:rsidRPr="000C426A">
              <w:rPr>
                <w:rFonts w:ascii="Calibri" w:eastAsia="Lato" w:hAnsi="Calibri" w:cs="Calibri"/>
              </w:rPr>
              <w:t xml:space="preserve">Skoro ustawodawca przesunął datę wejścia w życie proponowanej zmiany związanej z art. 5 ust.6i </w:t>
            </w:r>
            <w:proofErr w:type="spellStart"/>
            <w:r w:rsidRPr="000C426A">
              <w:rPr>
                <w:rFonts w:ascii="Calibri" w:eastAsia="Lato" w:hAnsi="Calibri" w:cs="Calibri"/>
              </w:rPr>
              <w:t>uPE</w:t>
            </w:r>
            <w:proofErr w:type="spellEnd"/>
            <w:r w:rsidRPr="000C426A">
              <w:rPr>
                <w:rFonts w:ascii="Calibri" w:eastAsia="Lato" w:hAnsi="Calibri" w:cs="Calibri"/>
              </w:rPr>
              <w:t xml:space="preserve"> (art. 1 pkt 3 niniejszej regulacji) na dzień 30 czerwca 2027 r., to niezrozumiały jest obowiązek realizacji</w:t>
            </w:r>
            <w:r>
              <w:rPr>
                <w:rFonts w:ascii="Calibri" w:eastAsia="Lato" w:hAnsi="Calibri" w:cs="Calibri"/>
              </w:rPr>
              <w:t xml:space="preserve"> </w:t>
            </w:r>
            <w:r w:rsidRPr="000C426A">
              <w:rPr>
                <w:rFonts w:ascii="Calibri" w:eastAsia="Lato" w:hAnsi="Calibri" w:cs="Calibri"/>
              </w:rPr>
              <w:t xml:space="preserve"> tego obowiązku w pierwszej korespondencji po 1 stycznia 2026 r.</w:t>
            </w:r>
          </w:p>
        </w:tc>
        <w:tc>
          <w:tcPr>
            <w:tcW w:w="3119" w:type="dxa"/>
          </w:tcPr>
          <w:p w14:paraId="74260296" w14:textId="6767253C" w:rsidR="005576ED" w:rsidRPr="000C426A" w:rsidRDefault="005576ED" w:rsidP="005576ED">
            <w:pPr>
              <w:spacing w:before="120" w:line="240" w:lineRule="auto"/>
              <w:jc w:val="both"/>
              <w:rPr>
                <w:rFonts w:ascii="Calibri" w:hAnsi="Calibri" w:cs="Calibri"/>
              </w:rPr>
            </w:pPr>
            <w:r w:rsidRPr="000C426A">
              <w:rPr>
                <w:rFonts w:ascii="Calibri" w:eastAsia="Lato" w:hAnsi="Calibri" w:cs="Calibri"/>
                <w:b/>
                <w:bCs/>
              </w:rPr>
              <w:t>Art. 14.</w:t>
            </w:r>
            <w:r w:rsidRPr="000C426A">
              <w:rPr>
                <w:rFonts w:ascii="Calibri" w:eastAsia="Lato" w:hAnsi="Calibri" w:cs="Calibri"/>
              </w:rPr>
              <w:t xml:space="preserve"> Ustawa wchodzi w życie po upływie 14 dni od dnia ogłoszenia, z wyjątkiem:</w:t>
            </w:r>
          </w:p>
          <w:p w14:paraId="64BFC2E3" w14:textId="7C49DC71" w:rsidR="005576ED" w:rsidRPr="000C426A" w:rsidRDefault="005576ED" w:rsidP="005576ED">
            <w:pPr>
              <w:spacing w:line="240" w:lineRule="auto"/>
              <w:ind w:left="510" w:hanging="510"/>
              <w:jc w:val="both"/>
              <w:rPr>
                <w:rFonts w:ascii="Calibri" w:hAnsi="Calibri" w:cs="Calibri"/>
              </w:rPr>
            </w:pPr>
            <w:r w:rsidRPr="000C426A">
              <w:rPr>
                <w:rFonts w:ascii="Calibri" w:eastAsia="Lato" w:hAnsi="Calibri" w:cs="Calibri"/>
              </w:rPr>
              <w:t xml:space="preserve">1)       art. 1 pkt 2 – 3, </w:t>
            </w:r>
            <w:r w:rsidRPr="000C426A">
              <w:rPr>
                <w:rFonts w:ascii="Calibri" w:eastAsia="Lato" w:hAnsi="Calibri" w:cs="Calibri"/>
                <w:color w:val="FF0000"/>
              </w:rPr>
              <w:t>art. 4 oraz art. 5</w:t>
            </w:r>
            <w:r w:rsidRPr="000C426A">
              <w:rPr>
                <w:rFonts w:ascii="Calibri" w:eastAsia="Lato" w:hAnsi="Calibri" w:cs="Calibri"/>
              </w:rPr>
              <w:t xml:space="preserve"> które wchodzą w życie z dniem 30 czerwca 2027 r.;</w:t>
            </w:r>
          </w:p>
          <w:p w14:paraId="16309A9F" w14:textId="6EB3E98D" w:rsidR="005576ED" w:rsidRPr="000805D2" w:rsidRDefault="005576ED" w:rsidP="005576ED">
            <w:pPr>
              <w:spacing w:line="240" w:lineRule="auto"/>
              <w:ind w:left="510" w:hanging="510"/>
              <w:jc w:val="both"/>
              <w:rPr>
                <w:rFonts w:ascii="Calibri" w:hAnsi="Calibri" w:cs="Calibri"/>
              </w:rPr>
            </w:pPr>
            <w:r w:rsidRPr="000C426A">
              <w:rPr>
                <w:rFonts w:ascii="Calibri" w:eastAsia="Lato" w:hAnsi="Calibri" w:cs="Calibri"/>
              </w:rPr>
              <w:t>2)  art. 1 pkt 8–10, które wchodzą w życie po upływie 12 miesięcy od dnia ogłoszenia.</w:t>
            </w:r>
          </w:p>
        </w:tc>
        <w:tc>
          <w:tcPr>
            <w:tcW w:w="2244" w:type="dxa"/>
          </w:tcPr>
          <w:p w14:paraId="54CF22A5" w14:textId="11509323" w:rsidR="005576ED" w:rsidRPr="000C426A" w:rsidRDefault="005576ED" w:rsidP="005576ED">
            <w:pPr>
              <w:spacing w:line="240" w:lineRule="auto"/>
              <w:rPr>
                <w:rFonts w:ascii="Calibri" w:hAnsi="Calibri" w:cs="Calibri"/>
              </w:rPr>
            </w:pPr>
          </w:p>
        </w:tc>
      </w:tr>
      <w:tr w:rsidR="005576ED" w:rsidRPr="000C426A" w14:paraId="4DDD6C94" w14:textId="77777777" w:rsidTr="0093318E">
        <w:trPr>
          <w:trHeight w:val="35"/>
        </w:trPr>
        <w:tc>
          <w:tcPr>
            <w:tcW w:w="704" w:type="dxa"/>
            <w:shd w:val="clear" w:color="auto" w:fill="FFFFFF" w:themeFill="background1"/>
          </w:tcPr>
          <w:p w14:paraId="6542C622" w14:textId="6C5475ED" w:rsidR="005576ED" w:rsidRPr="00896C45" w:rsidRDefault="005576ED" w:rsidP="00896C45">
            <w:pPr>
              <w:pStyle w:val="Akapitzlist"/>
              <w:numPr>
                <w:ilvl w:val="0"/>
                <w:numId w:val="14"/>
              </w:numPr>
              <w:spacing w:line="240" w:lineRule="auto"/>
              <w:jc w:val="center"/>
              <w:rPr>
                <w:rFonts w:ascii="Calibri" w:hAnsi="Calibri" w:cs="Calibri"/>
                <w:b/>
                <w:bCs/>
              </w:rPr>
            </w:pPr>
          </w:p>
        </w:tc>
        <w:tc>
          <w:tcPr>
            <w:tcW w:w="1418" w:type="dxa"/>
          </w:tcPr>
          <w:p w14:paraId="4DB7E9A2" w14:textId="78350E2D" w:rsidR="005576ED" w:rsidRPr="00D04B05" w:rsidRDefault="005576ED" w:rsidP="005576ED">
            <w:pPr>
              <w:spacing w:line="240" w:lineRule="auto"/>
              <w:jc w:val="both"/>
              <w:rPr>
                <w:rFonts w:ascii="Calibri" w:eastAsia="Lato" w:hAnsi="Calibri" w:cs="Calibri"/>
              </w:rPr>
            </w:pPr>
            <w:r w:rsidRPr="00D04B05">
              <w:rPr>
                <w:rFonts w:ascii="Calibri" w:eastAsia="Times New Roman" w:hAnsi="Calibri" w:cs="Calibri"/>
                <w:lang w:eastAsia="pl-PL"/>
              </w:rPr>
              <w:t>Konfederacja Lewiatan</w:t>
            </w:r>
          </w:p>
        </w:tc>
        <w:tc>
          <w:tcPr>
            <w:tcW w:w="1299" w:type="dxa"/>
          </w:tcPr>
          <w:p w14:paraId="6CB1EF5F" w14:textId="4C781409" w:rsidR="005576ED" w:rsidRPr="00D04B05" w:rsidRDefault="005576ED" w:rsidP="005576ED">
            <w:pPr>
              <w:spacing w:line="276" w:lineRule="auto"/>
              <w:jc w:val="both"/>
              <w:textAlignment w:val="baseline"/>
              <w:rPr>
                <w:rFonts w:ascii="Calibri" w:eastAsia="Times New Roman" w:hAnsi="Calibri" w:cs="Calibri"/>
                <w:lang w:eastAsia="pl-PL"/>
              </w:rPr>
            </w:pPr>
            <w:r w:rsidRPr="00D04B05">
              <w:rPr>
                <w:rFonts w:ascii="Calibri" w:eastAsia="Times New Roman" w:hAnsi="Calibri" w:cs="Calibri"/>
                <w:lang w:eastAsia="pl-PL"/>
              </w:rPr>
              <w:t> </w:t>
            </w:r>
            <w:r w:rsidRPr="00D04B05">
              <w:rPr>
                <w:rFonts w:ascii="Calibri" w:eastAsia="Times New Roman" w:hAnsi="Calibri" w:cs="Calibri"/>
                <w:lang w:eastAsia="pl-PL"/>
              </w:rPr>
              <w:t xml:space="preserve">Uwaga dodatkowa – dotyczy </w:t>
            </w:r>
          </w:p>
          <w:p w14:paraId="238AB92E" w14:textId="0AE1BEAE" w:rsidR="005576ED" w:rsidRPr="00D04B05" w:rsidRDefault="005576ED" w:rsidP="005576ED">
            <w:pPr>
              <w:spacing w:line="240" w:lineRule="auto"/>
              <w:jc w:val="both"/>
              <w:rPr>
                <w:rFonts w:ascii="Calibri" w:eastAsia="Lato" w:hAnsi="Calibri" w:cs="Calibri"/>
              </w:rPr>
            </w:pPr>
            <w:r w:rsidRPr="00D04B05">
              <w:rPr>
                <w:rFonts w:ascii="Calibri" w:eastAsia="Times New Roman" w:hAnsi="Calibri" w:cs="Calibri"/>
                <w:lang w:eastAsia="pl-PL"/>
              </w:rPr>
              <w:t>a</w:t>
            </w:r>
            <w:r w:rsidRPr="00D04B05">
              <w:rPr>
                <w:rFonts w:ascii="Calibri" w:eastAsia="Times New Roman" w:hAnsi="Calibri" w:cs="Calibri"/>
                <w:lang w:eastAsia="pl-PL"/>
              </w:rPr>
              <w:t>rt. 5 ust. 6i Prawa Energetycznego)</w:t>
            </w:r>
          </w:p>
        </w:tc>
        <w:tc>
          <w:tcPr>
            <w:tcW w:w="5528" w:type="dxa"/>
            <w:shd w:val="clear" w:color="auto" w:fill="FFFFFF" w:themeFill="background1"/>
          </w:tcPr>
          <w:p w14:paraId="1BEEDE93" w14:textId="0298CE33" w:rsidR="005576ED" w:rsidRPr="00D04B05" w:rsidRDefault="005576ED" w:rsidP="005576ED">
            <w:pPr>
              <w:spacing w:line="240" w:lineRule="auto"/>
              <w:jc w:val="both"/>
              <w:rPr>
                <w:rFonts w:ascii="Calibri" w:eastAsia="Lato" w:hAnsi="Calibri" w:cs="Calibri"/>
              </w:rPr>
            </w:pPr>
            <w:r w:rsidRPr="00D04B05">
              <w:rPr>
                <w:rFonts w:ascii="Calibri" w:eastAsia="Times New Roman" w:hAnsi="Calibri" w:cs="Calibri"/>
                <w:lang w:eastAsia="pl-PL"/>
              </w:rPr>
              <w:t>Proponuje się doprecyzowanie, że  podsumowanie ma znaleźć się na oddzielnej kartce dołączonej do faktury.</w:t>
            </w:r>
          </w:p>
        </w:tc>
        <w:tc>
          <w:tcPr>
            <w:tcW w:w="3119" w:type="dxa"/>
          </w:tcPr>
          <w:p w14:paraId="35DD5E1B" w14:textId="4B3AD4CF" w:rsidR="005576ED" w:rsidRPr="00D04B05" w:rsidRDefault="005576ED" w:rsidP="005576ED">
            <w:pPr>
              <w:spacing w:before="120" w:line="240" w:lineRule="auto"/>
              <w:jc w:val="both"/>
              <w:rPr>
                <w:rFonts w:ascii="Calibri" w:eastAsia="Lato" w:hAnsi="Calibri" w:cs="Calibri"/>
                <w:b/>
                <w:bCs/>
              </w:rPr>
            </w:pPr>
            <w:r w:rsidRPr="00D04B05">
              <w:rPr>
                <w:rFonts w:ascii="Calibri" w:eastAsia="Times New Roman" w:hAnsi="Calibri" w:cs="Calibri"/>
                <w:lang w:eastAsia="pl-PL"/>
              </w:rPr>
              <w:t> </w:t>
            </w:r>
            <w:r w:rsidRPr="00D04B05">
              <w:rPr>
                <w:rFonts w:ascii="Calibri" w:hAnsi="Calibri" w:cs="Calibri"/>
              </w:rPr>
              <w:t>6i.</w:t>
            </w:r>
            <w:r w:rsidR="00D04B05">
              <w:rPr>
                <w:rFonts w:ascii="Calibri" w:hAnsi="Calibri" w:cs="Calibri"/>
              </w:rPr>
              <w:t xml:space="preserve"> </w:t>
            </w:r>
            <w:r w:rsidRPr="00D04B05">
              <w:rPr>
                <w:rFonts w:ascii="Calibri" w:hAnsi="Calibri" w:cs="Calibri"/>
              </w:rPr>
              <w:t xml:space="preserve">Sprzedawca energii elektrycznej, wystawiając odbiorcy energii elektrycznej w gospodarstwie domowym fakturę, w rozumieniu ustawy z dnia 11 marca 2004 r. o podatku od towarów i usług (Dz. U. z 2025 r. poz. 775, 894, 896, 1203 i 1541), jest obowiązany do przekazania </w:t>
            </w:r>
            <w:r w:rsidRPr="00D04B05">
              <w:rPr>
                <w:rFonts w:ascii="Calibri" w:hAnsi="Calibri" w:cs="Calibri"/>
                <w:strike/>
              </w:rPr>
              <w:t xml:space="preserve">wraz </w:t>
            </w:r>
            <w:r w:rsidRPr="00D04B05">
              <w:rPr>
                <w:rFonts w:ascii="Calibri" w:hAnsi="Calibri" w:cs="Calibri"/>
                <w:color w:val="FF0000"/>
              </w:rPr>
              <w:t>obok tej faktury</w:t>
            </w:r>
            <w:r w:rsidRPr="00D04B05">
              <w:rPr>
                <w:rFonts w:ascii="Calibri" w:hAnsi="Calibri" w:cs="Calibri"/>
              </w:rPr>
              <w:t xml:space="preserve"> przejrzystego i zrozumiałego podsumowania informacji zawartych w tej fakturze, wyrażonego w języku niespecjalistycznym, </w:t>
            </w:r>
            <w:r w:rsidRPr="00D04B05">
              <w:rPr>
                <w:rFonts w:ascii="Calibri" w:hAnsi="Calibri" w:cs="Calibri"/>
              </w:rPr>
              <w:lastRenderedPageBreak/>
              <w:t>zawierającego łączną kwotę do zapłaty (…)”.</w:t>
            </w:r>
          </w:p>
        </w:tc>
        <w:tc>
          <w:tcPr>
            <w:tcW w:w="2244" w:type="dxa"/>
          </w:tcPr>
          <w:p w14:paraId="08700E33" w14:textId="335BAED6" w:rsidR="005576ED" w:rsidRPr="000C426A" w:rsidRDefault="005576ED" w:rsidP="005576ED">
            <w:pPr>
              <w:spacing w:line="240" w:lineRule="auto"/>
              <w:rPr>
                <w:rFonts w:ascii="Calibri" w:hAnsi="Calibri" w:cs="Calibri"/>
              </w:rPr>
            </w:pPr>
          </w:p>
        </w:tc>
      </w:tr>
      <w:tr w:rsidR="005576ED" w:rsidRPr="000C426A" w14:paraId="703CAA76" w14:textId="77777777" w:rsidTr="0093318E">
        <w:trPr>
          <w:trHeight w:val="35"/>
        </w:trPr>
        <w:tc>
          <w:tcPr>
            <w:tcW w:w="704" w:type="dxa"/>
            <w:shd w:val="clear" w:color="auto" w:fill="FFFFFF" w:themeFill="background1"/>
          </w:tcPr>
          <w:p w14:paraId="770B5600" w14:textId="742BCAE7" w:rsidR="005576ED" w:rsidRPr="00896C45" w:rsidRDefault="005576ED" w:rsidP="00896C45">
            <w:pPr>
              <w:pStyle w:val="Akapitzlist"/>
              <w:numPr>
                <w:ilvl w:val="0"/>
                <w:numId w:val="14"/>
              </w:numPr>
              <w:spacing w:line="240" w:lineRule="auto"/>
              <w:jc w:val="center"/>
              <w:rPr>
                <w:rFonts w:ascii="Calibri" w:hAnsi="Calibri" w:cs="Calibri"/>
                <w:b/>
                <w:bCs/>
              </w:rPr>
            </w:pPr>
          </w:p>
        </w:tc>
        <w:tc>
          <w:tcPr>
            <w:tcW w:w="1418" w:type="dxa"/>
          </w:tcPr>
          <w:p w14:paraId="08EF2B06" w14:textId="4DA447E8" w:rsidR="005576ED" w:rsidRPr="00D04B05" w:rsidRDefault="005576ED" w:rsidP="005576ED">
            <w:pPr>
              <w:spacing w:line="240" w:lineRule="auto"/>
              <w:jc w:val="both"/>
              <w:rPr>
                <w:rFonts w:ascii="Calibri" w:eastAsia="Lato" w:hAnsi="Calibri" w:cs="Calibri"/>
              </w:rPr>
            </w:pPr>
            <w:r w:rsidRPr="00D04B05">
              <w:rPr>
                <w:rFonts w:ascii="Calibri" w:eastAsia="Times New Roman" w:hAnsi="Calibri" w:cs="Calibri"/>
                <w:lang w:eastAsia="pl-PL"/>
              </w:rPr>
              <w:t>Konfederacja Lewiatan</w:t>
            </w:r>
          </w:p>
        </w:tc>
        <w:tc>
          <w:tcPr>
            <w:tcW w:w="1299" w:type="dxa"/>
          </w:tcPr>
          <w:p w14:paraId="79E077B3" w14:textId="77777777" w:rsidR="005576ED" w:rsidRPr="00D04B05" w:rsidRDefault="005576ED" w:rsidP="005576ED">
            <w:pPr>
              <w:spacing w:line="276" w:lineRule="auto"/>
              <w:jc w:val="both"/>
              <w:textAlignment w:val="baseline"/>
              <w:rPr>
                <w:rFonts w:ascii="Calibri" w:eastAsia="Times New Roman" w:hAnsi="Calibri" w:cs="Calibri"/>
                <w:lang w:eastAsia="pl-PL"/>
              </w:rPr>
            </w:pPr>
            <w:r w:rsidRPr="00D04B05">
              <w:rPr>
                <w:rFonts w:ascii="Calibri" w:eastAsia="Times New Roman" w:hAnsi="Calibri" w:cs="Calibri"/>
                <w:lang w:eastAsia="pl-PL"/>
              </w:rPr>
              <w:t xml:space="preserve">  Uwaga dodatkowa – dotyczy </w:t>
            </w:r>
          </w:p>
          <w:p w14:paraId="5A5243BE" w14:textId="15F14EE0" w:rsidR="005576ED" w:rsidRPr="00D04B05" w:rsidRDefault="005576ED" w:rsidP="005576ED">
            <w:pPr>
              <w:spacing w:line="240" w:lineRule="auto"/>
              <w:jc w:val="both"/>
              <w:rPr>
                <w:rFonts w:ascii="Calibri" w:eastAsia="Lato" w:hAnsi="Calibri" w:cs="Calibri"/>
              </w:rPr>
            </w:pPr>
            <w:r w:rsidRPr="00D04B05">
              <w:rPr>
                <w:rFonts w:ascii="Calibri" w:eastAsia="Times New Roman" w:hAnsi="Calibri" w:cs="Calibri"/>
                <w:lang w:eastAsia="pl-PL"/>
              </w:rPr>
              <w:t>a</w:t>
            </w:r>
            <w:r w:rsidRPr="00D04B05">
              <w:rPr>
                <w:rFonts w:ascii="Calibri" w:eastAsia="Times New Roman" w:hAnsi="Calibri" w:cs="Calibri"/>
                <w:lang w:eastAsia="pl-PL"/>
              </w:rPr>
              <w:t>rt.</w:t>
            </w:r>
            <w:r w:rsidR="009134B6">
              <w:rPr>
                <w:rFonts w:ascii="Calibri" w:eastAsia="Times New Roman" w:hAnsi="Calibri" w:cs="Calibri"/>
                <w:lang w:eastAsia="pl-PL"/>
              </w:rPr>
              <w:t xml:space="preserve">5 ust. </w:t>
            </w:r>
            <w:r w:rsidRPr="00D04B05">
              <w:rPr>
                <w:rFonts w:ascii="Calibri" w:eastAsia="Times New Roman" w:hAnsi="Calibri" w:cs="Calibri"/>
                <w:lang w:eastAsia="pl-PL"/>
              </w:rPr>
              <w:t>6i Prawa Energetycznego)</w:t>
            </w:r>
          </w:p>
        </w:tc>
        <w:tc>
          <w:tcPr>
            <w:tcW w:w="5528" w:type="dxa"/>
            <w:shd w:val="clear" w:color="auto" w:fill="FFFFFF" w:themeFill="background1"/>
          </w:tcPr>
          <w:p w14:paraId="20FDC391" w14:textId="6B54EC6A" w:rsidR="005576ED" w:rsidRPr="00D04B05" w:rsidRDefault="005576ED" w:rsidP="005576ED">
            <w:pPr>
              <w:spacing w:line="240" w:lineRule="auto"/>
              <w:jc w:val="both"/>
              <w:rPr>
                <w:rFonts w:ascii="Calibri" w:eastAsia="Lato" w:hAnsi="Calibri" w:cs="Calibri"/>
              </w:rPr>
            </w:pPr>
            <w:r w:rsidRPr="00D04B05">
              <w:rPr>
                <w:rFonts w:ascii="Calibri" w:eastAsia="Times New Roman" w:hAnsi="Calibri" w:cs="Calibri"/>
                <w:lang w:eastAsia="pl-PL"/>
              </w:rPr>
              <w:t>W obliczu wejścia przepisów dot. KSEF pojawia się pytanie, w jaki sposób sprzedawca ma prezentować podsumowanie informacji zawartych w fakturze w systemie KSEF, jeżeli podsumowanie</w:t>
            </w:r>
            <w:r w:rsidRPr="00D04B05">
              <w:rPr>
                <w:rFonts w:ascii="Calibri" w:hAnsi="Calibri" w:cs="Calibri"/>
              </w:rPr>
              <w:t xml:space="preserve"> </w:t>
            </w:r>
            <w:r w:rsidRPr="00D04B05">
              <w:rPr>
                <w:rFonts w:ascii="Calibri" w:hAnsi="Calibri" w:cs="Calibri"/>
                <w:i/>
                <w:iCs/>
              </w:rPr>
              <w:t>nie stanowi integralnej części faktury oraz nie jest załącznikiem do faktury, w rozumieniu przepisów ustawy z dnia 11 marca 2004 r. o podatku od towarów i usług.</w:t>
            </w:r>
            <w:r w:rsidRPr="00D04B05">
              <w:rPr>
                <w:rFonts w:ascii="Calibri" w:hAnsi="Calibri" w:cs="Calibri"/>
              </w:rPr>
              <w:t xml:space="preserve"> Czy KSEF umożliwi dodanie osobnej kartki niebędącej fakturą? </w:t>
            </w:r>
          </w:p>
        </w:tc>
        <w:tc>
          <w:tcPr>
            <w:tcW w:w="3119" w:type="dxa"/>
          </w:tcPr>
          <w:p w14:paraId="42444899" w14:textId="33FE80F7" w:rsidR="005576ED" w:rsidRPr="00D04B05" w:rsidRDefault="005576ED" w:rsidP="005576ED">
            <w:pPr>
              <w:spacing w:before="120" w:line="240" w:lineRule="auto"/>
              <w:jc w:val="both"/>
              <w:rPr>
                <w:rFonts w:ascii="Calibri" w:eastAsia="Lato" w:hAnsi="Calibri" w:cs="Calibri"/>
                <w:b/>
                <w:bCs/>
              </w:rPr>
            </w:pPr>
            <w:r w:rsidRPr="00D04B05">
              <w:rPr>
                <w:rFonts w:ascii="Calibri" w:eastAsia="Times New Roman" w:hAnsi="Calibri" w:cs="Calibri"/>
                <w:lang w:eastAsia="pl-PL"/>
              </w:rPr>
              <w:t> </w:t>
            </w:r>
          </w:p>
        </w:tc>
        <w:tc>
          <w:tcPr>
            <w:tcW w:w="2244" w:type="dxa"/>
          </w:tcPr>
          <w:p w14:paraId="50A1F4E4" w14:textId="3D25C7C9" w:rsidR="005576ED" w:rsidRPr="000C426A" w:rsidRDefault="005576ED" w:rsidP="005576ED">
            <w:pPr>
              <w:spacing w:line="240" w:lineRule="auto"/>
              <w:rPr>
                <w:rFonts w:ascii="Calibri" w:hAnsi="Calibri" w:cs="Calibri"/>
              </w:rPr>
            </w:pPr>
          </w:p>
        </w:tc>
      </w:tr>
    </w:tbl>
    <w:p w14:paraId="0B3051F1" w14:textId="77777777" w:rsidR="00981B74" w:rsidRPr="000C426A" w:rsidRDefault="00981B74" w:rsidP="000C426A">
      <w:pPr>
        <w:spacing w:line="240" w:lineRule="auto"/>
        <w:rPr>
          <w:rFonts w:ascii="Calibri" w:hAnsi="Calibri" w:cs="Calibri"/>
        </w:rPr>
      </w:pPr>
    </w:p>
    <w:sectPr w:rsidR="00981B74" w:rsidRPr="000C426A" w:rsidSect="00981B7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2E529" w14:textId="77777777" w:rsidR="00BD18B9" w:rsidRDefault="00BD18B9" w:rsidP="00981B74">
      <w:pPr>
        <w:spacing w:after="0" w:line="240" w:lineRule="auto"/>
      </w:pPr>
      <w:r>
        <w:separator/>
      </w:r>
    </w:p>
  </w:endnote>
  <w:endnote w:type="continuationSeparator" w:id="0">
    <w:p w14:paraId="5EF745E7" w14:textId="77777777" w:rsidR="00BD18B9" w:rsidRDefault="00BD18B9" w:rsidP="0098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05CD8" w14:textId="77777777" w:rsidR="00BD18B9" w:rsidRDefault="00BD18B9" w:rsidP="00981B74">
      <w:pPr>
        <w:spacing w:after="0" w:line="240" w:lineRule="auto"/>
      </w:pPr>
      <w:r>
        <w:separator/>
      </w:r>
    </w:p>
  </w:footnote>
  <w:footnote w:type="continuationSeparator" w:id="0">
    <w:p w14:paraId="7870BEF4" w14:textId="77777777" w:rsidR="00BD18B9" w:rsidRDefault="00BD18B9" w:rsidP="00981B74">
      <w:pPr>
        <w:spacing w:after="0" w:line="240" w:lineRule="auto"/>
      </w:pPr>
      <w:r>
        <w:continuationSeparator/>
      </w:r>
    </w:p>
  </w:footnote>
  <w:footnote w:id="1">
    <w:p w14:paraId="61C997C7" w14:textId="77777777" w:rsidR="00981B74" w:rsidRPr="00EF494C" w:rsidRDefault="00981B74" w:rsidP="00981B74">
      <w:pPr>
        <w:pStyle w:val="Tekstprzypisudolnego"/>
        <w:rPr>
          <w:rFonts w:ascii="Lato" w:hAnsi="Lato" w:cs="Times New Roman"/>
          <w:sz w:val="22"/>
          <w:szCs w:val="22"/>
        </w:rPr>
      </w:pPr>
      <w:r w:rsidRPr="00EF494C">
        <w:rPr>
          <w:rStyle w:val="Odwoanieprzypisudolnego"/>
          <w:rFonts w:ascii="Lato" w:hAnsi="Lato" w:cs="Times New Roman"/>
        </w:rPr>
        <w:t>1)</w:t>
      </w:r>
      <w:r w:rsidRPr="00EF494C">
        <w:rPr>
          <w:rFonts w:ascii="Lato" w:hAnsi="Lato" w:cs="Times New Roman"/>
        </w:rPr>
        <w:t xml:space="preserve"> W przypadku aktu nowelizującego należy wskazać jednostkę redakcyjną projektu oraz jednostkę redakcyjną zmienianego aktu prawnego.</w:t>
      </w:r>
    </w:p>
  </w:footnote>
</w:footnotes>
</file>

<file path=word/intelligence2.xml><?xml version="1.0" encoding="utf-8"?>
<int2:intelligence xmlns:int2="http://schemas.microsoft.com/office/intelligence/2020/intelligence" xmlns:oel="http://schemas.microsoft.com/office/2019/extlst">
  <int2:observations>
    <int2:textHash int2:hashCode="xHi0d5lHXBGRIk" int2:id="58vt74w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7F18"/>
    <w:multiLevelType w:val="hybridMultilevel"/>
    <w:tmpl w:val="D5B88DD8"/>
    <w:lvl w:ilvl="0" w:tplc="10B0AD1C">
      <w:start w:val="2"/>
      <w:numFmt w:val="decimal"/>
      <w:lvlText w:val="%1."/>
      <w:lvlJc w:val="left"/>
      <w:pPr>
        <w:ind w:left="720" w:hanging="360"/>
      </w:pPr>
    </w:lvl>
    <w:lvl w:ilvl="1" w:tplc="8D16138C">
      <w:start w:val="1"/>
      <w:numFmt w:val="lowerLetter"/>
      <w:lvlText w:val="%2."/>
      <w:lvlJc w:val="left"/>
      <w:pPr>
        <w:ind w:left="1440" w:hanging="360"/>
      </w:pPr>
    </w:lvl>
    <w:lvl w:ilvl="2" w:tplc="301629CC">
      <w:start w:val="1"/>
      <w:numFmt w:val="lowerRoman"/>
      <w:lvlText w:val="%3."/>
      <w:lvlJc w:val="right"/>
      <w:pPr>
        <w:ind w:left="2160" w:hanging="180"/>
      </w:pPr>
    </w:lvl>
    <w:lvl w:ilvl="3" w:tplc="F8DCC7A0">
      <w:start w:val="1"/>
      <w:numFmt w:val="decimal"/>
      <w:lvlText w:val="%4."/>
      <w:lvlJc w:val="left"/>
      <w:pPr>
        <w:ind w:left="2880" w:hanging="360"/>
      </w:pPr>
    </w:lvl>
    <w:lvl w:ilvl="4" w:tplc="D24649BC">
      <w:start w:val="1"/>
      <w:numFmt w:val="lowerLetter"/>
      <w:lvlText w:val="%5."/>
      <w:lvlJc w:val="left"/>
      <w:pPr>
        <w:ind w:left="3600" w:hanging="360"/>
      </w:pPr>
    </w:lvl>
    <w:lvl w:ilvl="5" w:tplc="294803C0">
      <w:start w:val="1"/>
      <w:numFmt w:val="lowerRoman"/>
      <w:lvlText w:val="%6."/>
      <w:lvlJc w:val="right"/>
      <w:pPr>
        <w:ind w:left="4320" w:hanging="180"/>
      </w:pPr>
    </w:lvl>
    <w:lvl w:ilvl="6" w:tplc="2E585A2E">
      <w:start w:val="1"/>
      <w:numFmt w:val="decimal"/>
      <w:lvlText w:val="%7."/>
      <w:lvlJc w:val="left"/>
      <w:pPr>
        <w:ind w:left="5040" w:hanging="360"/>
      </w:pPr>
    </w:lvl>
    <w:lvl w:ilvl="7" w:tplc="14C89CA4">
      <w:start w:val="1"/>
      <w:numFmt w:val="lowerLetter"/>
      <w:lvlText w:val="%8."/>
      <w:lvlJc w:val="left"/>
      <w:pPr>
        <w:ind w:left="5760" w:hanging="360"/>
      </w:pPr>
    </w:lvl>
    <w:lvl w:ilvl="8" w:tplc="A998CC7E">
      <w:start w:val="1"/>
      <w:numFmt w:val="lowerRoman"/>
      <w:lvlText w:val="%9."/>
      <w:lvlJc w:val="right"/>
      <w:pPr>
        <w:ind w:left="6480" w:hanging="180"/>
      </w:pPr>
    </w:lvl>
  </w:abstractNum>
  <w:abstractNum w:abstractNumId="1" w15:restartNumberingAfterBreak="0">
    <w:nsid w:val="10B88749"/>
    <w:multiLevelType w:val="hybridMultilevel"/>
    <w:tmpl w:val="3BF6B72E"/>
    <w:lvl w:ilvl="0" w:tplc="0A62C700">
      <w:start w:val="1"/>
      <w:numFmt w:val="decimal"/>
      <w:lvlText w:val="%1."/>
      <w:lvlJc w:val="left"/>
      <w:pPr>
        <w:ind w:left="1080" w:hanging="360"/>
      </w:pPr>
    </w:lvl>
    <w:lvl w:ilvl="1" w:tplc="C34A6F88">
      <w:start w:val="1"/>
      <w:numFmt w:val="lowerLetter"/>
      <w:lvlText w:val="%2."/>
      <w:lvlJc w:val="left"/>
      <w:pPr>
        <w:ind w:left="1800" w:hanging="360"/>
      </w:pPr>
    </w:lvl>
    <w:lvl w:ilvl="2" w:tplc="4CC8FCCC">
      <w:start w:val="1"/>
      <w:numFmt w:val="lowerRoman"/>
      <w:lvlText w:val="%3."/>
      <w:lvlJc w:val="right"/>
      <w:pPr>
        <w:ind w:left="2520" w:hanging="180"/>
      </w:pPr>
    </w:lvl>
    <w:lvl w:ilvl="3" w:tplc="E9308A14">
      <w:start w:val="1"/>
      <w:numFmt w:val="decimal"/>
      <w:lvlText w:val="%4."/>
      <w:lvlJc w:val="left"/>
      <w:pPr>
        <w:ind w:left="3240" w:hanging="360"/>
      </w:pPr>
    </w:lvl>
    <w:lvl w:ilvl="4" w:tplc="B9E4FFA4">
      <w:start w:val="1"/>
      <w:numFmt w:val="lowerLetter"/>
      <w:lvlText w:val="%5."/>
      <w:lvlJc w:val="left"/>
      <w:pPr>
        <w:ind w:left="3960" w:hanging="360"/>
      </w:pPr>
    </w:lvl>
    <w:lvl w:ilvl="5" w:tplc="C9567B3A">
      <w:start w:val="1"/>
      <w:numFmt w:val="lowerRoman"/>
      <w:lvlText w:val="%6."/>
      <w:lvlJc w:val="right"/>
      <w:pPr>
        <w:ind w:left="4680" w:hanging="180"/>
      </w:pPr>
    </w:lvl>
    <w:lvl w:ilvl="6" w:tplc="06E2662E">
      <w:start w:val="1"/>
      <w:numFmt w:val="decimal"/>
      <w:lvlText w:val="%7."/>
      <w:lvlJc w:val="left"/>
      <w:pPr>
        <w:ind w:left="5400" w:hanging="360"/>
      </w:pPr>
    </w:lvl>
    <w:lvl w:ilvl="7" w:tplc="88406F76">
      <w:start w:val="1"/>
      <w:numFmt w:val="lowerLetter"/>
      <w:lvlText w:val="%8."/>
      <w:lvlJc w:val="left"/>
      <w:pPr>
        <w:ind w:left="6120" w:hanging="360"/>
      </w:pPr>
    </w:lvl>
    <w:lvl w:ilvl="8" w:tplc="6B82C9E2">
      <w:start w:val="1"/>
      <w:numFmt w:val="lowerRoman"/>
      <w:lvlText w:val="%9."/>
      <w:lvlJc w:val="right"/>
      <w:pPr>
        <w:ind w:left="6840" w:hanging="180"/>
      </w:pPr>
    </w:lvl>
  </w:abstractNum>
  <w:abstractNum w:abstractNumId="2" w15:restartNumberingAfterBreak="0">
    <w:nsid w:val="16DE7865"/>
    <w:multiLevelType w:val="hybridMultilevel"/>
    <w:tmpl w:val="4F248CEC"/>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83FB0F0"/>
    <w:multiLevelType w:val="hybridMultilevel"/>
    <w:tmpl w:val="47FE4FBC"/>
    <w:lvl w:ilvl="0" w:tplc="5F629332">
      <w:start w:val="1"/>
      <w:numFmt w:val="bullet"/>
      <w:lvlText w:val=""/>
      <w:lvlJc w:val="left"/>
      <w:pPr>
        <w:ind w:left="720" w:hanging="360"/>
      </w:pPr>
      <w:rPr>
        <w:rFonts w:ascii="Symbol" w:hAnsi="Symbol" w:hint="default"/>
      </w:rPr>
    </w:lvl>
    <w:lvl w:ilvl="1" w:tplc="49C6BD90">
      <w:start w:val="1"/>
      <w:numFmt w:val="bullet"/>
      <w:lvlText w:val="o"/>
      <w:lvlJc w:val="left"/>
      <w:pPr>
        <w:ind w:left="1440" w:hanging="360"/>
      </w:pPr>
      <w:rPr>
        <w:rFonts w:ascii="Courier New" w:hAnsi="Courier New" w:hint="default"/>
      </w:rPr>
    </w:lvl>
    <w:lvl w:ilvl="2" w:tplc="F52414A8">
      <w:start w:val="1"/>
      <w:numFmt w:val="bullet"/>
      <w:lvlText w:val=""/>
      <w:lvlJc w:val="left"/>
      <w:pPr>
        <w:ind w:left="2160" w:hanging="360"/>
      </w:pPr>
      <w:rPr>
        <w:rFonts w:ascii="Wingdings" w:hAnsi="Wingdings" w:hint="default"/>
      </w:rPr>
    </w:lvl>
    <w:lvl w:ilvl="3" w:tplc="C3EE0F22">
      <w:start w:val="1"/>
      <w:numFmt w:val="bullet"/>
      <w:lvlText w:val=""/>
      <w:lvlJc w:val="left"/>
      <w:pPr>
        <w:ind w:left="2880" w:hanging="360"/>
      </w:pPr>
      <w:rPr>
        <w:rFonts w:ascii="Symbol" w:hAnsi="Symbol" w:hint="default"/>
      </w:rPr>
    </w:lvl>
    <w:lvl w:ilvl="4" w:tplc="048488E4">
      <w:start w:val="1"/>
      <w:numFmt w:val="bullet"/>
      <w:lvlText w:val="o"/>
      <w:lvlJc w:val="left"/>
      <w:pPr>
        <w:ind w:left="3600" w:hanging="360"/>
      </w:pPr>
      <w:rPr>
        <w:rFonts w:ascii="Courier New" w:hAnsi="Courier New" w:hint="default"/>
      </w:rPr>
    </w:lvl>
    <w:lvl w:ilvl="5" w:tplc="2190D3A8">
      <w:start w:val="1"/>
      <w:numFmt w:val="bullet"/>
      <w:lvlText w:val=""/>
      <w:lvlJc w:val="left"/>
      <w:pPr>
        <w:ind w:left="4320" w:hanging="360"/>
      </w:pPr>
      <w:rPr>
        <w:rFonts w:ascii="Wingdings" w:hAnsi="Wingdings" w:hint="default"/>
      </w:rPr>
    </w:lvl>
    <w:lvl w:ilvl="6" w:tplc="912E0FF0">
      <w:start w:val="1"/>
      <w:numFmt w:val="bullet"/>
      <w:lvlText w:val=""/>
      <w:lvlJc w:val="left"/>
      <w:pPr>
        <w:ind w:left="5040" w:hanging="360"/>
      </w:pPr>
      <w:rPr>
        <w:rFonts w:ascii="Symbol" w:hAnsi="Symbol" w:hint="default"/>
      </w:rPr>
    </w:lvl>
    <w:lvl w:ilvl="7" w:tplc="F1A01504">
      <w:start w:val="1"/>
      <w:numFmt w:val="bullet"/>
      <w:lvlText w:val="o"/>
      <w:lvlJc w:val="left"/>
      <w:pPr>
        <w:ind w:left="5760" w:hanging="360"/>
      </w:pPr>
      <w:rPr>
        <w:rFonts w:ascii="Courier New" w:hAnsi="Courier New" w:hint="default"/>
      </w:rPr>
    </w:lvl>
    <w:lvl w:ilvl="8" w:tplc="A4640E5C">
      <w:start w:val="1"/>
      <w:numFmt w:val="bullet"/>
      <w:lvlText w:val=""/>
      <w:lvlJc w:val="left"/>
      <w:pPr>
        <w:ind w:left="6480" w:hanging="360"/>
      </w:pPr>
      <w:rPr>
        <w:rFonts w:ascii="Wingdings" w:hAnsi="Wingdings" w:hint="default"/>
      </w:rPr>
    </w:lvl>
  </w:abstractNum>
  <w:abstractNum w:abstractNumId="4" w15:restartNumberingAfterBreak="0">
    <w:nsid w:val="2E7E5521"/>
    <w:multiLevelType w:val="hybridMultilevel"/>
    <w:tmpl w:val="96FA64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30887"/>
    <w:multiLevelType w:val="hybridMultilevel"/>
    <w:tmpl w:val="6F4E891E"/>
    <w:lvl w:ilvl="0" w:tplc="9AF084A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8DAA33B"/>
    <w:multiLevelType w:val="hybridMultilevel"/>
    <w:tmpl w:val="81E6E3D6"/>
    <w:lvl w:ilvl="0" w:tplc="4E6CECEC">
      <w:start w:val="1"/>
      <w:numFmt w:val="decimal"/>
      <w:lvlText w:val="%1."/>
      <w:lvlJc w:val="left"/>
      <w:pPr>
        <w:ind w:left="1080" w:hanging="360"/>
      </w:pPr>
    </w:lvl>
    <w:lvl w:ilvl="1" w:tplc="B21A3962">
      <w:start w:val="1"/>
      <w:numFmt w:val="lowerLetter"/>
      <w:lvlText w:val="%2."/>
      <w:lvlJc w:val="left"/>
      <w:pPr>
        <w:ind w:left="1800" w:hanging="360"/>
      </w:pPr>
    </w:lvl>
    <w:lvl w:ilvl="2" w:tplc="EC4A517A">
      <w:start w:val="1"/>
      <w:numFmt w:val="lowerRoman"/>
      <w:lvlText w:val="%3."/>
      <w:lvlJc w:val="right"/>
      <w:pPr>
        <w:ind w:left="2520" w:hanging="180"/>
      </w:pPr>
    </w:lvl>
    <w:lvl w:ilvl="3" w:tplc="14B2474C">
      <w:start w:val="1"/>
      <w:numFmt w:val="decimal"/>
      <w:lvlText w:val="%4."/>
      <w:lvlJc w:val="left"/>
      <w:pPr>
        <w:ind w:left="3240" w:hanging="360"/>
      </w:pPr>
    </w:lvl>
    <w:lvl w:ilvl="4" w:tplc="C098008E">
      <w:start w:val="1"/>
      <w:numFmt w:val="lowerLetter"/>
      <w:lvlText w:val="%5."/>
      <w:lvlJc w:val="left"/>
      <w:pPr>
        <w:ind w:left="3960" w:hanging="360"/>
      </w:pPr>
    </w:lvl>
    <w:lvl w:ilvl="5" w:tplc="8AAEE0AC">
      <w:start w:val="1"/>
      <w:numFmt w:val="lowerRoman"/>
      <w:lvlText w:val="%6."/>
      <w:lvlJc w:val="right"/>
      <w:pPr>
        <w:ind w:left="4680" w:hanging="180"/>
      </w:pPr>
    </w:lvl>
    <w:lvl w:ilvl="6" w:tplc="A10E20BC">
      <w:start w:val="1"/>
      <w:numFmt w:val="decimal"/>
      <w:lvlText w:val="%7."/>
      <w:lvlJc w:val="left"/>
      <w:pPr>
        <w:ind w:left="5400" w:hanging="360"/>
      </w:pPr>
    </w:lvl>
    <w:lvl w:ilvl="7" w:tplc="55E21C98">
      <w:start w:val="1"/>
      <w:numFmt w:val="lowerLetter"/>
      <w:lvlText w:val="%8."/>
      <w:lvlJc w:val="left"/>
      <w:pPr>
        <w:ind w:left="6120" w:hanging="360"/>
      </w:pPr>
    </w:lvl>
    <w:lvl w:ilvl="8" w:tplc="6BBC8678">
      <w:start w:val="1"/>
      <w:numFmt w:val="lowerRoman"/>
      <w:lvlText w:val="%9."/>
      <w:lvlJc w:val="right"/>
      <w:pPr>
        <w:ind w:left="6840" w:hanging="180"/>
      </w:pPr>
    </w:lvl>
  </w:abstractNum>
  <w:abstractNum w:abstractNumId="7" w15:restartNumberingAfterBreak="0">
    <w:nsid w:val="3E6D1F44"/>
    <w:multiLevelType w:val="hybridMultilevel"/>
    <w:tmpl w:val="90185AF4"/>
    <w:lvl w:ilvl="0" w:tplc="BA642FD6">
      <w:start w:val="1"/>
      <w:numFmt w:val="decimal"/>
      <w:lvlText w:val="%1."/>
      <w:lvlJc w:val="left"/>
      <w:pPr>
        <w:ind w:left="720" w:hanging="360"/>
      </w:pPr>
    </w:lvl>
    <w:lvl w:ilvl="1" w:tplc="83BC2FD0">
      <w:start w:val="1"/>
      <w:numFmt w:val="lowerLetter"/>
      <w:lvlText w:val="%2."/>
      <w:lvlJc w:val="left"/>
      <w:pPr>
        <w:ind w:left="1440" w:hanging="360"/>
      </w:pPr>
    </w:lvl>
    <w:lvl w:ilvl="2" w:tplc="CD360522">
      <w:start w:val="1"/>
      <w:numFmt w:val="lowerRoman"/>
      <w:lvlText w:val="%3."/>
      <w:lvlJc w:val="right"/>
      <w:pPr>
        <w:ind w:left="2160" w:hanging="180"/>
      </w:pPr>
    </w:lvl>
    <w:lvl w:ilvl="3" w:tplc="2B2EFCBC">
      <w:start w:val="1"/>
      <w:numFmt w:val="decimal"/>
      <w:lvlText w:val="%4."/>
      <w:lvlJc w:val="left"/>
      <w:pPr>
        <w:ind w:left="2880" w:hanging="360"/>
      </w:pPr>
    </w:lvl>
    <w:lvl w:ilvl="4" w:tplc="62802248">
      <w:start w:val="1"/>
      <w:numFmt w:val="lowerLetter"/>
      <w:lvlText w:val="%5."/>
      <w:lvlJc w:val="left"/>
      <w:pPr>
        <w:ind w:left="3600" w:hanging="360"/>
      </w:pPr>
    </w:lvl>
    <w:lvl w:ilvl="5" w:tplc="70D28392">
      <w:start w:val="1"/>
      <w:numFmt w:val="lowerRoman"/>
      <w:lvlText w:val="%6."/>
      <w:lvlJc w:val="right"/>
      <w:pPr>
        <w:ind w:left="4320" w:hanging="180"/>
      </w:pPr>
    </w:lvl>
    <w:lvl w:ilvl="6" w:tplc="E5E87F82">
      <w:start w:val="1"/>
      <w:numFmt w:val="decimal"/>
      <w:lvlText w:val="%7."/>
      <w:lvlJc w:val="left"/>
      <w:pPr>
        <w:ind w:left="5040" w:hanging="360"/>
      </w:pPr>
    </w:lvl>
    <w:lvl w:ilvl="7" w:tplc="1C80DB2A">
      <w:start w:val="1"/>
      <w:numFmt w:val="lowerLetter"/>
      <w:lvlText w:val="%8."/>
      <w:lvlJc w:val="left"/>
      <w:pPr>
        <w:ind w:left="5760" w:hanging="360"/>
      </w:pPr>
    </w:lvl>
    <w:lvl w:ilvl="8" w:tplc="6BB470F8">
      <w:start w:val="1"/>
      <w:numFmt w:val="lowerRoman"/>
      <w:lvlText w:val="%9."/>
      <w:lvlJc w:val="right"/>
      <w:pPr>
        <w:ind w:left="6480" w:hanging="180"/>
      </w:pPr>
    </w:lvl>
  </w:abstractNum>
  <w:abstractNum w:abstractNumId="8" w15:restartNumberingAfterBreak="0">
    <w:nsid w:val="3F89F1B7"/>
    <w:multiLevelType w:val="hybridMultilevel"/>
    <w:tmpl w:val="9F7CC550"/>
    <w:lvl w:ilvl="0" w:tplc="1D140052">
      <w:start w:val="1"/>
      <w:numFmt w:val="decimal"/>
      <w:lvlText w:val="%1."/>
      <w:lvlJc w:val="left"/>
      <w:pPr>
        <w:ind w:left="1080" w:hanging="360"/>
      </w:pPr>
    </w:lvl>
    <w:lvl w:ilvl="1" w:tplc="B5B42DDA">
      <w:start w:val="1"/>
      <w:numFmt w:val="lowerLetter"/>
      <w:lvlText w:val="%2."/>
      <w:lvlJc w:val="left"/>
      <w:pPr>
        <w:ind w:left="1800" w:hanging="360"/>
      </w:pPr>
    </w:lvl>
    <w:lvl w:ilvl="2" w:tplc="5CF4797C">
      <w:start w:val="1"/>
      <w:numFmt w:val="lowerRoman"/>
      <w:lvlText w:val="%3."/>
      <w:lvlJc w:val="right"/>
      <w:pPr>
        <w:ind w:left="2520" w:hanging="180"/>
      </w:pPr>
    </w:lvl>
    <w:lvl w:ilvl="3" w:tplc="16EE06B0">
      <w:start w:val="1"/>
      <w:numFmt w:val="decimal"/>
      <w:lvlText w:val="%4."/>
      <w:lvlJc w:val="left"/>
      <w:pPr>
        <w:ind w:left="3240" w:hanging="360"/>
      </w:pPr>
    </w:lvl>
    <w:lvl w:ilvl="4" w:tplc="FBFA3392">
      <w:start w:val="1"/>
      <w:numFmt w:val="lowerLetter"/>
      <w:lvlText w:val="%5."/>
      <w:lvlJc w:val="left"/>
      <w:pPr>
        <w:ind w:left="3960" w:hanging="360"/>
      </w:pPr>
    </w:lvl>
    <w:lvl w:ilvl="5" w:tplc="CF36BF74">
      <w:start w:val="1"/>
      <w:numFmt w:val="lowerRoman"/>
      <w:lvlText w:val="%6."/>
      <w:lvlJc w:val="right"/>
      <w:pPr>
        <w:ind w:left="4680" w:hanging="180"/>
      </w:pPr>
    </w:lvl>
    <w:lvl w:ilvl="6" w:tplc="460A4EEA">
      <w:start w:val="1"/>
      <w:numFmt w:val="decimal"/>
      <w:lvlText w:val="%7."/>
      <w:lvlJc w:val="left"/>
      <w:pPr>
        <w:ind w:left="5400" w:hanging="360"/>
      </w:pPr>
    </w:lvl>
    <w:lvl w:ilvl="7" w:tplc="C0923FC6">
      <w:start w:val="1"/>
      <w:numFmt w:val="lowerLetter"/>
      <w:lvlText w:val="%8."/>
      <w:lvlJc w:val="left"/>
      <w:pPr>
        <w:ind w:left="6120" w:hanging="360"/>
      </w:pPr>
    </w:lvl>
    <w:lvl w:ilvl="8" w:tplc="2256CA4E">
      <w:start w:val="1"/>
      <w:numFmt w:val="lowerRoman"/>
      <w:lvlText w:val="%9."/>
      <w:lvlJc w:val="right"/>
      <w:pPr>
        <w:ind w:left="6840" w:hanging="180"/>
      </w:pPr>
    </w:lvl>
  </w:abstractNum>
  <w:abstractNum w:abstractNumId="9" w15:restartNumberingAfterBreak="0">
    <w:nsid w:val="42567300"/>
    <w:multiLevelType w:val="hybridMultilevel"/>
    <w:tmpl w:val="3C8AF84E"/>
    <w:lvl w:ilvl="0" w:tplc="6CBA9A8C">
      <w:start w:val="1"/>
      <w:numFmt w:val="bullet"/>
      <w:lvlText w:val=""/>
      <w:lvlJc w:val="left"/>
      <w:pPr>
        <w:ind w:left="720" w:hanging="360"/>
      </w:pPr>
      <w:rPr>
        <w:rFonts w:ascii="Symbol" w:hAnsi="Symbol" w:hint="default"/>
      </w:rPr>
    </w:lvl>
    <w:lvl w:ilvl="1" w:tplc="8A5C6A98">
      <w:start w:val="1"/>
      <w:numFmt w:val="bullet"/>
      <w:lvlText w:val="o"/>
      <w:lvlJc w:val="left"/>
      <w:pPr>
        <w:ind w:left="1440" w:hanging="360"/>
      </w:pPr>
      <w:rPr>
        <w:rFonts w:ascii="Courier New" w:hAnsi="Courier New" w:hint="default"/>
      </w:rPr>
    </w:lvl>
    <w:lvl w:ilvl="2" w:tplc="BC62A528">
      <w:start w:val="1"/>
      <w:numFmt w:val="bullet"/>
      <w:lvlText w:val=""/>
      <w:lvlJc w:val="left"/>
      <w:pPr>
        <w:ind w:left="2160" w:hanging="360"/>
      </w:pPr>
      <w:rPr>
        <w:rFonts w:ascii="Wingdings" w:hAnsi="Wingdings" w:hint="default"/>
      </w:rPr>
    </w:lvl>
    <w:lvl w:ilvl="3" w:tplc="600885A2">
      <w:start w:val="1"/>
      <w:numFmt w:val="bullet"/>
      <w:lvlText w:val=""/>
      <w:lvlJc w:val="left"/>
      <w:pPr>
        <w:ind w:left="2880" w:hanging="360"/>
      </w:pPr>
      <w:rPr>
        <w:rFonts w:ascii="Symbol" w:hAnsi="Symbol" w:hint="default"/>
      </w:rPr>
    </w:lvl>
    <w:lvl w:ilvl="4" w:tplc="3260F350">
      <w:start w:val="1"/>
      <w:numFmt w:val="bullet"/>
      <w:lvlText w:val="o"/>
      <w:lvlJc w:val="left"/>
      <w:pPr>
        <w:ind w:left="3600" w:hanging="360"/>
      </w:pPr>
      <w:rPr>
        <w:rFonts w:ascii="Courier New" w:hAnsi="Courier New" w:hint="default"/>
      </w:rPr>
    </w:lvl>
    <w:lvl w:ilvl="5" w:tplc="D6BA4A64">
      <w:start w:val="1"/>
      <w:numFmt w:val="bullet"/>
      <w:lvlText w:val=""/>
      <w:lvlJc w:val="left"/>
      <w:pPr>
        <w:ind w:left="4320" w:hanging="360"/>
      </w:pPr>
      <w:rPr>
        <w:rFonts w:ascii="Wingdings" w:hAnsi="Wingdings" w:hint="default"/>
      </w:rPr>
    </w:lvl>
    <w:lvl w:ilvl="6" w:tplc="4C06E932">
      <w:start w:val="1"/>
      <w:numFmt w:val="bullet"/>
      <w:lvlText w:val=""/>
      <w:lvlJc w:val="left"/>
      <w:pPr>
        <w:ind w:left="5040" w:hanging="360"/>
      </w:pPr>
      <w:rPr>
        <w:rFonts w:ascii="Symbol" w:hAnsi="Symbol" w:hint="default"/>
      </w:rPr>
    </w:lvl>
    <w:lvl w:ilvl="7" w:tplc="BF46888E">
      <w:start w:val="1"/>
      <w:numFmt w:val="bullet"/>
      <w:lvlText w:val="o"/>
      <w:lvlJc w:val="left"/>
      <w:pPr>
        <w:ind w:left="5760" w:hanging="360"/>
      </w:pPr>
      <w:rPr>
        <w:rFonts w:ascii="Courier New" w:hAnsi="Courier New" w:hint="default"/>
      </w:rPr>
    </w:lvl>
    <w:lvl w:ilvl="8" w:tplc="57048A24">
      <w:start w:val="1"/>
      <w:numFmt w:val="bullet"/>
      <w:lvlText w:val=""/>
      <w:lvlJc w:val="left"/>
      <w:pPr>
        <w:ind w:left="6480" w:hanging="360"/>
      </w:pPr>
      <w:rPr>
        <w:rFonts w:ascii="Wingdings" w:hAnsi="Wingdings" w:hint="default"/>
      </w:rPr>
    </w:lvl>
  </w:abstractNum>
  <w:abstractNum w:abstractNumId="10" w15:restartNumberingAfterBreak="0">
    <w:nsid w:val="4AD9292B"/>
    <w:multiLevelType w:val="hybridMultilevel"/>
    <w:tmpl w:val="293409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AE229D"/>
    <w:multiLevelType w:val="hybridMultilevel"/>
    <w:tmpl w:val="4CA48A30"/>
    <w:lvl w:ilvl="0" w:tplc="CE401F52">
      <w:start w:val="1"/>
      <w:numFmt w:val="decimal"/>
      <w:lvlText w:val="%1."/>
      <w:lvlJc w:val="left"/>
      <w:pPr>
        <w:ind w:left="1080" w:hanging="360"/>
      </w:pPr>
    </w:lvl>
    <w:lvl w:ilvl="1" w:tplc="0B680568">
      <w:start w:val="1"/>
      <w:numFmt w:val="lowerLetter"/>
      <w:lvlText w:val="%2."/>
      <w:lvlJc w:val="left"/>
      <w:pPr>
        <w:ind w:left="1800" w:hanging="360"/>
      </w:pPr>
    </w:lvl>
    <w:lvl w:ilvl="2" w:tplc="CB80AA7A">
      <w:start w:val="1"/>
      <w:numFmt w:val="lowerRoman"/>
      <w:lvlText w:val="%3."/>
      <w:lvlJc w:val="right"/>
      <w:pPr>
        <w:ind w:left="2520" w:hanging="180"/>
      </w:pPr>
    </w:lvl>
    <w:lvl w:ilvl="3" w:tplc="A5460292">
      <w:start w:val="1"/>
      <w:numFmt w:val="decimal"/>
      <w:lvlText w:val="%4."/>
      <w:lvlJc w:val="left"/>
      <w:pPr>
        <w:ind w:left="3240" w:hanging="360"/>
      </w:pPr>
    </w:lvl>
    <w:lvl w:ilvl="4" w:tplc="0A968D46">
      <w:start w:val="1"/>
      <w:numFmt w:val="lowerLetter"/>
      <w:lvlText w:val="%5."/>
      <w:lvlJc w:val="left"/>
      <w:pPr>
        <w:ind w:left="3960" w:hanging="360"/>
      </w:pPr>
    </w:lvl>
    <w:lvl w:ilvl="5" w:tplc="336E8E5E">
      <w:start w:val="1"/>
      <w:numFmt w:val="lowerRoman"/>
      <w:lvlText w:val="%6."/>
      <w:lvlJc w:val="right"/>
      <w:pPr>
        <w:ind w:left="4680" w:hanging="180"/>
      </w:pPr>
    </w:lvl>
    <w:lvl w:ilvl="6" w:tplc="325C5CC2">
      <w:start w:val="1"/>
      <w:numFmt w:val="decimal"/>
      <w:lvlText w:val="%7."/>
      <w:lvlJc w:val="left"/>
      <w:pPr>
        <w:ind w:left="5400" w:hanging="360"/>
      </w:pPr>
    </w:lvl>
    <w:lvl w:ilvl="7" w:tplc="EC865592">
      <w:start w:val="1"/>
      <w:numFmt w:val="lowerLetter"/>
      <w:lvlText w:val="%8."/>
      <w:lvlJc w:val="left"/>
      <w:pPr>
        <w:ind w:left="6120" w:hanging="360"/>
      </w:pPr>
    </w:lvl>
    <w:lvl w:ilvl="8" w:tplc="13FC1FDC">
      <w:start w:val="1"/>
      <w:numFmt w:val="lowerRoman"/>
      <w:lvlText w:val="%9."/>
      <w:lvlJc w:val="right"/>
      <w:pPr>
        <w:ind w:left="6840" w:hanging="180"/>
      </w:pPr>
    </w:lvl>
  </w:abstractNum>
  <w:abstractNum w:abstractNumId="12" w15:restartNumberingAfterBreak="0">
    <w:nsid w:val="56B76991"/>
    <w:multiLevelType w:val="hybridMultilevel"/>
    <w:tmpl w:val="30D23D94"/>
    <w:lvl w:ilvl="0" w:tplc="DD8600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D1F0768"/>
    <w:multiLevelType w:val="hybridMultilevel"/>
    <w:tmpl w:val="E95E7D02"/>
    <w:lvl w:ilvl="0" w:tplc="2C2AAA48">
      <w:start w:val="1"/>
      <w:numFmt w:val="decimal"/>
      <w:lvlText w:val="%1."/>
      <w:lvlJc w:val="left"/>
      <w:pPr>
        <w:ind w:left="720" w:hanging="360"/>
      </w:pPr>
    </w:lvl>
    <w:lvl w:ilvl="1" w:tplc="24844FC4">
      <w:start w:val="1"/>
      <w:numFmt w:val="lowerLetter"/>
      <w:lvlText w:val="%2."/>
      <w:lvlJc w:val="left"/>
      <w:pPr>
        <w:ind w:left="1440" w:hanging="360"/>
      </w:pPr>
    </w:lvl>
    <w:lvl w:ilvl="2" w:tplc="65921072">
      <w:start w:val="1"/>
      <w:numFmt w:val="lowerRoman"/>
      <w:lvlText w:val="%3."/>
      <w:lvlJc w:val="right"/>
      <w:pPr>
        <w:ind w:left="2160" w:hanging="180"/>
      </w:pPr>
    </w:lvl>
    <w:lvl w:ilvl="3" w:tplc="27A08B76">
      <w:start w:val="1"/>
      <w:numFmt w:val="decimal"/>
      <w:lvlText w:val="%4."/>
      <w:lvlJc w:val="left"/>
      <w:pPr>
        <w:ind w:left="2880" w:hanging="360"/>
      </w:pPr>
    </w:lvl>
    <w:lvl w:ilvl="4" w:tplc="9C5AB8E2">
      <w:start w:val="1"/>
      <w:numFmt w:val="lowerLetter"/>
      <w:lvlText w:val="%5."/>
      <w:lvlJc w:val="left"/>
      <w:pPr>
        <w:ind w:left="3600" w:hanging="360"/>
      </w:pPr>
    </w:lvl>
    <w:lvl w:ilvl="5" w:tplc="5216852A">
      <w:start w:val="1"/>
      <w:numFmt w:val="lowerRoman"/>
      <w:lvlText w:val="%6."/>
      <w:lvlJc w:val="right"/>
      <w:pPr>
        <w:ind w:left="4320" w:hanging="180"/>
      </w:pPr>
    </w:lvl>
    <w:lvl w:ilvl="6" w:tplc="023C2896">
      <w:start w:val="1"/>
      <w:numFmt w:val="decimal"/>
      <w:lvlText w:val="%7."/>
      <w:lvlJc w:val="left"/>
      <w:pPr>
        <w:ind w:left="5040" w:hanging="360"/>
      </w:pPr>
    </w:lvl>
    <w:lvl w:ilvl="7" w:tplc="904C505C">
      <w:start w:val="1"/>
      <w:numFmt w:val="lowerLetter"/>
      <w:lvlText w:val="%8."/>
      <w:lvlJc w:val="left"/>
      <w:pPr>
        <w:ind w:left="5760" w:hanging="360"/>
      </w:pPr>
    </w:lvl>
    <w:lvl w:ilvl="8" w:tplc="4ED48C76">
      <w:start w:val="1"/>
      <w:numFmt w:val="lowerRoman"/>
      <w:lvlText w:val="%9."/>
      <w:lvlJc w:val="right"/>
      <w:pPr>
        <w:ind w:left="6480" w:hanging="180"/>
      </w:pPr>
    </w:lvl>
  </w:abstractNum>
  <w:abstractNum w:abstractNumId="14" w15:restartNumberingAfterBreak="0">
    <w:nsid w:val="7C6D333F"/>
    <w:multiLevelType w:val="hybridMultilevel"/>
    <w:tmpl w:val="20C68F5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4808555">
    <w:abstractNumId w:val="9"/>
  </w:num>
  <w:num w:numId="2" w16cid:durableId="140270542">
    <w:abstractNumId w:val="3"/>
  </w:num>
  <w:num w:numId="3" w16cid:durableId="880021907">
    <w:abstractNumId w:val="11"/>
  </w:num>
  <w:num w:numId="4" w16cid:durableId="921572235">
    <w:abstractNumId w:val="1"/>
  </w:num>
  <w:num w:numId="5" w16cid:durableId="1605377948">
    <w:abstractNumId w:val="6"/>
  </w:num>
  <w:num w:numId="6" w16cid:durableId="1073433782">
    <w:abstractNumId w:val="8"/>
  </w:num>
  <w:num w:numId="7" w16cid:durableId="189415278">
    <w:abstractNumId w:val="0"/>
  </w:num>
  <w:num w:numId="8" w16cid:durableId="2042317700">
    <w:abstractNumId w:val="7"/>
  </w:num>
  <w:num w:numId="9" w16cid:durableId="1182551745">
    <w:abstractNumId w:val="13"/>
  </w:num>
  <w:num w:numId="10" w16cid:durableId="470367354">
    <w:abstractNumId w:val="4"/>
  </w:num>
  <w:num w:numId="11" w16cid:durableId="1363095997">
    <w:abstractNumId w:val="5"/>
  </w:num>
  <w:num w:numId="12" w16cid:durableId="1190335369">
    <w:abstractNumId w:val="2"/>
  </w:num>
  <w:num w:numId="13" w16cid:durableId="1052195239">
    <w:abstractNumId w:val="12"/>
  </w:num>
  <w:num w:numId="14" w16cid:durableId="834220907">
    <w:abstractNumId w:val="10"/>
  </w:num>
  <w:num w:numId="15" w16cid:durableId="11101246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74"/>
    <w:rsid w:val="00025146"/>
    <w:rsid w:val="00053E1D"/>
    <w:rsid w:val="000805D2"/>
    <w:rsid w:val="000C426A"/>
    <w:rsid w:val="000D7623"/>
    <w:rsid w:val="001009FD"/>
    <w:rsid w:val="001421A9"/>
    <w:rsid w:val="00170E1A"/>
    <w:rsid w:val="002016C9"/>
    <w:rsid w:val="00202795"/>
    <w:rsid w:val="00262B66"/>
    <w:rsid w:val="002961F3"/>
    <w:rsid w:val="002E7821"/>
    <w:rsid w:val="003A7D95"/>
    <w:rsid w:val="003D5400"/>
    <w:rsid w:val="00401183"/>
    <w:rsid w:val="00447434"/>
    <w:rsid w:val="0045580F"/>
    <w:rsid w:val="00471E21"/>
    <w:rsid w:val="00481903"/>
    <w:rsid w:val="004824EF"/>
    <w:rsid w:val="004B3366"/>
    <w:rsid w:val="004D0238"/>
    <w:rsid w:val="00526169"/>
    <w:rsid w:val="00540161"/>
    <w:rsid w:val="00545A4D"/>
    <w:rsid w:val="005576ED"/>
    <w:rsid w:val="00571750"/>
    <w:rsid w:val="005875F6"/>
    <w:rsid w:val="005957CA"/>
    <w:rsid w:val="005B05BB"/>
    <w:rsid w:val="005C653E"/>
    <w:rsid w:val="005D0127"/>
    <w:rsid w:val="00617185"/>
    <w:rsid w:val="00625390"/>
    <w:rsid w:val="00637504"/>
    <w:rsid w:val="006562AF"/>
    <w:rsid w:val="006946CA"/>
    <w:rsid w:val="0069779E"/>
    <w:rsid w:val="006A5FC4"/>
    <w:rsid w:val="006C33C4"/>
    <w:rsid w:val="00735F61"/>
    <w:rsid w:val="00765ADE"/>
    <w:rsid w:val="00773973"/>
    <w:rsid w:val="00783AC4"/>
    <w:rsid w:val="007E542C"/>
    <w:rsid w:val="00807D54"/>
    <w:rsid w:val="00817780"/>
    <w:rsid w:val="008225C3"/>
    <w:rsid w:val="0083795E"/>
    <w:rsid w:val="00896C45"/>
    <w:rsid w:val="008D2C0F"/>
    <w:rsid w:val="009134B6"/>
    <w:rsid w:val="00916A2C"/>
    <w:rsid w:val="0093318E"/>
    <w:rsid w:val="00962796"/>
    <w:rsid w:val="00981B74"/>
    <w:rsid w:val="009B7DA1"/>
    <w:rsid w:val="009C0B37"/>
    <w:rsid w:val="009C7417"/>
    <w:rsid w:val="009E7D8A"/>
    <w:rsid w:val="00A13767"/>
    <w:rsid w:val="00A2446E"/>
    <w:rsid w:val="00A63179"/>
    <w:rsid w:val="00A81019"/>
    <w:rsid w:val="00A82E37"/>
    <w:rsid w:val="00B339CA"/>
    <w:rsid w:val="00B40728"/>
    <w:rsid w:val="00B75091"/>
    <w:rsid w:val="00B80211"/>
    <w:rsid w:val="00BA1E63"/>
    <w:rsid w:val="00BA7DB3"/>
    <w:rsid w:val="00BB20E9"/>
    <w:rsid w:val="00BB60F7"/>
    <w:rsid w:val="00BC396C"/>
    <w:rsid w:val="00BD18B9"/>
    <w:rsid w:val="00C16F84"/>
    <w:rsid w:val="00C24D0A"/>
    <w:rsid w:val="00C43A96"/>
    <w:rsid w:val="00C50CDF"/>
    <w:rsid w:val="00C53FAA"/>
    <w:rsid w:val="00C63AD3"/>
    <w:rsid w:val="00C81EEB"/>
    <w:rsid w:val="00CA31CA"/>
    <w:rsid w:val="00CC2D88"/>
    <w:rsid w:val="00D02F3A"/>
    <w:rsid w:val="00D0406A"/>
    <w:rsid w:val="00D04B05"/>
    <w:rsid w:val="00D25F05"/>
    <w:rsid w:val="00D97DD5"/>
    <w:rsid w:val="00DF79AB"/>
    <w:rsid w:val="00E03F67"/>
    <w:rsid w:val="00E24286"/>
    <w:rsid w:val="00E959AC"/>
    <w:rsid w:val="00F06D33"/>
    <w:rsid w:val="00F140C9"/>
    <w:rsid w:val="00F552AA"/>
    <w:rsid w:val="00F55E3E"/>
    <w:rsid w:val="00F66ABF"/>
    <w:rsid w:val="00F703F2"/>
    <w:rsid w:val="00F76A56"/>
    <w:rsid w:val="00F77DC2"/>
    <w:rsid w:val="00FB2B0B"/>
    <w:rsid w:val="00FB4070"/>
    <w:rsid w:val="00FB7B55"/>
    <w:rsid w:val="00FE01B7"/>
    <w:rsid w:val="00FE628F"/>
    <w:rsid w:val="0DB25E01"/>
    <w:rsid w:val="32D5F221"/>
    <w:rsid w:val="56427894"/>
    <w:rsid w:val="753241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F728"/>
  <w15:chartTrackingRefBased/>
  <w15:docId w15:val="{A560BA54-666D-4A60-8CC2-14922777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1B74"/>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981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1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1B7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1B7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1B7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1B7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1B7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1B7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1B7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1B7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1B7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1B7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1B7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1B7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1B7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1B7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1B7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1B74"/>
    <w:rPr>
      <w:rFonts w:eastAsiaTheme="majorEastAsia" w:cstheme="majorBidi"/>
      <w:color w:val="272727" w:themeColor="text1" w:themeTint="D8"/>
    </w:rPr>
  </w:style>
  <w:style w:type="paragraph" w:styleId="Tytu">
    <w:name w:val="Title"/>
    <w:basedOn w:val="Normalny"/>
    <w:next w:val="Normalny"/>
    <w:link w:val="TytuZnak"/>
    <w:uiPriority w:val="10"/>
    <w:qFormat/>
    <w:rsid w:val="00981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1B7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1B7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1B7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1B74"/>
    <w:pPr>
      <w:spacing w:before="160"/>
      <w:jc w:val="center"/>
    </w:pPr>
    <w:rPr>
      <w:i/>
      <w:iCs/>
      <w:color w:val="404040" w:themeColor="text1" w:themeTint="BF"/>
    </w:rPr>
  </w:style>
  <w:style w:type="character" w:customStyle="1" w:styleId="CytatZnak">
    <w:name w:val="Cytat Znak"/>
    <w:basedOn w:val="Domylnaczcionkaakapitu"/>
    <w:link w:val="Cytat"/>
    <w:uiPriority w:val="29"/>
    <w:rsid w:val="00981B74"/>
    <w:rPr>
      <w:i/>
      <w:iCs/>
      <w:color w:val="404040" w:themeColor="text1" w:themeTint="BF"/>
    </w:rPr>
  </w:style>
  <w:style w:type="paragraph" w:styleId="Akapitzlist">
    <w:name w:val="List Paragraph"/>
    <w:basedOn w:val="Normalny"/>
    <w:uiPriority w:val="34"/>
    <w:qFormat/>
    <w:rsid w:val="00981B74"/>
    <w:pPr>
      <w:ind w:left="720"/>
      <w:contextualSpacing/>
    </w:pPr>
  </w:style>
  <w:style w:type="character" w:styleId="Wyrnienieintensywne">
    <w:name w:val="Intense Emphasis"/>
    <w:basedOn w:val="Domylnaczcionkaakapitu"/>
    <w:uiPriority w:val="21"/>
    <w:qFormat/>
    <w:rsid w:val="00981B74"/>
    <w:rPr>
      <w:i/>
      <w:iCs/>
      <w:color w:val="0F4761" w:themeColor="accent1" w:themeShade="BF"/>
    </w:rPr>
  </w:style>
  <w:style w:type="paragraph" w:styleId="Cytatintensywny">
    <w:name w:val="Intense Quote"/>
    <w:basedOn w:val="Normalny"/>
    <w:next w:val="Normalny"/>
    <w:link w:val="CytatintensywnyZnak"/>
    <w:uiPriority w:val="30"/>
    <w:qFormat/>
    <w:rsid w:val="00981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1B74"/>
    <w:rPr>
      <w:i/>
      <w:iCs/>
      <w:color w:val="0F4761" w:themeColor="accent1" w:themeShade="BF"/>
    </w:rPr>
  </w:style>
  <w:style w:type="character" w:styleId="Odwoanieintensywne">
    <w:name w:val="Intense Reference"/>
    <w:basedOn w:val="Domylnaczcionkaakapitu"/>
    <w:uiPriority w:val="32"/>
    <w:qFormat/>
    <w:rsid w:val="00981B74"/>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981B7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81B74"/>
    <w:rPr>
      <w:kern w:val="0"/>
      <w:sz w:val="20"/>
      <w:szCs w:val="20"/>
      <w14:ligatures w14:val="none"/>
    </w:rPr>
  </w:style>
  <w:style w:type="character" w:styleId="Odwoanieprzypisudolnego">
    <w:name w:val="footnote reference"/>
    <w:basedOn w:val="Domylnaczcionkaakapitu"/>
    <w:uiPriority w:val="99"/>
    <w:semiHidden/>
    <w:unhideWhenUsed/>
    <w:rsid w:val="00981B74"/>
    <w:rPr>
      <w:vertAlign w:val="superscript"/>
    </w:rPr>
  </w:style>
  <w:style w:type="table" w:styleId="Tabela-Siatka">
    <w:name w:val="Table Grid"/>
    <w:basedOn w:val="Standardowy"/>
    <w:uiPriority w:val="39"/>
    <w:rsid w:val="00981B7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kern w:val="0"/>
      <w:sz w:val="20"/>
      <w:szCs w:val="20"/>
      <w14:ligatures w14:val="none"/>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481903"/>
    <w:rPr>
      <w:b/>
      <w:bCs/>
    </w:rPr>
  </w:style>
  <w:style w:type="character" w:customStyle="1" w:styleId="TematkomentarzaZnak">
    <w:name w:val="Temat komentarza Znak"/>
    <w:basedOn w:val="TekstkomentarzaZnak"/>
    <w:link w:val="Tematkomentarza"/>
    <w:uiPriority w:val="99"/>
    <w:semiHidden/>
    <w:rsid w:val="00481903"/>
    <w:rPr>
      <w:b/>
      <w:bCs/>
      <w:kern w:val="0"/>
      <w:sz w:val="20"/>
      <w:szCs w:val="20"/>
      <w14:ligatures w14:val="none"/>
    </w:rPr>
  </w:style>
  <w:style w:type="paragraph" w:styleId="Poprawka">
    <w:name w:val="Revision"/>
    <w:hidden/>
    <w:uiPriority w:val="99"/>
    <w:semiHidden/>
    <w:rsid w:val="003D5400"/>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19</Pages>
  <Words>3425</Words>
  <Characters>20553</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Kalińska</dc:creator>
  <cp:keywords/>
  <dc:description/>
  <cp:lastModifiedBy>Paulina Grądzik</cp:lastModifiedBy>
  <cp:revision>23</cp:revision>
  <dcterms:created xsi:type="dcterms:W3CDTF">2025-12-12T16:50:00Z</dcterms:created>
  <dcterms:modified xsi:type="dcterms:W3CDTF">2025-12-12T17:22:00Z</dcterms:modified>
</cp:coreProperties>
</file>