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7F484" w14:textId="0B94C886" w:rsidR="004E1CD7" w:rsidRPr="00FF58D5" w:rsidRDefault="004E1CD7" w:rsidP="00AB5A1A">
      <w:pPr>
        <w:spacing w:line="276" w:lineRule="auto"/>
        <w:ind w:left="142"/>
        <w:jc w:val="center"/>
        <w:rPr>
          <w:rFonts w:asciiTheme="minorHAnsi" w:hAnsiTheme="minorHAnsi" w:cstheme="minorHAnsi"/>
          <w:b/>
          <w:bCs/>
          <w:sz w:val="22"/>
          <w:szCs w:val="22"/>
        </w:rPr>
      </w:pPr>
      <w:r w:rsidRPr="00FF58D5">
        <w:rPr>
          <w:rFonts w:asciiTheme="minorHAnsi" w:hAnsiTheme="minorHAnsi" w:cstheme="minorHAnsi"/>
          <w:b/>
          <w:bCs/>
          <w:noProof/>
          <w:sz w:val="22"/>
          <w:szCs w:val="22"/>
        </w:rPr>
        <w:t xml:space="preserve">Uwagi Konfederacji Lewiatan do projektu </w:t>
      </w:r>
      <w:r w:rsidR="004D336D" w:rsidRPr="00FF58D5">
        <w:rPr>
          <w:rFonts w:asciiTheme="minorHAnsi" w:hAnsiTheme="minorHAnsi" w:cstheme="minorHAnsi"/>
          <w:b/>
          <w:bCs/>
          <w:noProof/>
          <w:sz w:val="22"/>
          <w:szCs w:val="22"/>
        </w:rPr>
        <w:t xml:space="preserve">ustawy o wzmocnieniu stosowania prawa do jednakowego wynagrodzenia mężczyzn i kobiet za jednakową pracę lub za pracę o jednakowej wartości </w:t>
      </w:r>
      <w:r w:rsidRPr="00FF58D5">
        <w:rPr>
          <w:rFonts w:asciiTheme="minorHAnsi" w:hAnsiTheme="minorHAnsi" w:cstheme="minorHAnsi"/>
          <w:b/>
          <w:bCs/>
          <w:sz w:val="22"/>
          <w:szCs w:val="22"/>
        </w:rPr>
        <w:t>(</w:t>
      </w:r>
      <w:r w:rsidR="004D336D" w:rsidRPr="00FF58D5">
        <w:rPr>
          <w:rFonts w:asciiTheme="minorHAnsi" w:hAnsiTheme="minorHAnsi" w:cstheme="minorHAnsi"/>
          <w:b/>
          <w:bCs/>
          <w:sz w:val="22"/>
          <w:szCs w:val="22"/>
        </w:rPr>
        <w:t>UC127</w:t>
      </w:r>
      <w:r w:rsidRPr="00FF58D5">
        <w:rPr>
          <w:rFonts w:asciiTheme="minorHAnsi" w:hAnsiTheme="minorHAnsi" w:cstheme="minorHAnsi"/>
          <w:b/>
          <w:bCs/>
          <w:sz w:val="22"/>
          <w:szCs w:val="22"/>
        </w:rPr>
        <w:t>)</w:t>
      </w:r>
    </w:p>
    <w:p w14:paraId="791744A9" w14:textId="77777777" w:rsidR="006541D3" w:rsidRPr="00FF58D5" w:rsidRDefault="006541D3" w:rsidP="00AB5A1A">
      <w:pPr>
        <w:spacing w:line="276" w:lineRule="auto"/>
        <w:ind w:left="-709"/>
        <w:rPr>
          <w:rFonts w:asciiTheme="minorHAnsi" w:hAnsiTheme="minorHAnsi" w:cstheme="minorHAnsi"/>
          <w:sz w:val="22"/>
          <w:szCs w:val="22"/>
        </w:rPr>
      </w:pPr>
    </w:p>
    <w:p w14:paraId="3DE88F63" w14:textId="77777777" w:rsidR="006541D3" w:rsidRPr="00FF58D5" w:rsidRDefault="006541D3" w:rsidP="00AB5A1A">
      <w:pPr>
        <w:spacing w:line="276" w:lineRule="auto"/>
        <w:ind w:right="251"/>
        <w:rPr>
          <w:rFonts w:asciiTheme="minorHAnsi" w:hAnsiTheme="minorHAnsi" w:cstheme="minorHAnsi"/>
          <w:sz w:val="22"/>
          <w:szCs w:val="22"/>
        </w:rPr>
      </w:pPr>
    </w:p>
    <w:p w14:paraId="0E45ABAD" w14:textId="77777777" w:rsidR="006541D3" w:rsidRPr="00FF58D5" w:rsidRDefault="006541D3" w:rsidP="00AB5A1A">
      <w:pPr>
        <w:spacing w:line="276" w:lineRule="auto"/>
        <w:rPr>
          <w:rFonts w:asciiTheme="minorHAnsi" w:hAnsiTheme="minorHAnsi" w:cstheme="minorHAnsi"/>
          <w:sz w:val="22"/>
          <w:szCs w:val="22"/>
        </w:rPr>
      </w:pPr>
    </w:p>
    <w:tbl>
      <w:tblPr>
        <w:tblStyle w:val="Tabela-Siatka"/>
        <w:tblW w:w="14175" w:type="dxa"/>
        <w:tblInd w:w="846" w:type="dxa"/>
        <w:tblLayout w:type="fixed"/>
        <w:tblCellMar>
          <w:left w:w="57" w:type="dxa"/>
          <w:right w:w="57" w:type="dxa"/>
        </w:tblCellMar>
        <w:tblLook w:val="04A0" w:firstRow="1" w:lastRow="0" w:firstColumn="1" w:lastColumn="0" w:noHBand="0" w:noVBand="1"/>
      </w:tblPr>
      <w:tblGrid>
        <w:gridCol w:w="709"/>
        <w:gridCol w:w="1134"/>
        <w:gridCol w:w="3118"/>
        <w:gridCol w:w="3827"/>
        <w:gridCol w:w="5387"/>
      </w:tblGrid>
      <w:tr w:rsidR="009B5605" w:rsidRPr="00FF58D5" w14:paraId="04E991EA" w14:textId="77777777" w:rsidTr="00AB5A1A">
        <w:trPr>
          <w:trHeight w:val="1275"/>
        </w:trPr>
        <w:tc>
          <w:tcPr>
            <w:tcW w:w="709" w:type="dxa"/>
            <w:vAlign w:val="center"/>
          </w:tcPr>
          <w:p w14:paraId="5052EFD1" w14:textId="30A245E2" w:rsidR="004E1CD7" w:rsidRPr="00FF58D5" w:rsidRDefault="00CF3786" w:rsidP="00AB5A1A">
            <w:pPr>
              <w:spacing w:line="276" w:lineRule="auto"/>
              <w:rPr>
                <w:rFonts w:asciiTheme="minorHAnsi" w:hAnsiTheme="minorHAnsi" w:cstheme="minorHAnsi"/>
                <w:b/>
                <w:sz w:val="22"/>
                <w:szCs w:val="22"/>
              </w:rPr>
            </w:pPr>
            <w:r w:rsidRPr="00FF58D5">
              <w:rPr>
                <w:rFonts w:asciiTheme="minorHAnsi" w:hAnsiTheme="minorHAnsi" w:cstheme="minorHAnsi"/>
                <w:b/>
                <w:sz w:val="22"/>
                <w:szCs w:val="22"/>
              </w:rPr>
              <w:t>L.</w:t>
            </w:r>
            <w:r w:rsidR="004E1CD7" w:rsidRPr="00FF58D5">
              <w:rPr>
                <w:rFonts w:asciiTheme="minorHAnsi" w:hAnsiTheme="minorHAnsi" w:cstheme="minorHAnsi"/>
                <w:b/>
                <w:sz w:val="22"/>
                <w:szCs w:val="22"/>
              </w:rPr>
              <w:t>P.</w:t>
            </w:r>
          </w:p>
        </w:tc>
        <w:tc>
          <w:tcPr>
            <w:tcW w:w="1134" w:type="dxa"/>
            <w:vAlign w:val="center"/>
          </w:tcPr>
          <w:p w14:paraId="18C6F613" w14:textId="77777777" w:rsidR="004E1CD7" w:rsidRPr="00FF58D5" w:rsidRDefault="004E1CD7" w:rsidP="00AB5A1A">
            <w:pPr>
              <w:spacing w:line="276" w:lineRule="auto"/>
              <w:jc w:val="center"/>
              <w:rPr>
                <w:rFonts w:asciiTheme="minorHAnsi" w:eastAsia="Calibri" w:hAnsiTheme="minorHAnsi" w:cstheme="minorHAnsi"/>
                <w:sz w:val="22"/>
                <w:szCs w:val="22"/>
              </w:rPr>
            </w:pPr>
            <w:r w:rsidRPr="00FF58D5">
              <w:rPr>
                <w:rFonts w:asciiTheme="minorHAnsi" w:hAnsiTheme="minorHAnsi" w:cstheme="minorHAnsi"/>
                <w:b/>
                <w:bCs/>
                <w:sz w:val="22"/>
                <w:szCs w:val="22"/>
              </w:rPr>
              <w:t>Jednostka redakcyjna, której uwaga dotyczy</w:t>
            </w:r>
          </w:p>
        </w:tc>
        <w:tc>
          <w:tcPr>
            <w:tcW w:w="3118" w:type="dxa"/>
            <w:vAlign w:val="center"/>
          </w:tcPr>
          <w:p w14:paraId="23DB05E1" w14:textId="77777777" w:rsidR="004E1CD7" w:rsidRPr="00FF58D5" w:rsidRDefault="004E1CD7" w:rsidP="00AB5A1A">
            <w:pPr>
              <w:spacing w:line="276" w:lineRule="auto"/>
              <w:jc w:val="center"/>
              <w:rPr>
                <w:rFonts w:asciiTheme="minorHAnsi" w:hAnsiTheme="minorHAnsi" w:cstheme="minorHAnsi"/>
                <w:b/>
                <w:bCs/>
                <w:sz w:val="22"/>
                <w:szCs w:val="22"/>
              </w:rPr>
            </w:pPr>
            <w:r w:rsidRPr="00FF58D5">
              <w:rPr>
                <w:rFonts w:asciiTheme="minorHAnsi" w:hAnsiTheme="minorHAnsi" w:cstheme="minorHAnsi"/>
                <w:b/>
                <w:bCs/>
                <w:sz w:val="22"/>
                <w:szCs w:val="22"/>
              </w:rPr>
              <w:t>Treść przepisu</w:t>
            </w:r>
          </w:p>
        </w:tc>
        <w:tc>
          <w:tcPr>
            <w:tcW w:w="3827" w:type="dxa"/>
            <w:vAlign w:val="center"/>
          </w:tcPr>
          <w:p w14:paraId="247D4D73" w14:textId="77777777" w:rsidR="004E1CD7" w:rsidRPr="00FF58D5" w:rsidRDefault="004E1CD7" w:rsidP="00AB5A1A">
            <w:pPr>
              <w:spacing w:line="276" w:lineRule="auto"/>
              <w:jc w:val="center"/>
              <w:rPr>
                <w:rFonts w:asciiTheme="minorHAnsi" w:hAnsiTheme="minorHAnsi" w:cstheme="minorHAnsi"/>
                <w:b/>
                <w:bCs/>
                <w:sz w:val="22"/>
                <w:szCs w:val="22"/>
              </w:rPr>
            </w:pPr>
            <w:r w:rsidRPr="00FF58D5">
              <w:rPr>
                <w:rFonts w:asciiTheme="minorHAnsi" w:hAnsiTheme="minorHAnsi" w:cstheme="minorHAnsi"/>
                <w:b/>
                <w:bCs/>
                <w:sz w:val="22"/>
                <w:szCs w:val="22"/>
              </w:rPr>
              <w:t>Propozycja zmiany</w:t>
            </w:r>
          </w:p>
        </w:tc>
        <w:tc>
          <w:tcPr>
            <w:tcW w:w="5387" w:type="dxa"/>
            <w:vAlign w:val="center"/>
          </w:tcPr>
          <w:p w14:paraId="7610FDE8" w14:textId="77777777" w:rsidR="004E1CD7" w:rsidRPr="00FF58D5" w:rsidRDefault="004E1CD7" w:rsidP="00AB5A1A">
            <w:pPr>
              <w:spacing w:line="276" w:lineRule="auto"/>
              <w:jc w:val="center"/>
              <w:rPr>
                <w:rFonts w:asciiTheme="minorHAnsi" w:hAnsiTheme="minorHAnsi" w:cstheme="minorHAnsi"/>
                <w:b/>
                <w:bCs/>
                <w:sz w:val="22"/>
                <w:szCs w:val="22"/>
              </w:rPr>
            </w:pPr>
            <w:r w:rsidRPr="00FF58D5">
              <w:rPr>
                <w:rFonts w:asciiTheme="minorHAnsi" w:hAnsiTheme="minorHAnsi" w:cstheme="minorHAnsi"/>
                <w:b/>
                <w:bCs/>
                <w:sz w:val="22"/>
                <w:szCs w:val="22"/>
              </w:rPr>
              <w:t>Uzasadnienie/Uwagi</w:t>
            </w:r>
          </w:p>
        </w:tc>
      </w:tr>
      <w:tr w:rsidR="00DF6EF8" w:rsidRPr="00FF58D5" w14:paraId="6EEF60A7" w14:textId="77777777" w:rsidTr="00AB5A1A">
        <w:trPr>
          <w:trHeight w:val="1275"/>
        </w:trPr>
        <w:tc>
          <w:tcPr>
            <w:tcW w:w="709" w:type="dxa"/>
            <w:vAlign w:val="center"/>
          </w:tcPr>
          <w:p w14:paraId="2EC5603A" w14:textId="77777777" w:rsidR="00DF6EF8" w:rsidRPr="00FF58D5" w:rsidRDefault="00DF6EF8" w:rsidP="00AB5A1A">
            <w:pPr>
              <w:pStyle w:val="Akapitzlist"/>
              <w:numPr>
                <w:ilvl w:val="0"/>
                <w:numId w:val="47"/>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65094F09" w14:textId="67CD114C" w:rsidR="00DF6EF8" w:rsidRPr="00FF58D5" w:rsidRDefault="00DF6EF8"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Art. 2</w:t>
            </w:r>
          </w:p>
        </w:tc>
        <w:tc>
          <w:tcPr>
            <w:tcW w:w="3118" w:type="dxa"/>
            <w:vAlign w:val="center"/>
          </w:tcPr>
          <w:p w14:paraId="21D0C1CC" w14:textId="77777777" w:rsidR="00DF6EF8" w:rsidRPr="00FF58D5" w:rsidRDefault="00F015DA" w:rsidP="00AB5A1A">
            <w:pPr>
              <w:pStyle w:val="USTustnpkodeksu"/>
              <w:spacing w:line="276" w:lineRule="auto"/>
              <w:ind w:firstLine="0"/>
              <w:rPr>
                <w:rFonts w:asciiTheme="minorHAnsi" w:hAnsiTheme="minorHAnsi" w:cstheme="minorHAnsi"/>
                <w:sz w:val="22"/>
                <w:szCs w:val="22"/>
              </w:rPr>
            </w:pPr>
            <w:r w:rsidRPr="00FF58D5">
              <w:rPr>
                <w:rFonts w:asciiTheme="minorHAnsi" w:hAnsiTheme="minorHAnsi" w:cstheme="minorHAnsi"/>
                <w:sz w:val="22"/>
                <w:szCs w:val="22"/>
              </w:rPr>
              <w:t>Art. 2. Użyte w ustawie określenia oznaczają:</w:t>
            </w:r>
          </w:p>
          <w:p w14:paraId="3129EE6D" w14:textId="2FEE4A49" w:rsidR="00F015DA" w:rsidRPr="00FF58D5" w:rsidRDefault="00F015DA" w:rsidP="00AB5A1A">
            <w:pPr>
              <w:pStyle w:val="USTustnpkodeksu"/>
              <w:spacing w:line="276" w:lineRule="auto"/>
              <w:ind w:firstLine="0"/>
              <w:rPr>
                <w:rFonts w:asciiTheme="minorHAnsi" w:hAnsiTheme="minorHAnsi" w:cstheme="minorHAnsi"/>
                <w:sz w:val="22"/>
                <w:szCs w:val="22"/>
              </w:rPr>
            </w:pPr>
            <w:r w:rsidRPr="00FF58D5">
              <w:rPr>
                <w:rFonts w:asciiTheme="minorHAnsi" w:hAnsiTheme="minorHAnsi" w:cstheme="minorHAnsi"/>
                <w:sz w:val="22"/>
                <w:szCs w:val="22"/>
              </w:rPr>
              <w:t>(…)</w:t>
            </w:r>
          </w:p>
        </w:tc>
        <w:tc>
          <w:tcPr>
            <w:tcW w:w="3827" w:type="dxa"/>
            <w:vAlign w:val="center"/>
          </w:tcPr>
          <w:p w14:paraId="30ACA37D" w14:textId="5B8B40AA" w:rsidR="00DF6EF8" w:rsidRPr="00FF58D5" w:rsidRDefault="001C599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Wprowadzenie dodatkowych definicji.</w:t>
            </w:r>
          </w:p>
        </w:tc>
        <w:tc>
          <w:tcPr>
            <w:tcW w:w="5387" w:type="dxa"/>
          </w:tcPr>
          <w:p w14:paraId="1425C267" w14:textId="22B4F0AF" w:rsidR="00923D8D" w:rsidRPr="00FF58D5" w:rsidRDefault="001C5993"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Projektowana ustawa w wielu miejscach posługuje się sformułowaniem „zasada równego traktowania w zatrudnieniu w zakresie prawa do jednakowego wynagrodzenia mężczyzn i kobiet za jednakową pracę lub pracę o jednakowej wartości” (art. 2 pkt 11, art. 33, art. 36 pkt 4, 5 i 7, art. 37 pkt 3, art. 38, art. 40 ust. 1, art. 41 ust. 1, art. 42 ust. 1, art. 43 ust. 1, 3</w:t>
            </w:r>
            <w:r w:rsidR="00923D8D" w:rsidRPr="00FF58D5">
              <w:rPr>
                <w:rFonts w:asciiTheme="minorHAnsi" w:hAnsiTheme="minorHAnsi" w:cstheme="minorHAnsi"/>
                <w:sz w:val="22"/>
                <w:szCs w:val="22"/>
              </w:rPr>
              <w:t xml:space="preserve">, </w:t>
            </w:r>
            <w:r w:rsidRPr="00FF58D5">
              <w:rPr>
                <w:rFonts w:asciiTheme="minorHAnsi" w:hAnsiTheme="minorHAnsi" w:cstheme="minorHAnsi"/>
                <w:sz w:val="22"/>
                <w:szCs w:val="22"/>
              </w:rPr>
              <w:t xml:space="preserve">art. 43 ust. 1 pkt 1, art. 48, art. 51, art. 52 projektu). Dla zapewnienia przejrzystości oraz skrócenia tekstu celowym wydaje się więc wprowadzenie definicji tego pojęcia w projekcie ustawy. </w:t>
            </w:r>
          </w:p>
          <w:p w14:paraId="6A08CEB8" w14:textId="64980F23" w:rsidR="009B367A" w:rsidRPr="00FF58D5" w:rsidRDefault="009B367A" w:rsidP="00AB5A1A">
            <w:pPr>
              <w:spacing w:after="160" w:line="276" w:lineRule="auto"/>
              <w:jc w:val="both"/>
              <w:rPr>
                <w:rFonts w:asciiTheme="minorHAnsi" w:hAnsiTheme="minorHAnsi" w:cstheme="minorHAnsi"/>
                <w:sz w:val="22"/>
                <w:szCs w:val="22"/>
              </w:rPr>
            </w:pPr>
          </w:p>
        </w:tc>
      </w:tr>
      <w:tr w:rsidR="00C65CD1" w:rsidRPr="00FF58D5" w14:paraId="15923830" w14:textId="77777777" w:rsidTr="00AB5A1A">
        <w:trPr>
          <w:trHeight w:val="1275"/>
        </w:trPr>
        <w:tc>
          <w:tcPr>
            <w:tcW w:w="709" w:type="dxa"/>
            <w:vAlign w:val="center"/>
          </w:tcPr>
          <w:p w14:paraId="7FD3F55F" w14:textId="77777777" w:rsidR="00C65CD1" w:rsidRPr="00FF58D5" w:rsidRDefault="00C65CD1" w:rsidP="00AB5A1A">
            <w:pPr>
              <w:pStyle w:val="Akapitzlist"/>
              <w:numPr>
                <w:ilvl w:val="0"/>
                <w:numId w:val="47"/>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01794429" w14:textId="01A3EF12" w:rsidR="00C65CD1" w:rsidRPr="00FF58D5" w:rsidRDefault="00C65CD1"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 xml:space="preserve">Art. 2 pkt </w:t>
            </w:r>
            <w:r w:rsidR="00522FE7" w:rsidRPr="00FF58D5">
              <w:rPr>
                <w:rFonts w:asciiTheme="minorHAnsi" w:eastAsia="Aptos" w:hAnsiTheme="minorHAnsi" w:cstheme="minorHAnsi"/>
                <w:b/>
                <w:bCs/>
                <w:sz w:val="22"/>
                <w:szCs w:val="22"/>
              </w:rPr>
              <w:t>2</w:t>
            </w:r>
          </w:p>
        </w:tc>
        <w:tc>
          <w:tcPr>
            <w:tcW w:w="3118" w:type="dxa"/>
            <w:vAlign w:val="center"/>
          </w:tcPr>
          <w:p w14:paraId="24389C1B" w14:textId="3E87A902" w:rsidR="00C65CD1" w:rsidRPr="00FF58D5" w:rsidRDefault="00522FE7" w:rsidP="00AB5A1A">
            <w:pPr>
              <w:pStyle w:val="USTustnpkodeksu"/>
              <w:spacing w:line="276" w:lineRule="auto"/>
              <w:ind w:firstLine="0"/>
              <w:rPr>
                <w:rFonts w:asciiTheme="minorHAnsi" w:hAnsiTheme="minorHAnsi" w:cstheme="minorHAnsi"/>
                <w:sz w:val="22"/>
                <w:szCs w:val="22"/>
              </w:rPr>
            </w:pPr>
            <w:r w:rsidRPr="00FF58D5">
              <w:rPr>
                <w:rFonts w:asciiTheme="minorHAnsi" w:hAnsiTheme="minorHAnsi" w:cstheme="minorHAnsi"/>
                <w:sz w:val="22"/>
                <w:szCs w:val="22"/>
              </w:rPr>
              <w:t xml:space="preserve">2) </w:t>
            </w:r>
            <w:r w:rsidR="00C65CD1" w:rsidRPr="00FF58D5">
              <w:rPr>
                <w:rFonts w:asciiTheme="minorHAnsi" w:hAnsiTheme="minorHAnsi" w:cstheme="minorHAnsi"/>
                <w:sz w:val="22"/>
                <w:szCs w:val="22"/>
              </w:rPr>
              <w:t xml:space="preserve">składniki uzupełniające lub zmienne – wszystkie składniki wynagrodzenia, o którym mowa w art. 183c § 2 Kodeksu pracy, poza wynagrodzeniem </w:t>
            </w:r>
            <w:r w:rsidR="00C65CD1" w:rsidRPr="00FF58D5">
              <w:rPr>
                <w:rFonts w:asciiTheme="minorHAnsi" w:hAnsiTheme="minorHAnsi" w:cstheme="minorHAnsi"/>
                <w:sz w:val="22"/>
                <w:szCs w:val="22"/>
              </w:rPr>
              <w:lastRenderedPageBreak/>
              <w:t>wynikającym z osobistego zaszeregowania pracownika, określonego stawką godzinową lub miesięczną oraz inne świadczenia otrzymywane z tytułu zatrudnienia, bezpośrednio lub pośrednio od pracodawcy, w formie pieniężnej lub w formie innej niż pieniężna;</w:t>
            </w:r>
          </w:p>
        </w:tc>
        <w:tc>
          <w:tcPr>
            <w:tcW w:w="3827" w:type="dxa"/>
            <w:vAlign w:val="center"/>
          </w:tcPr>
          <w:p w14:paraId="2AC98F07" w14:textId="49ACB18A" w:rsidR="00C65CD1" w:rsidRPr="00FF58D5" w:rsidRDefault="00E407C0"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Wskazane d</w:t>
            </w:r>
            <w:r w:rsidR="00361F1C" w:rsidRPr="00FF58D5">
              <w:rPr>
                <w:rFonts w:asciiTheme="minorHAnsi" w:hAnsiTheme="minorHAnsi" w:cstheme="minorHAnsi"/>
                <w:sz w:val="22"/>
                <w:szCs w:val="22"/>
              </w:rPr>
              <w:t>oprecyzowanie</w:t>
            </w:r>
            <w:r w:rsidRPr="00FF58D5">
              <w:rPr>
                <w:rFonts w:asciiTheme="minorHAnsi" w:hAnsiTheme="minorHAnsi" w:cstheme="minorHAnsi"/>
                <w:sz w:val="22"/>
                <w:szCs w:val="22"/>
              </w:rPr>
              <w:t xml:space="preserve"> czy</w:t>
            </w:r>
            <w:r w:rsidR="00361F1C" w:rsidRPr="00FF58D5">
              <w:rPr>
                <w:rFonts w:asciiTheme="minorHAnsi" w:hAnsiTheme="minorHAnsi" w:cstheme="minorHAnsi"/>
                <w:sz w:val="22"/>
                <w:szCs w:val="22"/>
              </w:rPr>
              <w:t xml:space="preserve"> składniki </w:t>
            </w:r>
            <w:r w:rsidR="00522FE7" w:rsidRPr="00FF58D5">
              <w:rPr>
                <w:rFonts w:asciiTheme="minorHAnsi" w:hAnsiTheme="minorHAnsi" w:cstheme="minorHAnsi"/>
                <w:sz w:val="22"/>
                <w:szCs w:val="22"/>
              </w:rPr>
              <w:t xml:space="preserve">uzupełniające lub zmienne obejmują wyłącznie świadczenia zróżnicowane indywidualnie, </w:t>
            </w:r>
            <w:r w:rsidRPr="00FF58D5">
              <w:rPr>
                <w:rFonts w:asciiTheme="minorHAnsi" w:hAnsiTheme="minorHAnsi" w:cstheme="minorHAnsi"/>
                <w:sz w:val="22"/>
                <w:szCs w:val="22"/>
              </w:rPr>
              <w:t>czy</w:t>
            </w:r>
            <w:r w:rsidR="00522FE7" w:rsidRPr="00FF58D5">
              <w:rPr>
                <w:rFonts w:asciiTheme="minorHAnsi" w:hAnsiTheme="minorHAnsi" w:cstheme="minorHAnsi"/>
                <w:sz w:val="22"/>
                <w:szCs w:val="22"/>
              </w:rPr>
              <w:t xml:space="preserve"> świadczenia </w:t>
            </w:r>
            <w:r w:rsidR="00522FE7" w:rsidRPr="00FF58D5">
              <w:rPr>
                <w:rFonts w:asciiTheme="minorHAnsi" w:hAnsiTheme="minorHAnsi" w:cstheme="minorHAnsi"/>
                <w:sz w:val="22"/>
                <w:szCs w:val="22"/>
              </w:rPr>
              <w:lastRenderedPageBreak/>
              <w:t>powszechne, jednakowe dla wszystkich pracowników w danej kategorii.</w:t>
            </w:r>
          </w:p>
        </w:tc>
        <w:tc>
          <w:tcPr>
            <w:tcW w:w="5387" w:type="dxa"/>
          </w:tcPr>
          <w:p w14:paraId="11FD2AEC" w14:textId="77777777" w:rsidR="00C65CD1" w:rsidRPr="00FF58D5" w:rsidRDefault="00522FE7"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 xml:space="preserve">Definicja obejmuje „inne świadczenia otrzymywane z tytułu zatrudnienia” bez doprecyzowania, czy chodzi wyłącznie o świadczenia indywidualnie zróżnicowane. Brak jasności, czy do składników tych zaliczają się także powszechne benefity </w:t>
            </w:r>
            <w:r w:rsidRPr="00FF58D5">
              <w:rPr>
                <w:rFonts w:asciiTheme="minorHAnsi" w:hAnsiTheme="minorHAnsi" w:cstheme="minorHAnsi"/>
                <w:sz w:val="22"/>
                <w:szCs w:val="22"/>
              </w:rPr>
              <w:lastRenderedPageBreak/>
              <w:t>przysługujące wszystkim pracownikom w danej kategorii (np. prywatna opieka medyczna, karty sportowe).</w:t>
            </w:r>
          </w:p>
          <w:p w14:paraId="1180CF02" w14:textId="3B637894" w:rsidR="009121AC" w:rsidRPr="00FF58D5" w:rsidRDefault="009121AC"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p>
        </w:tc>
      </w:tr>
      <w:tr w:rsidR="00004867" w:rsidRPr="00FF58D5" w14:paraId="13082168" w14:textId="77777777" w:rsidTr="00AB5A1A">
        <w:trPr>
          <w:trHeight w:val="1275"/>
        </w:trPr>
        <w:tc>
          <w:tcPr>
            <w:tcW w:w="709" w:type="dxa"/>
            <w:vAlign w:val="center"/>
          </w:tcPr>
          <w:p w14:paraId="2D8EF95F" w14:textId="4A21CDE9" w:rsidR="7840534A" w:rsidRPr="00FF58D5" w:rsidRDefault="7840534A" w:rsidP="00AB5A1A">
            <w:pPr>
              <w:pStyle w:val="Akapitzlist"/>
              <w:numPr>
                <w:ilvl w:val="0"/>
                <w:numId w:val="47"/>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0669D2EA" w14:textId="7EC44F6C" w:rsidR="7840534A" w:rsidRPr="00FF58D5" w:rsidRDefault="7840534A" w:rsidP="00AB5A1A">
            <w:pPr>
              <w:spacing w:line="276" w:lineRule="auto"/>
              <w:jc w:val="both"/>
              <w:rPr>
                <w:rFonts w:asciiTheme="minorHAnsi" w:eastAsia="Aptos" w:hAnsiTheme="minorHAnsi" w:cstheme="minorHAnsi"/>
                <w:sz w:val="22"/>
                <w:szCs w:val="22"/>
              </w:rPr>
            </w:pPr>
            <w:r w:rsidRPr="00FF58D5">
              <w:rPr>
                <w:rFonts w:asciiTheme="minorHAnsi" w:eastAsia="Aptos" w:hAnsiTheme="minorHAnsi" w:cstheme="minorHAnsi"/>
                <w:b/>
                <w:bCs/>
                <w:sz w:val="22"/>
                <w:szCs w:val="22"/>
              </w:rPr>
              <w:t xml:space="preserve">Art. 2 </w:t>
            </w:r>
            <w:r w:rsidR="00160232" w:rsidRPr="00FF58D5">
              <w:rPr>
                <w:rFonts w:asciiTheme="minorHAnsi" w:eastAsia="Aptos" w:hAnsiTheme="minorHAnsi" w:cstheme="minorHAnsi"/>
                <w:b/>
                <w:bCs/>
                <w:sz w:val="22"/>
                <w:szCs w:val="22"/>
              </w:rPr>
              <w:t>pkt</w:t>
            </w:r>
            <w:r w:rsidRPr="00FF58D5">
              <w:rPr>
                <w:rFonts w:asciiTheme="minorHAnsi" w:eastAsia="Aptos" w:hAnsiTheme="minorHAnsi" w:cstheme="minorHAnsi"/>
                <w:b/>
                <w:bCs/>
                <w:sz w:val="22"/>
                <w:szCs w:val="22"/>
              </w:rPr>
              <w:t xml:space="preserve"> 3</w:t>
            </w:r>
          </w:p>
        </w:tc>
        <w:tc>
          <w:tcPr>
            <w:tcW w:w="3118" w:type="dxa"/>
            <w:vAlign w:val="center"/>
          </w:tcPr>
          <w:p w14:paraId="7D81F246" w14:textId="0E8C14CE" w:rsidR="7840534A" w:rsidRPr="00FF58D5" w:rsidRDefault="004867F5" w:rsidP="00AB5A1A">
            <w:pPr>
              <w:pStyle w:val="USTustnpkodeksu"/>
              <w:spacing w:line="276" w:lineRule="auto"/>
              <w:ind w:firstLine="0"/>
              <w:rPr>
                <w:rFonts w:asciiTheme="minorHAnsi" w:hAnsiTheme="minorHAnsi" w:cstheme="minorHAnsi"/>
                <w:sz w:val="22"/>
                <w:szCs w:val="22"/>
              </w:rPr>
            </w:pPr>
            <w:r w:rsidRPr="00FF58D5">
              <w:rPr>
                <w:rFonts w:asciiTheme="minorHAnsi" w:hAnsiTheme="minorHAnsi" w:cstheme="minorHAnsi"/>
                <w:sz w:val="22"/>
                <w:szCs w:val="22"/>
              </w:rPr>
              <w:t>3) poziom wynagrodzenia – roczne wynagrodzenie brutto i odpowiadające mu wynagrodzenie godzinowe brutto, obliczane na podstawie otrzymanego wynagrodzenia w danym okresie, z wyłączeniem jednakowego świadczenia pieniężnego lub rzeczowego otrzymywanego przez wszystkich pracowników w ramach kategorii pracowników lub udostępniane wszystkim pracownikom w ramach kategorii pracowników bez żadnych przesłanek do skorzystania z nich;</w:t>
            </w:r>
          </w:p>
        </w:tc>
        <w:tc>
          <w:tcPr>
            <w:tcW w:w="3827" w:type="dxa"/>
            <w:vAlign w:val="center"/>
          </w:tcPr>
          <w:p w14:paraId="451B0C1D" w14:textId="65021590" w:rsidR="7840534A" w:rsidRPr="00FF58D5" w:rsidRDefault="0019124C" w:rsidP="00E407C0">
            <w:pPr>
              <w:spacing w:line="276" w:lineRule="auto"/>
              <w:ind w:left="232" w:hanging="232"/>
              <w:jc w:val="both"/>
              <w:rPr>
                <w:rFonts w:asciiTheme="minorHAnsi" w:hAnsiTheme="minorHAnsi" w:cstheme="minorHAnsi"/>
                <w:sz w:val="22"/>
                <w:szCs w:val="22"/>
              </w:rPr>
            </w:pPr>
            <w:r w:rsidRPr="00FF58D5">
              <w:rPr>
                <w:rFonts w:asciiTheme="minorHAnsi" w:hAnsiTheme="minorHAnsi" w:cstheme="minorHAnsi"/>
                <w:sz w:val="22"/>
                <w:szCs w:val="22"/>
              </w:rPr>
              <w:t xml:space="preserve">1. </w:t>
            </w:r>
            <w:r w:rsidR="008B2D19" w:rsidRPr="00FF58D5">
              <w:rPr>
                <w:rFonts w:asciiTheme="minorHAnsi" w:hAnsiTheme="minorHAnsi" w:cstheme="minorHAnsi"/>
                <w:sz w:val="22"/>
                <w:szCs w:val="22"/>
              </w:rPr>
              <w:t xml:space="preserve">Zasadne jest </w:t>
            </w:r>
            <w:r w:rsidR="00A77B79" w:rsidRPr="00FF58D5">
              <w:rPr>
                <w:rFonts w:asciiTheme="minorHAnsi" w:hAnsiTheme="minorHAnsi" w:cstheme="minorHAnsi"/>
                <w:sz w:val="22"/>
                <w:szCs w:val="22"/>
              </w:rPr>
              <w:t>doprecyzowanie</w:t>
            </w:r>
            <w:r w:rsidR="008B2D19" w:rsidRPr="00FF58D5">
              <w:rPr>
                <w:rFonts w:asciiTheme="minorHAnsi" w:hAnsiTheme="minorHAnsi" w:cstheme="minorHAnsi"/>
                <w:sz w:val="22"/>
                <w:szCs w:val="22"/>
              </w:rPr>
              <w:t xml:space="preserve"> w ustawie albo w przepisach wykonawczych</w:t>
            </w:r>
            <w:r w:rsidRPr="00FF58D5">
              <w:rPr>
                <w:rFonts w:asciiTheme="minorHAnsi" w:hAnsiTheme="minorHAnsi" w:cstheme="minorHAnsi"/>
                <w:sz w:val="22"/>
                <w:szCs w:val="22"/>
              </w:rPr>
              <w:t xml:space="preserve">, </w:t>
            </w:r>
            <w:r w:rsidR="008B2D19" w:rsidRPr="00FF58D5">
              <w:rPr>
                <w:rFonts w:asciiTheme="minorHAnsi" w:hAnsiTheme="minorHAnsi" w:cstheme="minorHAnsi"/>
                <w:sz w:val="22"/>
                <w:szCs w:val="22"/>
              </w:rPr>
              <w:t>które składniki wynagrodzenia i świadczenia pozapłacowe są uwzględniane przy ustalaniu „poziomu wynagrodzenia”</w:t>
            </w:r>
            <w:r w:rsidR="00525B4A" w:rsidRPr="00FF58D5">
              <w:rPr>
                <w:rFonts w:asciiTheme="minorHAnsi" w:hAnsiTheme="minorHAnsi" w:cstheme="minorHAnsi"/>
                <w:sz w:val="22"/>
                <w:szCs w:val="22"/>
              </w:rPr>
              <w:t xml:space="preserve">. Tytułem przykładu </w:t>
            </w:r>
            <w:r w:rsidR="008B2D19" w:rsidRPr="00FF58D5">
              <w:rPr>
                <w:rFonts w:asciiTheme="minorHAnsi" w:hAnsiTheme="minorHAnsi" w:cstheme="minorHAnsi"/>
                <w:sz w:val="22"/>
                <w:szCs w:val="22"/>
              </w:rPr>
              <w:t>czy wynagrodzenie za pracę w godzinach nadliczbowych jest wliczane do podstawy obliczeń, czy też podlega wyłączeniu jako element niereprezentatywny dla porównania wartości pracy.</w:t>
            </w:r>
            <w:r w:rsidR="005C5536" w:rsidRPr="00FF58D5">
              <w:rPr>
                <w:rFonts w:asciiTheme="minorHAnsi" w:hAnsiTheme="minorHAnsi" w:cstheme="minorHAnsi"/>
                <w:sz w:val="22"/>
                <w:szCs w:val="22"/>
              </w:rPr>
              <w:t xml:space="preserve"> </w:t>
            </w:r>
          </w:p>
          <w:p w14:paraId="27138175" w14:textId="77777777" w:rsidR="00525B4A" w:rsidRPr="00FF58D5" w:rsidRDefault="00525B4A" w:rsidP="00AB5A1A">
            <w:pPr>
              <w:spacing w:line="276" w:lineRule="auto"/>
              <w:jc w:val="both"/>
              <w:rPr>
                <w:rFonts w:asciiTheme="minorHAnsi" w:hAnsiTheme="minorHAnsi" w:cstheme="minorHAnsi"/>
                <w:sz w:val="22"/>
                <w:szCs w:val="22"/>
              </w:rPr>
            </w:pPr>
          </w:p>
          <w:p w14:paraId="5421E6FD" w14:textId="77777777" w:rsidR="00E407C0" w:rsidRPr="00FF58D5" w:rsidRDefault="00E407C0" w:rsidP="00AB5A1A">
            <w:pPr>
              <w:spacing w:line="276" w:lineRule="auto"/>
              <w:jc w:val="both"/>
              <w:rPr>
                <w:rFonts w:asciiTheme="minorHAnsi" w:hAnsiTheme="minorHAnsi" w:cstheme="minorHAnsi"/>
                <w:sz w:val="22"/>
                <w:szCs w:val="22"/>
              </w:rPr>
            </w:pPr>
          </w:p>
          <w:p w14:paraId="38B2597D" w14:textId="77777777" w:rsidR="00E407C0" w:rsidRPr="00FF58D5" w:rsidRDefault="00E407C0" w:rsidP="00AB5A1A">
            <w:pPr>
              <w:spacing w:line="276" w:lineRule="auto"/>
              <w:jc w:val="both"/>
              <w:rPr>
                <w:rFonts w:asciiTheme="minorHAnsi" w:hAnsiTheme="minorHAnsi" w:cstheme="minorHAnsi"/>
                <w:sz w:val="22"/>
                <w:szCs w:val="22"/>
              </w:rPr>
            </w:pPr>
          </w:p>
          <w:p w14:paraId="3887D7AB" w14:textId="77777777" w:rsidR="00E407C0" w:rsidRPr="00FF58D5" w:rsidRDefault="00E407C0" w:rsidP="00AB5A1A">
            <w:pPr>
              <w:spacing w:line="276" w:lineRule="auto"/>
              <w:jc w:val="both"/>
              <w:rPr>
                <w:rFonts w:asciiTheme="minorHAnsi" w:hAnsiTheme="minorHAnsi" w:cstheme="minorHAnsi"/>
                <w:sz w:val="22"/>
                <w:szCs w:val="22"/>
              </w:rPr>
            </w:pPr>
          </w:p>
          <w:p w14:paraId="446A68B1" w14:textId="77777777" w:rsidR="00E407C0" w:rsidRPr="00FF58D5" w:rsidRDefault="00E407C0" w:rsidP="00AB5A1A">
            <w:pPr>
              <w:spacing w:line="276" w:lineRule="auto"/>
              <w:jc w:val="both"/>
              <w:rPr>
                <w:rFonts w:asciiTheme="minorHAnsi" w:hAnsiTheme="minorHAnsi" w:cstheme="minorHAnsi"/>
                <w:sz w:val="22"/>
                <w:szCs w:val="22"/>
              </w:rPr>
            </w:pPr>
          </w:p>
          <w:p w14:paraId="313864A1" w14:textId="77777777" w:rsidR="00E407C0" w:rsidRPr="00FF58D5" w:rsidRDefault="00E407C0" w:rsidP="00AB5A1A">
            <w:pPr>
              <w:spacing w:line="276" w:lineRule="auto"/>
              <w:jc w:val="both"/>
              <w:rPr>
                <w:rFonts w:asciiTheme="minorHAnsi" w:hAnsiTheme="minorHAnsi" w:cstheme="minorHAnsi"/>
                <w:sz w:val="22"/>
                <w:szCs w:val="22"/>
              </w:rPr>
            </w:pPr>
          </w:p>
          <w:p w14:paraId="53A86D43" w14:textId="77777777" w:rsidR="00E407C0" w:rsidRPr="00FF58D5" w:rsidRDefault="00E407C0" w:rsidP="00AB5A1A">
            <w:pPr>
              <w:spacing w:line="276" w:lineRule="auto"/>
              <w:jc w:val="both"/>
              <w:rPr>
                <w:rFonts w:asciiTheme="minorHAnsi" w:hAnsiTheme="minorHAnsi" w:cstheme="minorHAnsi"/>
                <w:sz w:val="22"/>
                <w:szCs w:val="22"/>
              </w:rPr>
            </w:pPr>
          </w:p>
          <w:p w14:paraId="3377596F" w14:textId="77777777" w:rsidR="00E407C0" w:rsidRPr="00FF58D5" w:rsidRDefault="00E407C0" w:rsidP="00AB5A1A">
            <w:pPr>
              <w:spacing w:line="276" w:lineRule="auto"/>
              <w:jc w:val="both"/>
              <w:rPr>
                <w:rFonts w:asciiTheme="minorHAnsi" w:hAnsiTheme="minorHAnsi" w:cstheme="minorHAnsi"/>
                <w:sz w:val="22"/>
                <w:szCs w:val="22"/>
              </w:rPr>
            </w:pPr>
          </w:p>
          <w:p w14:paraId="41E006D3" w14:textId="77777777" w:rsidR="00E407C0" w:rsidRPr="00FF58D5" w:rsidRDefault="00E407C0" w:rsidP="00AB5A1A">
            <w:pPr>
              <w:spacing w:line="276" w:lineRule="auto"/>
              <w:jc w:val="both"/>
              <w:rPr>
                <w:rFonts w:asciiTheme="minorHAnsi" w:hAnsiTheme="minorHAnsi" w:cstheme="minorHAnsi"/>
                <w:sz w:val="22"/>
                <w:szCs w:val="22"/>
              </w:rPr>
            </w:pPr>
          </w:p>
          <w:p w14:paraId="2DC5A64A" w14:textId="77777777" w:rsidR="00E407C0" w:rsidRPr="00FF58D5" w:rsidRDefault="00E407C0" w:rsidP="00AB5A1A">
            <w:pPr>
              <w:spacing w:line="276" w:lineRule="auto"/>
              <w:jc w:val="both"/>
              <w:rPr>
                <w:rFonts w:asciiTheme="minorHAnsi" w:hAnsiTheme="minorHAnsi" w:cstheme="minorHAnsi"/>
                <w:sz w:val="22"/>
                <w:szCs w:val="22"/>
              </w:rPr>
            </w:pPr>
          </w:p>
          <w:p w14:paraId="32F0B6A5" w14:textId="77777777" w:rsidR="00E407C0" w:rsidRPr="00FF58D5" w:rsidRDefault="00E407C0" w:rsidP="00AB5A1A">
            <w:pPr>
              <w:spacing w:line="276" w:lineRule="auto"/>
              <w:jc w:val="both"/>
              <w:rPr>
                <w:rFonts w:asciiTheme="minorHAnsi" w:hAnsiTheme="minorHAnsi" w:cstheme="minorHAnsi"/>
                <w:sz w:val="22"/>
                <w:szCs w:val="22"/>
              </w:rPr>
            </w:pPr>
          </w:p>
          <w:p w14:paraId="074B8202" w14:textId="77777777" w:rsidR="00E407C0" w:rsidRPr="00FF58D5" w:rsidRDefault="00E407C0" w:rsidP="00AB5A1A">
            <w:pPr>
              <w:spacing w:line="276" w:lineRule="auto"/>
              <w:jc w:val="both"/>
              <w:rPr>
                <w:rFonts w:asciiTheme="minorHAnsi" w:hAnsiTheme="minorHAnsi" w:cstheme="minorHAnsi"/>
                <w:sz w:val="22"/>
                <w:szCs w:val="22"/>
              </w:rPr>
            </w:pPr>
          </w:p>
          <w:p w14:paraId="56949198" w14:textId="77777777" w:rsidR="00E407C0" w:rsidRPr="00FF58D5" w:rsidRDefault="00E407C0" w:rsidP="00AB5A1A">
            <w:pPr>
              <w:spacing w:line="276" w:lineRule="auto"/>
              <w:jc w:val="both"/>
              <w:rPr>
                <w:rFonts w:asciiTheme="minorHAnsi" w:hAnsiTheme="minorHAnsi" w:cstheme="minorHAnsi"/>
                <w:sz w:val="22"/>
                <w:szCs w:val="22"/>
              </w:rPr>
            </w:pPr>
          </w:p>
          <w:p w14:paraId="1931EBC8" w14:textId="77777777" w:rsidR="00E407C0" w:rsidRPr="00FF58D5" w:rsidRDefault="00E407C0" w:rsidP="00AB5A1A">
            <w:pPr>
              <w:spacing w:line="276" w:lineRule="auto"/>
              <w:jc w:val="both"/>
              <w:rPr>
                <w:rFonts w:asciiTheme="minorHAnsi" w:hAnsiTheme="minorHAnsi" w:cstheme="minorHAnsi"/>
                <w:sz w:val="22"/>
                <w:szCs w:val="22"/>
              </w:rPr>
            </w:pPr>
          </w:p>
          <w:p w14:paraId="45F63298" w14:textId="77777777" w:rsidR="00E407C0" w:rsidRPr="00FF58D5" w:rsidRDefault="00E407C0" w:rsidP="00AB5A1A">
            <w:pPr>
              <w:spacing w:line="276" w:lineRule="auto"/>
              <w:jc w:val="both"/>
              <w:rPr>
                <w:rFonts w:asciiTheme="minorHAnsi" w:hAnsiTheme="minorHAnsi" w:cstheme="minorHAnsi"/>
                <w:sz w:val="22"/>
                <w:szCs w:val="22"/>
              </w:rPr>
            </w:pPr>
          </w:p>
          <w:p w14:paraId="3FC1D443" w14:textId="77777777" w:rsidR="00E407C0" w:rsidRPr="00FF58D5" w:rsidRDefault="00E407C0" w:rsidP="00AB5A1A">
            <w:pPr>
              <w:spacing w:line="276" w:lineRule="auto"/>
              <w:jc w:val="both"/>
              <w:rPr>
                <w:rFonts w:asciiTheme="minorHAnsi" w:hAnsiTheme="minorHAnsi" w:cstheme="minorHAnsi"/>
                <w:sz w:val="22"/>
                <w:szCs w:val="22"/>
              </w:rPr>
            </w:pPr>
          </w:p>
          <w:p w14:paraId="2F46DC7E" w14:textId="77777777" w:rsidR="0046458C" w:rsidRPr="00FF58D5" w:rsidRDefault="0046458C" w:rsidP="00AB5A1A">
            <w:pPr>
              <w:spacing w:line="276" w:lineRule="auto"/>
              <w:jc w:val="both"/>
              <w:rPr>
                <w:rFonts w:asciiTheme="minorHAnsi" w:hAnsiTheme="minorHAnsi" w:cstheme="minorHAnsi"/>
                <w:sz w:val="22"/>
                <w:szCs w:val="22"/>
              </w:rPr>
            </w:pPr>
          </w:p>
          <w:p w14:paraId="3D960E0E" w14:textId="77777777" w:rsidR="0046458C" w:rsidRPr="00FF58D5" w:rsidRDefault="0046458C" w:rsidP="00AB5A1A">
            <w:pPr>
              <w:spacing w:line="276" w:lineRule="auto"/>
              <w:jc w:val="both"/>
              <w:rPr>
                <w:rFonts w:asciiTheme="minorHAnsi" w:hAnsiTheme="minorHAnsi" w:cstheme="minorHAnsi"/>
                <w:sz w:val="22"/>
                <w:szCs w:val="22"/>
              </w:rPr>
            </w:pPr>
          </w:p>
          <w:p w14:paraId="28988B38" w14:textId="40A5F8E4" w:rsidR="00525B4A" w:rsidRPr="00FF58D5" w:rsidRDefault="00525B4A"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Wymaga doprecyzowania w jaki sposób ustalane jest wynagrodzenie godzinowe.</w:t>
            </w:r>
          </w:p>
          <w:p w14:paraId="4F4B5C7B" w14:textId="77777777" w:rsidR="00410FE5" w:rsidRPr="00FF58D5" w:rsidRDefault="00410FE5" w:rsidP="00AB5A1A">
            <w:pPr>
              <w:spacing w:line="276" w:lineRule="auto"/>
              <w:jc w:val="both"/>
              <w:rPr>
                <w:rFonts w:asciiTheme="minorHAnsi" w:hAnsiTheme="minorHAnsi" w:cstheme="minorHAnsi"/>
                <w:sz w:val="22"/>
                <w:szCs w:val="22"/>
              </w:rPr>
            </w:pPr>
          </w:p>
          <w:p w14:paraId="39B398E3" w14:textId="77777777" w:rsidR="00E407C0" w:rsidRPr="00FF58D5" w:rsidRDefault="00E407C0" w:rsidP="00AB5A1A">
            <w:pPr>
              <w:spacing w:line="276" w:lineRule="auto"/>
              <w:jc w:val="both"/>
              <w:rPr>
                <w:rFonts w:asciiTheme="minorHAnsi" w:hAnsiTheme="minorHAnsi" w:cstheme="minorHAnsi"/>
                <w:sz w:val="22"/>
                <w:szCs w:val="22"/>
              </w:rPr>
            </w:pPr>
          </w:p>
          <w:p w14:paraId="3B1FD919" w14:textId="77777777" w:rsidR="00E407C0" w:rsidRPr="00FF58D5" w:rsidRDefault="00E407C0" w:rsidP="00AB5A1A">
            <w:pPr>
              <w:spacing w:line="276" w:lineRule="auto"/>
              <w:jc w:val="both"/>
              <w:rPr>
                <w:rFonts w:asciiTheme="minorHAnsi" w:hAnsiTheme="minorHAnsi" w:cstheme="minorHAnsi"/>
                <w:sz w:val="22"/>
                <w:szCs w:val="22"/>
              </w:rPr>
            </w:pPr>
          </w:p>
          <w:p w14:paraId="3C00D3CA" w14:textId="77777777" w:rsidR="00E407C0" w:rsidRPr="00FF58D5" w:rsidRDefault="00E407C0" w:rsidP="00AB5A1A">
            <w:pPr>
              <w:spacing w:line="276" w:lineRule="auto"/>
              <w:jc w:val="both"/>
              <w:rPr>
                <w:rFonts w:asciiTheme="minorHAnsi" w:hAnsiTheme="minorHAnsi" w:cstheme="minorHAnsi"/>
                <w:sz w:val="22"/>
                <w:szCs w:val="22"/>
              </w:rPr>
            </w:pPr>
          </w:p>
          <w:p w14:paraId="02902F5F" w14:textId="77777777" w:rsidR="00E407C0" w:rsidRPr="00FF58D5" w:rsidRDefault="00E407C0" w:rsidP="00AB5A1A">
            <w:pPr>
              <w:spacing w:line="276" w:lineRule="auto"/>
              <w:jc w:val="both"/>
              <w:rPr>
                <w:rFonts w:asciiTheme="minorHAnsi" w:hAnsiTheme="minorHAnsi" w:cstheme="minorHAnsi"/>
                <w:sz w:val="22"/>
                <w:szCs w:val="22"/>
              </w:rPr>
            </w:pPr>
          </w:p>
          <w:p w14:paraId="78B408B9" w14:textId="77777777" w:rsidR="00E407C0" w:rsidRPr="00FF58D5" w:rsidRDefault="00E407C0" w:rsidP="00AB5A1A">
            <w:pPr>
              <w:spacing w:line="276" w:lineRule="auto"/>
              <w:jc w:val="both"/>
              <w:rPr>
                <w:rFonts w:asciiTheme="minorHAnsi" w:hAnsiTheme="minorHAnsi" w:cstheme="minorHAnsi"/>
                <w:sz w:val="22"/>
                <w:szCs w:val="22"/>
              </w:rPr>
            </w:pPr>
          </w:p>
          <w:p w14:paraId="28AEECC7" w14:textId="77777777" w:rsidR="00E407C0" w:rsidRPr="00FF58D5" w:rsidRDefault="00E407C0" w:rsidP="00AB5A1A">
            <w:pPr>
              <w:spacing w:line="276" w:lineRule="auto"/>
              <w:jc w:val="both"/>
              <w:rPr>
                <w:rFonts w:asciiTheme="minorHAnsi" w:hAnsiTheme="minorHAnsi" w:cstheme="minorHAnsi"/>
                <w:sz w:val="22"/>
                <w:szCs w:val="22"/>
              </w:rPr>
            </w:pPr>
          </w:p>
          <w:p w14:paraId="74BCBF6A" w14:textId="77777777" w:rsidR="00E407C0" w:rsidRPr="00FF58D5" w:rsidRDefault="00E407C0" w:rsidP="00AB5A1A">
            <w:pPr>
              <w:spacing w:line="276" w:lineRule="auto"/>
              <w:jc w:val="both"/>
              <w:rPr>
                <w:rFonts w:asciiTheme="minorHAnsi" w:hAnsiTheme="minorHAnsi" w:cstheme="minorHAnsi"/>
                <w:sz w:val="22"/>
                <w:szCs w:val="22"/>
              </w:rPr>
            </w:pPr>
          </w:p>
          <w:p w14:paraId="3EA3DD3E" w14:textId="77777777" w:rsidR="00E407C0" w:rsidRPr="00FF58D5" w:rsidRDefault="00E407C0" w:rsidP="00AB5A1A">
            <w:pPr>
              <w:spacing w:line="276" w:lineRule="auto"/>
              <w:jc w:val="both"/>
              <w:rPr>
                <w:rFonts w:asciiTheme="minorHAnsi" w:hAnsiTheme="minorHAnsi" w:cstheme="minorHAnsi"/>
                <w:sz w:val="22"/>
                <w:szCs w:val="22"/>
              </w:rPr>
            </w:pPr>
          </w:p>
          <w:p w14:paraId="488E6C1A" w14:textId="77777777" w:rsidR="00E407C0" w:rsidRPr="00FF58D5" w:rsidRDefault="00E407C0" w:rsidP="00AB5A1A">
            <w:pPr>
              <w:spacing w:line="276" w:lineRule="auto"/>
              <w:jc w:val="both"/>
              <w:rPr>
                <w:rFonts w:asciiTheme="minorHAnsi" w:hAnsiTheme="minorHAnsi" w:cstheme="minorHAnsi"/>
                <w:sz w:val="22"/>
                <w:szCs w:val="22"/>
              </w:rPr>
            </w:pPr>
          </w:p>
          <w:p w14:paraId="1E74CCED" w14:textId="77777777" w:rsidR="00E407C0" w:rsidRPr="00FF58D5" w:rsidRDefault="00E407C0" w:rsidP="00AB5A1A">
            <w:pPr>
              <w:spacing w:line="276" w:lineRule="auto"/>
              <w:jc w:val="both"/>
              <w:rPr>
                <w:rFonts w:asciiTheme="minorHAnsi" w:hAnsiTheme="minorHAnsi" w:cstheme="minorHAnsi"/>
                <w:sz w:val="22"/>
                <w:szCs w:val="22"/>
              </w:rPr>
            </w:pPr>
          </w:p>
          <w:p w14:paraId="7EAD82B7" w14:textId="77777777" w:rsidR="00E407C0" w:rsidRPr="00FF58D5" w:rsidRDefault="00E407C0" w:rsidP="00AB5A1A">
            <w:pPr>
              <w:spacing w:line="276" w:lineRule="auto"/>
              <w:jc w:val="both"/>
              <w:rPr>
                <w:rFonts w:asciiTheme="minorHAnsi" w:hAnsiTheme="minorHAnsi" w:cstheme="minorHAnsi"/>
                <w:sz w:val="22"/>
                <w:szCs w:val="22"/>
              </w:rPr>
            </w:pPr>
          </w:p>
          <w:p w14:paraId="03CBEA95" w14:textId="77777777" w:rsidR="00E407C0" w:rsidRPr="00FF58D5" w:rsidRDefault="00E407C0" w:rsidP="00AB5A1A">
            <w:pPr>
              <w:spacing w:line="276" w:lineRule="auto"/>
              <w:jc w:val="both"/>
              <w:rPr>
                <w:rFonts w:asciiTheme="minorHAnsi" w:hAnsiTheme="minorHAnsi" w:cstheme="minorHAnsi"/>
                <w:sz w:val="22"/>
                <w:szCs w:val="22"/>
              </w:rPr>
            </w:pPr>
          </w:p>
          <w:p w14:paraId="4546022E" w14:textId="77777777" w:rsidR="00E407C0" w:rsidRPr="00FF58D5" w:rsidRDefault="00E407C0" w:rsidP="00AB5A1A">
            <w:pPr>
              <w:spacing w:line="276" w:lineRule="auto"/>
              <w:jc w:val="both"/>
              <w:rPr>
                <w:rFonts w:asciiTheme="minorHAnsi" w:hAnsiTheme="minorHAnsi" w:cstheme="minorHAnsi"/>
                <w:sz w:val="22"/>
                <w:szCs w:val="22"/>
              </w:rPr>
            </w:pPr>
          </w:p>
          <w:p w14:paraId="7288D8A8" w14:textId="77777777" w:rsidR="00E407C0" w:rsidRPr="00FF58D5" w:rsidRDefault="00E407C0" w:rsidP="00AB5A1A">
            <w:pPr>
              <w:spacing w:line="276" w:lineRule="auto"/>
              <w:jc w:val="both"/>
              <w:rPr>
                <w:rFonts w:asciiTheme="minorHAnsi" w:hAnsiTheme="minorHAnsi" w:cstheme="minorHAnsi"/>
                <w:sz w:val="22"/>
                <w:szCs w:val="22"/>
              </w:rPr>
            </w:pPr>
          </w:p>
          <w:p w14:paraId="3EA2EB18" w14:textId="77777777" w:rsidR="00E407C0" w:rsidRPr="00FF58D5" w:rsidRDefault="00E407C0" w:rsidP="00AB5A1A">
            <w:pPr>
              <w:spacing w:line="276" w:lineRule="auto"/>
              <w:jc w:val="both"/>
              <w:rPr>
                <w:rFonts w:asciiTheme="minorHAnsi" w:hAnsiTheme="minorHAnsi" w:cstheme="minorHAnsi"/>
                <w:sz w:val="22"/>
                <w:szCs w:val="22"/>
              </w:rPr>
            </w:pPr>
          </w:p>
          <w:p w14:paraId="2BBEC921" w14:textId="77777777" w:rsidR="00E407C0" w:rsidRPr="00FF58D5" w:rsidRDefault="00E407C0" w:rsidP="00AB5A1A">
            <w:pPr>
              <w:spacing w:line="276" w:lineRule="auto"/>
              <w:jc w:val="both"/>
              <w:rPr>
                <w:rFonts w:asciiTheme="minorHAnsi" w:hAnsiTheme="minorHAnsi" w:cstheme="minorHAnsi"/>
                <w:sz w:val="22"/>
                <w:szCs w:val="22"/>
              </w:rPr>
            </w:pPr>
          </w:p>
          <w:p w14:paraId="3F7780DE" w14:textId="77777777" w:rsidR="00E407C0" w:rsidRPr="00FF58D5" w:rsidRDefault="00E407C0" w:rsidP="00AB5A1A">
            <w:pPr>
              <w:spacing w:line="276" w:lineRule="auto"/>
              <w:jc w:val="both"/>
              <w:rPr>
                <w:rFonts w:asciiTheme="minorHAnsi" w:hAnsiTheme="minorHAnsi" w:cstheme="minorHAnsi"/>
                <w:sz w:val="22"/>
                <w:szCs w:val="22"/>
              </w:rPr>
            </w:pPr>
          </w:p>
          <w:p w14:paraId="628B08DD" w14:textId="77777777" w:rsidR="00E407C0" w:rsidRPr="00FF58D5" w:rsidRDefault="00E407C0" w:rsidP="00AB5A1A">
            <w:pPr>
              <w:spacing w:line="276" w:lineRule="auto"/>
              <w:jc w:val="both"/>
              <w:rPr>
                <w:rFonts w:asciiTheme="minorHAnsi" w:hAnsiTheme="minorHAnsi" w:cstheme="minorHAnsi"/>
                <w:sz w:val="22"/>
                <w:szCs w:val="22"/>
              </w:rPr>
            </w:pPr>
          </w:p>
          <w:p w14:paraId="4C88BC0F" w14:textId="77777777" w:rsidR="00E407C0" w:rsidRPr="00FF58D5" w:rsidRDefault="00E407C0" w:rsidP="00AB5A1A">
            <w:pPr>
              <w:spacing w:line="276" w:lineRule="auto"/>
              <w:jc w:val="both"/>
              <w:rPr>
                <w:rFonts w:asciiTheme="minorHAnsi" w:hAnsiTheme="minorHAnsi" w:cstheme="minorHAnsi"/>
                <w:sz w:val="22"/>
                <w:szCs w:val="22"/>
              </w:rPr>
            </w:pPr>
          </w:p>
          <w:p w14:paraId="7DA22055" w14:textId="77777777" w:rsidR="00E407C0" w:rsidRPr="00FF58D5" w:rsidRDefault="00E407C0" w:rsidP="00AB5A1A">
            <w:pPr>
              <w:spacing w:line="276" w:lineRule="auto"/>
              <w:jc w:val="both"/>
              <w:rPr>
                <w:rFonts w:asciiTheme="minorHAnsi" w:hAnsiTheme="minorHAnsi" w:cstheme="minorHAnsi"/>
                <w:sz w:val="22"/>
                <w:szCs w:val="22"/>
              </w:rPr>
            </w:pPr>
          </w:p>
          <w:p w14:paraId="7B9F1D95" w14:textId="77777777" w:rsidR="00E407C0" w:rsidRPr="00FF58D5" w:rsidRDefault="00E407C0" w:rsidP="00AB5A1A">
            <w:pPr>
              <w:spacing w:line="276" w:lineRule="auto"/>
              <w:jc w:val="both"/>
              <w:rPr>
                <w:rFonts w:asciiTheme="minorHAnsi" w:hAnsiTheme="minorHAnsi" w:cstheme="minorHAnsi"/>
                <w:sz w:val="22"/>
                <w:szCs w:val="22"/>
              </w:rPr>
            </w:pPr>
          </w:p>
          <w:p w14:paraId="05F084D7" w14:textId="77777777" w:rsidR="0046458C" w:rsidRPr="00FF58D5" w:rsidRDefault="0046458C" w:rsidP="00AB5A1A">
            <w:pPr>
              <w:spacing w:line="276" w:lineRule="auto"/>
              <w:jc w:val="both"/>
              <w:rPr>
                <w:rFonts w:asciiTheme="minorHAnsi" w:hAnsiTheme="minorHAnsi" w:cstheme="minorHAnsi"/>
                <w:sz w:val="22"/>
                <w:szCs w:val="22"/>
              </w:rPr>
            </w:pPr>
          </w:p>
          <w:p w14:paraId="58C4F481" w14:textId="223ED311" w:rsidR="00410FE5" w:rsidRPr="00FF58D5" w:rsidRDefault="00410FE5"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3. Wymaga doprecyzowania pojęcie </w:t>
            </w:r>
            <w:r w:rsidR="00245179" w:rsidRPr="00FF58D5">
              <w:rPr>
                <w:rFonts w:asciiTheme="minorHAnsi" w:hAnsiTheme="minorHAnsi" w:cstheme="minorHAnsi"/>
                <w:sz w:val="22"/>
                <w:szCs w:val="22"/>
              </w:rPr>
              <w:t xml:space="preserve">„otrzymanego </w:t>
            </w:r>
            <w:r w:rsidR="005713DA" w:rsidRPr="00FF58D5">
              <w:rPr>
                <w:rFonts w:asciiTheme="minorHAnsi" w:hAnsiTheme="minorHAnsi" w:cstheme="minorHAnsi"/>
                <w:sz w:val="22"/>
                <w:szCs w:val="22"/>
              </w:rPr>
              <w:t>wynagrodzenia</w:t>
            </w:r>
            <w:r w:rsidR="00245179" w:rsidRPr="00FF58D5">
              <w:rPr>
                <w:rFonts w:asciiTheme="minorHAnsi" w:hAnsiTheme="minorHAnsi" w:cstheme="minorHAnsi"/>
                <w:sz w:val="22"/>
                <w:szCs w:val="22"/>
              </w:rPr>
              <w:t>”.</w:t>
            </w:r>
          </w:p>
          <w:p w14:paraId="4CDEC50F" w14:textId="77777777" w:rsidR="00525B4A" w:rsidRPr="00FF58D5" w:rsidRDefault="00525B4A" w:rsidP="00AB5A1A">
            <w:pPr>
              <w:spacing w:line="276" w:lineRule="auto"/>
              <w:jc w:val="both"/>
              <w:rPr>
                <w:rFonts w:asciiTheme="minorHAnsi" w:hAnsiTheme="minorHAnsi" w:cstheme="minorHAnsi"/>
                <w:sz w:val="22"/>
                <w:szCs w:val="22"/>
              </w:rPr>
            </w:pPr>
          </w:p>
          <w:p w14:paraId="1F194B41" w14:textId="77777777" w:rsidR="00E407C0" w:rsidRPr="00FF58D5" w:rsidRDefault="00E407C0" w:rsidP="00AB5A1A">
            <w:pPr>
              <w:spacing w:line="276" w:lineRule="auto"/>
              <w:jc w:val="both"/>
              <w:rPr>
                <w:rFonts w:asciiTheme="minorHAnsi" w:hAnsiTheme="minorHAnsi" w:cstheme="minorHAnsi"/>
                <w:sz w:val="22"/>
                <w:szCs w:val="22"/>
              </w:rPr>
            </w:pPr>
          </w:p>
          <w:p w14:paraId="573785FC" w14:textId="77777777" w:rsidR="00E407C0" w:rsidRPr="00FF58D5" w:rsidRDefault="00E407C0" w:rsidP="00AB5A1A">
            <w:pPr>
              <w:spacing w:line="276" w:lineRule="auto"/>
              <w:jc w:val="both"/>
              <w:rPr>
                <w:rFonts w:asciiTheme="minorHAnsi" w:hAnsiTheme="minorHAnsi" w:cstheme="minorHAnsi"/>
                <w:sz w:val="22"/>
                <w:szCs w:val="22"/>
              </w:rPr>
            </w:pPr>
          </w:p>
          <w:p w14:paraId="36DF2C3C" w14:textId="77777777" w:rsidR="00E407C0" w:rsidRPr="00FF58D5" w:rsidRDefault="00E407C0" w:rsidP="00AB5A1A">
            <w:pPr>
              <w:spacing w:line="276" w:lineRule="auto"/>
              <w:jc w:val="both"/>
              <w:rPr>
                <w:rFonts w:asciiTheme="minorHAnsi" w:hAnsiTheme="minorHAnsi" w:cstheme="minorHAnsi"/>
                <w:sz w:val="22"/>
                <w:szCs w:val="22"/>
              </w:rPr>
            </w:pPr>
          </w:p>
          <w:p w14:paraId="5C6EE8FD" w14:textId="77777777" w:rsidR="00E407C0" w:rsidRPr="00FF58D5" w:rsidRDefault="00E407C0" w:rsidP="00AB5A1A">
            <w:pPr>
              <w:spacing w:line="276" w:lineRule="auto"/>
              <w:jc w:val="both"/>
              <w:rPr>
                <w:rFonts w:asciiTheme="minorHAnsi" w:hAnsiTheme="minorHAnsi" w:cstheme="minorHAnsi"/>
                <w:sz w:val="22"/>
                <w:szCs w:val="22"/>
              </w:rPr>
            </w:pPr>
          </w:p>
          <w:p w14:paraId="152A30EC" w14:textId="77777777" w:rsidR="00E407C0" w:rsidRPr="00FF58D5" w:rsidRDefault="00E407C0" w:rsidP="00AB5A1A">
            <w:pPr>
              <w:spacing w:line="276" w:lineRule="auto"/>
              <w:jc w:val="both"/>
              <w:rPr>
                <w:rFonts w:asciiTheme="minorHAnsi" w:hAnsiTheme="minorHAnsi" w:cstheme="minorHAnsi"/>
                <w:sz w:val="22"/>
                <w:szCs w:val="22"/>
              </w:rPr>
            </w:pPr>
          </w:p>
          <w:p w14:paraId="30AF5127" w14:textId="77777777" w:rsidR="00E407C0" w:rsidRPr="00FF58D5" w:rsidRDefault="00E407C0" w:rsidP="00AB5A1A">
            <w:pPr>
              <w:spacing w:line="276" w:lineRule="auto"/>
              <w:jc w:val="both"/>
              <w:rPr>
                <w:rFonts w:asciiTheme="minorHAnsi" w:hAnsiTheme="minorHAnsi" w:cstheme="minorHAnsi"/>
                <w:sz w:val="22"/>
                <w:szCs w:val="22"/>
              </w:rPr>
            </w:pPr>
          </w:p>
          <w:p w14:paraId="4EC8A09F" w14:textId="77777777" w:rsidR="00E407C0" w:rsidRPr="00FF58D5" w:rsidRDefault="00E407C0" w:rsidP="00AB5A1A">
            <w:pPr>
              <w:spacing w:line="276" w:lineRule="auto"/>
              <w:jc w:val="both"/>
              <w:rPr>
                <w:rFonts w:asciiTheme="minorHAnsi" w:hAnsiTheme="minorHAnsi" w:cstheme="minorHAnsi"/>
                <w:sz w:val="22"/>
                <w:szCs w:val="22"/>
              </w:rPr>
            </w:pPr>
          </w:p>
          <w:p w14:paraId="44C447DB" w14:textId="77777777" w:rsidR="00E407C0" w:rsidRPr="00FF58D5" w:rsidRDefault="00E407C0" w:rsidP="00AB5A1A">
            <w:pPr>
              <w:spacing w:line="276" w:lineRule="auto"/>
              <w:jc w:val="both"/>
              <w:rPr>
                <w:rFonts w:asciiTheme="minorHAnsi" w:hAnsiTheme="minorHAnsi" w:cstheme="minorHAnsi"/>
                <w:sz w:val="22"/>
                <w:szCs w:val="22"/>
              </w:rPr>
            </w:pPr>
          </w:p>
          <w:p w14:paraId="2214CA4D" w14:textId="77777777" w:rsidR="00E407C0" w:rsidRPr="00FF58D5" w:rsidRDefault="00E407C0" w:rsidP="00AB5A1A">
            <w:pPr>
              <w:spacing w:line="276" w:lineRule="auto"/>
              <w:jc w:val="both"/>
              <w:rPr>
                <w:rFonts w:asciiTheme="minorHAnsi" w:hAnsiTheme="minorHAnsi" w:cstheme="minorHAnsi"/>
                <w:sz w:val="22"/>
                <w:szCs w:val="22"/>
              </w:rPr>
            </w:pPr>
          </w:p>
          <w:p w14:paraId="5ED0608A" w14:textId="77777777" w:rsidR="00E407C0" w:rsidRPr="00FF58D5" w:rsidRDefault="00E407C0" w:rsidP="00AB5A1A">
            <w:pPr>
              <w:spacing w:line="276" w:lineRule="auto"/>
              <w:jc w:val="both"/>
              <w:rPr>
                <w:rFonts w:asciiTheme="minorHAnsi" w:hAnsiTheme="minorHAnsi" w:cstheme="minorHAnsi"/>
                <w:sz w:val="22"/>
                <w:szCs w:val="22"/>
              </w:rPr>
            </w:pPr>
          </w:p>
          <w:p w14:paraId="5D5AB9C9" w14:textId="77777777" w:rsidR="00E407C0" w:rsidRPr="00FF58D5" w:rsidRDefault="00E407C0" w:rsidP="00AB5A1A">
            <w:pPr>
              <w:spacing w:line="276" w:lineRule="auto"/>
              <w:jc w:val="both"/>
              <w:rPr>
                <w:rFonts w:asciiTheme="minorHAnsi" w:hAnsiTheme="minorHAnsi" w:cstheme="minorHAnsi"/>
                <w:sz w:val="22"/>
                <w:szCs w:val="22"/>
              </w:rPr>
            </w:pPr>
          </w:p>
          <w:p w14:paraId="2A640BD6" w14:textId="77777777" w:rsidR="00E407C0" w:rsidRPr="00FF58D5" w:rsidRDefault="00E407C0" w:rsidP="00AB5A1A">
            <w:pPr>
              <w:spacing w:line="276" w:lineRule="auto"/>
              <w:jc w:val="both"/>
              <w:rPr>
                <w:rFonts w:asciiTheme="minorHAnsi" w:hAnsiTheme="minorHAnsi" w:cstheme="minorHAnsi"/>
                <w:sz w:val="22"/>
                <w:szCs w:val="22"/>
              </w:rPr>
            </w:pPr>
          </w:p>
          <w:p w14:paraId="79C0E452" w14:textId="77777777" w:rsidR="00E407C0" w:rsidRPr="00FF58D5" w:rsidRDefault="00E407C0" w:rsidP="00AB5A1A">
            <w:pPr>
              <w:spacing w:line="276" w:lineRule="auto"/>
              <w:jc w:val="both"/>
              <w:rPr>
                <w:rFonts w:asciiTheme="minorHAnsi" w:hAnsiTheme="minorHAnsi" w:cstheme="minorHAnsi"/>
                <w:sz w:val="22"/>
                <w:szCs w:val="22"/>
              </w:rPr>
            </w:pPr>
          </w:p>
          <w:p w14:paraId="528099B1" w14:textId="77777777" w:rsidR="00E407C0" w:rsidRPr="00FF58D5" w:rsidRDefault="00E407C0" w:rsidP="00AB5A1A">
            <w:pPr>
              <w:spacing w:line="276" w:lineRule="auto"/>
              <w:jc w:val="both"/>
              <w:rPr>
                <w:rFonts w:asciiTheme="minorHAnsi" w:hAnsiTheme="minorHAnsi" w:cstheme="minorHAnsi"/>
                <w:sz w:val="22"/>
                <w:szCs w:val="22"/>
              </w:rPr>
            </w:pPr>
          </w:p>
          <w:p w14:paraId="2E45867F" w14:textId="77777777" w:rsidR="00E407C0" w:rsidRPr="00FF58D5" w:rsidRDefault="00E407C0" w:rsidP="00AB5A1A">
            <w:pPr>
              <w:spacing w:line="276" w:lineRule="auto"/>
              <w:jc w:val="both"/>
              <w:rPr>
                <w:rFonts w:asciiTheme="minorHAnsi" w:hAnsiTheme="minorHAnsi" w:cstheme="minorHAnsi"/>
                <w:sz w:val="22"/>
                <w:szCs w:val="22"/>
              </w:rPr>
            </w:pPr>
          </w:p>
          <w:p w14:paraId="4F4A6E30" w14:textId="77777777" w:rsidR="00E407C0" w:rsidRPr="00FF58D5" w:rsidRDefault="00E407C0" w:rsidP="00AB5A1A">
            <w:pPr>
              <w:spacing w:line="276" w:lineRule="auto"/>
              <w:jc w:val="both"/>
              <w:rPr>
                <w:rFonts w:asciiTheme="minorHAnsi" w:hAnsiTheme="minorHAnsi" w:cstheme="minorHAnsi"/>
                <w:sz w:val="22"/>
                <w:szCs w:val="22"/>
              </w:rPr>
            </w:pPr>
          </w:p>
          <w:p w14:paraId="32378C00" w14:textId="77777777" w:rsidR="00E407C0" w:rsidRPr="00FF58D5" w:rsidRDefault="00E407C0" w:rsidP="00AB5A1A">
            <w:pPr>
              <w:spacing w:line="276" w:lineRule="auto"/>
              <w:jc w:val="both"/>
              <w:rPr>
                <w:rFonts w:asciiTheme="minorHAnsi" w:hAnsiTheme="minorHAnsi" w:cstheme="minorHAnsi"/>
                <w:sz w:val="22"/>
                <w:szCs w:val="22"/>
              </w:rPr>
            </w:pPr>
          </w:p>
          <w:p w14:paraId="38D36420" w14:textId="77777777" w:rsidR="00E407C0" w:rsidRPr="00FF58D5" w:rsidRDefault="00E407C0" w:rsidP="00AB5A1A">
            <w:pPr>
              <w:spacing w:line="276" w:lineRule="auto"/>
              <w:jc w:val="both"/>
              <w:rPr>
                <w:rFonts w:asciiTheme="minorHAnsi" w:hAnsiTheme="minorHAnsi" w:cstheme="minorHAnsi"/>
                <w:sz w:val="22"/>
                <w:szCs w:val="22"/>
              </w:rPr>
            </w:pPr>
          </w:p>
          <w:p w14:paraId="5A12590E" w14:textId="77777777" w:rsidR="00E407C0" w:rsidRPr="00FF58D5" w:rsidRDefault="00E407C0" w:rsidP="00AB5A1A">
            <w:pPr>
              <w:spacing w:line="276" w:lineRule="auto"/>
              <w:jc w:val="both"/>
              <w:rPr>
                <w:rFonts w:asciiTheme="minorHAnsi" w:hAnsiTheme="minorHAnsi" w:cstheme="minorHAnsi"/>
                <w:sz w:val="22"/>
                <w:szCs w:val="22"/>
              </w:rPr>
            </w:pPr>
          </w:p>
          <w:p w14:paraId="563EF762" w14:textId="77777777" w:rsidR="00E407C0" w:rsidRPr="00FF58D5" w:rsidRDefault="00E407C0" w:rsidP="00AB5A1A">
            <w:pPr>
              <w:spacing w:line="276" w:lineRule="auto"/>
              <w:jc w:val="both"/>
              <w:rPr>
                <w:rFonts w:asciiTheme="minorHAnsi" w:hAnsiTheme="minorHAnsi" w:cstheme="minorHAnsi"/>
                <w:sz w:val="22"/>
                <w:szCs w:val="22"/>
              </w:rPr>
            </w:pPr>
          </w:p>
          <w:p w14:paraId="0AC60C1E" w14:textId="77777777" w:rsidR="00E407C0" w:rsidRPr="00FF58D5" w:rsidRDefault="00E407C0" w:rsidP="00AB5A1A">
            <w:pPr>
              <w:spacing w:line="276" w:lineRule="auto"/>
              <w:jc w:val="both"/>
              <w:rPr>
                <w:rFonts w:asciiTheme="minorHAnsi" w:hAnsiTheme="minorHAnsi" w:cstheme="minorHAnsi"/>
                <w:sz w:val="22"/>
                <w:szCs w:val="22"/>
              </w:rPr>
            </w:pPr>
          </w:p>
          <w:p w14:paraId="1F9D397A" w14:textId="77777777" w:rsidR="00E407C0" w:rsidRPr="00FF58D5" w:rsidRDefault="00E407C0" w:rsidP="00AB5A1A">
            <w:pPr>
              <w:spacing w:line="276" w:lineRule="auto"/>
              <w:jc w:val="both"/>
              <w:rPr>
                <w:rFonts w:asciiTheme="minorHAnsi" w:hAnsiTheme="minorHAnsi" w:cstheme="minorHAnsi"/>
                <w:sz w:val="22"/>
                <w:szCs w:val="22"/>
              </w:rPr>
            </w:pPr>
          </w:p>
          <w:p w14:paraId="7FE11DFA" w14:textId="77777777" w:rsidR="00E407C0" w:rsidRPr="00FF58D5" w:rsidRDefault="00E407C0" w:rsidP="00AB5A1A">
            <w:pPr>
              <w:spacing w:line="276" w:lineRule="auto"/>
              <w:jc w:val="both"/>
              <w:rPr>
                <w:rFonts w:asciiTheme="minorHAnsi" w:hAnsiTheme="minorHAnsi" w:cstheme="minorHAnsi"/>
                <w:sz w:val="22"/>
                <w:szCs w:val="22"/>
              </w:rPr>
            </w:pPr>
          </w:p>
          <w:p w14:paraId="43222EE1" w14:textId="2B617E0B" w:rsidR="00435DD6" w:rsidRPr="00FF58D5" w:rsidRDefault="00410FE5" w:rsidP="00AB5A1A">
            <w:pPr>
              <w:spacing w:after="160" w:line="276" w:lineRule="auto"/>
              <w:jc w:val="both"/>
              <w:rPr>
                <w:rFonts w:asciiTheme="minorHAnsi" w:hAnsiTheme="minorHAnsi" w:cstheme="minorHAnsi"/>
                <w:color w:val="000000" w:themeColor="text1"/>
                <w:sz w:val="22"/>
                <w:szCs w:val="22"/>
              </w:rPr>
            </w:pPr>
            <w:r w:rsidRPr="00FF58D5">
              <w:rPr>
                <w:rFonts w:asciiTheme="minorHAnsi" w:hAnsiTheme="minorHAnsi" w:cstheme="minorHAnsi"/>
                <w:sz w:val="22"/>
                <w:szCs w:val="22"/>
              </w:rPr>
              <w:t>4</w:t>
            </w:r>
            <w:r w:rsidR="00435DD6" w:rsidRPr="00FF58D5">
              <w:rPr>
                <w:rFonts w:asciiTheme="minorHAnsi" w:hAnsiTheme="minorHAnsi" w:cstheme="minorHAnsi"/>
                <w:sz w:val="22"/>
                <w:szCs w:val="22"/>
              </w:rPr>
              <w:t>.</w:t>
            </w:r>
            <w:r w:rsidR="00245179" w:rsidRPr="00FF58D5">
              <w:rPr>
                <w:rFonts w:asciiTheme="minorHAnsi" w:hAnsiTheme="minorHAnsi" w:cstheme="minorHAnsi"/>
                <w:sz w:val="22"/>
                <w:szCs w:val="22"/>
              </w:rPr>
              <w:t xml:space="preserve"> </w:t>
            </w:r>
            <w:r w:rsidR="00E407C0" w:rsidRPr="00FF58D5">
              <w:rPr>
                <w:rFonts w:asciiTheme="minorHAnsi" w:hAnsiTheme="minorHAnsi" w:cstheme="minorHAnsi"/>
                <w:sz w:val="22"/>
                <w:szCs w:val="22"/>
              </w:rPr>
              <w:t>Wskazane</w:t>
            </w:r>
            <w:r w:rsidR="00435DD6" w:rsidRPr="00FF58D5">
              <w:rPr>
                <w:rFonts w:asciiTheme="minorHAnsi" w:hAnsiTheme="minorHAnsi" w:cstheme="minorHAnsi"/>
                <w:sz w:val="22"/>
                <w:szCs w:val="22"/>
              </w:rPr>
              <w:t xml:space="preserve"> jest</w:t>
            </w:r>
            <w:r w:rsidR="00435DD6" w:rsidRPr="00FF58D5">
              <w:rPr>
                <w:rFonts w:asciiTheme="minorHAnsi" w:hAnsiTheme="minorHAnsi" w:cstheme="minorHAnsi"/>
                <w:color w:val="000000" w:themeColor="text1"/>
                <w:sz w:val="22"/>
                <w:szCs w:val="22"/>
              </w:rPr>
              <w:t>:</w:t>
            </w:r>
          </w:p>
          <w:p w14:paraId="2029FF36" w14:textId="2F220C92" w:rsidR="00CA7CCD" w:rsidRPr="00FF58D5" w:rsidRDefault="00E407C0" w:rsidP="00E407C0">
            <w:pPr>
              <w:pStyle w:val="Akapitzlist"/>
              <w:numPr>
                <w:ilvl w:val="0"/>
                <w:numId w:val="43"/>
              </w:numPr>
              <w:spacing w:line="276" w:lineRule="auto"/>
              <w:jc w:val="both"/>
              <w:rPr>
                <w:rFonts w:asciiTheme="minorHAnsi" w:hAnsiTheme="minorHAnsi" w:cstheme="minorHAnsi"/>
                <w:color w:val="000000" w:themeColor="text1"/>
                <w:sz w:val="22"/>
                <w:szCs w:val="22"/>
              </w:rPr>
            </w:pPr>
            <w:r w:rsidRPr="00FF58D5">
              <w:rPr>
                <w:rFonts w:asciiTheme="minorHAnsi" w:hAnsiTheme="minorHAnsi" w:cstheme="minorHAnsi"/>
                <w:color w:val="000000" w:themeColor="text1"/>
                <w:sz w:val="22"/>
                <w:szCs w:val="22"/>
              </w:rPr>
              <w:t xml:space="preserve">doprecyzowanie jak rozumieć określenie </w:t>
            </w:r>
            <w:r w:rsidR="007A5F45" w:rsidRPr="00FF58D5">
              <w:rPr>
                <w:rFonts w:asciiTheme="minorHAnsi" w:hAnsiTheme="minorHAnsi" w:cstheme="minorHAnsi"/>
                <w:color w:val="000000" w:themeColor="text1"/>
                <w:sz w:val="22"/>
                <w:szCs w:val="22"/>
              </w:rPr>
              <w:t>„dany okres”</w:t>
            </w:r>
            <w:r w:rsidRPr="00FF58D5">
              <w:rPr>
                <w:rFonts w:asciiTheme="minorHAnsi" w:hAnsiTheme="minorHAnsi" w:cstheme="minorHAnsi"/>
                <w:color w:val="000000" w:themeColor="text1"/>
                <w:sz w:val="22"/>
                <w:szCs w:val="22"/>
              </w:rPr>
              <w:t>,</w:t>
            </w:r>
          </w:p>
          <w:p w14:paraId="42A7FD8B" w14:textId="349419C9" w:rsidR="00C557AB" w:rsidRPr="00FF58D5" w:rsidRDefault="00E407C0" w:rsidP="00AB5A1A">
            <w:pPr>
              <w:pStyle w:val="Akapitzlist"/>
              <w:numPr>
                <w:ilvl w:val="0"/>
                <w:numId w:val="43"/>
              </w:numPr>
              <w:spacing w:line="276" w:lineRule="auto"/>
              <w:jc w:val="both"/>
              <w:rPr>
                <w:rFonts w:asciiTheme="minorHAnsi" w:hAnsiTheme="minorHAnsi" w:cstheme="minorHAnsi"/>
                <w:color w:val="000000" w:themeColor="text1"/>
                <w:sz w:val="22"/>
                <w:szCs w:val="22"/>
              </w:rPr>
            </w:pPr>
            <w:r w:rsidRPr="00FF58D5">
              <w:rPr>
                <w:rFonts w:asciiTheme="minorHAnsi" w:hAnsiTheme="minorHAnsi" w:cstheme="minorHAnsi"/>
                <w:color w:val="000000" w:themeColor="text1"/>
                <w:sz w:val="22"/>
                <w:szCs w:val="22"/>
              </w:rPr>
              <w:t>w</w:t>
            </w:r>
            <w:r w:rsidR="00C557AB" w:rsidRPr="00FF58D5">
              <w:rPr>
                <w:rFonts w:asciiTheme="minorHAnsi" w:hAnsiTheme="minorHAnsi" w:cstheme="minorHAnsi"/>
                <w:color w:val="000000" w:themeColor="text1"/>
                <w:sz w:val="22"/>
                <w:szCs w:val="22"/>
              </w:rPr>
              <w:t xml:space="preserve">prowadzenie jednoznacznej metodologii obliczania poziomu wynagrodzenia dla pracowników zatrudnionych przez niepełny okres </w:t>
            </w:r>
            <w:r w:rsidRPr="00FF58D5">
              <w:rPr>
                <w:rFonts w:asciiTheme="minorHAnsi" w:hAnsiTheme="minorHAnsi" w:cstheme="minorHAnsi"/>
                <w:color w:val="000000" w:themeColor="text1"/>
                <w:sz w:val="22"/>
                <w:szCs w:val="22"/>
              </w:rPr>
              <w:t>uwzględniany przy ustalaniu poziomu wynagrodzenia,</w:t>
            </w:r>
          </w:p>
          <w:p w14:paraId="4FB8AEB6" w14:textId="3D0F60B8" w:rsidR="00E407C0" w:rsidRPr="00FF58D5" w:rsidRDefault="00E407C0" w:rsidP="00AB5A1A">
            <w:pPr>
              <w:pStyle w:val="Akapitzlist"/>
              <w:numPr>
                <w:ilvl w:val="0"/>
                <w:numId w:val="43"/>
              </w:numPr>
              <w:spacing w:line="276" w:lineRule="auto"/>
              <w:jc w:val="both"/>
              <w:rPr>
                <w:rFonts w:asciiTheme="minorHAnsi" w:hAnsiTheme="minorHAnsi" w:cstheme="minorHAnsi"/>
                <w:color w:val="000000" w:themeColor="text1"/>
                <w:sz w:val="22"/>
                <w:szCs w:val="22"/>
              </w:rPr>
            </w:pPr>
            <w:r w:rsidRPr="00FF58D5">
              <w:rPr>
                <w:rFonts w:asciiTheme="minorHAnsi" w:hAnsiTheme="minorHAnsi" w:cstheme="minorHAnsi"/>
                <w:color w:val="000000" w:themeColor="text1"/>
                <w:sz w:val="22"/>
                <w:szCs w:val="22"/>
              </w:rPr>
              <w:t xml:space="preserve">w jaki sposób traktować okresy nieobecności poszczególnych pracowników, w trakcie których nie zachowują oni prawa do wynagrodzenia albo pracownikowi przysługiwał </w:t>
            </w:r>
            <w:r w:rsidRPr="00FF58D5">
              <w:rPr>
                <w:rFonts w:asciiTheme="minorHAnsi" w:hAnsiTheme="minorHAnsi" w:cstheme="minorHAnsi"/>
                <w:color w:val="000000" w:themeColor="text1"/>
                <w:sz w:val="22"/>
                <w:szCs w:val="22"/>
              </w:rPr>
              <w:lastRenderedPageBreak/>
              <w:t>zasiłek chorobowy bądź macierzyński.</w:t>
            </w:r>
          </w:p>
          <w:p w14:paraId="1056BC14" w14:textId="77777777" w:rsidR="005C5536" w:rsidRPr="00FF58D5" w:rsidRDefault="005C5536" w:rsidP="00AB5A1A">
            <w:pPr>
              <w:spacing w:line="276" w:lineRule="auto"/>
              <w:jc w:val="both"/>
              <w:rPr>
                <w:rFonts w:asciiTheme="minorHAnsi" w:hAnsiTheme="minorHAnsi" w:cstheme="minorHAnsi"/>
                <w:sz w:val="22"/>
                <w:szCs w:val="22"/>
              </w:rPr>
            </w:pPr>
          </w:p>
          <w:p w14:paraId="13FCFCF8" w14:textId="6126055F" w:rsidR="00331E06" w:rsidRPr="00133559" w:rsidRDefault="00133559" w:rsidP="00133559">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5. </w:t>
            </w:r>
            <w:r w:rsidR="005C5536" w:rsidRPr="00133559">
              <w:rPr>
                <w:rFonts w:asciiTheme="minorHAnsi" w:hAnsiTheme="minorHAnsi" w:cstheme="minorHAnsi"/>
                <w:sz w:val="22"/>
                <w:szCs w:val="22"/>
              </w:rPr>
              <w:t>Przepisy prawa pracy nie posługują się pojęciem wynagrodzenia brutto. Pojęcie to wymaga wyjaśnienia w ustawie.</w:t>
            </w:r>
          </w:p>
          <w:p w14:paraId="1D28D8D8" w14:textId="7B136A1C" w:rsidR="005C5536" w:rsidRPr="00FF58D5" w:rsidRDefault="005C5536" w:rsidP="00E407C0">
            <w:pPr>
              <w:spacing w:line="276" w:lineRule="auto"/>
              <w:jc w:val="both"/>
              <w:rPr>
                <w:rFonts w:asciiTheme="minorHAnsi" w:hAnsiTheme="minorHAnsi" w:cstheme="minorHAnsi"/>
                <w:sz w:val="22"/>
                <w:szCs w:val="22"/>
              </w:rPr>
            </w:pPr>
          </w:p>
        </w:tc>
        <w:tc>
          <w:tcPr>
            <w:tcW w:w="5387" w:type="dxa"/>
          </w:tcPr>
          <w:p w14:paraId="633B2DF8" w14:textId="35A3BB52" w:rsidR="00E407C0" w:rsidRPr="00FF58D5" w:rsidRDefault="00E407C0"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 xml:space="preserve">„Poziom wynagrodzenia” ma kluczowe znaczenie dla stosowania szeregu przepisów projektowanej ustawy. Dlatego też, należy dążyć do doprecyzowania zasad jego ustalania. </w:t>
            </w:r>
            <w:r w:rsidR="0046458C" w:rsidRPr="00FF58D5">
              <w:rPr>
                <w:rFonts w:asciiTheme="minorHAnsi" w:hAnsiTheme="minorHAnsi" w:cstheme="minorHAnsi"/>
                <w:sz w:val="22"/>
                <w:szCs w:val="22"/>
              </w:rPr>
              <w:t xml:space="preserve">W naszej ocenie w przypadku tak istotnego elementu ustawy nie będą wystarczające ewentualne wyjaśnienia przedstawione w uzasadnieniu do ustawy. </w:t>
            </w:r>
          </w:p>
          <w:p w14:paraId="7739B973" w14:textId="11FE48CA" w:rsidR="00F16D18" w:rsidRPr="00FF58D5" w:rsidRDefault="00F16D18"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Wątpliwości interpretacyjne budzi zakres pojęcia „poziom wynagrodzenia”, zdefiniowanego jako roczne wynagrodzenie brutto i odpowiadające mu wynagrodzenie godzinowe brutto, obliczane na podstawie otrzymanego wynagrodzenia w danym okresie.</w:t>
            </w:r>
          </w:p>
          <w:p w14:paraId="3044DC9F" w14:textId="275B7E07" w:rsidR="00F16D18" w:rsidRPr="00FF58D5" w:rsidRDefault="00F16D18" w:rsidP="00AB5A1A">
            <w:pPr>
              <w:pStyle w:val="Akapitzlist"/>
              <w:numPr>
                <w:ilvl w:val="0"/>
                <w:numId w:val="51"/>
              </w:num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W szczególności nie jest jasne, czy do „poziomu wynagrodzenia” należy wliczać:</w:t>
            </w:r>
          </w:p>
          <w:p w14:paraId="495C7DB9" w14:textId="2017A7EC" w:rsidR="00F16D18" w:rsidRPr="00FF58D5" w:rsidRDefault="00F16D18" w:rsidP="00AB5A1A">
            <w:pPr>
              <w:pStyle w:val="Akapitzlist"/>
              <w:numPr>
                <w:ilvl w:val="0"/>
                <w:numId w:val="42"/>
              </w:numPr>
              <w:spacing w:after="160" w:line="276" w:lineRule="auto"/>
              <w:ind w:left="801" w:hanging="153"/>
              <w:jc w:val="both"/>
              <w:rPr>
                <w:rFonts w:asciiTheme="minorHAnsi" w:hAnsiTheme="minorHAnsi" w:cstheme="minorHAnsi"/>
                <w:sz w:val="22"/>
                <w:szCs w:val="22"/>
              </w:rPr>
            </w:pPr>
            <w:r w:rsidRPr="00FF58D5">
              <w:rPr>
                <w:rFonts w:asciiTheme="minorHAnsi" w:hAnsiTheme="minorHAnsi" w:cstheme="minorHAnsi"/>
                <w:sz w:val="22"/>
                <w:szCs w:val="22"/>
              </w:rPr>
              <w:t xml:space="preserve">świadczenia pozapłacowe (benefity), w tym świadczenia pieniężne lub rzeczowe, które nie mają charakteru powszechnego w ramach danej </w:t>
            </w:r>
            <w:r w:rsidRPr="00FF58D5">
              <w:rPr>
                <w:rFonts w:asciiTheme="minorHAnsi" w:hAnsiTheme="minorHAnsi" w:cstheme="minorHAnsi"/>
                <w:sz w:val="22"/>
                <w:szCs w:val="22"/>
              </w:rPr>
              <w:lastRenderedPageBreak/>
              <w:t>kategorii pracowników, a więc nie mieszczą się w przewidzianym w przepisie wyłączeniu,</w:t>
            </w:r>
          </w:p>
          <w:p w14:paraId="3F1AD8B7" w14:textId="77777777" w:rsidR="00807480" w:rsidRPr="00FF58D5" w:rsidRDefault="00F16D18" w:rsidP="00AB5A1A">
            <w:pPr>
              <w:pStyle w:val="Akapitzlist"/>
              <w:numPr>
                <w:ilvl w:val="0"/>
                <w:numId w:val="42"/>
              </w:numPr>
              <w:spacing w:after="160" w:line="276" w:lineRule="auto"/>
              <w:ind w:left="801" w:hanging="153"/>
              <w:jc w:val="both"/>
              <w:rPr>
                <w:rFonts w:asciiTheme="minorHAnsi" w:hAnsiTheme="minorHAnsi" w:cstheme="minorHAnsi"/>
                <w:sz w:val="22"/>
                <w:szCs w:val="22"/>
              </w:rPr>
            </w:pPr>
            <w:r w:rsidRPr="00FF58D5">
              <w:rPr>
                <w:rFonts w:asciiTheme="minorHAnsi" w:hAnsiTheme="minorHAnsi" w:cstheme="minorHAnsi"/>
                <w:sz w:val="22"/>
                <w:szCs w:val="22"/>
              </w:rPr>
              <w:t>wynagrodzenie za pracę w godzinach nadliczbowych, które ma charakter incydentalny i zależny od faktycznego czasu pracy, a nie od wartości pracy na danym stanowisku.</w:t>
            </w:r>
          </w:p>
          <w:p w14:paraId="758F2BBC" w14:textId="367EF21B" w:rsidR="7840534A" w:rsidRPr="00FF58D5" w:rsidRDefault="00F16D18" w:rsidP="00AB5A1A">
            <w:pPr>
              <w:spacing w:after="160" w:line="276" w:lineRule="auto"/>
              <w:ind w:left="648"/>
              <w:jc w:val="both"/>
              <w:rPr>
                <w:rFonts w:asciiTheme="minorHAnsi" w:hAnsiTheme="minorHAnsi" w:cstheme="minorHAnsi"/>
                <w:sz w:val="22"/>
                <w:szCs w:val="22"/>
              </w:rPr>
            </w:pPr>
            <w:r w:rsidRPr="00FF58D5">
              <w:rPr>
                <w:rFonts w:asciiTheme="minorHAnsi" w:hAnsiTheme="minorHAnsi" w:cstheme="minorHAnsi"/>
                <w:sz w:val="22"/>
                <w:szCs w:val="22"/>
              </w:rPr>
              <w:t>Brak jednoznacznego doprecyzowania może prowadzić do rozbieżnych praktyk stosowania przepisów oraz do zniekształcenia porównań wynagrodzeń, w szczególności w kontekście analizy luki płacowej.</w:t>
            </w:r>
          </w:p>
          <w:p w14:paraId="61CD2C5E" w14:textId="29A2E468" w:rsidR="00D0304A" w:rsidRPr="00FF58D5" w:rsidRDefault="00D0304A" w:rsidP="00AB5A1A">
            <w:pPr>
              <w:pStyle w:val="Akapitzlist"/>
              <w:numPr>
                <w:ilvl w:val="0"/>
                <w:numId w:val="51"/>
              </w:num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Z przepisu nie wynika czy stawka godzinowa ustalana jest przez podzielenie wynagrodzenia „otrzymanego” przez czas przepracowany czy taki wymiar czasu pracy jaki miał być do przepracowania</w:t>
            </w:r>
            <w:r w:rsidR="00876F6D" w:rsidRPr="00FF58D5">
              <w:rPr>
                <w:rFonts w:asciiTheme="minorHAnsi" w:hAnsiTheme="minorHAnsi" w:cstheme="minorHAnsi"/>
                <w:sz w:val="22"/>
                <w:szCs w:val="22"/>
              </w:rPr>
              <w:t xml:space="preserve"> w przyjętym do wyliczenia okresie</w:t>
            </w:r>
            <w:r w:rsidR="00E407C0" w:rsidRPr="00FF58D5">
              <w:rPr>
                <w:rFonts w:asciiTheme="minorHAnsi" w:hAnsiTheme="minorHAnsi" w:cstheme="minorHAnsi"/>
                <w:sz w:val="22"/>
                <w:szCs w:val="22"/>
              </w:rPr>
              <w:t>.</w:t>
            </w:r>
            <w:r w:rsidRPr="00FF58D5">
              <w:rPr>
                <w:rFonts w:asciiTheme="minorHAnsi" w:hAnsiTheme="minorHAnsi" w:cstheme="minorHAnsi"/>
                <w:sz w:val="22"/>
                <w:szCs w:val="22"/>
              </w:rPr>
              <w:t xml:space="preserve"> Te kwestie przepis powinien rozstrzygać jednoznacznie.</w:t>
            </w:r>
          </w:p>
          <w:p w14:paraId="1F1DB0F8" w14:textId="28FF0724" w:rsidR="00802DEB" w:rsidRPr="00FF58D5" w:rsidRDefault="00BF4363" w:rsidP="00AB5A1A">
            <w:pPr>
              <w:pStyle w:val="Akapitzlist"/>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Zwracamy uwagę, iż przykładowo § 4 </w:t>
            </w:r>
            <w:r w:rsidR="00BC77DB" w:rsidRPr="00FF58D5">
              <w:rPr>
                <w:rFonts w:asciiTheme="minorHAnsi" w:hAnsiTheme="minorHAnsi" w:cstheme="minorHAnsi"/>
                <w:sz w:val="22"/>
                <w:szCs w:val="22"/>
              </w:rPr>
              <w:t xml:space="preserve">z dnia 29 maja 1996 r. </w:t>
            </w:r>
            <w:r w:rsidR="00BC77DB" w:rsidRPr="00FF58D5">
              <w:rPr>
                <w:rFonts w:asciiTheme="minorHAnsi" w:hAnsiTheme="minorHAnsi" w:cstheme="minorHAnsi"/>
                <w:i/>
                <w:iCs/>
                <w:sz w:val="22"/>
                <w:szCs w:val="22"/>
              </w:rPr>
              <w:t>w sprawie sposobu ustalania wynagrodzenia w okresie niewykonywania pracy</w:t>
            </w:r>
            <w:r w:rsidR="00BC77DB" w:rsidRPr="00FF58D5">
              <w:rPr>
                <w:rFonts w:asciiTheme="minorHAnsi" w:hAnsiTheme="minorHAnsi" w:cstheme="minorHAnsi"/>
                <w:sz w:val="22"/>
                <w:szCs w:val="22"/>
              </w:rPr>
              <w:t>:</w:t>
            </w:r>
            <w:r w:rsidR="00802DEB" w:rsidRPr="00FF58D5">
              <w:rPr>
                <w:rFonts w:asciiTheme="minorHAnsi" w:hAnsiTheme="minorHAnsi" w:cstheme="minorHAnsi"/>
                <w:sz w:val="22"/>
                <w:szCs w:val="22"/>
              </w:rPr>
              <w:t xml:space="preserve"> W celu obliczenia należności określonych w ust. 1 za jedną godzinę </w:t>
            </w:r>
            <w:proofErr w:type="spellStart"/>
            <w:r w:rsidR="00802DEB" w:rsidRPr="00FF58D5">
              <w:rPr>
                <w:rFonts w:asciiTheme="minorHAnsi" w:hAnsiTheme="minorHAnsi" w:cstheme="minorHAnsi"/>
                <w:sz w:val="22"/>
                <w:szCs w:val="22"/>
              </w:rPr>
              <w:t>odosnie</w:t>
            </w:r>
            <w:proofErr w:type="spellEnd"/>
            <w:r w:rsidR="00802DEB" w:rsidRPr="00FF58D5">
              <w:rPr>
                <w:rFonts w:asciiTheme="minorHAnsi" w:hAnsiTheme="minorHAnsi" w:cstheme="minorHAnsi"/>
                <w:sz w:val="22"/>
                <w:szCs w:val="22"/>
              </w:rPr>
              <w:t xml:space="preserve"> się do:</w:t>
            </w:r>
          </w:p>
          <w:p w14:paraId="0DDF999C" w14:textId="6778FFB7" w:rsidR="00802DEB" w:rsidRPr="00FF58D5" w:rsidRDefault="00802DEB" w:rsidP="00AB5A1A">
            <w:pPr>
              <w:pStyle w:val="Akapitzlist"/>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1) według składników </w:t>
            </w:r>
            <w:r w:rsidRPr="00FF58D5">
              <w:rPr>
                <w:rFonts w:asciiTheme="minorHAnsi" w:hAnsiTheme="minorHAnsi" w:cstheme="minorHAnsi"/>
                <w:i/>
                <w:iCs/>
                <w:sz w:val="22"/>
                <w:szCs w:val="22"/>
              </w:rPr>
              <w:t>wynagrodzenia</w:t>
            </w:r>
            <w:r w:rsidRPr="00FF58D5">
              <w:rPr>
                <w:rFonts w:asciiTheme="minorHAnsi" w:hAnsiTheme="minorHAnsi" w:cstheme="minorHAnsi"/>
                <w:sz w:val="22"/>
                <w:szCs w:val="22"/>
              </w:rPr>
              <w:t xml:space="preserve"> określonych w stawce miesięcznej w stałej wysokości - należy tę stawkę podzielić przez </w:t>
            </w:r>
            <w:r w:rsidRPr="00FF58D5">
              <w:rPr>
                <w:rFonts w:asciiTheme="minorHAnsi" w:hAnsiTheme="minorHAnsi" w:cstheme="minorHAnsi"/>
                <w:b/>
                <w:bCs/>
                <w:sz w:val="22"/>
                <w:szCs w:val="22"/>
              </w:rPr>
              <w:t xml:space="preserve">liczbę godzin pracy </w:t>
            </w:r>
            <w:r w:rsidRPr="00FF58D5">
              <w:rPr>
                <w:rFonts w:asciiTheme="minorHAnsi" w:hAnsiTheme="minorHAnsi" w:cstheme="minorHAnsi"/>
                <w:b/>
                <w:bCs/>
                <w:sz w:val="22"/>
                <w:szCs w:val="22"/>
              </w:rPr>
              <w:lastRenderedPageBreak/>
              <w:t>przypadających do przepracowania w danym miesiącu</w:t>
            </w:r>
            <w:r w:rsidRPr="00FF58D5">
              <w:rPr>
                <w:rFonts w:asciiTheme="minorHAnsi" w:hAnsiTheme="minorHAnsi" w:cstheme="minorHAnsi"/>
                <w:sz w:val="22"/>
                <w:szCs w:val="22"/>
              </w:rPr>
              <w:t>;</w:t>
            </w:r>
          </w:p>
          <w:p w14:paraId="1CAAAA1F" w14:textId="1699491F" w:rsidR="00BC77DB" w:rsidRPr="00D50638" w:rsidRDefault="00802DEB" w:rsidP="00D50638">
            <w:pPr>
              <w:pStyle w:val="Akapitzlist"/>
              <w:spacing w:after="160"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xml:space="preserve">2) według zmiennych składników </w:t>
            </w:r>
            <w:r w:rsidRPr="00FF58D5">
              <w:rPr>
                <w:rFonts w:asciiTheme="minorHAnsi" w:hAnsiTheme="minorHAnsi" w:cstheme="minorHAnsi"/>
                <w:i/>
                <w:iCs/>
                <w:sz w:val="22"/>
                <w:szCs w:val="22"/>
              </w:rPr>
              <w:t>wynagrodzenia - wynagrodzenie</w:t>
            </w:r>
            <w:r w:rsidRPr="00FF58D5">
              <w:rPr>
                <w:rFonts w:asciiTheme="minorHAnsi" w:hAnsiTheme="minorHAnsi" w:cstheme="minorHAnsi"/>
                <w:sz w:val="22"/>
                <w:szCs w:val="22"/>
              </w:rPr>
              <w:t xml:space="preserve"> ustalone według zasad określonych w ust. 1 dzieli się przez </w:t>
            </w:r>
            <w:r w:rsidRPr="00FF58D5">
              <w:rPr>
                <w:rFonts w:asciiTheme="minorHAnsi" w:hAnsiTheme="minorHAnsi" w:cstheme="minorHAnsi"/>
                <w:b/>
                <w:bCs/>
                <w:sz w:val="22"/>
                <w:szCs w:val="22"/>
              </w:rPr>
              <w:t xml:space="preserve">liczbę godzin przepracowanych przez pracownika w okresie, z którego ustala się to </w:t>
            </w:r>
            <w:r w:rsidRPr="00FF58D5">
              <w:rPr>
                <w:rFonts w:asciiTheme="minorHAnsi" w:hAnsiTheme="minorHAnsi" w:cstheme="minorHAnsi"/>
                <w:b/>
                <w:bCs/>
                <w:i/>
                <w:iCs/>
                <w:sz w:val="22"/>
                <w:szCs w:val="22"/>
              </w:rPr>
              <w:t>wynagrodzenie</w:t>
            </w:r>
            <w:r w:rsidRPr="00FF58D5">
              <w:rPr>
                <w:rFonts w:asciiTheme="minorHAnsi" w:hAnsiTheme="minorHAnsi" w:cstheme="minorHAnsi"/>
                <w:b/>
                <w:bCs/>
                <w:sz w:val="22"/>
                <w:szCs w:val="22"/>
              </w:rPr>
              <w:t>.</w:t>
            </w:r>
          </w:p>
          <w:p w14:paraId="148AB556" w14:textId="2575DA63" w:rsidR="00D0304A" w:rsidRPr="00FF58D5" w:rsidRDefault="00A65B7B" w:rsidP="00E407C0">
            <w:pPr>
              <w:spacing w:after="160" w:line="276" w:lineRule="auto"/>
              <w:ind w:left="360" w:hanging="268"/>
              <w:jc w:val="both"/>
              <w:rPr>
                <w:rFonts w:asciiTheme="minorHAnsi" w:hAnsiTheme="minorHAnsi" w:cstheme="minorHAnsi"/>
                <w:sz w:val="22"/>
                <w:szCs w:val="22"/>
              </w:rPr>
            </w:pPr>
            <w:r w:rsidRPr="00FF58D5">
              <w:rPr>
                <w:rFonts w:asciiTheme="minorHAnsi" w:hAnsiTheme="minorHAnsi" w:cstheme="minorHAnsi"/>
                <w:sz w:val="22"/>
                <w:szCs w:val="22"/>
              </w:rPr>
              <w:t>3. P</w:t>
            </w:r>
            <w:r w:rsidR="00D0304A" w:rsidRPr="00FF58D5">
              <w:rPr>
                <w:rFonts w:asciiTheme="minorHAnsi" w:hAnsiTheme="minorHAnsi" w:cstheme="minorHAnsi"/>
                <w:sz w:val="22"/>
                <w:szCs w:val="22"/>
              </w:rPr>
              <w:t xml:space="preserve">rzepis odnosi się do wynagrodzenia „otrzymanego”. </w:t>
            </w:r>
            <w:r w:rsidR="00E407C0" w:rsidRPr="00FF58D5">
              <w:rPr>
                <w:rFonts w:asciiTheme="minorHAnsi" w:hAnsiTheme="minorHAnsi" w:cstheme="minorHAnsi"/>
                <w:sz w:val="22"/>
                <w:szCs w:val="22"/>
              </w:rPr>
              <w:t>Przyjmujemy, że oznacza</w:t>
            </w:r>
            <w:r w:rsidR="00D0304A" w:rsidRPr="00FF58D5">
              <w:rPr>
                <w:rFonts w:asciiTheme="minorHAnsi" w:hAnsiTheme="minorHAnsi" w:cstheme="minorHAnsi"/>
                <w:sz w:val="22"/>
                <w:szCs w:val="22"/>
              </w:rPr>
              <w:t xml:space="preserve"> to wynagrodzenie, które zostało </w:t>
            </w:r>
            <w:r w:rsidR="00E407C0" w:rsidRPr="00FF58D5">
              <w:rPr>
                <w:rFonts w:asciiTheme="minorHAnsi" w:hAnsiTheme="minorHAnsi" w:cstheme="minorHAnsi"/>
                <w:sz w:val="22"/>
                <w:szCs w:val="22"/>
              </w:rPr>
              <w:t>pracownikowi</w:t>
            </w:r>
            <w:r w:rsidR="00D0304A" w:rsidRPr="00FF58D5">
              <w:rPr>
                <w:rFonts w:asciiTheme="minorHAnsi" w:hAnsiTheme="minorHAnsi" w:cstheme="minorHAnsi"/>
                <w:sz w:val="22"/>
                <w:szCs w:val="22"/>
              </w:rPr>
              <w:t xml:space="preserve"> wypłacone w </w:t>
            </w:r>
            <w:r w:rsidR="00E407C0" w:rsidRPr="00FF58D5">
              <w:rPr>
                <w:rFonts w:asciiTheme="minorHAnsi" w:hAnsiTheme="minorHAnsi" w:cstheme="minorHAnsi"/>
                <w:sz w:val="22"/>
                <w:szCs w:val="22"/>
              </w:rPr>
              <w:t>danym okresie, a nie wynagrodzenia, do którego pracownik nabył prawo.</w:t>
            </w:r>
            <w:r w:rsidR="00D0304A" w:rsidRPr="00FF58D5">
              <w:rPr>
                <w:rFonts w:asciiTheme="minorHAnsi" w:hAnsiTheme="minorHAnsi" w:cstheme="minorHAnsi"/>
                <w:sz w:val="22"/>
                <w:szCs w:val="22"/>
              </w:rPr>
              <w:t xml:space="preserve"> </w:t>
            </w:r>
          </w:p>
          <w:p w14:paraId="09CE9C48" w14:textId="0E63BF1A" w:rsidR="00674921" w:rsidRPr="00FF58D5" w:rsidRDefault="00674921" w:rsidP="00AB5A1A">
            <w:pPr>
              <w:spacing w:after="160" w:line="276" w:lineRule="auto"/>
              <w:ind w:left="360"/>
              <w:jc w:val="both"/>
              <w:rPr>
                <w:rFonts w:asciiTheme="minorHAnsi" w:hAnsiTheme="minorHAnsi" w:cstheme="minorHAnsi"/>
                <w:sz w:val="22"/>
                <w:szCs w:val="22"/>
              </w:rPr>
            </w:pPr>
            <w:r w:rsidRPr="00FF58D5">
              <w:rPr>
                <w:rFonts w:asciiTheme="minorHAnsi" w:hAnsiTheme="minorHAnsi" w:cstheme="minorHAnsi"/>
                <w:sz w:val="22"/>
                <w:szCs w:val="22"/>
              </w:rPr>
              <w:t>Sformułowanie „otrzymane wynagrodzenie” może powodować istotne różnice między wynagrodzeniem nominalnym (przysługującym pracownikowi na danym stanowisku) a rzeczywiście wypłaconym, uwzględniającym nieobecności, zwolnienia chorobowe, urlopy macierzyńskie/wychowawcze, a także godziny nadliczbowe.</w:t>
            </w:r>
          </w:p>
          <w:p w14:paraId="50A981FF" w14:textId="747A1042" w:rsidR="00674921" w:rsidRPr="00FF58D5" w:rsidRDefault="00674921" w:rsidP="00AB5A1A">
            <w:pPr>
              <w:spacing w:after="160" w:line="276" w:lineRule="auto"/>
              <w:ind w:left="360"/>
              <w:jc w:val="both"/>
              <w:rPr>
                <w:rFonts w:asciiTheme="minorHAnsi" w:hAnsiTheme="minorHAnsi" w:cstheme="minorHAnsi"/>
                <w:sz w:val="22"/>
                <w:szCs w:val="22"/>
              </w:rPr>
            </w:pPr>
            <w:r w:rsidRPr="00FF58D5">
              <w:rPr>
                <w:rFonts w:asciiTheme="minorHAnsi" w:hAnsiTheme="minorHAnsi" w:cstheme="minorHAnsi"/>
                <w:sz w:val="22"/>
                <w:szCs w:val="22"/>
              </w:rPr>
              <w:t>Porównywanie rocznych poziomów wynagrodzeń w kategoriach w oparciu o „otrzymane wynagrodzenie” może prowadzić do dużych rozbieżności i w konsekwencji do niejednoznacznych wniosków o ewentualnej nierówności wynagrodzeń.</w:t>
            </w:r>
          </w:p>
          <w:p w14:paraId="649AF750" w14:textId="5F1C9C00" w:rsidR="00674921" w:rsidRPr="00FF58D5" w:rsidRDefault="00674921" w:rsidP="00AB5A1A">
            <w:pPr>
              <w:spacing w:after="160" w:line="276" w:lineRule="auto"/>
              <w:ind w:left="360"/>
              <w:jc w:val="both"/>
              <w:rPr>
                <w:rFonts w:asciiTheme="minorHAnsi" w:hAnsiTheme="minorHAnsi" w:cstheme="minorHAnsi"/>
                <w:sz w:val="22"/>
                <w:szCs w:val="22"/>
              </w:rPr>
            </w:pPr>
            <w:r w:rsidRPr="00FF58D5">
              <w:rPr>
                <w:rFonts w:asciiTheme="minorHAnsi" w:hAnsiTheme="minorHAnsi" w:cstheme="minorHAnsi"/>
                <w:sz w:val="22"/>
                <w:szCs w:val="22"/>
              </w:rPr>
              <w:t xml:space="preserve">Istnieje ryzyko, że pracownicy otrzymują dane, które mogą nie odzwierciedlać rzeczywistych różnic </w:t>
            </w:r>
            <w:r w:rsidRPr="00FF58D5">
              <w:rPr>
                <w:rFonts w:asciiTheme="minorHAnsi" w:hAnsiTheme="minorHAnsi" w:cstheme="minorHAnsi"/>
                <w:sz w:val="22"/>
                <w:szCs w:val="22"/>
              </w:rPr>
              <w:lastRenderedPageBreak/>
              <w:t>systemowych w wynagrodzeniach przypisanych do stanowisk, co może utrudniać praktyczne stosowanie dyrektywy i interpretację prawa do równego wynagrodzenia.</w:t>
            </w:r>
          </w:p>
          <w:p w14:paraId="5E3A566F" w14:textId="77777777" w:rsidR="0046458C" w:rsidRPr="00FF58D5" w:rsidRDefault="0046458C" w:rsidP="0046458C">
            <w:pPr>
              <w:pStyle w:val="Akapitzlist"/>
              <w:spacing w:after="160" w:line="276" w:lineRule="auto"/>
              <w:ind w:left="376"/>
              <w:jc w:val="both"/>
              <w:rPr>
                <w:rFonts w:asciiTheme="minorHAnsi" w:hAnsiTheme="minorHAnsi" w:cstheme="minorHAnsi"/>
                <w:sz w:val="22"/>
                <w:szCs w:val="22"/>
              </w:rPr>
            </w:pPr>
          </w:p>
          <w:p w14:paraId="7AB06171" w14:textId="7724EA38" w:rsidR="00E407C0" w:rsidRPr="00FF58D5" w:rsidRDefault="00E407C0" w:rsidP="00E407C0">
            <w:pPr>
              <w:pStyle w:val="Akapitzlist"/>
              <w:numPr>
                <w:ilvl w:val="0"/>
                <w:numId w:val="47"/>
              </w:numPr>
              <w:spacing w:after="160" w:line="276" w:lineRule="auto"/>
              <w:ind w:left="376"/>
              <w:jc w:val="both"/>
              <w:rPr>
                <w:rFonts w:asciiTheme="minorHAnsi" w:hAnsiTheme="minorHAnsi" w:cstheme="minorHAnsi"/>
                <w:sz w:val="22"/>
                <w:szCs w:val="22"/>
              </w:rPr>
            </w:pPr>
            <w:r w:rsidRPr="00FF58D5">
              <w:rPr>
                <w:rFonts w:asciiTheme="minorHAnsi" w:hAnsiTheme="minorHAnsi" w:cstheme="minorHAnsi"/>
                <w:sz w:val="22"/>
                <w:szCs w:val="22"/>
              </w:rPr>
              <w:t xml:space="preserve">Kluczowa kwestia dotyczy rozumienia pojęcia „dany okres” z jakiego będzie ustalane wynagrodzenia roczne i godzinowe. </w:t>
            </w:r>
          </w:p>
          <w:p w14:paraId="49C2F6E7" w14:textId="123873CA" w:rsidR="00E407C0" w:rsidRPr="00FF58D5" w:rsidRDefault="0046458C" w:rsidP="00E407C0">
            <w:pPr>
              <w:pStyle w:val="Akapitzlist"/>
              <w:spacing w:after="160" w:line="276" w:lineRule="auto"/>
              <w:ind w:left="376"/>
              <w:jc w:val="both"/>
              <w:rPr>
                <w:rFonts w:asciiTheme="minorHAnsi" w:hAnsiTheme="minorHAnsi" w:cstheme="minorHAnsi"/>
                <w:sz w:val="22"/>
                <w:szCs w:val="22"/>
              </w:rPr>
            </w:pPr>
            <w:r w:rsidRPr="00FF58D5">
              <w:rPr>
                <w:rFonts w:asciiTheme="minorHAnsi" w:hAnsiTheme="minorHAnsi" w:cstheme="minorHAnsi"/>
                <w:sz w:val="22"/>
                <w:szCs w:val="22"/>
              </w:rPr>
              <w:t xml:space="preserve">Należy mieć na uwadze art. 8 przyznający pracownikowi prawo do wystąpienia z wnioskiem o informacje dotyczące poziomu wynagrodzenia. Z jakiego okresu pracodawca ma uwzględniać „otrzymane wynagrodzenie, jeżeli pracownik złoży wniosek w marcu, lipcu i grudniu danego roku? </w:t>
            </w:r>
          </w:p>
          <w:p w14:paraId="376B0DD2" w14:textId="77777777" w:rsidR="0046458C" w:rsidRPr="00FF58D5" w:rsidRDefault="0046458C" w:rsidP="00E407C0">
            <w:pPr>
              <w:pStyle w:val="Akapitzlist"/>
              <w:spacing w:after="160" w:line="276" w:lineRule="auto"/>
              <w:ind w:left="376"/>
              <w:jc w:val="both"/>
              <w:rPr>
                <w:rFonts w:asciiTheme="minorHAnsi" w:hAnsiTheme="minorHAnsi" w:cstheme="minorHAnsi"/>
                <w:sz w:val="22"/>
                <w:szCs w:val="22"/>
              </w:rPr>
            </w:pPr>
          </w:p>
          <w:p w14:paraId="667E4F2D" w14:textId="7DBDF015" w:rsidR="006F06BC" w:rsidRPr="00FF58D5" w:rsidRDefault="006F06BC" w:rsidP="00E407C0">
            <w:pPr>
              <w:pStyle w:val="Akapitzlist"/>
              <w:spacing w:after="160" w:line="276" w:lineRule="auto"/>
              <w:ind w:left="376"/>
              <w:jc w:val="both"/>
              <w:rPr>
                <w:rFonts w:asciiTheme="minorHAnsi" w:hAnsiTheme="minorHAnsi" w:cstheme="minorHAnsi"/>
                <w:sz w:val="22"/>
                <w:szCs w:val="22"/>
              </w:rPr>
            </w:pPr>
            <w:r w:rsidRPr="00FF58D5">
              <w:rPr>
                <w:rFonts w:asciiTheme="minorHAnsi" w:hAnsiTheme="minorHAnsi" w:cstheme="minorHAnsi"/>
                <w:sz w:val="22"/>
                <w:szCs w:val="22"/>
              </w:rPr>
              <w:t>Ponadto brak precyzyjnych zasad obliczania poziomu wynagrodzenia w odniesieniu do pracowników zatrudnionych przez część roku lub nieobecnych w pracy (np. urlopy, absencje). Oparcie obliczeń na „otrzymanym wynagrodzeniu” i normatywnym czasie pracy</w:t>
            </w:r>
            <w:r w:rsidR="00025FAD" w:rsidRPr="00FF58D5">
              <w:rPr>
                <w:rFonts w:asciiTheme="minorHAnsi" w:hAnsiTheme="minorHAnsi" w:cstheme="minorHAnsi"/>
                <w:sz w:val="22"/>
                <w:szCs w:val="22"/>
              </w:rPr>
              <w:t xml:space="preserve"> (co wynika tylko z uzasadnienia do projektu)</w:t>
            </w:r>
            <w:r w:rsidRPr="00FF58D5">
              <w:rPr>
                <w:rFonts w:asciiTheme="minorHAnsi" w:hAnsiTheme="minorHAnsi" w:cstheme="minorHAnsi"/>
                <w:sz w:val="22"/>
                <w:szCs w:val="22"/>
              </w:rPr>
              <w:t xml:space="preserve"> może prowadzić do zaniżenia poziomu wynagrodzeń i zniekształcenia wyników.</w:t>
            </w:r>
          </w:p>
          <w:p w14:paraId="251D9237" w14:textId="77777777" w:rsidR="0046458C" w:rsidRPr="00FF58D5" w:rsidRDefault="0046458C" w:rsidP="00E407C0">
            <w:pPr>
              <w:pStyle w:val="Akapitzlist"/>
              <w:spacing w:after="160" w:line="276" w:lineRule="auto"/>
              <w:ind w:left="376"/>
              <w:jc w:val="both"/>
              <w:rPr>
                <w:rFonts w:asciiTheme="minorHAnsi" w:hAnsiTheme="minorHAnsi" w:cstheme="minorHAnsi"/>
                <w:sz w:val="22"/>
                <w:szCs w:val="22"/>
              </w:rPr>
            </w:pPr>
          </w:p>
          <w:p w14:paraId="74EEC442" w14:textId="77777777" w:rsidR="0046458C" w:rsidRPr="00FF58D5" w:rsidRDefault="0046458C" w:rsidP="00E407C0">
            <w:pPr>
              <w:pStyle w:val="Akapitzlist"/>
              <w:spacing w:after="160" w:line="276" w:lineRule="auto"/>
              <w:ind w:left="376"/>
              <w:jc w:val="both"/>
              <w:rPr>
                <w:rFonts w:asciiTheme="minorHAnsi" w:hAnsiTheme="minorHAnsi" w:cstheme="minorHAnsi"/>
                <w:sz w:val="22"/>
                <w:szCs w:val="22"/>
              </w:rPr>
            </w:pPr>
          </w:p>
          <w:p w14:paraId="29DE74AB" w14:textId="77777777" w:rsidR="0046458C" w:rsidRPr="00FF58D5" w:rsidRDefault="0046458C" w:rsidP="00E407C0">
            <w:pPr>
              <w:pStyle w:val="Akapitzlist"/>
              <w:spacing w:after="160" w:line="276" w:lineRule="auto"/>
              <w:ind w:left="376"/>
              <w:jc w:val="both"/>
              <w:rPr>
                <w:rFonts w:asciiTheme="minorHAnsi" w:hAnsiTheme="minorHAnsi" w:cstheme="minorHAnsi"/>
                <w:sz w:val="22"/>
                <w:szCs w:val="22"/>
              </w:rPr>
            </w:pPr>
          </w:p>
          <w:p w14:paraId="728C68F3" w14:textId="562E841C" w:rsidR="00FE3719" w:rsidRPr="00FF58D5" w:rsidRDefault="00FE3719" w:rsidP="00462BC8">
            <w:pPr>
              <w:pStyle w:val="Akapitzlist"/>
              <w:spacing w:after="160" w:line="276" w:lineRule="auto"/>
              <w:ind w:left="376"/>
              <w:jc w:val="both"/>
              <w:rPr>
                <w:rFonts w:asciiTheme="minorHAnsi" w:hAnsiTheme="minorHAnsi" w:cstheme="minorHAnsi"/>
                <w:sz w:val="22"/>
                <w:szCs w:val="22"/>
              </w:rPr>
            </w:pPr>
            <w:r w:rsidRPr="00FF58D5">
              <w:rPr>
                <w:rFonts w:asciiTheme="minorHAnsi" w:hAnsiTheme="minorHAnsi" w:cstheme="minorHAnsi"/>
                <w:color w:val="EE0000"/>
                <w:sz w:val="22"/>
                <w:szCs w:val="22"/>
              </w:rPr>
              <w:lastRenderedPageBreak/>
              <w:t xml:space="preserve"> </w:t>
            </w:r>
          </w:p>
        </w:tc>
      </w:tr>
      <w:tr w:rsidR="00D403B6" w:rsidRPr="00FF58D5" w14:paraId="218FC9B7" w14:textId="77777777" w:rsidTr="00AB5A1A">
        <w:trPr>
          <w:trHeight w:val="1275"/>
        </w:trPr>
        <w:tc>
          <w:tcPr>
            <w:tcW w:w="709" w:type="dxa"/>
            <w:vAlign w:val="center"/>
          </w:tcPr>
          <w:p w14:paraId="2AEAB48C" w14:textId="77777777" w:rsidR="00D403B6" w:rsidRPr="00FF58D5" w:rsidRDefault="00D403B6" w:rsidP="000F1418">
            <w:pPr>
              <w:pStyle w:val="Akapitzlist"/>
              <w:numPr>
                <w:ilvl w:val="0"/>
                <w:numId w:val="69"/>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091D290B" w14:textId="0BC40574" w:rsidR="00D403B6" w:rsidRPr="00FF58D5" w:rsidRDefault="00D403B6"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Art. 2 pkt 8</w:t>
            </w:r>
          </w:p>
        </w:tc>
        <w:tc>
          <w:tcPr>
            <w:tcW w:w="3118" w:type="dxa"/>
            <w:vAlign w:val="center"/>
          </w:tcPr>
          <w:p w14:paraId="3EBC37BB" w14:textId="3645A0D8" w:rsidR="00D403B6" w:rsidRPr="00FF58D5" w:rsidRDefault="00187FE0" w:rsidP="00AB5A1A">
            <w:pPr>
              <w:pStyle w:val="USTustnpkodeksu"/>
              <w:spacing w:line="276" w:lineRule="auto"/>
              <w:ind w:hanging="15"/>
              <w:rPr>
                <w:rFonts w:asciiTheme="minorHAnsi" w:hAnsiTheme="minorHAnsi" w:cstheme="minorHAnsi"/>
                <w:sz w:val="22"/>
                <w:szCs w:val="22"/>
              </w:rPr>
            </w:pPr>
            <w:r w:rsidRPr="00FF58D5">
              <w:rPr>
                <w:rFonts w:asciiTheme="minorHAnsi" w:hAnsiTheme="minorHAnsi" w:cstheme="minorHAnsi"/>
                <w:sz w:val="22"/>
                <w:szCs w:val="22"/>
              </w:rPr>
              <w:t>8)</w:t>
            </w:r>
            <w:r w:rsidR="00D403B6" w:rsidRPr="00FF58D5">
              <w:rPr>
                <w:rFonts w:asciiTheme="minorHAnsi" w:hAnsiTheme="minorHAnsi" w:cstheme="minorHAnsi"/>
                <w:color w:val="000000" w:themeColor="text1"/>
                <w:sz w:val="22"/>
                <w:szCs w:val="22"/>
              </w:rPr>
              <w:t xml:space="preserve">kategoria pracowników – pracowników wykonujących jednakową pracę lub pracę o jednakowej wartości, pogrupowanych przez pracodawcę w </w:t>
            </w:r>
            <w:r w:rsidR="00D403B6" w:rsidRPr="00FF58D5">
              <w:rPr>
                <w:rFonts w:asciiTheme="minorHAnsi" w:hAnsiTheme="minorHAnsi" w:cstheme="minorHAnsi"/>
                <w:sz w:val="22"/>
                <w:szCs w:val="22"/>
              </w:rPr>
              <w:t>sposób niearbitralny, na podstawie niedyskryminacyjnych i obiektywnych, neutralnych pod względem płci kryteriów, o których mowa w art. 18</w:t>
            </w:r>
            <w:r w:rsidR="00D403B6" w:rsidRPr="00FF58D5">
              <w:rPr>
                <w:rFonts w:asciiTheme="minorHAnsi" w:hAnsiTheme="minorHAnsi" w:cstheme="minorHAnsi"/>
                <w:sz w:val="22"/>
                <w:szCs w:val="22"/>
                <w:vertAlign w:val="superscript"/>
              </w:rPr>
              <w:t>3c</w:t>
            </w:r>
            <w:r w:rsidR="00D403B6" w:rsidRPr="00FF58D5">
              <w:rPr>
                <w:rFonts w:asciiTheme="minorHAnsi" w:hAnsiTheme="minorHAnsi" w:cstheme="minorHAnsi"/>
                <w:sz w:val="22"/>
                <w:szCs w:val="22"/>
              </w:rPr>
              <w:t xml:space="preserve"> § 3 Kodeksu pracy;</w:t>
            </w:r>
          </w:p>
        </w:tc>
        <w:tc>
          <w:tcPr>
            <w:tcW w:w="3827" w:type="dxa"/>
            <w:vAlign w:val="center"/>
          </w:tcPr>
          <w:p w14:paraId="55B2C544" w14:textId="59D8189A" w:rsidR="00D403B6" w:rsidRPr="00FF58D5" w:rsidRDefault="0023396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Doprecyzowanie zasad </w:t>
            </w:r>
            <w:r w:rsidR="00464F6F" w:rsidRPr="00FF58D5">
              <w:rPr>
                <w:rFonts w:asciiTheme="minorHAnsi" w:hAnsiTheme="minorHAnsi" w:cstheme="minorHAnsi"/>
                <w:sz w:val="22"/>
                <w:szCs w:val="22"/>
              </w:rPr>
              <w:t xml:space="preserve">ustalania </w:t>
            </w:r>
            <w:r w:rsidRPr="00FF58D5">
              <w:rPr>
                <w:rFonts w:asciiTheme="minorHAnsi" w:hAnsiTheme="minorHAnsi" w:cstheme="minorHAnsi"/>
                <w:sz w:val="22"/>
                <w:szCs w:val="22"/>
              </w:rPr>
              <w:t>kategorii pracowników oraz jednoznaczne określenie, z jakiego poziomu agregacji danych pracodawca udziela informacji pracownikowi.</w:t>
            </w:r>
          </w:p>
        </w:tc>
        <w:tc>
          <w:tcPr>
            <w:tcW w:w="5387" w:type="dxa"/>
          </w:tcPr>
          <w:p w14:paraId="38AB4577" w14:textId="41016936" w:rsidR="00D403B6" w:rsidRPr="00FF58D5" w:rsidRDefault="00C167F2"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Definicja nie rozstrzyga, czy przy realizacji prawa do informacji oraz raportowaniu pracodawca powinien odnosić się do konkretnego </w:t>
            </w:r>
            <w:r w:rsidR="0046458C" w:rsidRPr="00FF58D5">
              <w:rPr>
                <w:rFonts w:asciiTheme="minorHAnsi" w:hAnsiTheme="minorHAnsi" w:cstheme="minorHAnsi"/>
                <w:sz w:val="22"/>
                <w:szCs w:val="22"/>
              </w:rPr>
              <w:t>rodzaju</w:t>
            </w:r>
            <w:r w:rsidRPr="00FF58D5">
              <w:rPr>
                <w:rFonts w:asciiTheme="minorHAnsi" w:hAnsiTheme="minorHAnsi" w:cstheme="minorHAnsi"/>
                <w:sz w:val="22"/>
                <w:szCs w:val="22"/>
              </w:rPr>
              <w:t xml:space="preserve"> pracy, czy do szerokiej kategorii pracowników wykonujących pracę o jednakowej wartości. </w:t>
            </w:r>
            <w:r w:rsidR="0046458C" w:rsidRPr="00FF58D5">
              <w:rPr>
                <w:rFonts w:asciiTheme="minorHAnsi" w:hAnsiTheme="minorHAnsi" w:cstheme="minorHAnsi"/>
                <w:sz w:val="22"/>
                <w:szCs w:val="22"/>
              </w:rPr>
              <w:t>Kwestia wymagająca wyjaśnienia w trakcie dalszych konsultacji.</w:t>
            </w:r>
          </w:p>
          <w:p w14:paraId="4646B4B8" w14:textId="466D726B" w:rsidR="00D06C44" w:rsidRPr="00FF58D5" w:rsidRDefault="00D06C44" w:rsidP="00AB5A1A">
            <w:pPr>
              <w:spacing w:after="160" w:line="276" w:lineRule="auto"/>
              <w:jc w:val="both"/>
              <w:rPr>
                <w:rFonts w:asciiTheme="minorHAnsi" w:hAnsiTheme="minorHAnsi" w:cstheme="minorHAnsi"/>
                <w:sz w:val="22"/>
                <w:szCs w:val="22"/>
              </w:rPr>
            </w:pPr>
          </w:p>
        </w:tc>
      </w:tr>
      <w:tr w:rsidR="00B677D6" w:rsidRPr="00FF58D5" w14:paraId="100223FA" w14:textId="77777777" w:rsidTr="00AB5A1A">
        <w:trPr>
          <w:trHeight w:val="1275"/>
        </w:trPr>
        <w:tc>
          <w:tcPr>
            <w:tcW w:w="709" w:type="dxa"/>
            <w:vAlign w:val="center"/>
          </w:tcPr>
          <w:p w14:paraId="51007974" w14:textId="77777777" w:rsidR="00B677D6" w:rsidRPr="00FF58D5" w:rsidRDefault="00B677D6" w:rsidP="000F1418">
            <w:pPr>
              <w:pStyle w:val="Akapitzlist"/>
              <w:numPr>
                <w:ilvl w:val="0"/>
                <w:numId w:val="69"/>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1A402FA2" w14:textId="4B3F6CAD" w:rsidR="00B677D6" w:rsidRPr="00FF58D5" w:rsidRDefault="00B0041E"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Art. 2 pkt 9</w:t>
            </w:r>
          </w:p>
        </w:tc>
        <w:tc>
          <w:tcPr>
            <w:tcW w:w="3118" w:type="dxa"/>
            <w:vAlign w:val="center"/>
          </w:tcPr>
          <w:p w14:paraId="2B70212F" w14:textId="0A3B17A7" w:rsidR="00B677D6" w:rsidRPr="00FF58D5" w:rsidRDefault="00591B0E" w:rsidP="00AB5A1A">
            <w:pPr>
              <w:pStyle w:val="USTustnpkodeksu"/>
              <w:spacing w:line="276" w:lineRule="auto"/>
              <w:ind w:hanging="15"/>
              <w:rPr>
                <w:rFonts w:asciiTheme="minorHAnsi" w:hAnsiTheme="minorHAnsi" w:cstheme="minorHAnsi"/>
                <w:sz w:val="22"/>
                <w:szCs w:val="22"/>
              </w:rPr>
            </w:pPr>
            <w:r w:rsidRPr="00FF58D5">
              <w:rPr>
                <w:rFonts w:asciiTheme="minorHAnsi" w:hAnsiTheme="minorHAnsi" w:cstheme="minorHAnsi"/>
                <w:sz w:val="22"/>
                <w:szCs w:val="22"/>
              </w:rPr>
              <w:t xml:space="preserve">9) dyskryminacja krzyżowa - sytuacje, gdy pracownik ze względu na płeć w połączeniu z inną przyczyną, określoną w art. 183a § 1 Kodeksu pracy, jest traktowany w porównywalnej sytuacji mniej korzystnie niż jest, </w:t>
            </w:r>
            <w:r w:rsidRPr="00FF58D5">
              <w:rPr>
                <w:rFonts w:asciiTheme="minorHAnsi" w:hAnsiTheme="minorHAnsi" w:cstheme="minorHAnsi"/>
                <w:sz w:val="22"/>
                <w:szCs w:val="22"/>
              </w:rPr>
              <w:lastRenderedPageBreak/>
              <w:t>był lub byłby traktowany inny pracownik;</w:t>
            </w:r>
          </w:p>
        </w:tc>
        <w:tc>
          <w:tcPr>
            <w:tcW w:w="3827" w:type="dxa"/>
            <w:vAlign w:val="center"/>
          </w:tcPr>
          <w:p w14:paraId="07B5DEEB" w14:textId="64CD2BC2" w:rsidR="00B677D6" w:rsidRPr="00FF58D5" w:rsidRDefault="00E32E8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 xml:space="preserve">Uporządkowanie </w:t>
            </w:r>
            <w:r w:rsidR="00D76765" w:rsidRPr="00FF58D5">
              <w:rPr>
                <w:rFonts w:asciiTheme="minorHAnsi" w:hAnsiTheme="minorHAnsi" w:cstheme="minorHAnsi"/>
                <w:sz w:val="22"/>
                <w:szCs w:val="22"/>
              </w:rPr>
              <w:t>definicji dyskryminacji.</w:t>
            </w:r>
          </w:p>
        </w:tc>
        <w:tc>
          <w:tcPr>
            <w:tcW w:w="5387" w:type="dxa"/>
          </w:tcPr>
          <w:p w14:paraId="6735A4DA" w14:textId="632E5A7E" w:rsidR="00B677D6" w:rsidRPr="00FF58D5" w:rsidRDefault="008B52DB"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Zwracamy uwagę, że Projekt wprowadza kolejną definicję rodzaju dyskryminacji, obok już funkcjonujących w Kodeksie pracy. Mając na uwadze równolegle procedowany projekt ustawy dotyczący mobbingu, który przewiduje m.in. dyskryminację przez założenie oraz dyskryminację przez skojarzenie, istnieje ryzyko nadmiernego rozbudowania i fragmentaryzacji regulacji antydyskryminacyjnych. Może to prowadzić do obniżenia czytelności przepisów oraz </w:t>
            </w:r>
            <w:r w:rsidRPr="00FF58D5">
              <w:rPr>
                <w:rFonts w:asciiTheme="minorHAnsi" w:hAnsiTheme="minorHAnsi" w:cstheme="minorHAnsi"/>
                <w:sz w:val="22"/>
                <w:szCs w:val="22"/>
              </w:rPr>
              <w:lastRenderedPageBreak/>
              <w:t>trudności w ich prawidłowym stosowaniu przez pracodawców i pracowników. W ocenie KL zasadne jest dążenie do spójności i uproszczenia definicji dyskryminacji w prawie pracy, zamiast tworzenia kolejnych, odrębnych kategorii.</w:t>
            </w:r>
          </w:p>
        </w:tc>
      </w:tr>
      <w:tr w:rsidR="00B929C7" w:rsidRPr="00FF58D5" w14:paraId="56A01667" w14:textId="77777777" w:rsidTr="00AB5A1A">
        <w:trPr>
          <w:trHeight w:val="1275"/>
        </w:trPr>
        <w:tc>
          <w:tcPr>
            <w:tcW w:w="709" w:type="dxa"/>
            <w:vAlign w:val="center"/>
          </w:tcPr>
          <w:p w14:paraId="5CDEABE4" w14:textId="77777777" w:rsidR="00B929C7" w:rsidRPr="00FF58D5" w:rsidRDefault="00B929C7" w:rsidP="000F1418">
            <w:pPr>
              <w:pStyle w:val="Akapitzlist"/>
              <w:numPr>
                <w:ilvl w:val="0"/>
                <w:numId w:val="69"/>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6575307A" w14:textId="04274911" w:rsidR="00B929C7" w:rsidRPr="00FF58D5" w:rsidRDefault="00B929C7"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Art. 2 pkt 10-11</w:t>
            </w:r>
          </w:p>
        </w:tc>
        <w:tc>
          <w:tcPr>
            <w:tcW w:w="3118" w:type="dxa"/>
            <w:vAlign w:val="center"/>
          </w:tcPr>
          <w:p w14:paraId="7CCF42E4" w14:textId="77777777" w:rsidR="00B929C7" w:rsidRPr="00FF58D5" w:rsidRDefault="00B929C7" w:rsidP="00AB5A1A">
            <w:pPr>
              <w:pStyle w:val="USTustnpkodeksu"/>
              <w:spacing w:line="276" w:lineRule="auto"/>
              <w:ind w:hanging="15"/>
              <w:rPr>
                <w:rFonts w:asciiTheme="minorHAnsi" w:hAnsiTheme="minorHAnsi" w:cstheme="minorHAnsi"/>
                <w:sz w:val="22"/>
                <w:szCs w:val="22"/>
              </w:rPr>
            </w:pPr>
            <w:r w:rsidRPr="00FF58D5">
              <w:rPr>
                <w:rFonts w:asciiTheme="minorHAnsi" w:hAnsiTheme="minorHAnsi" w:cstheme="minorHAnsi"/>
                <w:sz w:val="22"/>
                <w:szCs w:val="22"/>
              </w:rPr>
              <w:t>10)</w:t>
            </w:r>
            <w:r w:rsidRPr="00FF58D5">
              <w:rPr>
                <w:rFonts w:asciiTheme="minorHAnsi" w:hAnsiTheme="minorHAnsi" w:cstheme="minorHAnsi"/>
                <w:sz w:val="22"/>
                <w:szCs w:val="22"/>
              </w:rPr>
              <w:tab/>
              <w:t>organ do spraw równości – organ realizujący zadania związane z egzekwowaniem prawa do jednakowego wynagrodzenia mężczyzn i kobiet za jednakową pracę lub za pracę o jednakowej wartości, we współpracy z Państwową Inspekcją Pracy, organem monitorującym oraz partnerami społecznymi;</w:t>
            </w:r>
          </w:p>
          <w:p w14:paraId="5BD1B2AD" w14:textId="364631C5" w:rsidR="00B929C7" w:rsidRPr="00FF58D5" w:rsidRDefault="00B929C7" w:rsidP="00AB5A1A">
            <w:pPr>
              <w:pStyle w:val="USTustnpkodeksu"/>
              <w:spacing w:line="276" w:lineRule="auto"/>
              <w:ind w:hanging="15"/>
              <w:rPr>
                <w:rFonts w:asciiTheme="minorHAnsi" w:hAnsiTheme="minorHAnsi" w:cstheme="minorHAnsi"/>
                <w:sz w:val="22"/>
                <w:szCs w:val="22"/>
              </w:rPr>
            </w:pPr>
            <w:r w:rsidRPr="00FF58D5">
              <w:rPr>
                <w:rFonts w:asciiTheme="minorHAnsi" w:hAnsiTheme="minorHAnsi" w:cstheme="minorHAnsi"/>
                <w:sz w:val="22"/>
                <w:szCs w:val="22"/>
              </w:rPr>
              <w:t>11)</w:t>
            </w:r>
            <w:r w:rsidRPr="00FF58D5">
              <w:rPr>
                <w:rFonts w:asciiTheme="minorHAnsi" w:hAnsiTheme="minorHAnsi" w:cstheme="minorHAnsi"/>
                <w:sz w:val="22"/>
                <w:szCs w:val="22"/>
              </w:rPr>
              <w:tab/>
              <w:t xml:space="preserve">organ monitorujący – organ właściwy do monitorowania i wspierania stosowania środków wynikających z egzekwowania zasady równego traktowania w zatrudnieniu w zakresie prawa do jednakowego wynagrodzenia mężczyzn i kobiet za jednakową </w:t>
            </w:r>
            <w:r w:rsidRPr="00FF58D5">
              <w:rPr>
                <w:rFonts w:asciiTheme="minorHAnsi" w:hAnsiTheme="minorHAnsi" w:cstheme="minorHAnsi"/>
                <w:sz w:val="22"/>
                <w:szCs w:val="22"/>
              </w:rPr>
              <w:lastRenderedPageBreak/>
              <w:t>pracę lub pracę o jednakowej wartości.</w:t>
            </w:r>
          </w:p>
        </w:tc>
        <w:tc>
          <w:tcPr>
            <w:tcW w:w="3827" w:type="dxa"/>
            <w:vAlign w:val="center"/>
          </w:tcPr>
          <w:p w14:paraId="16C08871" w14:textId="38772B81" w:rsidR="00B929C7" w:rsidRPr="00FF58D5" w:rsidRDefault="00886885"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Doprecyzowanie w ustawie, który podmiot pełni funkcję „organu do spraw równości” oraz „organu monitorującego”, wraz z jednoznacznym określeniem ich kompetencji, relacji do PIP oraz zasad i terminu rozpoczęcia wykonywania tych zadań.</w:t>
            </w:r>
          </w:p>
        </w:tc>
        <w:tc>
          <w:tcPr>
            <w:tcW w:w="5387" w:type="dxa"/>
          </w:tcPr>
          <w:p w14:paraId="3FD780E9" w14:textId="6A7965FE" w:rsidR="002D3795" w:rsidRPr="00FF58D5" w:rsidRDefault="00692C6A"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Projekt nie wskazuje, który podmiot będzie pełnił funkcję „organu do spraw równości”. Brak również określenia jego uprawnień wobec pracodawców oraz roli w egzekwowaniu przepisów ustawy, a także</w:t>
            </w:r>
            <w:r w:rsidR="009B008C" w:rsidRPr="00FF58D5">
              <w:rPr>
                <w:rFonts w:asciiTheme="minorHAnsi" w:hAnsiTheme="minorHAnsi" w:cstheme="minorHAnsi"/>
                <w:sz w:val="22"/>
                <w:szCs w:val="22"/>
              </w:rPr>
              <w:t xml:space="preserve"> trybu i </w:t>
            </w:r>
            <w:r w:rsidRPr="00FF58D5">
              <w:rPr>
                <w:rFonts w:asciiTheme="minorHAnsi" w:hAnsiTheme="minorHAnsi" w:cstheme="minorHAnsi"/>
                <w:sz w:val="22"/>
                <w:szCs w:val="22"/>
              </w:rPr>
              <w:t xml:space="preserve"> terminu powołania tego organu.</w:t>
            </w:r>
          </w:p>
          <w:p w14:paraId="733F189C" w14:textId="4E08BA14" w:rsidR="00B929C7" w:rsidRPr="00FF58D5" w:rsidRDefault="00692C6A"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Analogicznie, definicja „organu monitorującego” nie precyzuje, który podmiot faktycznie będzie realizował te zadania. W polskim systemie prawnym funkcję monitorowania przestrzegania prawa pracy, w tym zasady równego traktowania w zatrudnieniu, wykonuje przede wszystkim Państwowa Inspekcja Pracy, co nie zostało jednoznacznie wskazane w projekcie.</w:t>
            </w:r>
          </w:p>
        </w:tc>
      </w:tr>
      <w:tr w:rsidR="00BC0069" w:rsidRPr="00FF58D5" w14:paraId="7DBDF18F" w14:textId="77777777" w:rsidTr="00413339">
        <w:trPr>
          <w:trHeight w:val="1275"/>
        </w:trPr>
        <w:tc>
          <w:tcPr>
            <w:tcW w:w="709" w:type="dxa"/>
            <w:vAlign w:val="center"/>
          </w:tcPr>
          <w:p w14:paraId="6E87D025" w14:textId="77777777" w:rsidR="00BC0069" w:rsidRPr="00FF58D5" w:rsidRDefault="00BC0069" w:rsidP="000F1418">
            <w:pPr>
              <w:pStyle w:val="Akapitzlist"/>
              <w:numPr>
                <w:ilvl w:val="0"/>
                <w:numId w:val="69"/>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56B94AC9" w14:textId="77777777" w:rsidR="00BC0069" w:rsidRPr="00FF58D5" w:rsidRDefault="00BC0069"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Rozdział 2</w:t>
            </w:r>
          </w:p>
          <w:p w14:paraId="6B49193E" w14:textId="564E6EBE" w:rsidR="001061BC" w:rsidRPr="00FF58D5" w:rsidRDefault="001061BC" w:rsidP="00AB5A1A">
            <w:pPr>
              <w:spacing w:line="276" w:lineRule="auto"/>
              <w:jc w:val="both"/>
              <w:rPr>
                <w:rFonts w:asciiTheme="minorHAnsi" w:eastAsia="Aptos" w:hAnsiTheme="minorHAnsi" w:cstheme="minorHAnsi"/>
                <w:b/>
                <w:bCs/>
                <w:sz w:val="22"/>
                <w:szCs w:val="22"/>
              </w:rPr>
            </w:pPr>
          </w:p>
        </w:tc>
        <w:tc>
          <w:tcPr>
            <w:tcW w:w="3118" w:type="dxa"/>
            <w:vAlign w:val="center"/>
          </w:tcPr>
          <w:p w14:paraId="6E5A5ED3" w14:textId="6A1237A7" w:rsidR="00BC0069" w:rsidRPr="00FF58D5" w:rsidRDefault="001061BC" w:rsidP="00AB5A1A">
            <w:pPr>
              <w:pStyle w:val="USTustnpkodeksu"/>
              <w:spacing w:line="276" w:lineRule="auto"/>
              <w:ind w:hanging="15"/>
              <w:rPr>
                <w:rFonts w:asciiTheme="minorHAnsi" w:hAnsiTheme="minorHAnsi" w:cstheme="minorHAnsi"/>
                <w:sz w:val="22"/>
                <w:szCs w:val="22"/>
              </w:rPr>
            </w:pPr>
            <w:r w:rsidRPr="00FF58D5">
              <w:rPr>
                <w:rFonts w:asciiTheme="minorHAnsi" w:eastAsia="Aptos" w:hAnsiTheme="minorHAnsi" w:cstheme="minorHAnsi"/>
                <w:sz w:val="22"/>
                <w:szCs w:val="22"/>
              </w:rPr>
              <w:t>Tytuł „Wartościowanie stanowisk pracy</w:t>
            </w:r>
          </w:p>
        </w:tc>
        <w:tc>
          <w:tcPr>
            <w:tcW w:w="3827" w:type="dxa"/>
            <w:vAlign w:val="center"/>
          </w:tcPr>
          <w:p w14:paraId="1BF4B5DF" w14:textId="720EB84D" w:rsidR="00BC0069" w:rsidRPr="00FF58D5" w:rsidRDefault="001061BC"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Dostosowanie </w:t>
            </w:r>
            <w:r w:rsidR="000553A8" w:rsidRPr="00FF58D5">
              <w:rPr>
                <w:rFonts w:asciiTheme="minorHAnsi" w:hAnsiTheme="minorHAnsi" w:cstheme="minorHAnsi"/>
                <w:sz w:val="22"/>
                <w:szCs w:val="22"/>
              </w:rPr>
              <w:t xml:space="preserve">tytułu do </w:t>
            </w:r>
            <w:r w:rsidR="00443FEA" w:rsidRPr="00FF58D5">
              <w:rPr>
                <w:rFonts w:asciiTheme="minorHAnsi" w:hAnsiTheme="minorHAnsi" w:cstheme="minorHAnsi"/>
                <w:sz w:val="22"/>
                <w:szCs w:val="22"/>
              </w:rPr>
              <w:t>treści przepisów rozdziału</w:t>
            </w:r>
            <w:r w:rsidR="0046458C" w:rsidRPr="00FF58D5">
              <w:rPr>
                <w:rFonts w:asciiTheme="minorHAnsi" w:hAnsiTheme="minorHAnsi" w:cstheme="minorHAnsi"/>
                <w:sz w:val="22"/>
                <w:szCs w:val="22"/>
              </w:rPr>
              <w:t xml:space="preserve">. „Wartościowanie pracy określonego rodzaju lub na określonym stanowisku” </w:t>
            </w:r>
          </w:p>
        </w:tc>
        <w:tc>
          <w:tcPr>
            <w:tcW w:w="5387" w:type="dxa"/>
          </w:tcPr>
          <w:p w14:paraId="2213E003" w14:textId="77777777" w:rsidR="00443FEA" w:rsidRPr="00FF58D5" w:rsidRDefault="007E0420"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Tytuł rozdziału wskazuje, iż </w:t>
            </w:r>
            <w:r w:rsidR="00797F69" w:rsidRPr="00FF58D5">
              <w:rPr>
                <w:rFonts w:asciiTheme="minorHAnsi" w:hAnsiTheme="minorHAnsi" w:cstheme="minorHAnsi"/>
                <w:sz w:val="22"/>
                <w:szCs w:val="22"/>
              </w:rPr>
              <w:t xml:space="preserve">przedmiotem jego regulacji będzie wartościowanie stanowisk pracy. Natomiast definicje jak i same postanowienia </w:t>
            </w:r>
            <w:r w:rsidR="00443FEA" w:rsidRPr="00FF58D5">
              <w:rPr>
                <w:rFonts w:asciiTheme="minorHAnsi" w:hAnsiTheme="minorHAnsi" w:cstheme="minorHAnsi"/>
                <w:sz w:val="22"/>
                <w:szCs w:val="22"/>
              </w:rPr>
              <w:t>niemniejszego</w:t>
            </w:r>
            <w:r w:rsidR="00797F69" w:rsidRPr="00FF58D5">
              <w:rPr>
                <w:rFonts w:asciiTheme="minorHAnsi" w:hAnsiTheme="minorHAnsi" w:cstheme="minorHAnsi"/>
                <w:sz w:val="22"/>
                <w:szCs w:val="22"/>
              </w:rPr>
              <w:t xml:space="preserve"> rozdziału odnoszą się do wartościowania pracy</w:t>
            </w:r>
            <w:r w:rsidR="00443FEA" w:rsidRPr="00FF58D5">
              <w:rPr>
                <w:rFonts w:asciiTheme="minorHAnsi" w:hAnsiTheme="minorHAnsi" w:cstheme="minorHAnsi"/>
                <w:sz w:val="22"/>
                <w:szCs w:val="22"/>
              </w:rPr>
              <w:t xml:space="preserve"> określonego rodzaju lub na określonym stanowisku. </w:t>
            </w:r>
          </w:p>
          <w:p w14:paraId="15F1F12C" w14:textId="5FEF18F6" w:rsidR="0095658D" w:rsidRPr="00FF58D5" w:rsidRDefault="00443FEA"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Powstaje jednocześnie wątpliwość czy pracodawca ma dokonywać wartościowania wg. rodzaju pracy czy wg. stanowisk pracy.</w:t>
            </w:r>
          </w:p>
        </w:tc>
      </w:tr>
      <w:tr w:rsidR="001362E4" w:rsidRPr="00FF58D5" w14:paraId="7A336219" w14:textId="77777777" w:rsidTr="00AB5A1A">
        <w:trPr>
          <w:trHeight w:val="1275"/>
        </w:trPr>
        <w:tc>
          <w:tcPr>
            <w:tcW w:w="709" w:type="dxa"/>
            <w:vAlign w:val="center"/>
          </w:tcPr>
          <w:p w14:paraId="7BF94650" w14:textId="77777777" w:rsidR="001362E4" w:rsidRPr="00FF58D5" w:rsidRDefault="001362E4" w:rsidP="000F1418">
            <w:pPr>
              <w:pStyle w:val="Akapitzlist"/>
              <w:numPr>
                <w:ilvl w:val="0"/>
                <w:numId w:val="69"/>
              </w:numPr>
              <w:tabs>
                <w:tab w:val="left" w:pos="588"/>
                <w:tab w:val="left" w:pos="1640"/>
              </w:tabs>
              <w:spacing w:line="276" w:lineRule="auto"/>
              <w:jc w:val="center"/>
              <w:rPr>
                <w:rFonts w:asciiTheme="minorHAnsi" w:hAnsiTheme="minorHAnsi" w:cstheme="minorHAnsi"/>
                <w:b/>
                <w:bCs/>
                <w:sz w:val="22"/>
                <w:szCs w:val="22"/>
              </w:rPr>
            </w:pPr>
          </w:p>
        </w:tc>
        <w:tc>
          <w:tcPr>
            <w:tcW w:w="1134" w:type="dxa"/>
            <w:vAlign w:val="center"/>
          </w:tcPr>
          <w:p w14:paraId="250B7156" w14:textId="376C74D3" w:rsidR="001362E4" w:rsidRPr="00FF58D5" w:rsidRDefault="001362E4" w:rsidP="00AB5A1A">
            <w:pPr>
              <w:spacing w:line="276" w:lineRule="auto"/>
              <w:jc w:val="both"/>
              <w:rPr>
                <w:rFonts w:asciiTheme="minorHAnsi" w:eastAsia="Aptos" w:hAnsiTheme="minorHAnsi" w:cstheme="minorHAnsi"/>
                <w:b/>
                <w:bCs/>
                <w:sz w:val="22"/>
                <w:szCs w:val="22"/>
              </w:rPr>
            </w:pPr>
            <w:r w:rsidRPr="00FF58D5">
              <w:rPr>
                <w:rFonts w:asciiTheme="minorHAnsi" w:eastAsia="Aptos" w:hAnsiTheme="minorHAnsi" w:cstheme="minorHAnsi"/>
                <w:b/>
                <w:bCs/>
                <w:sz w:val="22"/>
                <w:szCs w:val="22"/>
              </w:rPr>
              <w:t>Art. 3 ust. 2</w:t>
            </w:r>
          </w:p>
        </w:tc>
        <w:tc>
          <w:tcPr>
            <w:tcW w:w="3118" w:type="dxa"/>
            <w:vAlign w:val="center"/>
          </w:tcPr>
          <w:p w14:paraId="4307B6E6" w14:textId="710475DF" w:rsidR="001362E4" w:rsidRPr="00FF58D5" w:rsidRDefault="006046E3" w:rsidP="00AB5A1A">
            <w:pPr>
              <w:pStyle w:val="USTustnpkodeksu"/>
              <w:spacing w:line="276" w:lineRule="auto"/>
              <w:ind w:hanging="15"/>
              <w:rPr>
                <w:rFonts w:asciiTheme="minorHAnsi" w:hAnsiTheme="minorHAnsi" w:cstheme="minorHAnsi"/>
                <w:sz w:val="22"/>
                <w:szCs w:val="22"/>
              </w:rPr>
            </w:pPr>
            <w:r w:rsidRPr="00FF58D5">
              <w:rPr>
                <w:rFonts w:asciiTheme="minorHAnsi" w:hAnsiTheme="minorHAnsi" w:cstheme="minorHAnsi"/>
                <w:sz w:val="22"/>
                <w:szCs w:val="22"/>
              </w:rPr>
              <w:t xml:space="preserve">2. Ocenie wartości pracy służą kryteria i </w:t>
            </w:r>
            <w:proofErr w:type="spellStart"/>
            <w:r w:rsidRPr="00FF58D5">
              <w:rPr>
                <w:rFonts w:asciiTheme="minorHAnsi" w:hAnsiTheme="minorHAnsi" w:cstheme="minorHAnsi"/>
                <w:sz w:val="22"/>
                <w:szCs w:val="22"/>
              </w:rPr>
              <w:t>podkryteria</w:t>
            </w:r>
            <w:proofErr w:type="spellEnd"/>
            <w:r w:rsidRPr="00FF58D5">
              <w:rPr>
                <w:rFonts w:asciiTheme="minorHAnsi" w:hAnsiTheme="minorHAnsi" w:cstheme="minorHAnsi"/>
                <w:sz w:val="22"/>
                <w:szCs w:val="22"/>
              </w:rPr>
              <w:t>, o których mowa w art. 183c § 3 Kodeksu pracy.</w:t>
            </w:r>
          </w:p>
        </w:tc>
        <w:tc>
          <w:tcPr>
            <w:tcW w:w="3827" w:type="dxa"/>
            <w:vAlign w:val="center"/>
          </w:tcPr>
          <w:p w14:paraId="1A007A69" w14:textId="7380B605" w:rsidR="001362E4" w:rsidRPr="00FF58D5" w:rsidRDefault="0036027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Dopre</w:t>
            </w:r>
            <w:r w:rsidR="0021625C" w:rsidRPr="00FF58D5">
              <w:rPr>
                <w:rFonts w:asciiTheme="minorHAnsi" w:hAnsiTheme="minorHAnsi" w:cstheme="minorHAnsi"/>
                <w:sz w:val="22"/>
                <w:szCs w:val="22"/>
              </w:rPr>
              <w:t xml:space="preserve">cyzowanie przepisu. </w:t>
            </w:r>
          </w:p>
        </w:tc>
        <w:tc>
          <w:tcPr>
            <w:tcW w:w="5387" w:type="dxa"/>
          </w:tcPr>
          <w:p w14:paraId="3407F299" w14:textId="5F61677D" w:rsidR="002B4405" w:rsidRPr="00FF58D5" w:rsidRDefault="00444DF6" w:rsidP="00AB5A1A">
            <w:pPr>
              <w:pStyle w:val="pf0"/>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 przepisie ustawy b</w:t>
            </w:r>
            <w:r w:rsidR="00A058EA" w:rsidRPr="00FF58D5">
              <w:rPr>
                <w:rFonts w:asciiTheme="minorHAnsi" w:hAnsiTheme="minorHAnsi" w:cstheme="minorHAnsi"/>
                <w:sz w:val="22"/>
                <w:szCs w:val="22"/>
              </w:rPr>
              <w:t xml:space="preserve">rakuje jasnego </w:t>
            </w:r>
            <w:r w:rsidRPr="00FF58D5">
              <w:rPr>
                <w:rFonts w:asciiTheme="minorHAnsi" w:hAnsiTheme="minorHAnsi" w:cstheme="minorHAnsi"/>
                <w:sz w:val="22"/>
                <w:szCs w:val="22"/>
              </w:rPr>
              <w:t>rozstrzygnięcia</w:t>
            </w:r>
            <w:r w:rsidR="00A058EA" w:rsidRPr="00FF58D5">
              <w:rPr>
                <w:rFonts w:asciiTheme="minorHAnsi" w:hAnsiTheme="minorHAnsi" w:cstheme="minorHAnsi"/>
                <w:sz w:val="22"/>
                <w:szCs w:val="22"/>
              </w:rPr>
              <w:t xml:space="preserve">, że 4 kryteria wskazane w definicji pracy jednakowej wartości są przy wartościowaniu stanowisk obowiązkowe, a inne kryteria lub </w:t>
            </w:r>
            <w:proofErr w:type="spellStart"/>
            <w:r w:rsidR="00A058EA" w:rsidRPr="00FF58D5">
              <w:rPr>
                <w:rFonts w:asciiTheme="minorHAnsi" w:hAnsiTheme="minorHAnsi" w:cstheme="minorHAnsi"/>
                <w:sz w:val="22"/>
                <w:szCs w:val="22"/>
              </w:rPr>
              <w:t>podkryteria</w:t>
            </w:r>
            <w:proofErr w:type="spellEnd"/>
            <w:r w:rsidR="00A058EA" w:rsidRPr="00FF58D5">
              <w:rPr>
                <w:rFonts w:asciiTheme="minorHAnsi" w:hAnsiTheme="minorHAnsi" w:cstheme="minorHAnsi"/>
                <w:sz w:val="22"/>
                <w:szCs w:val="22"/>
              </w:rPr>
              <w:t xml:space="preserve"> – fakultatywne. </w:t>
            </w:r>
          </w:p>
          <w:p w14:paraId="1F39FD7A" w14:textId="73F94E16" w:rsidR="00A058EA" w:rsidRPr="00FF58D5" w:rsidRDefault="0069637C" w:rsidP="00AB5A1A">
            <w:pPr>
              <w:pStyle w:val="pf0"/>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Brzmienie przepisu jest niejasne. C</w:t>
            </w:r>
            <w:r w:rsidR="002B4405" w:rsidRPr="00FF58D5">
              <w:rPr>
                <w:rFonts w:asciiTheme="minorHAnsi" w:hAnsiTheme="minorHAnsi" w:cstheme="minorHAnsi"/>
                <w:sz w:val="22"/>
                <w:szCs w:val="22"/>
              </w:rPr>
              <w:t>zy takie</w:t>
            </w:r>
            <w:r w:rsidR="00A058EA" w:rsidRPr="00FF58D5">
              <w:rPr>
                <w:rFonts w:asciiTheme="minorHAnsi" w:hAnsiTheme="minorHAnsi" w:cstheme="minorHAnsi"/>
                <w:sz w:val="22"/>
                <w:szCs w:val="22"/>
              </w:rPr>
              <w:t xml:space="preserve"> </w:t>
            </w:r>
            <w:proofErr w:type="spellStart"/>
            <w:r w:rsidR="00A058EA" w:rsidRPr="00FF58D5">
              <w:rPr>
                <w:rFonts w:asciiTheme="minorHAnsi" w:hAnsiTheme="minorHAnsi" w:cstheme="minorHAnsi"/>
                <w:sz w:val="22"/>
                <w:szCs w:val="22"/>
              </w:rPr>
              <w:t>podkryteria</w:t>
            </w:r>
            <w:proofErr w:type="spellEnd"/>
            <w:r w:rsidR="00A058EA" w:rsidRPr="00FF58D5">
              <w:rPr>
                <w:rFonts w:asciiTheme="minorHAnsi" w:hAnsiTheme="minorHAnsi" w:cstheme="minorHAnsi"/>
                <w:sz w:val="22"/>
                <w:szCs w:val="22"/>
              </w:rPr>
              <w:t xml:space="preserve"> miałyby być stosowane jako składowe kryteriów</w:t>
            </w:r>
            <w:r w:rsidR="002B4405" w:rsidRPr="00FF58D5">
              <w:rPr>
                <w:rFonts w:asciiTheme="minorHAnsi" w:hAnsiTheme="minorHAnsi" w:cstheme="minorHAnsi"/>
                <w:sz w:val="22"/>
                <w:szCs w:val="22"/>
              </w:rPr>
              <w:t xml:space="preserve"> czy</w:t>
            </w:r>
            <w:r w:rsidR="00A058EA" w:rsidRPr="00FF58D5">
              <w:rPr>
                <w:rFonts w:asciiTheme="minorHAnsi" w:hAnsiTheme="minorHAnsi" w:cstheme="minorHAnsi"/>
                <w:sz w:val="22"/>
                <w:szCs w:val="22"/>
              </w:rPr>
              <w:t xml:space="preserve"> jako doprecyzowujące kryteria?</w:t>
            </w:r>
          </w:p>
          <w:p w14:paraId="3D89B9CC" w14:textId="5F6E00C1" w:rsidR="004A6F6D" w:rsidRPr="00FF58D5" w:rsidRDefault="00783CCF" w:rsidP="00AB5A1A">
            <w:pPr>
              <w:spacing w:after="160" w:line="276" w:lineRule="auto"/>
              <w:jc w:val="both"/>
              <w:rPr>
                <w:rFonts w:asciiTheme="minorHAnsi" w:hAnsiTheme="minorHAnsi" w:cstheme="minorHAnsi"/>
                <w:sz w:val="22"/>
                <w:szCs w:val="22"/>
              </w:rPr>
            </w:pPr>
            <w:r w:rsidRPr="00FF58D5">
              <w:rPr>
                <w:rFonts w:asciiTheme="minorHAnsi" w:hAnsiTheme="minorHAnsi" w:cstheme="minorHAnsi"/>
                <w:sz w:val="22"/>
                <w:szCs w:val="22"/>
              </w:rPr>
              <w:t>Ponadto p</w:t>
            </w:r>
            <w:r w:rsidR="00C74D70" w:rsidRPr="00FF58D5">
              <w:rPr>
                <w:rFonts w:asciiTheme="minorHAnsi" w:hAnsiTheme="minorHAnsi" w:cstheme="minorHAnsi"/>
                <w:sz w:val="22"/>
                <w:szCs w:val="22"/>
              </w:rPr>
              <w:t>rojekt nie wskazuje czy pracodawca ma możliwość wyboru innych kryteriów do oceny wartości pracy, wynikające ze specyfiki branży, czy szczególnych potrzeb pracodawcy.</w:t>
            </w:r>
          </w:p>
          <w:p w14:paraId="1F64D45B" w14:textId="5041D014" w:rsidR="001362E4" w:rsidRPr="00FF58D5" w:rsidRDefault="001362E4" w:rsidP="00AB5A1A">
            <w:pPr>
              <w:spacing w:after="160" w:line="276" w:lineRule="auto"/>
              <w:jc w:val="both"/>
              <w:rPr>
                <w:rFonts w:asciiTheme="minorHAnsi" w:hAnsiTheme="minorHAnsi" w:cstheme="minorHAnsi"/>
                <w:sz w:val="22"/>
                <w:szCs w:val="22"/>
              </w:rPr>
            </w:pPr>
          </w:p>
        </w:tc>
      </w:tr>
      <w:tr w:rsidR="009B5605" w:rsidRPr="00FF58D5" w14:paraId="4620FF3A" w14:textId="77777777" w:rsidTr="00AB5A1A">
        <w:trPr>
          <w:trHeight w:val="1275"/>
        </w:trPr>
        <w:tc>
          <w:tcPr>
            <w:tcW w:w="709" w:type="dxa"/>
            <w:vAlign w:val="center"/>
          </w:tcPr>
          <w:p w14:paraId="0F8F6F64" w14:textId="77777777" w:rsidR="004D336D" w:rsidRPr="00FF58D5" w:rsidRDefault="004D336D" w:rsidP="000F1418">
            <w:pPr>
              <w:pStyle w:val="Akapitzlist"/>
              <w:numPr>
                <w:ilvl w:val="0"/>
                <w:numId w:val="69"/>
              </w:numPr>
              <w:spacing w:line="276" w:lineRule="auto"/>
              <w:contextualSpacing w:val="0"/>
              <w:jc w:val="right"/>
              <w:rPr>
                <w:rFonts w:asciiTheme="minorHAnsi" w:hAnsiTheme="minorHAnsi" w:cstheme="minorHAnsi"/>
                <w:b/>
                <w:sz w:val="22"/>
                <w:szCs w:val="22"/>
              </w:rPr>
            </w:pPr>
          </w:p>
        </w:tc>
        <w:tc>
          <w:tcPr>
            <w:tcW w:w="1134" w:type="dxa"/>
            <w:vAlign w:val="center"/>
          </w:tcPr>
          <w:p w14:paraId="317E8D59" w14:textId="58EF0791" w:rsidR="004D336D" w:rsidRPr="00FF58D5" w:rsidRDefault="004D336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4 </w:t>
            </w:r>
          </w:p>
        </w:tc>
        <w:tc>
          <w:tcPr>
            <w:tcW w:w="3118" w:type="dxa"/>
            <w:vAlign w:val="center"/>
          </w:tcPr>
          <w:p w14:paraId="77B27179" w14:textId="77777777" w:rsidR="00BE0D14" w:rsidRPr="00FF58D5" w:rsidRDefault="00BB2E5F" w:rsidP="00AB5A1A">
            <w:pPr>
              <w:pStyle w:val="USTustnpkodeksu"/>
              <w:spacing w:line="276" w:lineRule="auto"/>
              <w:ind w:firstLine="0"/>
              <w:rPr>
                <w:rFonts w:asciiTheme="minorHAnsi" w:eastAsia="Times New Roman" w:hAnsiTheme="minorHAnsi" w:cstheme="minorHAnsi"/>
                <w:bCs w:val="0"/>
                <w:sz w:val="22"/>
                <w:szCs w:val="22"/>
              </w:rPr>
            </w:pPr>
            <w:r w:rsidRPr="00FF58D5">
              <w:rPr>
                <w:rFonts w:asciiTheme="minorHAnsi" w:eastAsia="Times New Roman" w:hAnsiTheme="minorHAnsi" w:cstheme="minorHAnsi"/>
                <w:bCs w:val="0"/>
                <w:sz w:val="22"/>
                <w:szCs w:val="22"/>
              </w:rPr>
              <w:t xml:space="preserve">Art. 4. </w:t>
            </w:r>
          </w:p>
          <w:p w14:paraId="09C1F67C" w14:textId="321D6C30" w:rsidR="00913DB3" w:rsidRPr="00FF58D5" w:rsidRDefault="00BB2E5F" w:rsidP="00AB5A1A">
            <w:pPr>
              <w:pStyle w:val="USTustnpkodeksu"/>
              <w:spacing w:line="276" w:lineRule="auto"/>
              <w:ind w:firstLine="0"/>
              <w:rPr>
                <w:rFonts w:asciiTheme="minorHAnsi" w:hAnsiTheme="minorHAnsi" w:cstheme="minorHAnsi"/>
                <w:bCs w:val="0"/>
                <w:sz w:val="22"/>
                <w:szCs w:val="22"/>
              </w:rPr>
            </w:pPr>
            <w:r w:rsidRPr="00FF58D5">
              <w:rPr>
                <w:rFonts w:asciiTheme="minorHAnsi" w:eastAsia="Times New Roman" w:hAnsiTheme="minorHAnsi" w:cstheme="minorHAnsi"/>
                <w:bCs w:val="0"/>
                <w:sz w:val="22"/>
                <w:szCs w:val="22"/>
              </w:rPr>
              <w:t xml:space="preserve">2. Jeżeli u danego pracodawcy działa zakładowa organizacja związkowa, pracodawca ustala kryteria i </w:t>
            </w:r>
            <w:proofErr w:type="spellStart"/>
            <w:r w:rsidRPr="00FF58D5">
              <w:rPr>
                <w:rFonts w:asciiTheme="minorHAnsi" w:eastAsia="Times New Roman" w:hAnsiTheme="minorHAnsi" w:cstheme="minorHAnsi"/>
                <w:bCs w:val="0"/>
                <w:sz w:val="22"/>
                <w:szCs w:val="22"/>
              </w:rPr>
              <w:t>podkryteria</w:t>
            </w:r>
            <w:proofErr w:type="spellEnd"/>
            <w:r w:rsidRPr="00FF58D5">
              <w:rPr>
                <w:rFonts w:asciiTheme="minorHAnsi" w:eastAsia="Times New Roman" w:hAnsiTheme="minorHAnsi" w:cstheme="minorHAnsi"/>
                <w:bCs w:val="0"/>
                <w:sz w:val="22"/>
                <w:szCs w:val="22"/>
              </w:rPr>
              <w:t>, o których mowa w art. 18</w:t>
            </w:r>
            <w:r w:rsidRPr="00FF58D5">
              <w:rPr>
                <w:rFonts w:asciiTheme="minorHAnsi" w:eastAsia="Times New Roman" w:hAnsiTheme="minorHAnsi" w:cstheme="minorHAnsi"/>
                <w:bCs w:val="0"/>
                <w:sz w:val="22"/>
                <w:szCs w:val="22"/>
                <w:vertAlign w:val="superscript"/>
              </w:rPr>
              <w:t>3c</w:t>
            </w:r>
            <w:r w:rsidRPr="00FF58D5">
              <w:rPr>
                <w:rFonts w:asciiTheme="minorHAnsi" w:eastAsia="Times New Roman" w:hAnsiTheme="minorHAnsi" w:cstheme="minorHAnsi"/>
                <w:bCs w:val="0"/>
                <w:sz w:val="22"/>
                <w:szCs w:val="22"/>
              </w:rPr>
              <w:t xml:space="preserve"> § 3 Kodeksu pracy, w uzgodnieniu z tą zakładową organizacją związkową, a w przypadku gdy u pracodawcy działa więcej niż jedna zakładowa organizacja związkowa, w uzgodnieniu z tymi organizacjami.</w:t>
            </w:r>
            <w:r w:rsidRPr="00FF58D5">
              <w:rPr>
                <w:rFonts w:asciiTheme="minorHAnsi" w:hAnsiTheme="minorHAnsi" w:cstheme="minorHAnsi"/>
                <w:bCs w:val="0"/>
                <w:sz w:val="22"/>
                <w:szCs w:val="22"/>
              </w:rPr>
              <w:t xml:space="preserve"> </w:t>
            </w:r>
          </w:p>
          <w:p w14:paraId="123328E9" w14:textId="3D856EDC" w:rsidR="00087697" w:rsidRPr="00FF58D5" w:rsidRDefault="00913DB3" w:rsidP="00AB5A1A">
            <w:pPr>
              <w:pStyle w:val="USTustnpkodeksu"/>
              <w:spacing w:line="276" w:lineRule="auto"/>
              <w:ind w:firstLine="0"/>
              <w:rPr>
                <w:rFonts w:asciiTheme="minorHAnsi" w:hAnsiTheme="minorHAnsi" w:cstheme="minorHAnsi"/>
                <w:bCs w:val="0"/>
                <w:sz w:val="22"/>
                <w:szCs w:val="22"/>
              </w:rPr>
            </w:pPr>
            <w:r w:rsidRPr="00FF58D5">
              <w:rPr>
                <w:rFonts w:asciiTheme="minorHAnsi" w:hAnsiTheme="minorHAnsi" w:cstheme="minorHAnsi"/>
                <w:bCs w:val="0"/>
                <w:sz w:val="22"/>
                <w:szCs w:val="22"/>
              </w:rPr>
              <w:t xml:space="preserve">3. Jeżeli nie jest możliwe ustalenie kryteriów i </w:t>
            </w:r>
            <w:proofErr w:type="spellStart"/>
            <w:r w:rsidRPr="00FF58D5">
              <w:rPr>
                <w:rFonts w:asciiTheme="minorHAnsi" w:hAnsiTheme="minorHAnsi" w:cstheme="minorHAnsi"/>
                <w:bCs w:val="0"/>
                <w:sz w:val="22"/>
                <w:szCs w:val="22"/>
              </w:rPr>
              <w:t>podkryteriów</w:t>
            </w:r>
            <w:proofErr w:type="spellEnd"/>
            <w:r w:rsidRPr="00FF58D5">
              <w:rPr>
                <w:rFonts w:asciiTheme="minorHAnsi" w:hAnsiTheme="minorHAnsi" w:cstheme="minorHAnsi"/>
                <w:bCs w:val="0"/>
                <w:sz w:val="22"/>
                <w:szCs w:val="22"/>
              </w:rPr>
              <w:t xml:space="preserve">, o których mowa w art. 183c § 3 Kodeksu pracy, w uzgodnieniu ze wszystkimi zakładowymi organizacjami związkowymi, pracodawca ustala te kryteria i </w:t>
            </w:r>
            <w:proofErr w:type="spellStart"/>
            <w:r w:rsidRPr="00FF58D5">
              <w:rPr>
                <w:rFonts w:asciiTheme="minorHAnsi" w:hAnsiTheme="minorHAnsi" w:cstheme="minorHAnsi"/>
                <w:bCs w:val="0"/>
                <w:sz w:val="22"/>
                <w:szCs w:val="22"/>
              </w:rPr>
              <w:t>podkryteria</w:t>
            </w:r>
            <w:proofErr w:type="spellEnd"/>
            <w:r w:rsidRPr="00FF58D5">
              <w:rPr>
                <w:rFonts w:asciiTheme="minorHAnsi" w:hAnsiTheme="minorHAnsi" w:cstheme="minorHAnsi"/>
                <w:bCs w:val="0"/>
                <w:sz w:val="22"/>
                <w:szCs w:val="22"/>
              </w:rPr>
              <w:t xml:space="preserve"> w uzgodnieniu z organizacjami związkowymi reprezentatywnymi w rozumieniu </w:t>
            </w:r>
            <w:r w:rsidRPr="00FF58D5">
              <w:rPr>
                <w:rFonts w:asciiTheme="minorHAnsi" w:hAnsiTheme="minorHAnsi" w:cstheme="minorHAnsi"/>
                <w:bCs w:val="0"/>
                <w:sz w:val="22"/>
                <w:szCs w:val="22"/>
              </w:rPr>
              <w:lastRenderedPageBreak/>
              <w:t xml:space="preserve">art. 253 ust. 1 lub 2 ustawy z dnia 23 maja 1991 r. o związkach zawodowych (Dz. U. z 2025 r. poz. 440), z których każda zrzesza co najmniej 5% pracowników zatrudnionych u pracodawcy. </w:t>
            </w:r>
            <w:r w:rsidR="00087697" w:rsidRPr="00FF58D5">
              <w:rPr>
                <w:rFonts w:asciiTheme="minorHAnsi" w:hAnsiTheme="minorHAnsi" w:cstheme="minorHAnsi"/>
                <w:bCs w:val="0"/>
                <w:sz w:val="22"/>
                <w:szCs w:val="22"/>
              </w:rPr>
              <w:t xml:space="preserve">(…) </w:t>
            </w:r>
          </w:p>
          <w:p w14:paraId="1586C964" w14:textId="27AFB9BD" w:rsidR="004D336D" w:rsidRPr="00FF58D5" w:rsidRDefault="004D336D" w:rsidP="00AB5A1A">
            <w:pPr>
              <w:pStyle w:val="USTustnpkodeksu"/>
              <w:spacing w:line="276" w:lineRule="auto"/>
              <w:rPr>
                <w:rFonts w:asciiTheme="minorHAnsi" w:hAnsiTheme="minorHAnsi" w:cstheme="minorHAnsi"/>
                <w:sz w:val="22"/>
                <w:szCs w:val="22"/>
              </w:rPr>
            </w:pPr>
          </w:p>
        </w:tc>
        <w:tc>
          <w:tcPr>
            <w:tcW w:w="3827" w:type="dxa"/>
            <w:vAlign w:val="center"/>
          </w:tcPr>
          <w:p w14:paraId="6246508F" w14:textId="77777777" w:rsidR="00913DB3" w:rsidRPr="00FF58D5" w:rsidRDefault="00913DB3" w:rsidP="00AB5A1A">
            <w:pPr>
              <w:spacing w:line="276" w:lineRule="auto"/>
              <w:jc w:val="both"/>
              <w:rPr>
                <w:rFonts w:asciiTheme="minorHAnsi" w:hAnsiTheme="minorHAnsi" w:cstheme="minorHAnsi"/>
                <w:sz w:val="22"/>
                <w:szCs w:val="22"/>
              </w:rPr>
            </w:pPr>
          </w:p>
          <w:p w14:paraId="1A65BB8E" w14:textId="79162996" w:rsidR="00087697" w:rsidRPr="00FF58D5" w:rsidRDefault="008B26FF"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2. </w:t>
            </w:r>
            <w:r w:rsidR="00087697" w:rsidRPr="00FF58D5">
              <w:rPr>
                <w:rFonts w:asciiTheme="minorHAnsi" w:hAnsiTheme="minorHAnsi" w:cstheme="minorHAnsi"/>
                <w:sz w:val="22"/>
                <w:szCs w:val="22"/>
              </w:rPr>
              <w:t>Proponuje się dodanie po ust. 3 ustępu o następującym brzmieniu z odpowiednim przesunięciem numeracji:</w:t>
            </w:r>
          </w:p>
          <w:p w14:paraId="0FE51D93" w14:textId="10E7118B" w:rsidR="00087697" w:rsidRPr="00FF58D5" w:rsidRDefault="00AE2262" w:rsidP="00AB5A1A">
            <w:pPr>
              <w:spacing w:line="276" w:lineRule="auto"/>
              <w:jc w:val="both"/>
              <w:rPr>
                <w:rFonts w:asciiTheme="minorHAnsi" w:hAnsiTheme="minorHAnsi" w:cstheme="minorHAnsi"/>
                <w:i/>
                <w:iCs/>
                <w:sz w:val="22"/>
                <w:szCs w:val="22"/>
              </w:rPr>
            </w:pPr>
            <w:r w:rsidRPr="00FF58D5">
              <w:rPr>
                <w:rFonts w:asciiTheme="minorHAnsi" w:hAnsiTheme="minorHAnsi" w:cstheme="minorHAnsi"/>
                <w:i/>
                <w:iCs/>
                <w:sz w:val="22"/>
                <w:szCs w:val="22"/>
              </w:rPr>
              <w:t xml:space="preserve">W przypadku nieuzgodnienia kryteriów i </w:t>
            </w:r>
            <w:proofErr w:type="spellStart"/>
            <w:r w:rsidRPr="00FF58D5">
              <w:rPr>
                <w:rFonts w:asciiTheme="minorHAnsi" w:hAnsiTheme="minorHAnsi" w:cstheme="minorHAnsi"/>
                <w:i/>
                <w:iCs/>
                <w:sz w:val="22"/>
                <w:szCs w:val="22"/>
              </w:rPr>
              <w:t>podkryteriów</w:t>
            </w:r>
            <w:proofErr w:type="spellEnd"/>
            <w:r w:rsidRPr="00FF58D5">
              <w:rPr>
                <w:rFonts w:asciiTheme="minorHAnsi" w:hAnsiTheme="minorHAnsi" w:cstheme="minorHAnsi"/>
                <w:i/>
                <w:iCs/>
                <w:sz w:val="22"/>
                <w:szCs w:val="22"/>
              </w:rPr>
              <w:t xml:space="preserve">, o których mowa w ust. 2 </w:t>
            </w:r>
            <w:r w:rsidR="000B6945" w:rsidRPr="00FF58D5">
              <w:rPr>
                <w:rFonts w:asciiTheme="minorHAnsi" w:hAnsiTheme="minorHAnsi" w:cstheme="minorHAnsi"/>
                <w:i/>
                <w:iCs/>
                <w:sz w:val="22"/>
                <w:szCs w:val="22"/>
              </w:rPr>
              <w:t>i</w:t>
            </w:r>
            <w:r w:rsidRPr="00FF58D5">
              <w:rPr>
                <w:rFonts w:asciiTheme="minorHAnsi" w:hAnsiTheme="minorHAnsi" w:cstheme="minorHAnsi"/>
                <w:i/>
                <w:iCs/>
                <w:sz w:val="22"/>
                <w:szCs w:val="22"/>
              </w:rPr>
              <w:t xml:space="preserve"> 3, w terminie </w:t>
            </w:r>
            <w:r w:rsidR="00F75BD8" w:rsidRPr="00FF58D5">
              <w:rPr>
                <w:rFonts w:asciiTheme="minorHAnsi" w:hAnsiTheme="minorHAnsi" w:cstheme="minorHAnsi"/>
                <w:i/>
                <w:iCs/>
                <w:sz w:val="22"/>
                <w:szCs w:val="22"/>
              </w:rPr>
              <w:t xml:space="preserve">30 </w:t>
            </w:r>
            <w:r w:rsidRPr="00FF58D5">
              <w:rPr>
                <w:rFonts w:asciiTheme="minorHAnsi" w:hAnsiTheme="minorHAnsi" w:cstheme="minorHAnsi"/>
                <w:i/>
                <w:iCs/>
                <w:sz w:val="22"/>
                <w:szCs w:val="22"/>
              </w:rPr>
              <w:t>dni, pracodawca ustala je samodzielnie oraz informuje o nich na piśmie właściwego okręgowego inspektora pracy w terminie kolejnych 7 dni.</w:t>
            </w:r>
          </w:p>
        </w:tc>
        <w:tc>
          <w:tcPr>
            <w:tcW w:w="5387" w:type="dxa"/>
          </w:tcPr>
          <w:p w14:paraId="69E23BEF" w14:textId="77777777" w:rsidR="006C6A79" w:rsidRPr="00FF58D5" w:rsidRDefault="00185795" w:rsidP="0046458C">
            <w:pPr>
              <w:pStyle w:val="Akapitzlist"/>
              <w:numPr>
                <w:ilvl w:val="0"/>
                <w:numId w:val="62"/>
              </w:num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Proponowany obowiązek uzgodnienia kryteriów z zakładową organizacją związkową ma charakter </w:t>
            </w:r>
            <w:proofErr w:type="spellStart"/>
            <w:r w:rsidR="00464F72" w:rsidRPr="00FF58D5">
              <w:rPr>
                <w:rFonts w:asciiTheme="minorHAnsi" w:hAnsiTheme="minorHAnsi" w:cstheme="minorHAnsi"/>
                <w:sz w:val="22"/>
                <w:szCs w:val="22"/>
              </w:rPr>
              <w:t>ponadmiarowy</w:t>
            </w:r>
            <w:proofErr w:type="spellEnd"/>
            <w:r w:rsidRPr="00FF58D5">
              <w:rPr>
                <w:rFonts w:asciiTheme="minorHAnsi" w:hAnsiTheme="minorHAnsi" w:cstheme="minorHAnsi"/>
                <w:sz w:val="22"/>
                <w:szCs w:val="22"/>
              </w:rPr>
              <w:t xml:space="preserve">. </w:t>
            </w:r>
            <w:r w:rsidR="004E7FFD" w:rsidRPr="00FF58D5">
              <w:rPr>
                <w:rFonts w:asciiTheme="minorHAnsi" w:hAnsiTheme="minorHAnsi" w:cstheme="minorHAnsi"/>
                <w:sz w:val="22"/>
                <w:szCs w:val="22"/>
              </w:rPr>
              <w:t xml:space="preserve">Będzie trudny do </w:t>
            </w:r>
            <w:r w:rsidR="00227333" w:rsidRPr="00FF58D5">
              <w:rPr>
                <w:rFonts w:asciiTheme="minorHAnsi" w:hAnsiTheme="minorHAnsi" w:cstheme="minorHAnsi"/>
                <w:sz w:val="22"/>
                <w:szCs w:val="22"/>
              </w:rPr>
              <w:t>zrealizowania</w:t>
            </w:r>
            <w:r w:rsidR="004E7FFD" w:rsidRPr="00FF58D5">
              <w:rPr>
                <w:rFonts w:asciiTheme="minorHAnsi" w:hAnsiTheme="minorHAnsi" w:cstheme="minorHAnsi"/>
                <w:sz w:val="22"/>
                <w:szCs w:val="22"/>
              </w:rPr>
              <w:t xml:space="preserve">. </w:t>
            </w:r>
          </w:p>
          <w:p w14:paraId="0AB91E99" w14:textId="1FC16887" w:rsidR="004E7FFD" w:rsidRPr="00FF58D5" w:rsidRDefault="004E7FFD" w:rsidP="006C6A79">
            <w:pPr>
              <w:pStyle w:val="Akapitzlist"/>
              <w:spacing w:line="276" w:lineRule="auto"/>
              <w:ind w:left="360"/>
              <w:jc w:val="both"/>
              <w:rPr>
                <w:rFonts w:asciiTheme="minorHAnsi" w:hAnsiTheme="minorHAnsi" w:cstheme="minorHAnsi"/>
                <w:sz w:val="22"/>
                <w:szCs w:val="22"/>
              </w:rPr>
            </w:pPr>
            <w:r w:rsidRPr="00FF58D5">
              <w:rPr>
                <w:rFonts w:asciiTheme="minorHAnsi" w:hAnsiTheme="minorHAnsi" w:cstheme="minorHAnsi"/>
                <w:sz w:val="22"/>
                <w:szCs w:val="22"/>
              </w:rPr>
              <w:t xml:space="preserve">Projekt ustawy nie odpowiada na pytanie co w sytuacji </w:t>
            </w:r>
            <w:r w:rsidR="00227333" w:rsidRPr="00FF58D5">
              <w:rPr>
                <w:rFonts w:asciiTheme="minorHAnsi" w:hAnsiTheme="minorHAnsi" w:cstheme="minorHAnsi"/>
                <w:sz w:val="22"/>
                <w:szCs w:val="22"/>
              </w:rPr>
              <w:t xml:space="preserve">braku osiągnięcia uzgodnienia odnośnie kryteriów z zakładową </w:t>
            </w:r>
            <w:r w:rsidR="00EF6174" w:rsidRPr="00FF58D5">
              <w:rPr>
                <w:rFonts w:asciiTheme="minorHAnsi" w:hAnsiTheme="minorHAnsi" w:cstheme="minorHAnsi"/>
                <w:sz w:val="22"/>
                <w:szCs w:val="22"/>
              </w:rPr>
              <w:t>organizacją</w:t>
            </w:r>
            <w:r w:rsidR="00227333" w:rsidRPr="00FF58D5">
              <w:rPr>
                <w:rFonts w:asciiTheme="minorHAnsi" w:hAnsiTheme="minorHAnsi" w:cstheme="minorHAnsi"/>
                <w:sz w:val="22"/>
                <w:szCs w:val="22"/>
              </w:rPr>
              <w:t xml:space="preserve"> związków zawodowych.</w:t>
            </w:r>
            <w:r w:rsidR="006C6A79" w:rsidRPr="00FF58D5">
              <w:t xml:space="preserve"> </w:t>
            </w:r>
            <w:r w:rsidR="006C6A79" w:rsidRPr="00FF58D5">
              <w:rPr>
                <w:rFonts w:asciiTheme="minorHAnsi" w:hAnsiTheme="minorHAnsi" w:cstheme="minorHAnsi"/>
                <w:sz w:val="22"/>
                <w:szCs w:val="22"/>
              </w:rPr>
              <w:t>Jednocześnie to pracodawca ma ponosić konsekwencje nieprzeprowadzenia procesu wartościowania.</w:t>
            </w:r>
          </w:p>
          <w:p w14:paraId="1CCB9569" w14:textId="77777777" w:rsidR="0046458C" w:rsidRPr="00FF58D5" w:rsidRDefault="0046458C" w:rsidP="0046458C">
            <w:pPr>
              <w:pStyle w:val="Akapitzlist"/>
              <w:spacing w:line="276" w:lineRule="auto"/>
              <w:jc w:val="both"/>
              <w:rPr>
                <w:rFonts w:asciiTheme="minorHAnsi" w:hAnsiTheme="minorHAnsi" w:cstheme="minorHAnsi"/>
                <w:sz w:val="22"/>
                <w:szCs w:val="22"/>
              </w:rPr>
            </w:pPr>
          </w:p>
          <w:p w14:paraId="05675632" w14:textId="1FD252E6" w:rsidR="00087697" w:rsidRPr="00FF58D5" w:rsidRDefault="004E7FFD" w:rsidP="0046458C">
            <w:pPr>
              <w:spacing w:line="276" w:lineRule="auto"/>
              <w:ind w:left="376" w:hanging="376"/>
              <w:jc w:val="both"/>
              <w:rPr>
                <w:rFonts w:asciiTheme="minorHAnsi" w:hAnsiTheme="minorHAnsi" w:cstheme="minorHAnsi"/>
                <w:sz w:val="22"/>
                <w:szCs w:val="22"/>
              </w:rPr>
            </w:pPr>
            <w:r w:rsidRPr="00FF58D5">
              <w:rPr>
                <w:rFonts w:asciiTheme="minorHAnsi" w:hAnsiTheme="minorHAnsi" w:cstheme="minorHAnsi"/>
                <w:sz w:val="22"/>
                <w:szCs w:val="22"/>
              </w:rPr>
              <w:t xml:space="preserve">2. </w:t>
            </w:r>
            <w:r w:rsidR="00861962" w:rsidRPr="00FF58D5">
              <w:rPr>
                <w:rFonts w:asciiTheme="minorHAnsi" w:hAnsiTheme="minorHAnsi" w:cstheme="minorHAnsi"/>
                <w:sz w:val="22"/>
                <w:szCs w:val="22"/>
              </w:rPr>
              <w:t>Dlatego też, p</w:t>
            </w:r>
            <w:r w:rsidR="00087697" w:rsidRPr="00FF58D5">
              <w:rPr>
                <w:rFonts w:asciiTheme="minorHAnsi" w:hAnsiTheme="minorHAnsi" w:cstheme="minorHAnsi"/>
                <w:sz w:val="22"/>
                <w:szCs w:val="22"/>
              </w:rPr>
              <w:t xml:space="preserve">rzepisy muszą przewidywać </w:t>
            </w:r>
            <w:r w:rsidR="00087697" w:rsidRPr="00FF58D5">
              <w:rPr>
                <w:rFonts w:asciiTheme="minorHAnsi" w:hAnsiTheme="minorHAnsi" w:cstheme="minorHAnsi"/>
                <w:b/>
                <w:bCs/>
                <w:sz w:val="22"/>
                <w:szCs w:val="22"/>
              </w:rPr>
              <w:t xml:space="preserve">termin maksymalny </w:t>
            </w:r>
            <w:r w:rsidR="00861962" w:rsidRPr="00FF58D5">
              <w:rPr>
                <w:rFonts w:asciiTheme="minorHAnsi" w:hAnsiTheme="minorHAnsi" w:cstheme="minorHAnsi"/>
                <w:b/>
                <w:bCs/>
                <w:sz w:val="22"/>
                <w:szCs w:val="22"/>
              </w:rPr>
              <w:t xml:space="preserve">na uzgodnienia </w:t>
            </w:r>
            <w:r w:rsidR="00087697" w:rsidRPr="00FF58D5">
              <w:rPr>
                <w:rFonts w:asciiTheme="minorHAnsi" w:hAnsiTheme="minorHAnsi" w:cstheme="minorHAnsi"/>
                <w:b/>
                <w:bCs/>
                <w:sz w:val="22"/>
                <w:szCs w:val="22"/>
              </w:rPr>
              <w:t>ze stroną społeczną.</w:t>
            </w:r>
            <w:r w:rsidR="00087697" w:rsidRPr="00FF58D5">
              <w:rPr>
                <w:rFonts w:asciiTheme="minorHAnsi" w:hAnsiTheme="minorHAnsi" w:cstheme="minorHAnsi"/>
                <w:sz w:val="22"/>
                <w:szCs w:val="22"/>
              </w:rPr>
              <w:t xml:space="preserve"> W przeciwnym wypadku będzie dochodziło do sytuacj</w:t>
            </w:r>
            <w:r w:rsidR="002F01A2" w:rsidRPr="00FF58D5">
              <w:rPr>
                <w:rFonts w:asciiTheme="minorHAnsi" w:hAnsiTheme="minorHAnsi" w:cstheme="minorHAnsi"/>
                <w:sz w:val="22"/>
                <w:szCs w:val="22"/>
              </w:rPr>
              <w:t>i</w:t>
            </w:r>
            <w:r w:rsidR="00087697" w:rsidRPr="00FF58D5">
              <w:rPr>
                <w:rFonts w:asciiTheme="minorHAnsi" w:hAnsiTheme="minorHAnsi" w:cstheme="minorHAnsi"/>
                <w:sz w:val="22"/>
                <w:szCs w:val="22"/>
              </w:rPr>
              <w:t>, w których:</w:t>
            </w:r>
          </w:p>
          <w:p w14:paraId="68627E79" w14:textId="77777777" w:rsidR="00087697" w:rsidRPr="00FF58D5" w:rsidRDefault="00087697" w:rsidP="0046458C">
            <w:pPr>
              <w:pStyle w:val="Akapitzlist"/>
              <w:numPr>
                <w:ilvl w:val="0"/>
                <w:numId w:val="27"/>
              </w:numPr>
              <w:spacing w:line="276" w:lineRule="auto"/>
              <w:ind w:left="943" w:hanging="376"/>
              <w:jc w:val="both"/>
              <w:rPr>
                <w:rFonts w:asciiTheme="minorHAnsi" w:hAnsiTheme="minorHAnsi" w:cstheme="minorHAnsi"/>
                <w:sz w:val="22"/>
                <w:szCs w:val="22"/>
              </w:rPr>
            </w:pPr>
            <w:r w:rsidRPr="00FF58D5">
              <w:rPr>
                <w:rFonts w:asciiTheme="minorHAnsi" w:hAnsiTheme="minorHAnsi" w:cstheme="minorHAnsi"/>
                <w:sz w:val="22"/>
                <w:szCs w:val="22"/>
              </w:rPr>
              <w:t>strona społeczna blokuje uzgodnienie w terminie umożliwiającym wypełnienie przez pracodawców obowiązków w terminie;</w:t>
            </w:r>
          </w:p>
          <w:p w14:paraId="259ADEA5" w14:textId="77777777" w:rsidR="00087697" w:rsidRPr="00FF58D5" w:rsidRDefault="00087697" w:rsidP="0046458C">
            <w:pPr>
              <w:pStyle w:val="Akapitzlist"/>
              <w:numPr>
                <w:ilvl w:val="0"/>
                <w:numId w:val="27"/>
              </w:numPr>
              <w:spacing w:line="276" w:lineRule="auto"/>
              <w:ind w:left="943" w:hanging="376"/>
              <w:jc w:val="both"/>
              <w:rPr>
                <w:rFonts w:asciiTheme="minorHAnsi" w:hAnsiTheme="minorHAnsi" w:cstheme="minorHAnsi"/>
                <w:sz w:val="22"/>
                <w:szCs w:val="22"/>
              </w:rPr>
            </w:pPr>
            <w:r w:rsidRPr="00FF58D5">
              <w:rPr>
                <w:rFonts w:asciiTheme="minorHAnsi" w:hAnsiTheme="minorHAnsi" w:cstheme="minorHAnsi"/>
                <w:sz w:val="22"/>
                <w:szCs w:val="22"/>
              </w:rPr>
              <w:t>strona społeczna uzależnia zgodę na jedną regulację od innych niezałatwionych wcześniej kwestii.</w:t>
            </w:r>
          </w:p>
          <w:p w14:paraId="0F5EC435" w14:textId="4ABD3974" w:rsidR="0046458C" w:rsidRPr="00FF58D5" w:rsidRDefault="0046458C" w:rsidP="0046458C">
            <w:pPr>
              <w:spacing w:line="276" w:lineRule="auto"/>
              <w:ind w:left="376"/>
              <w:jc w:val="both"/>
              <w:rPr>
                <w:rFonts w:asciiTheme="minorHAnsi" w:hAnsiTheme="minorHAnsi" w:cstheme="minorHAnsi"/>
                <w:sz w:val="22"/>
                <w:szCs w:val="22"/>
              </w:rPr>
            </w:pPr>
            <w:r w:rsidRPr="00FF58D5">
              <w:rPr>
                <w:rFonts w:asciiTheme="minorHAnsi" w:hAnsiTheme="minorHAnsi" w:cstheme="minorHAnsi"/>
                <w:sz w:val="22"/>
                <w:szCs w:val="22"/>
              </w:rPr>
              <w:t xml:space="preserve">Znane są przypadki braku uzgodnienia np. regulaminów pracy czy wynagrodzeń z uwagi na blokowanie ich przyjęcia przez organizacje związkowe. W takich przypadkach </w:t>
            </w:r>
          </w:p>
          <w:p w14:paraId="415C2EFE" w14:textId="58F35941" w:rsidR="00087697" w:rsidRPr="00FF58D5" w:rsidRDefault="0046458C" w:rsidP="0046458C">
            <w:pPr>
              <w:spacing w:line="276" w:lineRule="auto"/>
              <w:ind w:left="376" w:hanging="376"/>
              <w:jc w:val="both"/>
              <w:rPr>
                <w:rFonts w:asciiTheme="minorHAnsi" w:hAnsiTheme="minorHAnsi" w:cstheme="minorHAnsi"/>
                <w:sz w:val="22"/>
                <w:szCs w:val="22"/>
              </w:rPr>
            </w:pPr>
            <w:r w:rsidRPr="00FF58D5">
              <w:rPr>
                <w:rFonts w:asciiTheme="minorHAnsi" w:hAnsiTheme="minorHAnsi" w:cstheme="minorHAnsi"/>
                <w:sz w:val="22"/>
                <w:szCs w:val="22"/>
              </w:rPr>
              <w:lastRenderedPageBreak/>
              <w:t xml:space="preserve">       </w:t>
            </w:r>
            <w:r w:rsidR="00087697" w:rsidRPr="00FF58D5">
              <w:rPr>
                <w:rFonts w:asciiTheme="minorHAnsi" w:hAnsiTheme="minorHAnsi" w:cstheme="minorHAnsi"/>
                <w:sz w:val="22"/>
                <w:szCs w:val="22"/>
              </w:rPr>
              <w:t xml:space="preserve">Podobne </w:t>
            </w:r>
            <w:r w:rsidRPr="00FF58D5">
              <w:rPr>
                <w:rFonts w:asciiTheme="minorHAnsi" w:hAnsiTheme="minorHAnsi" w:cstheme="minorHAnsi"/>
                <w:sz w:val="22"/>
                <w:szCs w:val="22"/>
              </w:rPr>
              <w:t>do proponowanych przez nas rozwiązań zostały</w:t>
            </w:r>
            <w:r w:rsidR="00087697" w:rsidRPr="00FF58D5">
              <w:rPr>
                <w:rFonts w:asciiTheme="minorHAnsi" w:hAnsiTheme="minorHAnsi" w:cstheme="minorHAnsi"/>
                <w:sz w:val="22"/>
                <w:szCs w:val="22"/>
              </w:rPr>
              <w:t xml:space="preserve"> z sukcesem wprowadzane m.in. w ustaw</w:t>
            </w:r>
            <w:r w:rsidRPr="00FF58D5">
              <w:rPr>
                <w:rFonts w:asciiTheme="minorHAnsi" w:hAnsiTheme="minorHAnsi" w:cstheme="minorHAnsi"/>
                <w:sz w:val="22"/>
                <w:szCs w:val="22"/>
              </w:rPr>
              <w:t>ie</w:t>
            </w:r>
            <w:r w:rsidR="00087697" w:rsidRPr="00FF58D5">
              <w:rPr>
                <w:rFonts w:asciiTheme="minorHAnsi" w:hAnsiTheme="minorHAnsi" w:cstheme="minorHAnsi"/>
                <w:sz w:val="22"/>
                <w:szCs w:val="22"/>
              </w:rPr>
              <w:t xml:space="preserve"> o PPK,</w:t>
            </w:r>
            <w:r w:rsidR="006C6A79" w:rsidRPr="00FF58D5">
              <w:rPr>
                <w:rFonts w:asciiTheme="minorHAnsi" w:hAnsiTheme="minorHAnsi" w:cstheme="minorHAnsi"/>
                <w:sz w:val="22"/>
                <w:szCs w:val="22"/>
              </w:rPr>
              <w:t xml:space="preserve"> czy </w:t>
            </w:r>
            <w:r w:rsidR="00087697" w:rsidRPr="00FF58D5">
              <w:rPr>
                <w:rFonts w:asciiTheme="minorHAnsi" w:hAnsiTheme="minorHAnsi" w:cstheme="minorHAnsi"/>
                <w:sz w:val="22"/>
                <w:szCs w:val="22"/>
              </w:rPr>
              <w:t xml:space="preserve"> przy </w:t>
            </w:r>
            <w:r w:rsidR="00804B66" w:rsidRPr="00FF58D5">
              <w:rPr>
                <w:rFonts w:asciiTheme="minorHAnsi" w:hAnsiTheme="minorHAnsi" w:cstheme="minorHAnsi"/>
                <w:sz w:val="22"/>
                <w:szCs w:val="22"/>
              </w:rPr>
              <w:t xml:space="preserve">wprowadzaniu </w:t>
            </w:r>
            <w:r w:rsidR="00087697" w:rsidRPr="00FF58D5">
              <w:rPr>
                <w:rFonts w:asciiTheme="minorHAnsi" w:hAnsiTheme="minorHAnsi" w:cstheme="minorHAnsi"/>
                <w:sz w:val="22"/>
                <w:szCs w:val="22"/>
              </w:rPr>
              <w:t>przepisów o pracy zdalnej.</w:t>
            </w:r>
            <w:r w:rsidRPr="00FF58D5">
              <w:rPr>
                <w:rFonts w:asciiTheme="minorHAnsi" w:hAnsiTheme="minorHAnsi" w:cstheme="minorHAnsi"/>
                <w:sz w:val="22"/>
                <w:szCs w:val="22"/>
              </w:rPr>
              <w:t xml:space="preserve"> </w:t>
            </w:r>
          </w:p>
          <w:p w14:paraId="192BF349" w14:textId="6E20C3F9" w:rsidR="004D336D" w:rsidRPr="00FF58D5" w:rsidRDefault="004D336D" w:rsidP="0046458C">
            <w:pPr>
              <w:spacing w:line="276" w:lineRule="auto"/>
              <w:jc w:val="both"/>
              <w:rPr>
                <w:rFonts w:asciiTheme="minorHAnsi" w:hAnsiTheme="minorHAnsi" w:cstheme="minorHAnsi"/>
                <w:sz w:val="22"/>
                <w:szCs w:val="22"/>
              </w:rPr>
            </w:pPr>
          </w:p>
        </w:tc>
      </w:tr>
      <w:tr w:rsidR="004D05C1" w:rsidRPr="00FF58D5" w14:paraId="1656F8B0" w14:textId="77777777" w:rsidTr="00413339">
        <w:trPr>
          <w:trHeight w:val="1275"/>
        </w:trPr>
        <w:tc>
          <w:tcPr>
            <w:tcW w:w="709" w:type="dxa"/>
            <w:vAlign w:val="center"/>
          </w:tcPr>
          <w:p w14:paraId="5414AC77" w14:textId="77777777" w:rsidR="004D05C1" w:rsidRPr="00FF58D5" w:rsidRDefault="004D05C1" w:rsidP="000F1418">
            <w:pPr>
              <w:pStyle w:val="Akapitzlist"/>
              <w:numPr>
                <w:ilvl w:val="0"/>
                <w:numId w:val="69"/>
              </w:numPr>
              <w:spacing w:line="276" w:lineRule="auto"/>
              <w:contextualSpacing w:val="0"/>
              <w:jc w:val="right"/>
              <w:rPr>
                <w:rFonts w:asciiTheme="minorHAnsi" w:hAnsiTheme="minorHAnsi" w:cstheme="minorHAnsi"/>
                <w:b/>
                <w:sz w:val="22"/>
                <w:szCs w:val="22"/>
              </w:rPr>
            </w:pPr>
          </w:p>
        </w:tc>
        <w:tc>
          <w:tcPr>
            <w:tcW w:w="1134" w:type="dxa"/>
            <w:vAlign w:val="center"/>
          </w:tcPr>
          <w:p w14:paraId="3829437F" w14:textId="11E6C8D1" w:rsidR="004D05C1" w:rsidRPr="00FF58D5" w:rsidRDefault="0011059B" w:rsidP="009A348F">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 1</w:t>
            </w:r>
          </w:p>
        </w:tc>
        <w:tc>
          <w:tcPr>
            <w:tcW w:w="3118" w:type="dxa"/>
            <w:vAlign w:val="center"/>
          </w:tcPr>
          <w:p w14:paraId="220F390E" w14:textId="6A4ADEB8" w:rsidR="004D05C1" w:rsidRPr="00FF58D5" w:rsidRDefault="002C1DA3" w:rsidP="009A348F">
            <w:pPr>
              <w:pStyle w:val="USTustnpkodeksu"/>
              <w:spacing w:line="276" w:lineRule="auto"/>
              <w:ind w:firstLine="0"/>
              <w:rPr>
                <w:rFonts w:asciiTheme="minorHAnsi" w:eastAsia="Times New Roman" w:hAnsiTheme="minorHAnsi" w:cstheme="minorHAnsi"/>
                <w:bCs w:val="0"/>
                <w:sz w:val="22"/>
                <w:szCs w:val="22"/>
              </w:rPr>
            </w:pPr>
            <w:r w:rsidRPr="00FF58D5">
              <w:rPr>
                <w:rFonts w:asciiTheme="minorHAnsi" w:eastAsia="Times New Roman" w:hAnsiTheme="minorHAnsi" w:cstheme="minorHAnsi"/>
                <w:bCs w:val="0"/>
                <w:sz w:val="22"/>
                <w:szCs w:val="22"/>
              </w:rPr>
              <w:t xml:space="preserve">Pracodawca ustala i stosuje  kryteria i </w:t>
            </w:r>
            <w:proofErr w:type="spellStart"/>
            <w:r w:rsidRPr="00FF58D5">
              <w:rPr>
                <w:rFonts w:asciiTheme="minorHAnsi" w:eastAsia="Times New Roman" w:hAnsiTheme="minorHAnsi" w:cstheme="minorHAnsi"/>
                <w:bCs w:val="0"/>
                <w:sz w:val="22"/>
                <w:szCs w:val="22"/>
              </w:rPr>
              <w:t>podkryteria</w:t>
            </w:r>
            <w:proofErr w:type="spellEnd"/>
            <w:r w:rsidRPr="00FF58D5">
              <w:rPr>
                <w:rFonts w:asciiTheme="minorHAnsi" w:eastAsia="Times New Roman" w:hAnsiTheme="minorHAnsi" w:cstheme="minorHAnsi"/>
                <w:bCs w:val="0"/>
                <w:sz w:val="22"/>
                <w:szCs w:val="22"/>
              </w:rPr>
              <w:t>, o których mowa w art. 18</w:t>
            </w:r>
            <w:r w:rsidRPr="00FF58D5">
              <w:rPr>
                <w:rFonts w:asciiTheme="minorHAnsi" w:eastAsia="Times New Roman" w:hAnsiTheme="minorHAnsi" w:cstheme="minorHAnsi"/>
                <w:bCs w:val="0"/>
                <w:sz w:val="22"/>
                <w:szCs w:val="22"/>
                <w:vertAlign w:val="superscript"/>
              </w:rPr>
              <w:t>3c</w:t>
            </w:r>
            <w:r w:rsidRPr="00FF58D5">
              <w:rPr>
                <w:rFonts w:asciiTheme="minorHAnsi" w:eastAsia="Times New Roman" w:hAnsiTheme="minorHAnsi" w:cstheme="minorHAnsi"/>
                <w:bCs w:val="0"/>
                <w:sz w:val="22"/>
                <w:szCs w:val="22"/>
              </w:rPr>
              <w:t xml:space="preserve"> § 3 Kodeksu pracy, w sposób obiektywny oraz neutralny pod względem płci, a także wykluczający wszelką bezpośrednią lub pośrednią dyskryminację ze względu na płeć, </w:t>
            </w:r>
            <w:r w:rsidRPr="00FF58D5">
              <w:rPr>
                <w:rFonts w:asciiTheme="minorHAnsi" w:eastAsia="Times New Roman" w:hAnsiTheme="minorHAnsi" w:cstheme="minorHAnsi"/>
                <w:b/>
                <w:sz w:val="22"/>
                <w:szCs w:val="22"/>
              </w:rPr>
              <w:t>przy uwzględnieniu  umiejętności miękkich o ile są wymagane dla określonego rodzaju pracy lub dla określonego stanowiska.</w:t>
            </w:r>
          </w:p>
        </w:tc>
        <w:tc>
          <w:tcPr>
            <w:tcW w:w="3827" w:type="dxa"/>
            <w:vAlign w:val="center"/>
          </w:tcPr>
          <w:p w14:paraId="3D0C805D" w14:textId="63BFD4B4" w:rsidR="004D05C1" w:rsidRPr="00FF58D5" w:rsidDel="00B1194B" w:rsidRDefault="00FD6CB9" w:rsidP="009A348F">
            <w:pPr>
              <w:spacing w:before="12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Przepis wymaga przeredagowania. </w:t>
            </w:r>
          </w:p>
        </w:tc>
        <w:tc>
          <w:tcPr>
            <w:tcW w:w="5387" w:type="dxa"/>
          </w:tcPr>
          <w:p w14:paraId="23A5450E" w14:textId="4C840A99" w:rsidR="004D05C1" w:rsidRPr="00FF58D5" w:rsidRDefault="004D05C1"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Ten fragment sugeruje, że umiejętności miękkie nie są ani kryteriami ani </w:t>
            </w:r>
            <w:proofErr w:type="spellStart"/>
            <w:r w:rsidRPr="00FF58D5">
              <w:rPr>
                <w:rFonts w:asciiTheme="minorHAnsi" w:hAnsiTheme="minorHAnsi" w:cstheme="minorHAnsi"/>
                <w:sz w:val="22"/>
                <w:szCs w:val="22"/>
              </w:rPr>
              <w:t>podkryteriami</w:t>
            </w:r>
            <w:proofErr w:type="spellEnd"/>
            <w:r w:rsidRPr="00FF58D5">
              <w:rPr>
                <w:rFonts w:asciiTheme="minorHAnsi" w:hAnsiTheme="minorHAnsi" w:cstheme="minorHAnsi"/>
                <w:sz w:val="22"/>
                <w:szCs w:val="22"/>
              </w:rPr>
              <w:t>. Jest to błąd, gdyż umiejętności miękkie powinny móc stanowić samodzielne kryteria wartościowania stanowisk</w:t>
            </w:r>
            <w:r w:rsidR="00F40C46" w:rsidRPr="00FF58D5">
              <w:rPr>
                <w:rFonts w:asciiTheme="minorHAnsi" w:hAnsiTheme="minorHAnsi" w:cstheme="minorHAnsi"/>
                <w:sz w:val="22"/>
                <w:szCs w:val="22"/>
              </w:rPr>
              <w:t>.</w:t>
            </w:r>
            <w:r w:rsidRPr="00FF58D5">
              <w:rPr>
                <w:rFonts w:asciiTheme="minorHAnsi" w:hAnsiTheme="minorHAnsi" w:cstheme="minorHAnsi"/>
                <w:sz w:val="22"/>
                <w:szCs w:val="22"/>
              </w:rPr>
              <w:t xml:space="preserve"> </w:t>
            </w:r>
            <w:r w:rsidR="00F40C46" w:rsidRPr="00FF58D5">
              <w:rPr>
                <w:rFonts w:asciiTheme="minorHAnsi" w:hAnsiTheme="minorHAnsi" w:cstheme="minorHAnsi"/>
                <w:sz w:val="22"/>
                <w:szCs w:val="22"/>
              </w:rPr>
              <w:t>W</w:t>
            </w:r>
            <w:r w:rsidRPr="00FF58D5">
              <w:rPr>
                <w:rFonts w:asciiTheme="minorHAnsi" w:hAnsiTheme="minorHAnsi" w:cstheme="minorHAnsi"/>
                <w:sz w:val="22"/>
                <w:szCs w:val="22"/>
              </w:rPr>
              <w:t xml:space="preserve"> niektórych zawodach (np. nauczyciele, opiekunowie, lekarze) mogą być to kryteria z najwyższą wagą punktową, a nie tylko </w:t>
            </w:r>
            <w:r w:rsidR="00F40C46" w:rsidRPr="00FF58D5">
              <w:rPr>
                <w:rFonts w:asciiTheme="minorHAnsi" w:hAnsiTheme="minorHAnsi" w:cstheme="minorHAnsi"/>
                <w:sz w:val="22"/>
                <w:szCs w:val="22"/>
              </w:rPr>
              <w:t xml:space="preserve">o </w:t>
            </w:r>
            <w:r w:rsidRPr="00FF58D5">
              <w:rPr>
                <w:rFonts w:asciiTheme="minorHAnsi" w:hAnsiTheme="minorHAnsi" w:cstheme="minorHAnsi"/>
                <w:sz w:val="22"/>
                <w:szCs w:val="22"/>
              </w:rPr>
              <w:t>pomocniczym znaczeniu. Zresztą sama dyrektywa wskazuje, że umiejętności miękkie powinny być zaliczane do kryteriów (</w:t>
            </w:r>
            <w:proofErr w:type="spellStart"/>
            <w:r w:rsidRPr="00FF58D5">
              <w:rPr>
                <w:rFonts w:asciiTheme="minorHAnsi" w:hAnsiTheme="minorHAnsi" w:cstheme="minorHAnsi"/>
                <w:sz w:val="22"/>
                <w:szCs w:val="22"/>
              </w:rPr>
              <w:t>podkryteriów</w:t>
            </w:r>
            <w:proofErr w:type="spellEnd"/>
            <w:r w:rsidRPr="00FF58D5">
              <w:rPr>
                <w:rFonts w:asciiTheme="minorHAnsi" w:hAnsiTheme="minorHAnsi" w:cstheme="minorHAnsi"/>
                <w:sz w:val="22"/>
                <w:szCs w:val="22"/>
              </w:rPr>
              <w:t>): „Kryteria te obejmują umiejętności, wysiłek, zakres odpowiedzialności i warunki pracy, oraz - w stosownych przypadkach - wszelkie inne czynniki, które mają znaczenie w danym miejscu pracy lub na danym stanowisku. Muszą być one stosowane w obiektywny, neutralny pod względem płci sposób, wykluczający wszelką bezpośrednią lub pośrednią dyskryminację ze względu na płeć. W szczególności odpowiednie umiejętności miękkie nie mogą być niedoceniane.”</w:t>
            </w:r>
          </w:p>
        </w:tc>
      </w:tr>
      <w:tr w:rsidR="00804B66" w:rsidRPr="00FF58D5" w14:paraId="7F268BEF" w14:textId="77777777" w:rsidTr="00413339">
        <w:trPr>
          <w:trHeight w:val="1275"/>
        </w:trPr>
        <w:tc>
          <w:tcPr>
            <w:tcW w:w="709" w:type="dxa"/>
            <w:vAlign w:val="center"/>
          </w:tcPr>
          <w:p w14:paraId="258154BC" w14:textId="77777777" w:rsidR="00804B66" w:rsidRPr="00FF58D5" w:rsidRDefault="00804B66" w:rsidP="000F1418">
            <w:pPr>
              <w:pStyle w:val="Akapitzlist"/>
              <w:numPr>
                <w:ilvl w:val="0"/>
                <w:numId w:val="69"/>
              </w:numPr>
              <w:spacing w:line="276" w:lineRule="auto"/>
              <w:contextualSpacing w:val="0"/>
              <w:jc w:val="right"/>
              <w:rPr>
                <w:rFonts w:asciiTheme="minorHAnsi" w:hAnsiTheme="minorHAnsi" w:cstheme="minorHAnsi"/>
                <w:b/>
                <w:sz w:val="22"/>
                <w:szCs w:val="22"/>
              </w:rPr>
            </w:pPr>
          </w:p>
        </w:tc>
        <w:tc>
          <w:tcPr>
            <w:tcW w:w="1134" w:type="dxa"/>
            <w:vAlign w:val="center"/>
          </w:tcPr>
          <w:p w14:paraId="6D9C8843" w14:textId="5FE4D996" w:rsidR="00804B66" w:rsidRPr="00FF58D5" w:rsidRDefault="00804B66" w:rsidP="009A348F">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w:t>
            </w:r>
            <w:r w:rsidR="002810E4" w:rsidRPr="00FF58D5">
              <w:rPr>
                <w:rFonts w:asciiTheme="minorHAnsi" w:hAnsiTheme="minorHAnsi" w:cstheme="minorHAnsi"/>
                <w:b/>
                <w:bCs/>
                <w:sz w:val="22"/>
                <w:szCs w:val="22"/>
              </w:rPr>
              <w:t>4</w:t>
            </w:r>
            <w:r w:rsidRPr="00FF58D5">
              <w:rPr>
                <w:rFonts w:asciiTheme="minorHAnsi" w:hAnsiTheme="minorHAnsi" w:cstheme="minorHAnsi"/>
                <w:b/>
                <w:bCs/>
                <w:sz w:val="22"/>
                <w:szCs w:val="22"/>
              </w:rPr>
              <w:t xml:space="preserve"> ust. </w:t>
            </w:r>
            <w:r w:rsidR="00773B74" w:rsidRPr="00FF58D5">
              <w:rPr>
                <w:rFonts w:asciiTheme="minorHAnsi" w:hAnsiTheme="minorHAnsi" w:cstheme="minorHAnsi"/>
                <w:b/>
                <w:bCs/>
                <w:sz w:val="22"/>
                <w:szCs w:val="22"/>
              </w:rPr>
              <w:t>4</w:t>
            </w:r>
          </w:p>
        </w:tc>
        <w:tc>
          <w:tcPr>
            <w:tcW w:w="3118" w:type="dxa"/>
            <w:vAlign w:val="center"/>
          </w:tcPr>
          <w:p w14:paraId="2924559F" w14:textId="2B8D8F93" w:rsidR="00804B66" w:rsidRPr="00FF58D5" w:rsidRDefault="00BA7736" w:rsidP="009A348F">
            <w:pPr>
              <w:pStyle w:val="USTustnpkodeksu"/>
              <w:spacing w:line="276" w:lineRule="auto"/>
              <w:ind w:firstLine="0"/>
              <w:rPr>
                <w:rFonts w:asciiTheme="minorHAnsi" w:eastAsia="Times New Roman" w:hAnsiTheme="minorHAnsi" w:cstheme="minorHAnsi"/>
                <w:bCs w:val="0"/>
                <w:sz w:val="22"/>
                <w:szCs w:val="22"/>
              </w:rPr>
            </w:pPr>
            <w:r w:rsidRPr="00FF58D5">
              <w:rPr>
                <w:rFonts w:asciiTheme="minorHAnsi" w:eastAsia="Times New Roman" w:hAnsiTheme="minorHAnsi" w:cstheme="minorHAnsi"/>
                <w:bCs w:val="0"/>
                <w:sz w:val="22"/>
                <w:szCs w:val="22"/>
              </w:rPr>
              <w:t xml:space="preserve">4. Pracodawca ustala kategorie pracowników, na podstawie kryteriów i </w:t>
            </w:r>
            <w:proofErr w:type="spellStart"/>
            <w:r w:rsidRPr="00FF58D5">
              <w:rPr>
                <w:rFonts w:asciiTheme="minorHAnsi" w:eastAsia="Times New Roman" w:hAnsiTheme="minorHAnsi" w:cstheme="minorHAnsi"/>
                <w:bCs w:val="0"/>
                <w:sz w:val="22"/>
                <w:szCs w:val="22"/>
              </w:rPr>
              <w:t>podkryteriów</w:t>
            </w:r>
            <w:proofErr w:type="spellEnd"/>
            <w:r w:rsidRPr="00FF58D5">
              <w:rPr>
                <w:rFonts w:asciiTheme="minorHAnsi" w:eastAsia="Times New Roman" w:hAnsiTheme="minorHAnsi" w:cstheme="minorHAnsi"/>
                <w:bCs w:val="0"/>
                <w:sz w:val="22"/>
                <w:szCs w:val="22"/>
              </w:rPr>
              <w:t>, o których mowa w art. 183c § 3 Kodeksu pracy.</w:t>
            </w:r>
          </w:p>
        </w:tc>
        <w:tc>
          <w:tcPr>
            <w:tcW w:w="3827" w:type="dxa"/>
            <w:vAlign w:val="center"/>
          </w:tcPr>
          <w:p w14:paraId="71F58229" w14:textId="15F4A85A" w:rsidR="00804B66" w:rsidRPr="00FF58D5" w:rsidDel="00B1194B" w:rsidRDefault="000C570F" w:rsidP="009A348F">
            <w:pPr>
              <w:spacing w:before="120"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p>
        </w:tc>
        <w:tc>
          <w:tcPr>
            <w:tcW w:w="5387" w:type="dxa"/>
          </w:tcPr>
          <w:p w14:paraId="3DEE42D5" w14:textId="77777777" w:rsidR="00804B66" w:rsidRPr="00FF58D5" w:rsidRDefault="000C570F"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Projekt ustawy przewiduje już definicję „Kategorii pracowników”. Pytanie jaki jest cel regulacji ust. 5?</w:t>
            </w:r>
          </w:p>
          <w:p w14:paraId="09B876D4" w14:textId="0CAB7817" w:rsidR="009B72C2" w:rsidRPr="00FF58D5" w:rsidRDefault="000C570F"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Co więcej</w:t>
            </w:r>
            <w:r w:rsidR="00F6011A" w:rsidRPr="00FF58D5">
              <w:rPr>
                <w:rFonts w:asciiTheme="minorHAnsi" w:hAnsiTheme="minorHAnsi" w:cstheme="minorHAnsi"/>
                <w:sz w:val="22"/>
                <w:szCs w:val="22"/>
              </w:rPr>
              <w:t xml:space="preserve">, </w:t>
            </w:r>
            <w:r w:rsidRPr="00FF58D5">
              <w:rPr>
                <w:rFonts w:asciiTheme="minorHAnsi" w:hAnsiTheme="minorHAnsi" w:cstheme="minorHAnsi"/>
                <w:sz w:val="22"/>
                <w:szCs w:val="22"/>
              </w:rPr>
              <w:t xml:space="preserve"> </w:t>
            </w:r>
            <w:r w:rsidR="00862B4A" w:rsidRPr="00FF58D5">
              <w:rPr>
                <w:rFonts w:asciiTheme="minorHAnsi" w:hAnsiTheme="minorHAnsi" w:cstheme="minorHAnsi"/>
                <w:sz w:val="22"/>
                <w:szCs w:val="22"/>
              </w:rPr>
              <w:t>pojawia</w:t>
            </w:r>
            <w:r w:rsidRPr="00FF58D5">
              <w:rPr>
                <w:rFonts w:asciiTheme="minorHAnsi" w:hAnsiTheme="minorHAnsi" w:cstheme="minorHAnsi"/>
                <w:sz w:val="22"/>
                <w:szCs w:val="22"/>
              </w:rPr>
              <w:t xml:space="preserve"> się </w:t>
            </w:r>
            <w:r w:rsidR="00862B4A" w:rsidRPr="00FF58D5">
              <w:rPr>
                <w:rFonts w:asciiTheme="minorHAnsi" w:hAnsiTheme="minorHAnsi" w:cstheme="minorHAnsi"/>
                <w:sz w:val="22"/>
                <w:szCs w:val="22"/>
              </w:rPr>
              <w:t xml:space="preserve">wątpliwość w jakiej relacji w procesie wartościowania pracy pozostają kryteria i </w:t>
            </w:r>
            <w:proofErr w:type="spellStart"/>
            <w:r w:rsidR="00862B4A" w:rsidRPr="00FF58D5">
              <w:rPr>
                <w:rFonts w:asciiTheme="minorHAnsi" w:hAnsiTheme="minorHAnsi" w:cstheme="minorHAnsi"/>
                <w:sz w:val="22"/>
                <w:szCs w:val="22"/>
              </w:rPr>
              <w:t>podkryteria</w:t>
            </w:r>
            <w:proofErr w:type="spellEnd"/>
            <w:r w:rsidR="00862B4A" w:rsidRPr="00FF58D5">
              <w:rPr>
                <w:rFonts w:asciiTheme="minorHAnsi" w:hAnsiTheme="minorHAnsi" w:cstheme="minorHAnsi"/>
                <w:sz w:val="22"/>
                <w:szCs w:val="22"/>
              </w:rPr>
              <w:t>? Czy</w:t>
            </w:r>
            <w:r w:rsidR="009B72C2" w:rsidRPr="00FF58D5">
              <w:rPr>
                <w:rFonts w:asciiTheme="minorHAnsi" w:hAnsiTheme="minorHAnsi" w:cstheme="minorHAnsi"/>
                <w:sz w:val="22"/>
                <w:szCs w:val="22"/>
              </w:rPr>
              <w:t xml:space="preserve"> </w:t>
            </w:r>
            <w:proofErr w:type="spellStart"/>
            <w:r w:rsidR="00862B4A" w:rsidRPr="00FF58D5">
              <w:rPr>
                <w:rFonts w:asciiTheme="minorHAnsi" w:hAnsiTheme="minorHAnsi" w:cstheme="minorHAnsi"/>
                <w:sz w:val="22"/>
                <w:szCs w:val="22"/>
              </w:rPr>
              <w:t>po</w:t>
            </w:r>
            <w:r w:rsidR="009B72C2" w:rsidRPr="00FF58D5">
              <w:rPr>
                <w:rFonts w:asciiTheme="minorHAnsi" w:hAnsiTheme="minorHAnsi" w:cstheme="minorHAnsi"/>
                <w:sz w:val="22"/>
                <w:szCs w:val="22"/>
              </w:rPr>
              <w:t>dkryteria</w:t>
            </w:r>
            <w:proofErr w:type="spellEnd"/>
            <w:r w:rsidR="00862B4A" w:rsidRPr="00FF58D5">
              <w:rPr>
                <w:rFonts w:asciiTheme="minorHAnsi" w:hAnsiTheme="minorHAnsi" w:cstheme="minorHAnsi"/>
                <w:sz w:val="22"/>
                <w:szCs w:val="22"/>
              </w:rPr>
              <w:t xml:space="preserve"> składają się na kryterium </w:t>
            </w:r>
            <w:r w:rsidR="009B72C2" w:rsidRPr="00FF58D5">
              <w:rPr>
                <w:rFonts w:asciiTheme="minorHAnsi" w:hAnsiTheme="minorHAnsi" w:cstheme="minorHAnsi"/>
                <w:sz w:val="22"/>
                <w:szCs w:val="22"/>
              </w:rPr>
              <w:t xml:space="preserve">czy też mają stanowić pewną niezależną podstawę oceny pracy. </w:t>
            </w:r>
          </w:p>
          <w:p w14:paraId="5D010748" w14:textId="77777777" w:rsidR="00EE3B88" w:rsidRPr="00FF58D5" w:rsidRDefault="00EE3B88" w:rsidP="009A348F">
            <w:pPr>
              <w:spacing w:line="276" w:lineRule="auto"/>
              <w:jc w:val="both"/>
              <w:rPr>
                <w:rFonts w:asciiTheme="minorHAnsi" w:hAnsiTheme="minorHAnsi" w:cstheme="minorHAnsi"/>
                <w:sz w:val="22"/>
                <w:szCs w:val="22"/>
              </w:rPr>
            </w:pPr>
          </w:p>
          <w:p w14:paraId="67FAE376" w14:textId="2E08EA60" w:rsidR="00F6011A" w:rsidRPr="00FF58D5" w:rsidRDefault="00F6011A"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Do rozważenia pozostaje kwestia czy przepis powinien </w:t>
            </w:r>
            <w:r w:rsidR="007C73A8" w:rsidRPr="00FF58D5">
              <w:rPr>
                <w:rFonts w:asciiTheme="minorHAnsi" w:hAnsiTheme="minorHAnsi" w:cstheme="minorHAnsi"/>
                <w:sz w:val="22"/>
                <w:szCs w:val="22"/>
              </w:rPr>
              <w:t>odwoływać</w:t>
            </w:r>
            <w:r w:rsidRPr="00FF58D5">
              <w:rPr>
                <w:rFonts w:asciiTheme="minorHAnsi" w:hAnsiTheme="minorHAnsi" w:cstheme="minorHAnsi"/>
                <w:sz w:val="22"/>
                <w:szCs w:val="22"/>
              </w:rPr>
              <w:t xml:space="preserve"> się do </w:t>
            </w:r>
            <w:r w:rsidR="007C73A8" w:rsidRPr="00FF58D5">
              <w:rPr>
                <w:rFonts w:asciiTheme="minorHAnsi" w:hAnsiTheme="minorHAnsi" w:cstheme="minorHAnsi"/>
                <w:sz w:val="22"/>
                <w:szCs w:val="22"/>
              </w:rPr>
              <w:t xml:space="preserve">art. 18(3c) Kodeksu pracy czy do </w:t>
            </w:r>
            <w:r w:rsidR="00054588" w:rsidRPr="00FF58D5">
              <w:rPr>
                <w:rFonts w:asciiTheme="minorHAnsi" w:hAnsiTheme="minorHAnsi" w:cstheme="minorHAnsi"/>
                <w:sz w:val="22"/>
                <w:szCs w:val="22"/>
              </w:rPr>
              <w:t xml:space="preserve">oceny wartości pracy. </w:t>
            </w:r>
          </w:p>
          <w:p w14:paraId="728F5115" w14:textId="1C8732E7" w:rsidR="000C570F" w:rsidRPr="00FF58D5" w:rsidRDefault="009B72C2"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r w:rsidR="000C570F" w:rsidRPr="00FF58D5">
              <w:rPr>
                <w:rFonts w:asciiTheme="minorHAnsi" w:hAnsiTheme="minorHAnsi" w:cstheme="minorHAnsi"/>
                <w:sz w:val="22"/>
                <w:szCs w:val="22"/>
              </w:rPr>
              <w:t xml:space="preserve"> </w:t>
            </w:r>
          </w:p>
        </w:tc>
      </w:tr>
      <w:tr w:rsidR="009B5605" w:rsidRPr="00FF58D5" w14:paraId="15C36B2E" w14:textId="77777777" w:rsidTr="00AB5A1A">
        <w:trPr>
          <w:trHeight w:val="1275"/>
        </w:trPr>
        <w:tc>
          <w:tcPr>
            <w:tcW w:w="709" w:type="dxa"/>
            <w:vAlign w:val="center"/>
          </w:tcPr>
          <w:p w14:paraId="7AEC2763" w14:textId="77777777" w:rsidR="004D336D" w:rsidRPr="00FF58D5" w:rsidRDefault="004D336D" w:rsidP="000F1418">
            <w:pPr>
              <w:pStyle w:val="Akapitzlist"/>
              <w:numPr>
                <w:ilvl w:val="0"/>
                <w:numId w:val="69"/>
              </w:numPr>
              <w:spacing w:line="276" w:lineRule="auto"/>
              <w:contextualSpacing w:val="0"/>
              <w:jc w:val="right"/>
              <w:rPr>
                <w:rFonts w:asciiTheme="minorHAnsi" w:hAnsiTheme="minorHAnsi" w:cstheme="minorHAnsi"/>
                <w:b/>
                <w:sz w:val="22"/>
                <w:szCs w:val="22"/>
              </w:rPr>
            </w:pPr>
          </w:p>
        </w:tc>
        <w:tc>
          <w:tcPr>
            <w:tcW w:w="1134" w:type="dxa"/>
            <w:vAlign w:val="center"/>
          </w:tcPr>
          <w:p w14:paraId="2D31EC09" w14:textId="016F50C9" w:rsidR="004D336D" w:rsidRPr="00FF58D5" w:rsidRDefault="00FF58D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w:t>
            </w:r>
            <w:r w:rsidR="00B757BA" w:rsidRPr="00FF58D5">
              <w:rPr>
                <w:rFonts w:asciiTheme="minorHAnsi" w:hAnsiTheme="minorHAnsi" w:cstheme="minorHAnsi"/>
                <w:b/>
                <w:bCs/>
                <w:sz w:val="22"/>
                <w:szCs w:val="22"/>
              </w:rPr>
              <w:t>rt</w:t>
            </w:r>
            <w:r w:rsidR="00076EDE" w:rsidRPr="00FF58D5">
              <w:rPr>
                <w:rFonts w:asciiTheme="minorHAnsi" w:hAnsiTheme="minorHAnsi" w:cstheme="minorHAnsi"/>
                <w:b/>
                <w:bCs/>
                <w:sz w:val="22"/>
                <w:szCs w:val="22"/>
              </w:rPr>
              <w:t>. 5 ust. 2</w:t>
            </w:r>
          </w:p>
          <w:p w14:paraId="50B00091" w14:textId="272CF7A5" w:rsidR="00076EDE" w:rsidRPr="00FF58D5" w:rsidRDefault="00076EDE" w:rsidP="00AB5A1A">
            <w:pPr>
              <w:spacing w:line="276" w:lineRule="auto"/>
              <w:jc w:val="both"/>
              <w:rPr>
                <w:rFonts w:asciiTheme="minorHAnsi" w:hAnsiTheme="minorHAnsi" w:cstheme="minorHAnsi"/>
                <w:b/>
                <w:bCs/>
                <w:sz w:val="22"/>
                <w:szCs w:val="22"/>
              </w:rPr>
            </w:pPr>
          </w:p>
        </w:tc>
        <w:tc>
          <w:tcPr>
            <w:tcW w:w="3118" w:type="dxa"/>
            <w:vAlign w:val="center"/>
          </w:tcPr>
          <w:p w14:paraId="61A3250D" w14:textId="5846CBF5" w:rsidR="004D336D" w:rsidRPr="00FF58D5" w:rsidRDefault="00076EDE"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Prawo do jednakowego wynagrodzenia mężczyzn i kobiet za jednakową pracę lub za pracę o jednakowej wartości nie stoi na przeszkodzie temu, aby pracodawcy różnie wynagradzali pracowników wykonujących jednakową pracę lub pracę o jednakowej wartości, o ile kierują się obiektywnymi, neutralnymi pod względem płci oraz wolnymi od uprzedzeń kryteriami, takimi jak osiągnięcia i kompetencje.</w:t>
            </w:r>
          </w:p>
        </w:tc>
        <w:tc>
          <w:tcPr>
            <w:tcW w:w="3827" w:type="dxa"/>
            <w:vAlign w:val="center"/>
          </w:tcPr>
          <w:p w14:paraId="0E57F0AB" w14:textId="19595CBB" w:rsidR="004D336D" w:rsidRPr="00FF58D5" w:rsidRDefault="00076EDE"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Prawo do jednakowego wynagrodzenia mężczyzn i kobiet za jednakową pracę lub za pracę o jednakowej wartości nie stoi na przeszkodzie temu, aby pracodawcy różnie wynagradzali pracowników wykonujących jednakową pracę lub pracę o jednakowej wartości, o ile kierują się obiektywnymi, neutralnymi pod względem płci oraz wolnymi od uprzedzeń kryteriami, takimi jak</w:t>
            </w:r>
            <w:r w:rsidR="00773B74" w:rsidRPr="00FF58D5">
              <w:rPr>
                <w:rFonts w:asciiTheme="minorHAnsi" w:hAnsiTheme="minorHAnsi" w:cstheme="minorHAnsi"/>
                <w:sz w:val="22"/>
                <w:szCs w:val="22"/>
              </w:rPr>
              <w:t xml:space="preserve"> </w:t>
            </w:r>
            <w:r w:rsidR="00773B74" w:rsidRPr="00FF58D5">
              <w:rPr>
                <w:rFonts w:asciiTheme="minorHAnsi" w:hAnsiTheme="minorHAnsi" w:cstheme="minorHAnsi"/>
                <w:b/>
                <w:bCs/>
                <w:sz w:val="22"/>
                <w:szCs w:val="22"/>
              </w:rPr>
              <w:t>w szczególności</w:t>
            </w:r>
            <w:r w:rsidRPr="00FF58D5">
              <w:rPr>
                <w:rFonts w:asciiTheme="minorHAnsi" w:hAnsiTheme="minorHAnsi" w:cstheme="minorHAnsi"/>
                <w:b/>
                <w:bCs/>
                <w:sz w:val="22"/>
                <w:szCs w:val="22"/>
              </w:rPr>
              <w:t xml:space="preserve"> </w:t>
            </w:r>
            <w:r w:rsidRPr="00FF58D5">
              <w:rPr>
                <w:rFonts w:asciiTheme="minorHAnsi" w:hAnsiTheme="minorHAnsi" w:cstheme="minorHAnsi"/>
                <w:sz w:val="22"/>
                <w:szCs w:val="22"/>
              </w:rPr>
              <w:t>osiągnięcia i kompetencje.</w:t>
            </w:r>
          </w:p>
        </w:tc>
        <w:tc>
          <w:tcPr>
            <w:tcW w:w="5387" w:type="dxa"/>
            <w:vAlign w:val="center"/>
          </w:tcPr>
          <w:p w14:paraId="65672F88" w14:textId="77777777" w:rsidR="004D336D" w:rsidRPr="00FF58D5" w:rsidRDefault="00FB0947"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Proponowana zmiana ma na celu jednoznaczne wskazanie, że wymienione w przepisie kryteria mają charakter przykładowy, a nie wyczerpujący. Dodanie sformułowania „między innymi” potwierdza dopuszczalność stosowania również innych obiektywnych i wolnych od uprzedzeń kryteriów, pod warunkiem zgodności z zasadą równego traktowania oraz przepisami Kodeksu pracy.</w:t>
            </w:r>
          </w:p>
          <w:p w14:paraId="45E5456F" w14:textId="77777777" w:rsidR="00B757BA" w:rsidRPr="00FF58D5" w:rsidRDefault="00B757BA" w:rsidP="009A348F">
            <w:pPr>
              <w:spacing w:line="276" w:lineRule="auto"/>
              <w:jc w:val="both"/>
              <w:rPr>
                <w:rFonts w:asciiTheme="minorHAnsi" w:hAnsiTheme="minorHAnsi" w:cstheme="minorHAnsi"/>
                <w:sz w:val="22"/>
                <w:szCs w:val="22"/>
              </w:rPr>
            </w:pPr>
          </w:p>
          <w:p w14:paraId="69C716D2" w14:textId="417C13B8" w:rsidR="00B757BA" w:rsidRPr="00FF58D5" w:rsidRDefault="00B757BA" w:rsidP="00AB5A1A">
            <w:pPr>
              <w:spacing w:line="276" w:lineRule="auto"/>
              <w:jc w:val="both"/>
              <w:rPr>
                <w:rFonts w:asciiTheme="minorHAnsi" w:hAnsiTheme="minorHAnsi" w:cstheme="minorHAnsi"/>
                <w:sz w:val="22"/>
                <w:szCs w:val="22"/>
              </w:rPr>
            </w:pPr>
          </w:p>
        </w:tc>
      </w:tr>
      <w:tr w:rsidR="009B5605" w:rsidRPr="00FF58D5" w14:paraId="47466AED" w14:textId="77777777" w:rsidTr="00AB5A1A">
        <w:trPr>
          <w:trHeight w:val="1275"/>
        </w:trPr>
        <w:tc>
          <w:tcPr>
            <w:tcW w:w="709" w:type="dxa"/>
            <w:vAlign w:val="center"/>
          </w:tcPr>
          <w:p w14:paraId="0A5742D1" w14:textId="77777777" w:rsidR="00C03406" w:rsidRPr="00FF58D5" w:rsidRDefault="00C03406" w:rsidP="000F1418">
            <w:pPr>
              <w:pStyle w:val="Akapitzlist"/>
              <w:numPr>
                <w:ilvl w:val="0"/>
                <w:numId w:val="69"/>
              </w:numPr>
              <w:spacing w:line="276" w:lineRule="auto"/>
              <w:contextualSpacing w:val="0"/>
              <w:jc w:val="right"/>
              <w:rPr>
                <w:rFonts w:asciiTheme="minorHAnsi" w:hAnsiTheme="minorHAnsi" w:cstheme="minorHAnsi"/>
                <w:b/>
                <w:sz w:val="22"/>
                <w:szCs w:val="22"/>
              </w:rPr>
            </w:pPr>
          </w:p>
        </w:tc>
        <w:tc>
          <w:tcPr>
            <w:tcW w:w="1134" w:type="dxa"/>
            <w:vAlign w:val="center"/>
          </w:tcPr>
          <w:p w14:paraId="50AAF5E3" w14:textId="1A18DE52" w:rsidR="00C03406" w:rsidRPr="00FF58D5" w:rsidRDefault="005B2AA0"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6.</w:t>
            </w:r>
          </w:p>
        </w:tc>
        <w:tc>
          <w:tcPr>
            <w:tcW w:w="3118" w:type="dxa"/>
            <w:vAlign w:val="center"/>
          </w:tcPr>
          <w:p w14:paraId="49A7D484" w14:textId="68DD13A8" w:rsidR="00C03406" w:rsidRPr="00FF58D5" w:rsidRDefault="00096CFF"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6.</w:t>
            </w:r>
            <w:r w:rsidRPr="00FF58D5">
              <w:rPr>
                <w:rFonts w:asciiTheme="minorHAnsi" w:hAnsiTheme="minorHAnsi" w:cstheme="minorHAnsi"/>
                <w:sz w:val="22"/>
                <w:szCs w:val="22"/>
              </w:rPr>
              <w:t xml:space="preserve"> Minister właściwy do spraw pracy udostępnia na swojej stronie internetowej narzędzie analityczne lub metodę umożliwiającą pracodawcom dokonanie oceny wartości pracy określonego rodzaju lub na określonym stanowisku.</w:t>
            </w:r>
          </w:p>
        </w:tc>
        <w:tc>
          <w:tcPr>
            <w:tcW w:w="3827" w:type="dxa"/>
            <w:vAlign w:val="center"/>
          </w:tcPr>
          <w:p w14:paraId="469097A1" w14:textId="72005DB6" w:rsidR="00C03406" w:rsidRPr="00FF58D5" w:rsidRDefault="00096CFF"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Doprecyzowanie przepisu.</w:t>
            </w:r>
          </w:p>
        </w:tc>
        <w:tc>
          <w:tcPr>
            <w:tcW w:w="5387" w:type="dxa"/>
            <w:vAlign w:val="center"/>
          </w:tcPr>
          <w:p w14:paraId="353F7D91" w14:textId="49FEC59C" w:rsidR="00826DE9" w:rsidRPr="00FF58D5" w:rsidRDefault="004B2FD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T</w:t>
            </w:r>
            <w:r w:rsidR="00826DE9" w:rsidRPr="00FF58D5">
              <w:rPr>
                <w:rFonts w:asciiTheme="minorHAnsi" w:hAnsiTheme="minorHAnsi" w:cstheme="minorHAnsi"/>
                <w:sz w:val="22"/>
                <w:szCs w:val="22"/>
              </w:rPr>
              <w:t>reś</w:t>
            </w:r>
            <w:r w:rsidRPr="00FF58D5">
              <w:rPr>
                <w:rFonts w:asciiTheme="minorHAnsi" w:hAnsiTheme="minorHAnsi" w:cstheme="minorHAnsi"/>
                <w:sz w:val="22"/>
                <w:szCs w:val="22"/>
              </w:rPr>
              <w:t>ć</w:t>
            </w:r>
            <w:r w:rsidR="00826DE9" w:rsidRPr="00FF58D5">
              <w:rPr>
                <w:rFonts w:asciiTheme="minorHAnsi" w:hAnsiTheme="minorHAnsi" w:cstheme="minorHAnsi"/>
                <w:sz w:val="22"/>
                <w:szCs w:val="22"/>
              </w:rPr>
              <w:t xml:space="preserve"> art. 6 </w:t>
            </w:r>
            <w:r w:rsidRPr="00FF58D5">
              <w:rPr>
                <w:rFonts w:asciiTheme="minorHAnsi" w:hAnsiTheme="minorHAnsi" w:cstheme="minorHAnsi"/>
                <w:sz w:val="22"/>
                <w:szCs w:val="22"/>
              </w:rPr>
              <w:t xml:space="preserve">może </w:t>
            </w:r>
            <w:r w:rsidR="00B04B36" w:rsidRPr="00FF58D5">
              <w:rPr>
                <w:rFonts w:asciiTheme="minorHAnsi" w:hAnsiTheme="minorHAnsi" w:cstheme="minorHAnsi"/>
                <w:sz w:val="22"/>
                <w:szCs w:val="22"/>
              </w:rPr>
              <w:t>prowadzić do wniosku</w:t>
            </w:r>
            <w:r w:rsidR="00826DE9" w:rsidRPr="00FF58D5">
              <w:rPr>
                <w:rFonts w:asciiTheme="minorHAnsi" w:hAnsiTheme="minorHAnsi" w:cstheme="minorHAnsi"/>
                <w:sz w:val="22"/>
                <w:szCs w:val="22"/>
              </w:rPr>
              <w:t>, że narzędzie analityczne lub metoda udostępniana przez ministra właściwego do spraw pracy może mieć charakter wiążący dla pracodawców. Tymczasem informacje publikowane na stronie internetowej ministerstwa wskazują, że narzędzie to ma charakter rekomendowany, a nie obligatoryjny.</w:t>
            </w:r>
          </w:p>
          <w:p w14:paraId="06DC4462" w14:textId="4DF1D418" w:rsidR="00826DE9" w:rsidRPr="00FF58D5" w:rsidRDefault="006C29B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M</w:t>
            </w:r>
            <w:r w:rsidR="00826DE9" w:rsidRPr="00FF58D5">
              <w:rPr>
                <w:rFonts w:asciiTheme="minorHAnsi" w:hAnsiTheme="minorHAnsi" w:cstheme="minorHAnsi"/>
                <w:sz w:val="22"/>
                <w:szCs w:val="22"/>
              </w:rPr>
              <w:t xml:space="preserve">oże </w:t>
            </w:r>
            <w:r w:rsidRPr="00FF58D5">
              <w:rPr>
                <w:rFonts w:asciiTheme="minorHAnsi" w:hAnsiTheme="minorHAnsi" w:cstheme="minorHAnsi"/>
                <w:sz w:val="22"/>
                <w:szCs w:val="22"/>
              </w:rPr>
              <w:t xml:space="preserve">to </w:t>
            </w:r>
            <w:r w:rsidR="00826DE9" w:rsidRPr="00FF58D5">
              <w:rPr>
                <w:rFonts w:asciiTheme="minorHAnsi" w:hAnsiTheme="minorHAnsi" w:cstheme="minorHAnsi"/>
                <w:sz w:val="22"/>
                <w:szCs w:val="22"/>
              </w:rPr>
              <w:t>prowadzić do istotnych wątpliwości interpretacyjnych co do statusu prawnego narzędzia oraz zakresu obowiązków pracodawców, w szczególności w kontekście ewentualnej kontroli lub odpowiedzialności za niewykorzystanie wskazanego rozwiązania.</w:t>
            </w:r>
          </w:p>
          <w:p w14:paraId="3415E6DD" w14:textId="41FF8A42" w:rsidR="00C03406" w:rsidRPr="00FF58D5" w:rsidRDefault="00826DE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Zasadne jest jednoznaczne doprecyzowanie w ustawie, że udostępnione narzędzie lub metoda mają charakter pomocniczy i niewiążący, albo – alternatywnie – wyraźne wskazanie konsekwencji prawnych ich stosowania bądź niestosowania.</w:t>
            </w:r>
          </w:p>
        </w:tc>
      </w:tr>
      <w:tr w:rsidR="009B5605" w:rsidRPr="00FF58D5" w14:paraId="5129B009" w14:textId="77777777" w:rsidTr="00AB5A1A">
        <w:trPr>
          <w:trHeight w:val="1275"/>
        </w:trPr>
        <w:tc>
          <w:tcPr>
            <w:tcW w:w="709" w:type="dxa"/>
            <w:vAlign w:val="center"/>
          </w:tcPr>
          <w:p w14:paraId="04F384FA" w14:textId="77777777" w:rsidR="004D336D" w:rsidRPr="00FF58D5" w:rsidRDefault="004D336D"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1A7B8C7" w14:textId="0FB5413D" w:rsidR="004D336D" w:rsidRPr="00FF58D5" w:rsidRDefault="00FB0947"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7</w:t>
            </w:r>
          </w:p>
        </w:tc>
        <w:tc>
          <w:tcPr>
            <w:tcW w:w="3118" w:type="dxa"/>
            <w:vAlign w:val="center"/>
          </w:tcPr>
          <w:p w14:paraId="18964AB5" w14:textId="7EBC6B94" w:rsidR="004D336D" w:rsidRPr="00FF58D5" w:rsidRDefault="00FB094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
                <w:sz w:val="22"/>
                <w:szCs w:val="22"/>
              </w:rPr>
              <w:t>Art. 7.</w:t>
            </w:r>
            <w:r w:rsidRPr="00FF58D5">
              <w:rPr>
                <w:rFonts w:asciiTheme="minorHAnsi" w:hAnsiTheme="minorHAnsi" w:cstheme="minorHAnsi"/>
                <w:bCs/>
                <w:sz w:val="22"/>
                <w:szCs w:val="22"/>
              </w:rPr>
              <w:t xml:space="preserve"> 1. Pracodawca określa kryteria służące ustaleniu wynagrodzeń pracowników, poziomów wynagrodzeń i wzrostu wynagrodzeń w sposób obiektywny oraz neutralny pod względem płci, a także wykluczający wszelką bezpośrednią lub pośrednią dyskryminację  ze względu na płeć. (…)</w:t>
            </w:r>
          </w:p>
        </w:tc>
        <w:tc>
          <w:tcPr>
            <w:tcW w:w="3827" w:type="dxa"/>
            <w:vAlign w:val="center"/>
          </w:tcPr>
          <w:p w14:paraId="4FBB0D5F" w14:textId="54CBE501" w:rsidR="00623C4F" w:rsidRPr="00FF58D5" w:rsidRDefault="00623C4F" w:rsidP="00623C4F">
            <w:pPr>
              <w:pStyle w:val="Akapitzlist"/>
              <w:numPr>
                <w:ilvl w:val="0"/>
                <w:numId w:val="67"/>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Konieczne jest </w:t>
            </w:r>
            <w:r w:rsidR="00C80897" w:rsidRPr="00FF58D5">
              <w:rPr>
                <w:rFonts w:asciiTheme="minorHAnsi" w:hAnsiTheme="minorHAnsi" w:cstheme="minorHAnsi"/>
                <w:bCs/>
                <w:sz w:val="22"/>
                <w:szCs w:val="22"/>
              </w:rPr>
              <w:t xml:space="preserve">wskazanie w przepisie, iż </w:t>
            </w:r>
            <w:r w:rsidR="00BD2080" w:rsidRPr="00FF58D5">
              <w:rPr>
                <w:rFonts w:asciiTheme="minorHAnsi" w:hAnsiTheme="minorHAnsi" w:cstheme="minorHAnsi"/>
                <w:bCs/>
                <w:sz w:val="22"/>
                <w:szCs w:val="22"/>
              </w:rPr>
              <w:t xml:space="preserve">dopuszczalna jest zróżnicowanie wysokości wynagrodzeń ze względu  na </w:t>
            </w:r>
            <w:r w:rsidR="002257DC" w:rsidRPr="00FF58D5">
              <w:rPr>
                <w:rFonts w:asciiTheme="minorHAnsi" w:hAnsiTheme="minorHAnsi" w:cstheme="minorHAnsi"/>
                <w:bCs/>
                <w:sz w:val="22"/>
                <w:szCs w:val="22"/>
              </w:rPr>
              <w:t xml:space="preserve">różnice warunków społeczno-gospodarczych w poszczególnych regionach </w:t>
            </w:r>
            <w:r w:rsidR="003A34F3" w:rsidRPr="00FF58D5">
              <w:rPr>
                <w:rFonts w:asciiTheme="minorHAnsi" w:hAnsiTheme="minorHAnsi" w:cstheme="minorHAnsi"/>
                <w:bCs/>
                <w:sz w:val="22"/>
                <w:szCs w:val="22"/>
              </w:rPr>
              <w:t xml:space="preserve">Polski. </w:t>
            </w:r>
          </w:p>
          <w:p w14:paraId="30C5DF49" w14:textId="77777777" w:rsidR="006837D0" w:rsidRPr="00FF58D5" w:rsidRDefault="006837D0" w:rsidP="006837D0">
            <w:pPr>
              <w:pStyle w:val="Akapitzlist"/>
              <w:spacing w:line="276" w:lineRule="auto"/>
              <w:ind w:left="360"/>
              <w:jc w:val="both"/>
              <w:rPr>
                <w:rFonts w:asciiTheme="minorHAnsi" w:hAnsiTheme="minorHAnsi" w:cstheme="minorHAnsi"/>
                <w:bCs/>
                <w:sz w:val="22"/>
                <w:szCs w:val="22"/>
              </w:rPr>
            </w:pPr>
          </w:p>
          <w:p w14:paraId="3EE6DE03" w14:textId="1AABE69E" w:rsidR="004D336D" w:rsidRPr="00FF58D5" w:rsidRDefault="00FB0947" w:rsidP="00C80897">
            <w:pPr>
              <w:pStyle w:val="Akapitzlist"/>
              <w:numPr>
                <w:ilvl w:val="0"/>
                <w:numId w:val="67"/>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Proponuje się dodanie do art. 7 ustępu 4 o następującej treści:</w:t>
            </w:r>
          </w:p>
          <w:p w14:paraId="165A5FA7" w14:textId="77777777" w:rsidR="00FB0947" w:rsidRPr="00FF58D5" w:rsidRDefault="00FB0947" w:rsidP="00AB5A1A">
            <w:pPr>
              <w:spacing w:line="276" w:lineRule="auto"/>
              <w:jc w:val="both"/>
              <w:rPr>
                <w:rFonts w:asciiTheme="minorHAnsi" w:hAnsiTheme="minorHAnsi" w:cstheme="minorHAnsi"/>
                <w:bCs/>
                <w:sz w:val="22"/>
                <w:szCs w:val="22"/>
              </w:rPr>
            </w:pPr>
          </w:p>
          <w:p w14:paraId="38691B61" w14:textId="3DCDC92F" w:rsidR="00FB0947" w:rsidRPr="00FF58D5" w:rsidRDefault="00FB0947" w:rsidP="00C80897">
            <w:pPr>
              <w:spacing w:line="276" w:lineRule="auto"/>
              <w:ind w:left="360"/>
              <w:jc w:val="both"/>
              <w:rPr>
                <w:rFonts w:asciiTheme="minorHAnsi" w:hAnsiTheme="minorHAnsi" w:cstheme="minorHAnsi"/>
                <w:bCs/>
                <w:i/>
                <w:iCs/>
                <w:sz w:val="22"/>
                <w:szCs w:val="22"/>
              </w:rPr>
            </w:pPr>
            <w:r w:rsidRPr="00FF58D5">
              <w:rPr>
                <w:rFonts w:asciiTheme="minorHAnsi" w:hAnsiTheme="minorHAnsi" w:cstheme="minorHAnsi"/>
                <w:bCs/>
                <w:i/>
                <w:iCs/>
                <w:sz w:val="22"/>
                <w:szCs w:val="22"/>
              </w:rPr>
              <w:lastRenderedPageBreak/>
              <w:t>Kryteria związane ze wzrostem wynagrodzenia mogą obejmować między innymi indywidualne osiągnięcia, rozwój umiejętności</w:t>
            </w:r>
            <w:r w:rsidR="00137B48" w:rsidRPr="00FF58D5">
              <w:rPr>
                <w:rFonts w:asciiTheme="minorHAnsi" w:hAnsiTheme="minorHAnsi" w:cstheme="minorHAnsi"/>
                <w:bCs/>
                <w:i/>
                <w:iCs/>
                <w:sz w:val="22"/>
                <w:szCs w:val="22"/>
              </w:rPr>
              <w:t>,</w:t>
            </w:r>
            <w:r w:rsidRPr="00FF58D5">
              <w:rPr>
                <w:rFonts w:asciiTheme="minorHAnsi" w:hAnsiTheme="minorHAnsi" w:cstheme="minorHAnsi"/>
                <w:bCs/>
                <w:i/>
                <w:iCs/>
                <w:sz w:val="22"/>
                <w:szCs w:val="22"/>
              </w:rPr>
              <w:t xml:space="preserve"> staż pracy.</w:t>
            </w:r>
          </w:p>
          <w:p w14:paraId="58BCB35B" w14:textId="7492AFC8" w:rsidR="00FB0947" w:rsidRPr="00FF58D5" w:rsidRDefault="00FB0947" w:rsidP="00AB5A1A">
            <w:pPr>
              <w:spacing w:line="276" w:lineRule="auto"/>
              <w:jc w:val="both"/>
              <w:rPr>
                <w:rFonts w:asciiTheme="minorHAnsi" w:hAnsiTheme="minorHAnsi" w:cstheme="minorHAnsi"/>
                <w:bCs/>
                <w:sz w:val="22"/>
                <w:szCs w:val="22"/>
              </w:rPr>
            </w:pPr>
          </w:p>
        </w:tc>
        <w:tc>
          <w:tcPr>
            <w:tcW w:w="5387" w:type="dxa"/>
          </w:tcPr>
          <w:p w14:paraId="2EA43A76" w14:textId="4658CF1C" w:rsidR="003A34F3" w:rsidRPr="00FF58D5" w:rsidRDefault="003A34F3" w:rsidP="00AB5A1A">
            <w:pPr>
              <w:pStyle w:val="Akapitzlist"/>
              <w:numPr>
                <w:ilvl w:val="0"/>
                <w:numId w:val="54"/>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Uważamy za konieczne </w:t>
            </w:r>
            <w:r w:rsidR="00FC73F0" w:rsidRPr="00FF58D5">
              <w:rPr>
                <w:rFonts w:asciiTheme="minorHAnsi" w:hAnsiTheme="minorHAnsi" w:cstheme="minorHAnsi"/>
                <w:bCs/>
                <w:sz w:val="22"/>
                <w:szCs w:val="22"/>
              </w:rPr>
              <w:t>uregulowanie możliwości różnicowania wysokości wynagrodzeń ze względna</w:t>
            </w:r>
          </w:p>
          <w:p w14:paraId="0A7430DE" w14:textId="127A73B7" w:rsidR="00FC73F0" w:rsidRPr="00FF58D5" w:rsidRDefault="00FC73F0" w:rsidP="00FC73F0">
            <w:pPr>
              <w:pStyle w:val="Akapitzlist"/>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na różnice warunków społeczno-gospodarczych w poszczególnych regionach Polski. Bez wyraźniej podstawy prawnej kwestia ta będzie rodziła zasadnicze wątpliwości. </w:t>
            </w:r>
          </w:p>
          <w:p w14:paraId="4FEB25B0" w14:textId="77777777" w:rsidR="00FC73F0" w:rsidRPr="00FF58D5" w:rsidRDefault="00FC73F0" w:rsidP="00A3732B">
            <w:pPr>
              <w:spacing w:line="276" w:lineRule="auto"/>
              <w:jc w:val="both"/>
              <w:rPr>
                <w:rFonts w:asciiTheme="minorHAnsi" w:hAnsiTheme="minorHAnsi" w:cstheme="minorHAnsi"/>
                <w:bCs/>
                <w:sz w:val="22"/>
                <w:szCs w:val="22"/>
              </w:rPr>
            </w:pPr>
          </w:p>
          <w:p w14:paraId="34A9EC58" w14:textId="0A1A510E" w:rsidR="00FB0947" w:rsidRPr="00FF58D5" w:rsidRDefault="00FB0947" w:rsidP="00AB5A1A">
            <w:pPr>
              <w:pStyle w:val="Akapitzlist"/>
              <w:numPr>
                <w:ilvl w:val="0"/>
                <w:numId w:val="54"/>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Jak wynika z motywu 35 dyrektywy Parlamentu Europejskiego i Rady (UE) 2023/970 w sprawie wzmocnienia stosowania zasady równości wynagrodzeń kobiet i mężczyzn za taką samą pracę </w:t>
            </w:r>
            <w:r w:rsidRPr="00FF58D5">
              <w:rPr>
                <w:rFonts w:asciiTheme="minorHAnsi" w:hAnsiTheme="minorHAnsi" w:cstheme="minorHAnsi"/>
                <w:bCs/>
                <w:sz w:val="22"/>
                <w:szCs w:val="22"/>
              </w:rPr>
              <w:lastRenderedPageBreak/>
              <w:t xml:space="preserve">lub pracę o takiej samej wartości, </w:t>
            </w:r>
            <w:r w:rsidRPr="00FF58D5">
              <w:rPr>
                <w:rFonts w:asciiTheme="minorHAnsi" w:hAnsiTheme="minorHAnsi" w:cstheme="minorHAnsi"/>
                <w:b/>
                <w:sz w:val="22"/>
                <w:szCs w:val="22"/>
              </w:rPr>
              <w:t>kryteria związane z progresją wynagrodzenia mogą obejmować między innymi indywidualne osiągnięcia, rozwój umiejętności oraz staż pracy.</w:t>
            </w:r>
          </w:p>
          <w:p w14:paraId="4C9CB4F3" w14:textId="77777777" w:rsidR="004D336D" w:rsidRPr="00FF58D5" w:rsidRDefault="00FB0947" w:rsidP="002425DF">
            <w:pPr>
              <w:spacing w:line="276" w:lineRule="auto"/>
              <w:ind w:left="708"/>
              <w:jc w:val="both"/>
              <w:rPr>
                <w:rFonts w:asciiTheme="minorHAnsi" w:hAnsiTheme="minorHAnsi" w:cstheme="minorHAnsi"/>
                <w:bCs/>
                <w:sz w:val="22"/>
                <w:szCs w:val="22"/>
              </w:rPr>
            </w:pPr>
            <w:r w:rsidRPr="00FF58D5">
              <w:rPr>
                <w:rFonts w:asciiTheme="minorHAnsi" w:hAnsiTheme="minorHAnsi" w:cstheme="minorHAnsi"/>
                <w:bCs/>
                <w:sz w:val="22"/>
                <w:szCs w:val="22"/>
              </w:rPr>
              <w:t>W związku z powyższym zasadne jest wprowadzenie do ustawy przykładowych kryteriów stosowanych przy progresji wynagrodzenia, w tym w szczególności stażu pracy. Rozwiązanie to odpowiada treści dyrektywy i służy usunięciu istniejących w praktyce wątpliwości interpretacyjnych występujących w polskim systemie prawnym co do dopuszczalności stosowania tego rodzaju kryteriów.</w:t>
            </w:r>
          </w:p>
          <w:p w14:paraId="7735021B" w14:textId="4D6E2433" w:rsidR="00605750" w:rsidRPr="00FF58D5" w:rsidRDefault="007F47C4" w:rsidP="00AB5A1A">
            <w:pPr>
              <w:pStyle w:val="Akapitzlist"/>
              <w:numPr>
                <w:ilvl w:val="0"/>
                <w:numId w:val="54"/>
              </w:numPr>
              <w:spacing w:line="276" w:lineRule="auto"/>
              <w:jc w:val="both"/>
              <w:rPr>
                <w:rFonts w:asciiTheme="minorHAnsi" w:hAnsiTheme="minorHAnsi" w:cstheme="minorHAnsi"/>
                <w:bCs/>
                <w:color w:val="000000" w:themeColor="text1"/>
                <w:sz w:val="22"/>
                <w:szCs w:val="22"/>
              </w:rPr>
            </w:pPr>
            <w:r w:rsidRPr="00FF58D5">
              <w:rPr>
                <w:rFonts w:asciiTheme="minorHAnsi" w:hAnsiTheme="minorHAnsi" w:cstheme="minorHAnsi"/>
                <w:bCs/>
                <w:color w:val="000000" w:themeColor="text1"/>
                <w:sz w:val="22"/>
                <w:szCs w:val="22"/>
              </w:rPr>
              <w:t xml:space="preserve">Użyte w tym przepisie pojęcie poziomów wynagrodzeń oznacza, zgodnie z proponowaną definicją </w:t>
            </w:r>
            <w:r w:rsidR="00C751F7" w:rsidRPr="00FF58D5">
              <w:rPr>
                <w:rFonts w:asciiTheme="minorHAnsi" w:hAnsiTheme="minorHAnsi" w:cstheme="minorHAnsi"/>
                <w:bCs/>
                <w:i/>
                <w:iCs/>
                <w:color w:val="000000" w:themeColor="text1"/>
                <w:sz w:val="22"/>
                <w:szCs w:val="22"/>
              </w:rPr>
              <w:t>„roczne wynagrodzenie brutto i odpowiadające mu wynagrodzenie godzinowe brutto, obliczane na podstawie otrzymanego wynagrodzenia w danym okresie, z wyłączeniem jednakowego świadczenia pieniężnego lub rzeczowego otrzymywanego przez wszystkich pracowników w ramach kategorii pracowników lub udostępniane wszystkim pracownikom w ramach kategorii pracowników bez żadnych przesłanek do skorzystania z nich</w:t>
            </w:r>
            <w:r w:rsidR="00C751F7" w:rsidRPr="00FF58D5">
              <w:rPr>
                <w:rFonts w:asciiTheme="minorHAnsi" w:hAnsiTheme="minorHAnsi" w:cstheme="minorHAnsi"/>
                <w:bCs/>
                <w:color w:val="000000" w:themeColor="text1"/>
                <w:sz w:val="22"/>
                <w:szCs w:val="22"/>
              </w:rPr>
              <w:t xml:space="preserve">”. </w:t>
            </w:r>
            <w:r w:rsidR="00873B71" w:rsidRPr="00FF58D5">
              <w:rPr>
                <w:rFonts w:asciiTheme="minorHAnsi" w:hAnsiTheme="minorHAnsi" w:cstheme="minorHAnsi"/>
                <w:bCs/>
                <w:color w:val="000000" w:themeColor="text1"/>
                <w:sz w:val="22"/>
                <w:szCs w:val="22"/>
              </w:rPr>
              <w:t>Czy t</w:t>
            </w:r>
            <w:r w:rsidR="00637224" w:rsidRPr="00FF58D5">
              <w:rPr>
                <w:rFonts w:asciiTheme="minorHAnsi" w:hAnsiTheme="minorHAnsi" w:cstheme="minorHAnsi"/>
                <w:bCs/>
                <w:color w:val="000000" w:themeColor="text1"/>
                <w:sz w:val="22"/>
                <w:szCs w:val="22"/>
              </w:rPr>
              <w:t xml:space="preserve">aka jest intencja projektodawców? </w:t>
            </w:r>
            <w:r w:rsidR="00873B71" w:rsidRPr="00FF58D5">
              <w:rPr>
                <w:rFonts w:asciiTheme="minorHAnsi" w:hAnsiTheme="minorHAnsi" w:cstheme="minorHAnsi"/>
                <w:bCs/>
                <w:color w:val="000000" w:themeColor="text1"/>
                <w:sz w:val="22"/>
                <w:szCs w:val="22"/>
              </w:rPr>
              <w:t xml:space="preserve"> </w:t>
            </w:r>
          </w:p>
          <w:p w14:paraId="2E962582" w14:textId="257FBDBE" w:rsidR="00485BAB" w:rsidRPr="00FF58D5" w:rsidRDefault="00485BAB" w:rsidP="00605750">
            <w:pPr>
              <w:pStyle w:val="Akapitzlist"/>
              <w:spacing w:line="276" w:lineRule="auto"/>
              <w:jc w:val="both"/>
              <w:rPr>
                <w:rFonts w:asciiTheme="minorHAnsi" w:hAnsiTheme="minorHAnsi" w:cstheme="minorHAnsi"/>
                <w:bCs/>
                <w:sz w:val="22"/>
                <w:szCs w:val="22"/>
              </w:rPr>
            </w:pPr>
          </w:p>
        </w:tc>
      </w:tr>
      <w:tr w:rsidR="008D6FC6" w:rsidRPr="00FF58D5" w14:paraId="5952DEA0" w14:textId="77777777" w:rsidTr="00413339">
        <w:trPr>
          <w:trHeight w:val="1275"/>
        </w:trPr>
        <w:tc>
          <w:tcPr>
            <w:tcW w:w="709" w:type="dxa"/>
            <w:vAlign w:val="center"/>
          </w:tcPr>
          <w:p w14:paraId="2A848E87" w14:textId="77777777" w:rsidR="008D6FC6" w:rsidRPr="00FF58D5" w:rsidRDefault="008D6FC6"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A5C960D" w14:textId="65B07ECD" w:rsidR="008D6FC6" w:rsidRPr="00FF58D5" w:rsidRDefault="008D6FC6" w:rsidP="009A348F">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 xml:space="preserve">Art. 7 ust. 3 </w:t>
            </w:r>
          </w:p>
        </w:tc>
        <w:tc>
          <w:tcPr>
            <w:tcW w:w="3118" w:type="dxa"/>
            <w:vAlign w:val="center"/>
          </w:tcPr>
          <w:p w14:paraId="0CF555BB" w14:textId="518672A5" w:rsidR="008D6FC6" w:rsidRPr="00FF58D5" w:rsidRDefault="00FD538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3. Pracodawca zatrudniający mniej niż 50 pracowników udostępnia informacje o kryteriach wzrostu wynagrodzeń na wniosek pracownika w terminie 14 dni od dnia otrzymania wniosku.</w:t>
            </w:r>
          </w:p>
        </w:tc>
        <w:tc>
          <w:tcPr>
            <w:tcW w:w="3827" w:type="dxa"/>
            <w:vAlign w:val="center"/>
          </w:tcPr>
          <w:p w14:paraId="3AE694B7" w14:textId="57A8F03D" w:rsidR="008D6FC6" w:rsidRPr="00FF58D5" w:rsidRDefault="00FD538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Zmiana przepis poprzez </w:t>
            </w:r>
            <w:r w:rsidR="001E5CB8" w:rsidRPr="00FF58D5">
              <w:rPr>
                <w:rFonts w:asciiTheme="minorHAnsi" w:hAnsiTheme="minorHAnsi" w:cstheme="minorHAnsi"/>
                <w:bCs/>
                <w:sz w:val="22"/>
                <w:szCs w:val="22"/>
              </w:rPr>
              <w:t>skorzystanie z możliwości przewidzianej w art. 5 ust. 2 dyrektywy</w:t>
            </w:r>
            <w:r w:rsidR="00857A86" w:rsidRPr="00FF58D5">
              <w:rPr>
                <w:rFonts w:asciiTheme="minorHAnsi" w:hAnsiTheme="minorHAnsi" w:cstheme="minorHAnsi"/>
                <w:bCs/>
                <w:sz w:val="22"/>
                <w:szCs w:val="22"/>
              </w:rPr>
              <w:t xml:space="preserve"> i wyłączenie małych pracodawców</w:t>
            </w:r>
            <w:r w:rsidR="00E70BDE" w:rsidRPr="00FF58D5">
              <w:rPr>
                <w:rFonts w:asciiTheme="minorHAnsi" w:hAnsiTheme="minorHAnsi" w:cstheme="minorHAnsi"/>
                <w:bCs/>
                <w:sz w:val="22"/>
                <w:szCs w:val="22"/>
              </w:rPr>
              <w:t>.</w:t>
            </w:r>
          </w:p>
        </w:tc>
        <w:tc>
          <w:tcPr>
            <w:tcW w:w="5387" w:type="dxa"/>
          </w:tcPr>
          <w:p w14:paraId="24D8C486" w14:textId="77777777" w:rsidR="008D6FC6" w:rsidRPr="00FF58D5" w:rsidRDefault="001E5CB8" w:rsidP="00AB5A1A">
            <w:pPr>
              <w:spacing w:line="276" w:lineRule="auto"/>
              <w:jc w:val="both"/>
              <w:rPr>
                <w:rFonts w:asciiTheme="minorHAnsi" w:hAnsiTheme="minorHAnsi" w:cstheme="minorHAnsi"/>
                <w:bCs/>
                <w:i/>
                <w:iCs/>
                <w:sz w:val="22"/>
                <w:szCs w:val="22"/>
              </w:rPr>
            </w:pPr>
            <w:r w:rsidRPr="00FF58D5">
              <w:rPr>
                <w:rFonts w:asciiTheme="minorHAnsi" w:hAnsiTheme="minorHAnsi" w:cstheme="minorHAnsi"/>
                <w:bCs/>
                <w:sz w:val="22"/>
                <w:szCs w:val="22"/>
              </w:rPr>
              <w:t xml:space="preserve">Zgodnie z art. 5 ust. 2 </w:t>
            </w:r>
            <w:r w:rsidR="006A31E1" w:rsidRPr="00FF58D5">
              <w:rPr>
                <w:rFonts w:asciiTheme="minorHAnsi" w:hAnsiTheme="minorHAnsi" w:cstheme="minorHAnsi"/>
                <w:bCs/>
                <w:sz w:val="22"/>
                <w:szCs w:val="22"/>
              </w:rPr>
              <w:t>dyrektywy</w:t>
            </w:r>
            <w:r w:rsidRPr="00FF58D5">
              <w:rPr>
                <w:rFonts w:asciiTheme="minorHAnsi" w:hAnsiTheme="minorHAnsi" w:cstheme="minorHAnsi"/>
                <w:bCs/>
                <w:sz w:val="22"/>
                <w:szCs w:val="22"/>
              </w:rPr>
              <w:t xml:space="preserve"> </w:t>
            </w:r>
            <w:r w:rsidRPr="00FF58D5">
              <w:rPr>
                <w:rFonts w:asciiTheme="minorHAnsi" w:hAnsiTheme="minorHAnsi" w:cstheme="minorHAnsi"/>
                <w:bCs/>
                <w:i/>
                <w:iCs/>
                <w:sz w:val="22"/>
                <w:szCs w:val="22"/>
              </w:rPr>
              <w:t>Państwa członkowskie mogą zwolnić pracodawców zatrudniających mniej niż 50 pracowników z obowiązku związanego z progresją wynagrodzeń określonego</w:t>
            </w:r>
            <w:r w:rsidR="003F4961" w:rsidRPr="00FF58D5">
              <w:rPr>
                <w:rFonts w:asciiTheme="minorHAnsi" w:hAnsiTheme="minorHAnsi" w:cstheme="minorHAnsi"/>
                <w:bCs/>
                <w:i/>
                <w:iCs/>
                <w:sz w:val="22"/>
                <w:szCs w:val="22"/>
              </w:rPr>
              <w:t xml:space="preserve">. </w:t>
            </w:r>
            <w:r w:rsidR="007F47C4" w:rsidRPr="00FF58D5">
              <w:rPr>
                <w:rFonts w:asciiTheme="minorHAnsi" w:hAnsiTheme="minorHAnsi" w:cstheme="minorHAnsi"/>
                <w:bCs/>
                <w:sz w:val="22"/>
                <w:szCs w:val="22"/>
              </w:rPr>
              <w:t>Należy mieć również na uwadze moty w</w:t>
            </w:r>
            <w:r w:rsidR="00BA7053" w:rsidRPr="00FF58D5">
              <w:rPr>
                <w:rFonts w:asciiTheme="minorHAnsi" w:hAnsiTheme="minorHAnsi" w:cstheme="minorHAnsi"/>
                <w:bCs/>
                <w:sz w:val="22"/>
                <w:szCs w:val="22"/>
              </w:rPr>
              <w:t xml:space="preserve"> 65 dyrektywy </w:t>
            </w:r>
            <w:r w:rsidR="00BA7053" w:rsidRPr="00FF58D5">
              <w:rPr>
                <w:rFonts w:asciiTheme="minorHAnsi" w:hAnsiTheme="minorHAnsi" w:cstheme="minorHAnsi"/>
                <w:bCs/>
                <w:i/>
                <w:iCs/>
                <w:sz w:val="22"/>
                <w:szCs w:val="22"/>
              </w:rPr>
              <w:t>Przy wykonywaniu niniejszej dyrektywy państwa członkowskie powinny unikać nakładania ograniczeń administracyjnych, finansowych i prawnych w sposób, który utrudniałby tworzenie i rozwijanie mikroprzedsiębiorstw oraz małych lub średnich przedsiębiorstw. Państwa członkowskie powinny zatem przeprowadzić ocenę skutków swoich przepisów transponujących dla mikroprzedsiębiorstw oraz małych i średnich przedsiębiorstw w celu zapewnienia, aby przedsiębiorstwa te nie poniosły nieproporcjonalnych konsekwencji – przy czym szczególną uwagę należy zwrócić na mikroprzedsiębiorstwa – aby zmniejszyć obciążenia administracyjne oraz opublikować wyniki takich ocen.</w:t>
            </w:r>
          </w:p>
          <w:p w14:paraId="0A2EF290" w14:textId="77777777" w:rsidR="00BA7053" w:rsidRPr="00FF58D5" w:rsidRDefault="00BA7053" w:rsidP="00AB5A1A">
            <w:pPr>
              <w:spacing w:line="276" w:lineRule="auto"/>
              <w:jc w:val="both"/>
              <w:rPr>
                <w:rFonts w:asciiTheme="minorHAnsi" w:hAnsiTheme="minorHAnsi" w:cstheme="minorHAnsi"/>
                <w:bCs/>
                <w:i/>
                <w:iCs/>
                <w:sz w:val="22"/>
                <w:szCs w:val="22"/>
              </w:rPr>
            </w:pPr>
          </w:p>
          <w:p w14:paraId="3AE409A5" w14:textId="1CFF9ABD" w:rsidR="00BA7053" w:rsidRPr="00FF58D5" w:rsidRDefault="00BA705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Mając </w:t>
            </w:r>
            <w:r w:rsidR="00857A86" w:rsidRPr="00FF58D5">
              <w:rPr>
                <w:rFonts w:asciiTheme="minorHAnsi" w:hAnsiTheme="minorHAnsi" w:cstheme="minorHAnsi"/>
                <w:bCs/>
                <w:sz w:val="22"/>
                <w:szCs w:val="22"/>
              </w:rPr>
              <w:t xml:space="preserve">powyższe </w:t>
            </w:r>
            <w:r w:rsidRPr="00FF58D5">
              <w:rPr>
                <w:rFonts w:asciiTheme="minorHAnsi" w:hAnsiTheme="minorHAnsi" w:cstheme="minorHAnsi"/>
                <w:bCs/>
                <w:sz w:val="22"/>
                <w:szCs w:val="22"/>
              </w:rPr>
              <w:t xml:space="preserve">na uwadze uznajemy za uzasadnione wyłączenie </w:t>
            </w:r>
            <w:r w:rsidR="00857A86" w:rsidRPr="00FF58D5">
              <w:rPr>
                <w:rFonts w:asciiTheme="minorHAnsi" w:hAnsiTheme="minorHAnsi" w:cstheme="minorHAnsi"/>
                <w:bCs/>
                <w:sz w:val="22"/>
                <w:szCs w:val="22"/>
              </w:rPr>
              <w:t xml:space="preserve">małych pracodawców z obowiązków wskazanych w art. 7. </w:t>
            </w:r>
          </w:p>
        </w:tc>
      </w:tr>
      <w:tr w:rsidR="009B5605" w:rsidRPr="00FF58D5" w14:paraId="59589BFD" w14:textId="77777777" w:rsidTr="00AB5A1A">
        <w:trPr>
          <w:trHeight w:val="1275"/>
        </w:trPr>
        <w:tc>
          <w:tcPr>
            <w:tcW w:w="709" w:type="dxa"/>
            <w:vAlign w:val="center"/>
          </w:tcPr>
          <w:p w14:paraId="566D98B8" w14:textId="0F463AD3" w:rsidR="00E434F7" w:rsidRPr="00FF58D5" w:rsidRDefault="00E434F7" w:rsidP="000F1418">
            <w:pPr>
              <w:pStyle w:val="Akapitzlist"/>
              <w:numPr>
                <w:ilvl w:val="0"/>
                <w:numId w:val="69"/>
              </w:numPr>
              <w:spacing w:line="276" w:lineRule="auto"/>
              <w:jc w:val="right"/>
              <w:rPr>
                <w:rFonts w:asciiTheme="minorHAnsi" w:hAnsiTheme="minorHAnsi" w:cstheme="minorHAnsi"/>
                <w:bCs/>
                <w:sz w:val="22"/>
                <w:szCs w:val="22"/>
              </w:rPr>
            </w:pPr>
          </w:p>
        </w:tc>
        <w:tc>
          <w:tcPr>
            <w:tcW w:w="1134" w:type="dxa"/>
            <w:vAlign w:val="center"/>
          </w:tcPr>
          <w:p w14:paraId="45889DDD" w14:textId="1AE77450" w:rsidR="00E434F7" w:rsidRPr="00FF58D5" w:rsidRDefault="002240CE"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8</w:t>
            </w:r>
          </w:p>
        </w:tc>
        <w:tc>
          <w:tcPr>
            <w:tcW w:w="3118" w:type="dxa"/>
            <w:vAlign w:val="center"/>
          </w:tcPr>
          <w:p w14:paraId="251D0B04" w14:textId="137E16DE" w:rsidR="00E434F7" w:rsidRPr="00FF58D5" w:rsidRDefault="00B144AC"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 xml:space="preserve">Art. 8. </w:t>
            </w:r>
            <w:r w:rsidRPr="00FF58D5">
              <w:rPr>
                <w:rFonts w:asciiTheme="minorHAnsi" w:hAnsiTheme="minorHAnsi" w:cstheme="minorHAnsi"/>
                <w:bCs/>
                <w:sz w:val="22"/>
                <w:szCs w:val="22"/>
              </w:rPr>
              <w:t xml:space="preserve">1. Pracownik ma prawo wystąpić do pracodawcy z wnioskiem o informacje dotyczące jego indywidualnego poziomu wynagrodzenia oraz średnich poziomów </w:t>
            </w:r>
            <w:r w:rsidRPr="00FF58D5">
              <w:rPr>
                <w:rFonts w:asciiTheme="minorHAnsi" w:hAnsiTheme="minorHAnsi" w:cstheme="minorHAnsi"/>
                <w:bCs/>
                <w:sz w:val="22"/>
                <w:szCs w:val="22"/>
              </w:rPr>
              <w:lastRenderedPageBreak/>
              <w:t>wynagrodzenia w podziale na płeć w odniesieniu do kategorii pracowników wykonujących jednakową pracę jak on lub pracę o jednakowej wartości jak jego praca.</w:t>
            </w:r>
            <w:r w:rsidRPr="00FF58D5">
              <w:rPr>
                <w:rFonts w:asciiTheme="minorHAnsi" w:hAnsiTheme="minorHAnsi" w:cstheme="minorHAnsi"/>
                <w:b/>
                <w:sz w:val="22"/>
                <w:szCs w:val="22"/>
              </w:rPr>
              <w:t xml:space="preserve">  </w:t>
            </w:r>
          </w:p>
        </w:tc>
        <w:tc>
          <w:tcPr>
            <w:tcW w:w="3827" w:type="dxa"/>
            <w:vAlign w:val="center"/>
          </w:tcPr>
          <w:p w14:paraId="209540F6" w14:textId="67983EA8" w:rsidR="00182F73" w:rsidRPr="00FF58D5" w:rsidRDefault="00CA2D5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Przepis wymaga </w:t>
            </w:r>
            <w:r w:rsidR="00AB0113" w:rsidRPr="00FF58D5">
              <w:rPr>
                <w:rFonts w:asciiTheme="minorHAnsi" w:hAnsiTheme="minorHAnsi" w:cstheme="minorHAnsi"/>
                <w:bCs/>
                <w:sz w:val="22"/>
                <w:szCs w:val="22"/>
              </w:rPr>
              <w:t>przeredagowania</w:t>
            </w:r>
            <w:r w:rsidR="00D510C7" w:rsidRPr="00FF58D5">
              <w:rPr>
                <w:rFonts w:asciiTheme="minorHAnsi" w:hAnsiTheme="minorHAnsi" w:cstheme="minorHAnsi"/>
                <w:bCs/>
                <w:sz w:val="22"/>
                <w:szCs w:val="22"/>
              </w:rPr>
              <w:t>, w szczególności poprzez</w:t>
            </w:r>
            <w:r w:rsidR="00182F73" w:rsidRPr="00FF58D5">
              <w:rPr>
                <w:rFonts w:asciiTheme="minorHAnsi" w:hAnsiTheme="minorHAnsi" w:cstheme="minorHAnsi"/>
                <w:bCs/>
                <w:sz w:val="22"/>
                <w:szCs w:val="22"/>
              </w:rPr>
              <w:t>:</w:t>
            </w:r>
          </w:p>
          <w:p w14:paraId="654DE954" w14:textId="77777777" w:rsidR="00175217" w:rsidRPr="00FF58D5" w:rsidRDefault="00D510C7" w:rsidP="00182F73">
            <w:pPr>
              <w:pStyle w:val="Akapitzlist"/>
              <w:numPr>
                <w:ilvl w:val="0"/>
                <w:numId w:val="65"/>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przyznanie pracownikowi prawa do składania wniosku raz w roku kalendarzowym</w:t>
            </w:r>
          </w:p>
          <w:p w14:paraId="677E6A88" w14:textId="77777777" w:rsidR="00182F73" w:rsidRPr="00FF58D5" w:rsidRDefault="00182F73" w:rsidP="00182F73">
            <w:pPr>
              <w:pStyle w:val="Akapitzlist"/>
              <w:numPr>
                <w:ilvl w:val="0"/>
                <w:numId w:val="65"/>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uwzględnienie postaci elektronicznej odpowiedzi pracodawcy </w:t>
            </w:r>
          </w:p>
          <w:p w14:paraId="594B4736" w14:textId="5B2484BD" w:rsidR="00913369" w:rsidRPr="00FF58D5" w:rsidRDefault="00913369" w:rsidP="00182F73">
            <w:pPr>
              <w:pStyle w:val="Akapitzlist"/>
              <w:numPr>
                <w:ilvl w:val="0"/>
                <w:numId w:val="65"/>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wydłużenie terminu na udzielenie odpowiedzi pracownikowi z „30” do „60” dni. </w:t>
            </w:r>
          </w:p>
          <w:p w14:paraId="663C6939" w14:textId="49E46032" w:rsidR="00AB0113" w:rsidRPr="00FF58D5" w:rsidRDefault="007412CC" w:rsidP="00182F73">
            <w:pPr>
              <w:pStyle w:val="Akapitzlist"/>
              <w:numPr>
                <w:ilvl w:val="0"/>
                <w:numId w:val="65"/>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określenie zakresu informacji w przypadku wniosków składanych przez związkową organizację </w:t>
            </w:r>
          </w:p>
        </w:tc>
        <w:tc>
          <w:tcPr>
            <w:tcW w:w="5387" w:type="dxa"/>
          </w:tcPr>
          <w:p w14:paraId="06A31057" w14:textId="6FC52E9C" w:rsidR="00B20126" w:rsidRPr="00FF58D5" w:rsidRDefault="00B20126" w:rsidP="00B20126">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Przygotowanie się do stosowania przepisu, jak i jego późniejsze wykonywanie będzie dużym obciążeniem pracodawców.</w:t>
            </w:r>
          </w:p>
          <w:p w14:paraId="6CB65645" w14:textId="01006158" w:rsidR="00B20126" w:rsidRPr="00FF58D5" w:rsidRDefault="00B20126" w:rsidP="00B20126">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 Z uwagi na konieczność wcześniejszego raportowania przez pracodawcę, aby poprawnie zrozumieć struktury wynagrodzeń, a następnie przekazać je pracownikom, </w:t>
            </w:r>
            <w:r w:rsidRPr="00FF58D5">
              <w:rPr>
                <w:rFonts w:asciiTheme="minorHAnsi" w:hAnsiTheme="minorHAnsi" w:cstheme="minorHAnsi"/>
                <w:bCs/>
                <w:sz w:val="22"/>
                <w:szCs w:val="22"/>
              </w:rPr>
              <w:lastRenderedPageBreak/>
              <w:t>realizacja tego obowiązku może być bardzo czasochłonna. Szczególnie w dużych organizacjach wymaga to przygotowania systemów, ewentualnie dodatkowych zasobów kadrowych. Ponadto samo obliczenie i udostępnienie danych to tylko część obowiązku – każdorazowe uzasadnienie różnic, nawet jeśli są one obiektywnie uzasadnione, wymaga dodatkowej, pogłębionej analizy.</w:t>
            </w:r>
          </w:p>
          <w:p w14:paraId="3C5B3F97" w14:textId="11262E6B" w:rsidR="000655AC" w:rsidRPr="00FF58D5" w:rsidRDefault="000655AC" w:rsidP="00B20126">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Projekt nie zawiera informacji, jak często pracodawca powinien aktualizować średnie poziomy wynagrodzenia dla danej kategorii pracowników. </w:t>
            </w:r>
            <w:r w:rsidR="002F3D9B" w:rsidRPr="00FF58D5">
              <w:rPr>
                <w:rFonts w:asciiTheme="minorHAnsi" w:hAnsiTheme="minorHAnsi" w:cstheme="minorHAnsi"/>
                <w:bCs/>
                <w:sz w:val="22"/>
                <w:szCs w:val="22"/>
              </w:rPr>
              <w:t>Będzie to</w:t>
            </w:r>
            <w:r w:rsidRPr="00FF58D5">
              <w:rPr>
                <w:rFonts w:asciiTheme="minorHAnsi" w:hAnsiTheme="minorHAnsi" w:cstheme="minorHAnsi"/>
                <w:bCs/>
                <w:sz w:val="22"/>
                <w:szCs w:val="22"/>
              </w:rPr>
              <w:t xml:space="preserve"> prowadzi</w:t>
            </w:r>
            <w:r w:rsidR="002F3D9B" w:rsidRPr="00FF58D5">
              <w:rPr>
                <w:rFonts w:asciiTheme="minorHAnsi" w:hAnsiTheme="minorHAnsi" w:cstheme="minorHAnsi"/>
                <w:bCs/>
                <w:sz w:val="22"/>
                <w:szCs w:val="22"/>
              </w:rPr>
              <w:t>ło</w:t>
            </w:r>
            <w:r w:rsidRPr="00FF58D5">
              <w:rPr>
                <w:rFonts w:asciiTheme="minorHAnsi" w:hAnsiTheme="minorHAnsi" w:cstheme="minorHAnsi"/>
                <w:bCs/>
                <w:sz w:val="22"/>
                <w:szCs w:val="22"/>
              </w:rPr>
              <w:t xml:space="preserve"> do nadużyć i konieczności ciągłego przeliczania średniej, w przypadku gdyby takie wnioski były składane co miesiąc. </w:t>
            </w:r>
          </w:p>
          <w:p w14:paraId="149A9635" w14:textId="47B9F9E8" w:rsidR="00B52364" w:rsidRPr="00FF58D5" w:rsidRDefault="00B52364" w:rsidP="00B52364">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dalszych konsultacjach wyjaśnienia wymaga z jakiego okresu pracodawca ma uwzględniać dane stanowiące podstawę obliczeń poziomów wynagrodzenia. </w:t>
            </w:r>
          </w:p>
          <w:p w14:paraId="696758A4" w14:textId="77777777" w:rsidR="00EF77D9" w:rsidRPr="00FF58D5" w:rsidRDefault="00EF77D9" w:rsidP="00B52364">
            <w:pPr>
              <w:pStyle w:val="Akapitzlist"/>
              <w:spacing w:line="276" w:lineRule="auto"/>
              <w:ind w:left="360"/>
              <w:jc w:val="both"/>
              <w:rPr>
                <w:rFonts w:asciiTheme="minorHAnsi" w:hAnsiTheme="minorHAnsi" w:cstheme="minorHAnsi"/>
                <w:bCs/>
                <w:sz w:val="22"/>
                <w:szCs w:val="22"/>
              </w:rPr>
            </w:pPr>
          </w:p>
          <w:p w14:paraId="2F558BF3" w14:textId="52B05A38" w:rsidR="00094CDB" w:rsidRPr="00FF58D5" w:rsidRDefault="00094CDB" w:rsidP="00B52364">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
                <w:sz w:val="22"/>
                <w:szCs w:val="22"/>
              </w:rPr>
              <w:t xml:space="preserve">Przyznanie pracownikowi prawa do składania wniosku raz w roku </w:t>
            </w:r>
            <w:r w:rsidR="00233364" w:rsidRPr="00FF58D5">
              <w:rPr>
                <w:rFonts w:asciiTheme="minorHAnsi" w:hAnsiTheme="minorHAnsi" w:cstheme="minorHAnsi"/>
                <w:b/>
                <w:sz w:val="22"/>
                <w:szCs w:val="22"/>
              </w:rPr>
              <w:t xml:space="preserve">kalendarzowym </w:t>
            </w:r>
            <w:r w:rsidRPr="00FF58D5">
              <w:rPr>
                <w:rFonts w:asciiTheme="minorHAnsi" w:hAnsiTheme="minorHAnsi" w:cstheme="minorHAnsi"/>
                <w:b/>
                <w:sz w:val="22"/>
                <w:szCs w:val="22"/>
              </w:rPr>
              <w:t>byłoby zgodne z postanowieniami dyrektywy</w:t>
            </w:r>
            <w:r w:rsidR="00BE6E7E" w:rsidRPr="00FF58D5">
              <w:rPr>
                <w:rFonts w:asciiTheme="minorHAnsi" w:hAnsiTheme="minorHAnsi" w:cstheme="minorHAnsi"/>
                <w:b/>
                <w:sz w:val="22"/>
                <w:szCs w:val="22"/>
              </w:rPr>
              <w:t>.</w:t>
            </w:r>
            <w:r w:rsidR="00BE6E7E" w:rsidRPr="00FF58D5">
              <w:rPr>
                <w:rFonts w:asciiTheme="minorHAnsi" w:hAnsiTheme="minorHAnsi" w:cstheme="minorHAnsi"/>
                <w:bCs/>
                <w:sz w:val="22"/>
                <w:szCs w:val="22"/>
              </w:rPr>
              <w:t xml:space="preserve"> Stanowiło proporcjonalne rozwiązanie realizację cel dyrektywy, jak i uwzgledniające potrzebę  w jak największym zakresie ograniczania kosztów i obciążenia administracyjnego, na jakie narażeni są pracodawcy (…) – moty </w:t>
            </w:r>
            <w:r w:rsidR="00B43197" w:rsidRPr="00FF58D5">
              <w:rPr>
                <w:rFonts w:asciiTheme="minorHAnsi" w:hAnsiTheme="minorHAnsi" w:cstheme="minorHAnsi"/>
                <w:bCs/>
                <w:sz w:val="22"/>
                <w:szCs w:val="22"/>
              </w:rPr>
              <w:t xml:space="preserve">34 dyrektywy. </w:t>
            </w:r>
          </w:p>
          <w:p w14:paraId="499167BD" w14:textId="77777777" w:rsidR="00094CDB" w:rsidRPr="00FF58D5" w:rsidRDefault="002F3D9B" w:rsidP="002F3D9B">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Odnośnie do ust. 2 pożądane byłoby doprecyzowanie o co pracownik ma prawo dopytać w ramach szczegółowych informacji (np. czy ma prawo zapytać o liczebność kategorii porównawczych z podziałem na płeć? </w:t>
            </w:r>
          </w:p>
          <w:p w14:paraId="71B419C9" w14:textId="6A45AAFA" w:rsidR="00D77A1F" w:rsidRPr="00FF58D5" w:rsidRDefault="00D77A1F" w:rsidP="00094CDB">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 xml:space="preserve">Wniosek składany przez pracownika powinien </w:t>
            </w:r>
            <w:r w:rsidR="00094CDB" w:rsidRPr="00FF58D5">
              <w:rPr>
                <w:rFonts w:asciiTheme="minorHAnsi" w:hAnsiTheme="minorHAnsi" w:cstheme="minorHAnsi"/>
                <w:bCs/>
                <w:sz w:val="22"/>
                <w:szCs w:val="22"/>
              </w:rPr>
              <w:t xml:space="preserve">zawierać uzasadnienie </w:t>
            </w:r>
          </w:p>
          <w:p w14:paraId="00292D4E" w14:textId="3E342675" w:rsidR="002F3D9B" w:rsidRPr="00FF58D5" w:rsidRDefault="002F3D9B" w:rsidP="00D77A1F">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Rekomendujemy też dodanie informacji, że wyjaśnienia i szczegółowe informacje przekazane pracownikowi muszą zachować kryterium poufności danych.</w:t>
            </w:r>
          </w:p>
          <w:p w14:paraId="365F3B6A" w14:textId="1E514660" w:rsidR="00195CF9" w:rsidRPr="00FF58D5" w:rsidRDefault="00195CF9" w:rsidP="00B20126">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Rekomendujemy </w:t>
            </w:r>
            <w:r w:rsidR="00B47376" w:rsidRPr="00FF58D5">
              <w:rPr>
                <w:rFonts w:asciiTheme="minorHAnsi" w:hAnsiTheme="minorHAnsi" w:cstheme="minorHAnsi"/>
                <w:bCs/>
                <w:sz w:val="22"/>
                <w:szCs w:val="22"/>
              </w:rPr>
              <w:t xml:space="preserve">w ust. </w:t>
            </w:r>
            <w:r w:rsidR="005442BD" w:rsidRPr="00FF58D5">
              <w:rPr>
                <w:rFonts w:asciiTheme="minorHAnsi" w:hAnsiTheme="minorHAnsi" w:cstheme="minorHAnsi"/>
                <w:bCs/>
                <w:sz w:val="22"/>
                <w:szCs w:val="22"/>
              </w:rPr>
              <w:t xml:space="preserve">5 </w:t>
            </w:r>
            <w:r w:rsidRPr="00FF58D5">
              <w:rPr>
                <w:rFonts w:asciiTheme="minorHAnsi" w:hAnsiTheme="minorHAnsi" w:cstheme="minorHAnsi"/>
                <w:bCs/>
                <w:sz w:val="22"/>
                <w:szCs w:val="22"/>
              </w:rPr>
              <w:t xml:space="preserve">określenie formy wniosku: „pracownik ma prawo wystąpić do pracodawcy z wnioskiem, </w:t>
            </w:r>
            <w:r w:rsidRPr="00FF58D5">
              <w:rPr>
                <w:rFonts w:asciiTheme="minorHAnsi" w:hAnsiTheme="minorHAnsi" w:cstheme="minorHAnsi"/>
                <w:b/>
                <w:sz w:val="22"/>
                <w:szCs w:val="22"/>
              </w:rPr>
              <w:t>w postaci papierowej lub elektronicznej</w:t>
            </w:r>
            <w:r w:rsidRPr="00FF58D5">
              <w:rPr>
                <w:rFonts w:asciiTheme="minorHAnsi" w:hAnsiTheme="minorHAnsi" w:cstheme="minorHAnsi"/>
                <w:bCs/>
                <w:sz w:val="22"/>
                <w:szCs w:val="22"/>
              </w:rPr>
              <w:t xml:space="preserve">”. Uwaga obejmuje zarówno ust. 1 i 2. </w:t>
            </w:r>
          </w:p>
          <w:p w14:paraId="3F82D444" w14:textId="77777777" w:rsidR="000655AC" w:rsidRPr="00FF58D5" w:rsidRDefault="00195CF9" w:rsidP="000655AC">
            <w:pPr>
              <w:spacing w:line="276" w:lineRule="auto"/>
              <w:ind w:left="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Podobnie, co do udzielenia przez pracodawcę informacji na złożony przez pracownika wniosek, postulujemy o zmianę formy z „na piśmie” na „papierowa lub elektroniczna”. </w:t>
            </w:r>
          </w:p>
          <w:p w14:paraId="434F0C31" w14:textId="06D2684C" w:rsidR="00913369" w:rsidRPr="00FF58D5" w:rsidRDefault="00913369" w:rsidP="000655AC">
            <w:pPr>
              <w:spacing w:line="276" w:lineRule="auto"/>
              <w:ind w:left="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Proponowane uzupełnienie przepisu ma na celu umożliwienie pracownikowi otrzymania informacji również w formie elektronicznej, pod warunkiem wskazania przez niego adresu elektronicznego do kontaktu. Rozwiązanie to ma charakter fakultatywny i nie ogranicza dotychczasowej możliwości uzyskania informacji w formie pisemnej, jednocześnie ułatwiając pracownikom dostęp do informacji w sposób wygodny </w:t>
            </w:r>
            <w:r w:rsidRPr="00FF58D5">
              <w:rPr>
                <w:rFonts w:asciiTheme="minorHAnsi" w:hAnsiTheme="minorHAnsi" w:cstheme="minorHAnsi"/>
                <w:bCs/>
                <w:sz w:val="22"/>
                <w:szCs w:val="22"/>
              </w:rPr>
              <w:lastRenderedPageBreak/>
              <w:t>i szybki, odpowiadający współczesnym standardom komunikacji.</w:t>
            </w:r>
          </w:p>
          <w:p w14:paraId="592D1821" w14:textId="77777777" w:rsidR="000655AC" w:rsidRPr="00FF58D5" w:rsidRDefault="00195CF9" w:rsidP="000655AC">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 rekomendujemy dodanie informacji, że jeżeli w kategorii porównawczej nie występuje wystarczająca liczba reprezentantek/reprezentantów danej płci, aby pokazując średnią zachować poufność danych, pracodawca nie przekazywał informacji o średnim poziomie wynagrodzenia dla danej płci. Stąd też proponujemy min. 5 pracowników w kategorii pracowniczej.</w:t>
            </w:r>
          </w:p>
          <w:p w14:paraId="017CA4D4" w14:textId="5F4DEE23" w:rsidR="005442BD" w:rsidRPr="00FF58D5" w:rsidRDefault="005442BD" w:rsidP="000655AC">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przypadku złożenia wniosku przez </w:t>
            </w:r>
            <w:r w:rsidR="00FD17CC" w:rsidRPr="00FF58D5">
              <w:rPr>
                <w:rFonts w:asciiTheme="minorHAnsi" w:hAnsiTheme="minorHAnsi" w:cstheme="minorHAnsi"/>
                <w:bCs/>
                <w:sz w:val="22"/>
                <w:szCs w:val="22"/>
              </w:rPr>
              <w:t>zakładową organizację związkową</w:t>
            </w:r>
            <w:r w:rsidR="0070033F" w:rsidRPr="00FF58D5">
              <w:rPr>
                <w:rFonts w:asciiTheme="minorHAnsi" w:hAnsiTheme="minorHAnsi" w:cstheme="minorHAnsi"/>
                <w:bCs/>
                <w:sz w:val="22"/>
                <w:szCs w:val="22"/>
              </w:rPr>
              <w:t xml:space="preserve"> czy organ ds. równości</w:t>
            </w:r>
            <w:r w:rsidR="00FD17CC" w:rsidRPr="00FF58D5">
              <w:rPr>
                <w:rFonts w:asciiTheme="minorHAnsi" w:hAnsiTheme="minorHAnsi" w:cstheme="minorHAnsi"/>
                <w:bCs/>
                <w:sz w:val="22"/>
                <w:szCs w:val="22"/>
              </w:rPr>
              <w:t xml:space="preserve"> wniosek powinien wskazywać dane pracownika, w imieniu którego organizacja</w:t>
            </w:r>
            <w:r w:rsidR="0070033F" w:rsidRPr="00FF58D5">
              <w:rPr>
                <w:rFonts w:asciiTheme="minorHAnsi" w:hAnsiTheme="minorHAnsi" w:cstheme="minorHAnsi"/>
                <w:bCs/>
                <w:sz w:val="22"/>
                <w:szCs w:val="22"/>
              </w:rPr>
              <w:t>, organ</w:t>
            </w:r>
            <w:r w:rsidR="00FD17CC" w:rsidRPr="00FF58D5">
              <w:rPr>
                <w:rFonts w:asciiTheme="minorHAnsi" w:hAnsiTheme="minorHAnsi" w:cstheme="minorHAnsi"/>
                <w:bCs/>
                <w:sz w:val="22"/>
                <w:szCs w:val="22"/>
              </w:rPr>
              <w:t xml:space="preserve"> występuj</w:t>
            </w:r>
            <w:r w:rsidR="0070033F" w:rsidRPr="00FF58D5">
              <w:rPr>
                <w:rFonts w:asciiTheme="minorHAnsi" w:hAnsiTheme="minorHAnsi" w:cstheme="minorHAnsi"/>
                <w:bCs/>
                <w:sz w:val="22"/>
                <w:szCs w:val="22"/>
              </w:rPr>
              <w:t>ą</w:t>
            </w:r>
            <w:r w:rsidR="00FD17CC" w:rsidRPr="00FF58D5">
              <w:rPr>
                <w:rFonts w:asciiTheme="minorHAnsi" w:hAnsiTheme="minorHAnsi" w:cstheme="minorHAnsi"/>
                <w:bCs/>
                <w:sz w:val="22"/>
                <w:szCs w:val="22"/>
              </w:rPr>
              <w:t xml:space="preserve">. </w:t>
            </w:r>
          </w:p>
          <w:p w14:paraId="187ABEF6" w14:textId="77777777" w:rsidR="0070033F" w:rsidRPr="00FF58D5" w:rsidRDefault="0070033F" w:rsidP="0070033F">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Zasadne jest wprowadzenie wymogu, aby wnioski składane na podstawie art. 8 miały charakter imienny, a pracodawca posiadał wyraźną podstawę prawną do odrzucenia wniosku anonimowego.</w:t>
            </w:r>
          </w:p>
          <w:p w14:paraId="37FCA947" w14:textId="063698B6" w:rsidR="0070033F" w:rsidRPr="00FF58D5" w:rsidRDefault="0070033F" w:rsidP="0070033F">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Brak identyfikacji wnioskodawcy uniemożliwia prawidłową realizację obowiązków informacyjnych po stronie pracodawcy. Ponadto anonimowość wniosków może stwarzać pole do nadmiernego lub instrumentalnego wykorzystywania uprawnień, w szczególności przez organizacje związkowe, co może prowadzić do nieproporcjonalnego obciążenia pracodawców.</w:t>
            </w:r>
          </w:p>
          <w:p w14:paraId="26FB820E" w14:textId="12C03C79" w:rsidR="0070033F" w:rsidRPr="00B218AA" w:rsidRDefault="0070033F" w:rsidP="00B218AA">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Wprowadzenie imiennego charakteru wniosków nie ogranicza praw pracowników, a jednocześnie sprzyja przejrzystości procedur, zapewnia lepszą organizację procesu po stronie pracodawcy oraz ogranicza ryzyko nadużyć.</w:t>
            </w:r>
          </w:p>
          <w:p w14:paraId="0670037D" w14:textId="77777777" w:rsidR="00913369" w:rsidRPr="00FF58D5" w:rsidRDefault="00913369" w:rsidP="00913369">
            <w:pPr>
              <w:pStyle w:val="Akapitzlist"/>
              <w:numPr>
                <w:ilvl w:val="0"/>
                <w:numId w:val="63"/>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 proponuje się wydłużenie terminu do udzielania informacji oraz usunięcie słowa „niezwłocznie”. Z perspektywy pracodawcy przekazywanie informacji pracownikowi jest procesem personalnym, który wymaga ustalenia danych i weryfikacji, podobnie jak wiele innych obowiązków raportowych. Określenie terminu „niezwłocznie” może nieproporcjonalnie nadawać temu zadaniu wyższy priorytet niż inne obowiązki z ustawowo określonymi terminami (często krótszymi niż 30 dni).</w:t>
            </w:r>
          </w:p>
          <w:p w14:paraId="79B5BF66" w14:textId="267AE964" w:rsidR="00A97DAD" w:rsidRPr="00FF58D5" w:rsidRDefault="00913369" w:rsidP="00FF58D5">
            <w:pPr>
              <w:pStyle w:val="Akapitzlist"/>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Zgodnie z art. 7 ust. 4 Dyrektywy pracodawcy udostępniają informacje (…) w rozsądnym terminie, a w każdym razie w ciągu dwóch miesięcy od dnia zwrócenia się o te informacje</w:t>
            </w:r>
          </w:p>
          <w:p w14:paraId="369DA891" w14:textId="069C31A9" w:rsidR="00833837" w:rsidRPr="00FF58D5" w:rsidRDefault="00833837" w:rsidP="00B20126">
            <w:pPr>
              <w:spacing w:line="276" w:lineRule="auto"/>
              <w:ind w:left="234" w:hanging="234"/>
              <w:jc w:val="both"/>
              <w:rPr>
                <w:rFonts w:asciiTheme="minorHAnsi" w:hAnsiTheme="minorHAnsi" w:cstheme="minorHAnsi"/>
                <w:bCs/>
                <w:sz w:val="22"/>
                <w:szCs w:val="22"/>
              </w:rPr>
            </w:pPr>
          </w:p>
        </w:tc>
      </w:tr>
      <w:tr w:rsidR="00695638" w:rsidRPr="00FF58D5" w14:paraId="3145B278" w14:textId="77777777" w:rsidTr="00AB5A1A">
        <w:trPr>
          <w:trHeight w:val="1275"/>
        </w:trPr>
        <w:tc>
          <w:tcPr>
            <w:tcW w:w="709" w:type="dxa"/>
            <w:vAlign w:val="center"/>
          </w:tcPr>
          <w:p w14:paraId="6AE3FF2E" w14:textId="54E81F20" w:rsidR="00695638" w:rsidRPr="00FF58D5" w:rsidRDefault="00695638" w:rsidP="000F1418">
            <w:pPr>
              <w:pStyle w:val="Akapitzlist"/>
              <w:numPr>
                <w:ilvl w:val="0"/>
                <w:numId w:val="69"/>
              </w:numPr>
              <w:spacing w:line="276" w:lineRule="auto"/>
              <w:jc w:val="right"/>
              <w:rPr>
                <w:rFonts w:asciiTheme="minorHAnsi" w:hAnsiTheme="minorHAnsi" w:cstheme="minorHAnsi"/>
                <w:bCs/>
                <w:sz w:val="22"/>
                <w:szCs w:val="22"/>
              </w:rPr>
            </w:pPr>
          </w:p>
        </w:tc>
        <w:tc>
          <w:tcPr>
            <w:tcW w:w="1134" w:type="dxa"/>
            <w:vAlign w:val="center"/>
          </w:tcPr>
          <w:p w14:paraId="47C18152" w14:textId="3702631D" w:rsidR="00695638" w:rsidRPr="00FF58D5" w:rsidRDefault="00E11F96"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9</w:t>
            </w:r>
          </w:p>
        </w:tc>
        <w:tc>
          <w:tcPr>
            <w:tcW w:w="3118" w:type="dxa"/>
            <w:vAlign w:val="center"/>
          </w:tcPr>
          <w:p w14:paraId="658AF922" w14:textId="762E2BA3" w:rsidR="00695638" w:rsidRPr="00FF58D5" w:rsidRDefault="00695638"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 xml:space="preserve">Art. 9. </w:t>
            </w:r>
            <w:r w:rsidRPr="00FF58D5">
              <w:rPr>
                <w:rFonts w:asciiTheme="minorHAnsi" w:hAnsiTheme="minorHAnsi" w:cstheme="minorHAnsi"/>
                <w:bCs/>
                <w:sz w:val="22"/>
                <w:szCs w:val="22"/>
              </w:rPr>
              <w:t>Pracodawca do dnia 31 marca każdego roku, w sposób przyjęty u danego pracodawcy, informuje pracowników o możliwości złożenia wniosków, o których mowa w art. 8.</w:t>
            </w:r>
          </w:p>
        </w:tc>
        <w:tc>
          <w:tcPr>
            <w:tcW w:w="3827" w:type="dxa"/>
            <w:vAlign w:val="center"/>
          </w:tcPr>
          <w:p w14:paraId="1F847F18" w14:textId="6972715D" w:rsidR="00695638" w:rsidRPr="00FF58D5" w:rsidRDefault="002A49F0" w:rsidP="00AB5A1A">
            <w:pPr>
              <w:spacing w:line="276" w:lineRule="auto"/>
              <w:jc w:val="both"/>
              <w:rPr>
                <w:rFonts w:asciiTheme="minorHAnsi" w:hAnsiTheme="minorHAnsi" w:cstheme="minorHAnsi"/>
                <w:sz w:val="22"/>
                <w:szCs w:val="22"/>
              </w:rPr>
            </w:pPr>
            <w:r w:rsidRPr="00FF58D5">
              <w:rPr>
                <w:rFonts w:asciiTheme="minorHAnsi" w:hAnsiTheme="minorHAnsi" w:cstheme="minorHAnsi"/>
                <w:b/>
                <w:sz w:val="22"/>
                <w:szCs w:val="22"/>
              </w:rPr>
              <w:t xml:space="preserve">Art. 9. </w:t>
            </w:r>
            <w:r w:rsidRPr="00FF58D5">
              <w:rPr>
                <w:rFonts w:asciiTheme="minorHAnsi" w:hAnsiTheme="minorHAnsi" w:cstheme="minorHAnsi"/>
                <w:bCs/>
                <w:sz w:val="22"/>
                <w:szCs w:val="22"/>
              </w:rPr>
              <w:t xml:space="preserve">Pracodawca, w sposób przyjęty u danego pracodawcy, </w:t>
            </w:r>
            <w:r w:rsidR="001470B2" w:rsidRPr="00FF58D5">
              <w:rPr>
                <w:rFonts w:asciiTheme="minorHAnsi" w:hAnsiTheme="minorHAnsi" w:cstheme="minorHAnsi"/>
                <w:b/>
                <w:sz w:val="22"/>
                <w:szCs w:val="22"/>
              </w:rPr>
              <w:t>raz w roku</w:t>
            </w:r>
            <w:r w:rsidR="001470B2"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informuje pracowników o możliwości złożenia wniosków, o których mowa w art. 8.</w:t>
            </w:r>
          </w:p>
        </w:tc>
        <w:tc>
          <w:tcPr>
            <w:tcW w:w="5387" w:type="dxa"/>
          </w:tcPr>
          <w:p w14:paraId="5D335CE6" w14:textId="68C021B7" w:rsidR="00E11F96" w:rsidRPr="00FF58D5" w:rsidRDefault="002A49F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w:t>
            </w:r>
            <w:r w:rsidR="00E11F96" w:rsidRPr="00FF58D5">
              <w:rPr>
                <w:rFonts w:asciiTheme="minorHAnsi" w:hAnsiTheme="minorHAnsi" w:cstheme="minorHAnsi"/>
                <w:bCs/>
                <w:sz w:val="22"/>
                <w:szCs w:val="22"/>
              </w:rPr>
              <w:t xml:space="preserve">racownik może złożyć wniosek, o którym mowa w art. 8, w dowolnym czasie, tymczasem projekt nakłada na pracodawcę dodatkowy, cykliczny obowiązek informowania o tej możliwości w ściśle określonym terminie – do 31 marca każdego roku. Brak jest uzasadnienia dla wprowadzenia takiego rozwiązania, </w:t>
            </w:r>
            <w:r w:rsidR="00E11F96" w:rsidRPr="00FF58D5">
              <w:rPr>
                <w:rFonts w:asciiTheme="minorHAnsi" w:hAnsiTheme="minorHAnsi" w:cstheme="minorHAnsi"/>
                <w:bCs/>
                <w:sz w:val="22"/>
                <w:szCs w:val="22"/>
              </w:rPr>
              <w:lastRenderedPageBreak/>
              <w:t>zwłaszcza że analogiczny obowiązek nie funkcjonuje obecnie w Kodeksie pracy.</w:t>
            </w:r>
          </w:p>
          <w:p w14:paraId="3D74DEA8" w14:textId="77777777" w:rsidR="00E11F96" w:rsidRPr="00FF58D5" w:rsidRDefault="00E11F9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praktyce termin ten może kolidować z innymi procesami kadrowo-płacowymi, w szczególności z okresami rozliczeń premiowych lub corocznymi procesami podwyżkowymi, co prowadzi do kumulacji obowiązków informacyjnych i zwiększa ryzyko nieporozumień.</w:t>
            </w:r>
          </w:p>
          <w:p w14:paraId="390C8B38" w14:textId="2AC3E70D" w:rsidR="00695638" w:rsidRPr="00FF58D5" w:rsidRDefault="00E11F9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Rekomendujemy pozostawienie pracodawcy swobody w określeniu terminu realizacji obowiązku</w:t>
            </w:r>
            <w:r w:rsidR="00D207CB" w:rsidRPr="00FF58D5">
              <w:rPr>
                <w:rFonts w:asciiTheme="minorHAnsi" w:hAnsiTheme="minorHAnsi" w:cstheme="minorHAnsi"/>
                <w:bCs/>
                <w:sz w:val="22"/>
                <w:szCs w:val="22"/>
              </w:rPr>
              <w:t xml:space="preserve"> w roku kalendarzowym</w:t>
            </w:r>
            <w:r w:rsidRPr="00FF58D5">
              <w:rPr>
                <w:rFonts w:asciiTheme="minorHAnsi" w:hAnsiTheme="minorHAnsi" w:cstheme="minorHAnsi"/>
                <w:bCs/>
                <w:sz w:val="22"/>
                <w:szCs w:val="22"/>
              </w:rPr>
              <w:t>.</w:t>
            </w:r>
          </w:p>
        </w:tc>
      </w:tr>
      <w:tr w:rsidR="009B5605" w:rsidRPr="00FF58D5" w14:paraId="4E262941" w14:textId="77777777" w:rsidTr="00AB5A1A">
        <w:trPr>
          <w:trHeight w:val="1275"/>
        </w:trPr>
        <w:tc>
          <w:tcPr>
            <w:tcW w:w="709" w:type="dxa"/>
            <w:vAlign w:val="center"/>
          </w:tcPr>
          <w:p w14:paraId="4DDE34E3" w14:textId="77777777" w:rsidR="004D336D" w:rsidRPr="00FF58D5" w:rsidRDefault="004D336D"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09FB8F0" w14:textId="4E91DCA6" w:rsidR="004D336D" w:rsidRPr="00FF58D5" w:rsidRDefault="00FB0947"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10</w:t>
            </w:r>
          </w:p>
        </w:tc>
        <w:tc>
          <w:tcPr>
            <w:tcW w:w="3118" w:type="dxa"/>
            <w:vAlign w:val="center"/>
          </w:tcPr>
          <w:p w14:paraId="6A86AC2C" w14:textId="24AFB48A" w:rsidR="004D336D" w:rsidRPr="00FF58D5" w:rsidRDefault="00FB0947"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10.</w:t>
            </w:r>
            <w:r w:rsidRPr="00FF58D5">
              <w:rPr>
                <w:rFonts w:asciiTheme="minorHAnsi" w:hAnsiTheme="minorHAnsi" w:cstheme="minorHAnsi"/>
                <w:sz w:val="22"/>
                <w:szCs w:val="22"/>
              </w:rPr>
              <w:t xml:space="preserve"> Pracodawca obowiązany jest przekazać osobom ubiegającym się o zatrudnienie lub pracownikom informacje, o których mowa w art. 7 ust. 2 i 3, art. 8 oraz w art. </w:t>
            </w:r>
            <w:r w:rsidR="00C72726" w:rsidRPr="00FF58D5">
              <w:rPr>
                <w:rFonts w:asciiTheme="minorHAnsi" w:hAnsiTheme="minorHAnsi" w:cstheme="minorHAnsi"/>
                <w:sz w:val="22"/>
                <w:szCs w:val="22"/>
              </w:rPr>
              <w:t>18</w:t>
            </w:r>
            <w:r w:rsidR="00C72726" w:rsidRPr="00FF58D5">
              <w:rPr>
                <w:rStyle w:val="IGindeksgrny"/>
                <w:rFonts w:asciiTheme="minorHAnsi" w:hAnsiTheme="minorHAnsi" w:cstheme="minorHAnsi"/>
                <w:sz w:val="22"/>
                <w:szCs w:val="22"/>
              </w:rPr>
              <w:t>3ca</w:t>
            </w:r>
            <w:r w:rsidR="00C72726" w:rsidRPr="00FF58D5">
              <w:rPr>
                <w:rFonts w:asciiTheme="minorHAnsi" w:hAnsiTheme="minorHAnsi" w:cstheme="minorHAnsi"/>
                <w:sz w:val="22"/>
                <w:szCs w:val="22"/>
              </w:rPr>
              <w:t xml:space="preserve"> </w:t>
            </w:r>
            <w:r w:rsidRPr="00FF58D5">
              <w:rPr>
                <w:rFonts w:asciiTheme="minorHAnsi" w:hAnsiTheme="minorHAnsi" w:cstheme="minorHAnsi"/>
                <w:sz w:val="22"/>
                <w:szCs w:val="22"/>
              </w:rPr>
              <w:t xml:space="preserve">§ 1 Kodeksu pracy, w sposób przystępny dla osób z niepełnosprawnościami i uwzględniający ich szczególne potrzeby, umożliwiając zapoznanie się z tymi informacjami, w szczególności w formie dostępnej cyfrowo, co najmniej na poziomie określonym w załączniku do ustawy z dnia 4 kwietnia 2019 r. o dostępności cyfrowej stron internetowych i </w:t>
            </w:r>
            <w:r w:rsidRPr="00FF58D5">
              <w:rPr>
                <w:rFonts w:asciiTheme="minorHAnsi" w:hAnsiTheme="minorHAnsi" w:cstheme="minorHAnsi"/>
                <w:sz w:val="22"/>
                <w:szCs w:val="22"/>
              </w:rPr>
              <w:lastRenderedPageBreak/>
              <w:t>aplikacji mobilnych podmiotów publicznych (Dz. U. z 2023 r. poz. 1440).</w:t>
            </w:r>
          </w:p>
        </w:tc>
        <w:tc>
          <w:tcPr>
            <w:tcW w:w="3827" w:type="dxa"/>
            <w:vAlign w:val="center"/>
          </w:tcPr>
          <w:p w14:paraId="5DFF4D0E" w14:textId="6222F281" w:rsidR="006619F2" w:rsidRPr="00FF58D5" w:rsidRDefault="006619F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1. Proponuje się</w:t>
            </w:r>
            <w:r w:rsidR="002D0AFC" w:rsidRPr="00FF58D5">
              <w:rPr>
                <w:rFonts w:asciiTheme="minorHAnsi" w:hAnsiTheme="minorHAnsi" w:cstheme="minorHAnsi"/>
                <w:bCs/>
                <w:sz w:val="22"/>
                <w:szCs w:val="22"/>
              </w:rPr>
              <w:t xml:space="preserve"> </w:t>
            </w:r>
            <w:r w:rsidR="00BE053E" w:rsidRPr="00FF58D5">
              <w:rPr>
                <w:rFonts w:asciiTheme="minorHAnsi" w:hAnsiTheme="minorHAnsi" w:cstheme="minorHAnsi"/>
                <w:bCs/>
                <w:sz w:val="22"/>
                <w:szCs w:val="22"/>
              </w:rPr>
              <w:t>doprecyzowanie</w:t>
            </w:r>
            <w:r w:rsidRPr="00FF58D5">
              <w:rPr>
                <w:rFonts w:asciiTheme="minorHAnsi" w:hAnsiTheme="minorHAnsi" w:cstheme="minorHAnsi"/>
                <w:bCs/>
                <w:sz w:val="22"/>
                <w:szCs w:val="22"/>
              </w:rPr>
              <w:t xml:space="preserve"> regulacj</w:t>
            </w:r>
            <w:r w:rsidR="0073189C" w:rsidRPr="00FF58D5">
              <w:rPr>
                <w:rFonts w:asciiTheme="minorHAnsi" w:hAnsiTheme="minorHAnsi" w:cstheme="minorHAnsi"/>
                <w:bCs/>
                <w:sz w:val="22"/>
                <w:szCs w:val="22"/>
              </w:rPr>
              <w:t>i w taki sposób, aby</w:t>
            </w:r>
            <w:r w:rsidR="00D64C9B" w:rsidRPr="00FF58D5">
              <w:rPr>
                <w:rFonts w:asciiTheme="minorHAnsi" w:hAnsiTheme="minorHAnsi" w:cstheme="minorHAnsi"/>
                <w:bCs/>
                <w:sz w:val="22"/>
                <w:szCs w:val="22"/>
              </w:rPr>
              <w:t xml:space="preserve"> wyraźnie z niego wynikało, </w:t>
            </w:r>
            <w:r w:rsidR="002456C9" w:rsidRPr="00FF58D5">
              <w:rPr>
                <w:rFonts w:asciiTheme="minorHAnsi" w:hAnsiTheme="minorHAnsi" w:cstheme="minorHAnsi"/>
                <w:bCs/>
                <w:sz w:val="22"/>
                <w:szCs w:val="22"/>
              </w:rPr>
              <w:t>jakie uprawnienia ma osoba ubiegająca się o pr</w:t>
            </w:r>
            <w:r w:rsidR="00652751" w:rsidRPr="00FF58D5">
              <w:rPr>
                <w:rFonts w:asciiTheme="minorHAnsi" w:hAnsiTheme="minorHAnsi" w:cstheme="minorHAnsi"/>
                <w:bCs/>
                <w:sz w:val="22"/>
                <w:szCs w:val="22"/>
              </w:rPr>
              <w:t xml:space="preserve">acę </w:t>
            </w:r>
            <w:r w:rsidR="002D0AFC" w:rsidRPr="00FF58D5">
              <w:rPr>
                <w:rFonts w:asciiTheme="minorHAnsi" w:hAnsiTheme="minorHAnsi" w:cstheme="minorHAnsi"/>
                <w:bCs/>
                <w:sz w:val="22"/>
                <w:szCs w:val="22"/>
              </w:rPr>
              <w:t>a jakie</w:t>
            </w:r>
            <w:r w:rsidR="00652751" w:rsidRPr="00FF58D5">
              <w:rPr>
                <w:rFonts w:asciiTheme="minorHAnsi" w:hAnsiTheme="minorHAnsi" w:cstheme="minorHAnsi"/>
                <w:bCs/>
                <w:sz w:val="22"/>
                <w:szCs w:val="22"/>
              </w:rPr>
              <w:t xml:space="preserve"> pracownik</w:t>
            </w:r>
            <w:r w:rsidR="002D0AFC" w:rsidRPr="00FF58D5">
              <w:rPr>
                <w:rFonts w:asciiTheme="minorHAnsi" w:hAnsiTheme="minorHAnsi" w:cstheme="minorHAnsi"/>
                <w:bCs/>
                <w:sz w:val="22"/>
                <w:szCs w:val="22"/>
              </w:rPr>
              <w:t>.</w:t>
            </w:r>
          </w:p>
          <w:p w14:paraId="1C178E95" w14:textId="34B83A30" w:rsidR="00E222BC" w:rsidRPr="00FF58D5" w:rsidRDefault="006619F2"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t>
            </w:r>
            <w:r w:rsidR="00E222BC" w:rsidRPr="00FF58D5">
              <w:rPr>
                <w:rFonts w:asciiTheme="minorHAnsi" w:hAnsiTheme="minorHAnsi" w:cstheme="minorHAnsi"/>
                <w:bCs/>
                <w:sz w:val="22"/>
                <w:szCs w:val="22"/>
              </w:rPr>
              <w:t>Ponadto:</w:t>
            </w:r>
          </w:p>
          <w:p w14:paraId="4B87FDC8" w14:textId="545867E9" w:rsidR="004D336D" w:rsidRPr="00FF58D5" w:rsidRDefault="00E717E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Pracodawca obowiązany jest przekazać osobom ubiegającym się o zatrudnienie lub pracownikom informacje, o których mowa w art. 7 ust. 2 i 3, art. 8 oraz w art. </w:t>
            </w:r>
            <w:r w:rsidR="00665854" w:rsidRPr="00FF58D5">
              <w:rPr>
                <w:rFonts w:asciiTheme="minorHAnsi" w:hAnsiTheme="minorHAnsi" w:cstheme="minorHAnsi"/>
                <w:sz w:val="22"/>
                <w:szCs w:val="22"/>
              </w:rPr>
              <w:t>18</w:t>
            </w:r>
            <w:r w:rsidR="00665854" w:rsidRPr="00FF58D5">
              <w:rPr>
                <w:rStyle w:val="IGindeksgrny"/>
                <w:rFonts w:asciiTheme="minorHAnsi" w:hAnsiTheme="minorHAnsi" w:cstheme="minorHAnsi"/>
                <w:sz w:val="22"/>
                <w:szCs w:val="22"/>
              </w:rPr>
              <w:t>3ca</w:t>
            </w:r>
            <w:r w:rsidRPr="00FF58D5">
              <w:rPr>
                <w:rFonts w:asciiTheme="minorHAnsi" w:hAnsiTheme="minorHAnsi" w:cstheme="minorHAnsi"/>
                <w:bCs/>
                <w:sz w:val="22"/>
                <w:szCs w:val="22"/>
              </w:rPr>
              <w:t xml:space="preserve"> § 1 Kodeksu pracy, w sposób przystępny dla osób z niepełnosprawnościami i uwzględniający ich szczególne potrzeby, umożliwiając zapoznanie się z tymi informacjami. </w:t>
            </w:r>
            <w:r w:rsidR="00CF56A8" w:rsidRPr="00FF58D5">
              <w:rPr>
                <w:rFonts w:asciiTheme="minorHAnsi" w:hAnsiTheme="minorHAnsi" w:cstheme="minorHAnsi"/>
                <w:b/>
                <w:sz w:val="22"/>
                <w:szCs w:val="22"/>
                <w:u w:val="single"/>
              </w:rPr>
              <w:t xml:space="preserve">Przekazanie informacji może nastąpi między innymi </w:t>
            </w:r>
            <w:r w:rsidRPr="00FF58D5">
              <w:rPr>
                <w:rFonts w:asciiTheme="minorHAnsi" w:hAnsiTheme="minorHAnsi" w:cstheme="minorHAnsi"/>
                <w:bCs/>
                <w:sz w:val="22"/>
                <w:szCs w:val="22"/>
              </w:rPr>
              <w:t xml:space="preserve">w formie dostępnej </w:t>
            </w:r>
            <w:r w:rsidRPr="00FF58D5">
              <w:rPr>
                <w:rFonts w:asciiTheme="minorHAnsi" w:hAnsiTheme="minorHAnsi" w:cstheme="minorHAnsi"/>
                <w:bCs/>
                <w:sz w:val="22"/>
                <w:szCs w:val="22"/>
              </w:rPr>
              <w:lastRenderedPageBreak/>
              <w:t>cyfrowo, co najmniej na poziomie określonym w załączniku do ustawy z dnia 4 kwietnia 2019 r. o dostępności cyfrowej stron internetowych i aplikacji mobilnych podmiotów publicznych (Dz. U. z 2023 r. poz. 1440).</w:t>
            </w:r>
          </w:p>
        </w:tc>
        <w:tc>
          <w:tcPr>
            <w:tcW w:w="5387" w:type="dxa"/>
          </w:tcPr>
          <w:p w14:paraId="31815153" w14:textId="6436CA1A" w:rsidR="005F6E46" w:rsidRPr="00FF58D5" w:rsidRDefault="00BE053E" w:rsidP="004C16C7">
            <w:pPr>
              <w:pStyle w:val="Akapitzlist"/>
              <w:numPr>
                <w:ilvl w:val="0"/>
                <w:numId w:val="66"/>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Obecna redakcja art. 10 </w:t>
            </w:r>
            <w:r w:rsidR="007B0524" w:rsidRPr="00FF58D5">
              <w:rPr>
                <w:rFonts w:asciiTheme="minorHAnsi" w:hAnsiTheme="minorHAnsi" w:cstheme="minorHAnsi"/>
                <w:bCs/>
                <w:sz w:val="22"/>
                <w:szCs w:val="22"/>
              </w:rPr>
              <w:t>stanowi</w:t>
            </w:r>
            <w:r w:rsidRPr="00FF58D5">
              <w:rPr>
                <w:rFonts w:asciiTheme="minorHAnsi" w:hAnsiTheme="minorHAnsi" w:cstheme="minorHAnsi"/>
                <w:bCs/>
                <w:sz w:val="22"/>
                <w:szCs w:val="22"/>
              </w:rPr>
              <w:t xml:space="preserve">, że osoba ubiegająca się o zatrudnienie jest uprawniona do uzyskania informacji o </w:t>
            </w:r>
            <w:r w:rsidR="00F44CC0" w:rsidRPr="00FF58D5">
              <w:rPr>
                <w:rFonts w:asciiTheme="minorHAnsi" w:hAnsiTheme="minorHAnsi" w:cstheme="minorHAnsi"/>
                <w:bCs/>
                <w:sz w:val="22"/>
                <w:szCs w:val="22"/>
              </w:rPr>
              <w:t xml:space="preserve">kryteriach wynagrodzeń, </w:t>
            </w:r>
            <w:r w:rsidRPr="00FF58D5">
              <w:rPr>
                <w:rFonts w:asciiTheme="minorHAnsi" w:hAnsiTheme="minorHAnsi" w:cstheme="minorHAnsi"/>
                <w:bCs/>
                <w:sz w:val="22"/>
                <w:szCs w:val="22"/>
              </w:rPr>
              <w:t>średnich poziomach wynagrodzeń w podziale na płeć w odniesieniu do kategorii pracowników wykonujących jednakową pracę lub pracę o jednakowej wartości. Taka interpretacja wykracza poza zakres uprawnień kandydatów do pracy wynikających z art. 18</w:t>
            </w:r>
            <w:r w:rsidRPr="00FF58D5">
              <w:rPr>
                <w:rFonts w:asciiTheme="minorHAnsi" w:hAnsiTheme="minorHAnsi" w:cstheme="minorHAnsi"/>
                <w:bCs/>
                <w:sz w:val="22"/>
                <w:szCs w:val="22"/>
                <w:vertAlign w:val="superscript"/>
              </w:rPr>
              <w:t>3ca</w:t>
            </w:r>
            <w:r w:rsidRPr="00FF58D5">
              <w:rPr>
                <w:rFonts w:asciiTheme="minorHAnsi" w:hAnsiTheme="minorHAnsi" w:cstheme="minorHAnsi"/>
                <w:bCs/>
                <w:sz w:val="22"/>
                <w:szCs w:val="22"/>
              </w:rPr>
              <w:t xml:space="preserve"> § 1 Kodeksu pracy oraz nie znajduje oparcia w dyrektywie.</w:t>
            </w:r>
            <w:r w:rsidR="00FA4E11" w:rsidRPr="00FF58D5">
              <w:rPr>
                <w:rFonts w:asciiTheme="minorHAnsi" w:hAnsiTheme="minorHAnsi" w:cstheme="minorHAnsi"/>
                <w:bCs/>
                <w:sz w:val="22"/>
                <w:szCs w:val="22"/>
              </w:rPr>
              <w:t xml:space="preserve"> Jak wynika z art. 5 dyrektywy o</w:t>
            </w:r>
            <w:r w:rsidR="005F6E46" w:rsidRPr="00FF58D5">
              <w:rPr>
                <w:rFonts w:asciiTheme="minorHAnsi" w:hAnsiTheme="minorHAnsi" w:cstheme="minorHAnsi"/>
                <w:bCs/>
                <w:sz w:val="22"/>
                <w:szCs w:val="22"/>
              </w:rPr>
              <w:t>soby starające się o zatrudnienie mają prawo do otrzymania od przyszłego pracodawcy informacji na temat:</w:t>
            </w:r>
          </w:p>
          <w:p w14:paraId="78605908" w14:textId="02CB8305" w:rsidR="005F6E46" w:rsidRPr="00FF58D5" w:rsidRDefault="005F6E46" w:rsidP="0073647F">
            <w:pPr>
              <w:spacing w:line="276" w:lineRule="auto"/>
              <w:ind w:left="659" w:hanging="299"/>
              <w:jc w:val="both"/>
              <w:rPr>
                <w:rFonts w:asciiTheme="minorHAnsi" w:hAnsiTheme="minorHAnsi" w:cstheme="minorHAnsi"/>
                <w:bCs/>
                <w:sz w:val="22"/>
                <w:szCs w:val="22"/>
              </w:rPr>
            </w:pPr>
            <w:r w:rsidRPr="00FF58D5">
              <w:rPr>
                <w:rFonts w:asciiTheme="minorHAnsi" w:hAnsiTheme="minorHAnsi" w:cstheme="minorHAnsi"/>
                <w:bCs/>
                <w:sz w:val="22"/>
                <w:szCs w:val="22"/>
              </w:rPr>
              <w:t>a)</w:t>
            </w:r>
            <w:r w:rsidR="00FA4E11"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początkowego wynagrodzenia lub jego przedziału – opartego na obiektywnych, neutralnych pod względem płci kryteriów – przewidzianego w odniesieniu do danego stanowiska; oraz</w:t>
            </w:r>
          </w:p>
          <w:p w14:paraId="6D4B7173" w14:textId="231C2140" w:rsidR="00BE053E" w:rsidRPr="00FF58D5" w:rsidRDefault="005F6E46" w:rsidP="0073647F">
            <w:pPr>
              <w:spacing w:line="276" w:lineRule="auto"/>
              <w:ind w:left="659" w:hanging="299"/>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b)</w:t>
            </w:r>
            <w:r w:rsidR="00301CC8"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w stosownych przypadkach – odpowiednich przepisów układu zbiorowego stosowanych przez pracodawcę w odniesieniu do danego stanowiska.</w:t>
            </w:r>
          </w:p>
          <w:p w14:paraId="1FE7E411" w14:textId="3EB06F85" w:rsidR="00BE053E" w:rsidRPr="00FF58D5" w:rsidRDefault="00BE053E" w:rsidP="007C384C">
            <w:pPr>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Rozdzielenie regulacji pozwoli jednoznacznie określić zakres obowiązków informacyjnych pracodawcy wobec pracowników i kandydatów do pracy, ograniczając ryzyko nadinterpretacji oraz sporów interpretacyjnych w praktyce stosowania przepisów.</w:t>
            </w:r>
          </w:p>
          <w:p w14:paraId="1B0D58DE" w14:textId="449EDC2A" w:rsidR="00136A28" w:rsidRPr="00FF58D5" w:rsidRDefault="00136A28" w:rsidP="007C384C">
            <w:pPr>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Zasadne jest rozbicie tego przepisu na dwa odrębne ustępy (lub artykuły):</w:t>
            </w:r>
          </w:p>
          <w:p w14:paraId="0F0C3606" w14:textId="62F0BEE1" w:rsidR="00136A28" w:rsidRPr="00FF58D5" w:rsidRDefault="00136A28" w:rsidP="007C384C">
            <w:pPr>
              <w:pStyle w:val="Akapitzlist"/>
              <w:numPr>
                <w:ilvl w:val="0"/>
                <w:numId w:val="29"/>
              </w:numPr>
              <w:spacing w:line="276" w:lineRule="auto"/>
              <w:ind w:left="1080"/>
              <w:jc w:val="both"/>
              <w:rPr>
                <w:rFonts w:asciiTheme="minorHAnsi" w:hAnsiTheme="minorHAnsi" w:cstheme="minorHAnsi"/>
                <w:bCs/>
                <w:sz w:val="22"/>
                <w:szCs w:val="22"/>
              </w:rPr>
            </w:pPr>
            <w:r w:rsidRPr="00FF58D5">
              <w:rPr>
                <w:rFonts w:asciiTheme="minorHAnsi" w:hAnsiTheme="minorHAnsi" w:cstheme="minorHAnsi"/>
                <w:bCs/>
                <w:sz w:val="22"/>
                <w:szCs w:val="22"/>
              </w:rPr>
              <w:t>pierwszy – dotyczący pracowników i odnoszący się wyłącznie do regulacji niniejszej ustawy, w szczególności art. 7 ust. 2 i 3 oraz art. 8,</w:t>
            </w:r>
          </w:p>
          <w:p w14:paraId="62812A51" w14:textId="77777777" w:rsidR="00136A28" w:rsidRPr="00FF58D5" w:rsidRDefault="00136A28" w:rsidP="007C384C">
            <w:pPr>
              <w:pStyle w:val="Akapitzlist"/>
              <w:numPr>
                <w:ilvl w:val="0"/>
                <w:numId w:val="29"/>
              </w:numPr>
              <w:spacing w:line="276" w:lineRule="auto"/>
              <w:ind w:left="1080"/>
              <w:jc w:val="both"/>
              <w:rPr>
                <w:rFonts w:asciiTheme="minorHAnsi" w:hAnsiTheme="minorHAnsi" w:cstheme="minorHAnsi"/>
                <w:bCs/>
                <w:sz w:val="22"/>
                <w:szCs w:val="22"/>
              </w:rPr>
            </w:pPr>
            <w:r w:rsidRPr="00FF58D5">
              <w:rPr>
                <w:rFonts w:asciiTheme="minorHAnsi" w:hAnsiTheme="minorHAnsi" w:cstheme="minorHAnsi"/>
                <w:bCs/>
                <w:sz w:val="22"/>
                <w:szCs w:val="22"/>
              </w:rPr>
              <w:t>drugi – dotyczący osób ubiegających się o zatrudnienie i odsyłający do art.</w:t>
            </w:r>
            <w:r w:rsidRPr="00FF58D5">
              <w:rPr>
                <w:rFonts w:asciiTheme="minorHAnsi" w:hAnsiTheme="minorHAnsi" w:cstheme="minorHAnsi"/>
                <w:sz w:val="22"/>
                <w:szCs w:val="22"/>
              </w:rPr>
              <w:t xml:space="preserve"> 18</w:t>
            </w:r>
            <w:r w:rsidRPr="00FF58D5">
              <w:rPr>
                <w:rStyle w:val="IGindeksgrny"/>
                <w:rFonts w:asciiTheme="minorHAnsi" w:hAnsiTheme="minorHAnsi" w:cstheme="minorHAnsi"/>
                <w:sz w:val="22"/>
                <w:szCs w:val="22"/>
              </w:rPr>
              <w:t>3ca</w:t>
            </w:r>
            <w:r w:rsidRPr="00FF58D5">
              <w:rPr>
                <w:rFonts w:asciiTheme="minorHAnsi" w:hAnsiTheme="minorHAnsi" w:cstheme="minorHAnsi"/>
                <w:bCs/>
                <w:sz w:val="22"/>
                <w:szCs w:val="22"/>
              </w:rPr>
              <w:t xml:space="preserve"> § 1 Kodeksu pracy.</w:t>
            </w:r>
          </w:p>
          <w:p w14:paraId="34C2A73E" w14:textId="77777777" w:rsidR="00136A28" w:rsidRPr="00FF58D5" w:rsidRDefault="00136A28" w:rsidP="007C384C">
            <w:pPr>
              <w:spacing w:line="276" w:lineRule="auto"/>
              <w:ind w:left="360"/>
              <w:jc w:val="both"/>
              <w:rPr>
                <w:rFonts w:asciiTheme="minorHAnsi" w:hAnsiTheme="minorHAnsi" w:cstheme="minorHAnsi"/>
                <w:bCs/>
                <w:sz w:val="22"/>
                <w:szCs w:val="22"/>
              </w:rPr>
            </w:pPr>
            <w:r w:rsidRPr="00FF58D5">
              <w:rPr>
                <w:rFonts w:asciiTheme="minorHAnsi" w:hAnsiTheme="minorHAnsi" w:cstheme="minorHAnsi"/>
                <w:bCs/>
                <w:sz w:val="22"/>
                <w:szCs w:val="22"/>
              </w:rPr>
              <w:t>Takie rozwiązanie ułatwi interpretację przepisu oraz zapewni spójność systemową regulacji.</w:t>
            </w:r>
          </w:p>
          <w:p w14:paraId="60DDC44E" w14:textId="77777777" w:rsidR="00136A28" w:rsidRPr="00FF58D5" w:rsidRDefault="00136A28" w:rsidP="00AB5A1A">
            <w:pPr>
              <w:spacing w:line="276" w:lineRule="auto"/>
              <w:jc w:val="both"/>
              <w:rPr>
                <w:rFonts w:asciiTheme="minorHAnsi" w:hAnsiTheme="minorHAnsi" w:cstheme="minorHAnsi"/>
                <w:bCs/>
                <w:sz w:val="22"/>
                <w:szCs w:val="22"/>
              </w:rPr>
            </w:pPr>
          </w:p>
          <w:p w14:paraId="2D883CB3" w14:textId="3E38B0EA" w:rsidR="00E717EA" w:rsidRPr="00FF58D5" w:rsidRDefault="00BE053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t>
            </w:r>
            <w:r w:rsidR="00E717EA" w:rsidRPr="00FF58D5">
              <w:rPr>
                <w:rFonts w:asciiTheme="minorHAnsi" w:hAnsiTheme="minorHAnsi" w:cstheme="minorHAnsi"/>
                <w:bCs/>
                <w:sz w:val="22"/>
                <w:szCs w:val="22"/>
              </w:rPr>
              <w:t xml:space="preserve">Proponowana zmiana ma na celu doprecyzowanie i uelastycznienie sposobu realizacji obowiązku informacyjnego wobec osób z niepełnosprawnościami. Zastąpienie sformułowania „w szczególności” konstrukcją wskazującą przykładowe formy przekazywania informacji pozwala na zachowanie celu przepisu, przy jednoczesnym uniknięciu nadmiernie rygorystycznego obowiązku </w:t>
            </w:r>
            <w:r w:rsidR="00E717EA" w:rsidRPr="00FF58D5">
              <w:rPr>
                <w:rFonts w:asciiTheme="minorHAnsi" w:hAnsiTheme="minorHAnsi" w:cstheme="minorHAnsi"/>
                <w:bCs/>
                <w:sz w:val="22"/>
                <w:szCs w:val="22"/>
              </w:rPr>
              <w:lastRenderedPageBreak/>
              <w:t>stosowania jednolitego standardu technicznego we wszystkich przypadkach.</w:t>
            </w:r>
          </w:p>
          <w:p w14:paraId="5E8D7BDD" w14:textId="77777777" w:rsidR="00E717EA" w:rsidRPr="00FF58D5" w:rsidRDefault="00E717EA" w:rsidP="00AB5A1A">
            <w:pPr>
              <w:spacing w:line="276" w:lineRule="auto"/>
              <w:jc w:val="both"/>
              <w:rPr>
                <w:rFonts w:asciiTheme="minorHAnsi" w:hAnsiTheme="minorHAnsi" w:cstheme="minorHAnsi"/>
                <w:bCs/>
                <w:sz w:val="22"/>
                <w:szCs w:val="22"/>
              </w:rPr>
            </w:pPr>
          </w:p>
          <w:p w14:paraId="74D5A925" w14:textId="77777777" w:rsidR="00E717EA" w:rsidRPr="00FF58D5" w:rsidRDefault="00E717E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Odwołanie do minimalnego poziomu dostępności określonego w ustawie z dnia 4 kwietnia 2019 r. o dostępności cyfrowej stron internetowych i aplikacji mobilnych podmiotów publicznych w praktyce oznacza konieczność stosowania </w:t>
            </w:r>
            <w:r w:rsidRPr="00FF58D5">
              <w:rPr>
                <w:rFonts w:asciiTheme="minorHAnsi" w:hAnsiTheme="minorHAnsi" w:cstheme="minorHAnsi"/>
                <w:bCs/>
                <w:i/>
                <w:iCs/>
                <w:sz w:val="22"/>
                <w:szCs w:val="22"/>
              </w:rPr>
              <w:t>Wytycznych dla dostępności treści internetowych (WCAG),</w:t>
            </w:r>
            <w:r w:rsidRPr="00FF58D5">
              <w:rPr>
                <w:rFonts w:asciiTheme="minorHAnsi" w:hAnsiTheme="minorHAnsi" w:cstheme="minorHAnsi"/>
                <w:bCs/>
                <w:sz w:val="22"/>
                <w:szCs w:val="22"/>
              </w:rPr>
              <w:t xml:space="preserve"> które stanowią bardzo wysoki standard techniczny. Nałożenie takiego obowiązku na wszystkich pracodawców może wiązać się z istotnymi kosztami dostosowania stron internetowych i narzędzi cyfrowych, które nie zostały uwzględnione w planach finansowych pracodawców, w tym w budżetach na rok 2026.</w:t>
            </w:r>
          </w:p>
          <w:p w14:paraId="3B1FCDC7" w14:textId="615E1C56" w:rsidR="004D336D" w:rsidRPr="00FF58D5" w:rsidRDefault="00E717E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Należy również podkreślić, że obowiązujące przepisy prawa nie nakładają na pracodawców obowiązku posiadania ani prowadzenia strony internetowej. W konsekwencji uzależnianie realizacji obowiązku informacyjnego od spełnienia wymogów dostępności cyfrowej właściwych dla podmiotów publicznych może prowadzić do nieproporcjonalnego obciążenia pracodawców, w szczególności małych i średnich przedsiębiorców.</w:t>
            </w:r>
          </w:p>
        </w:tc>
      </w:tr>
      <w:tr w:rsidR="009B5605" w:rsidRPr="00FF58D5" w14:paraId="58D55011" w14:textId="77777777" w:rsidTr="00AB5A1A">
        <w:trPr>
          <w:trHeight w:val="1275"/>
        </w:trPr>
        <w:tc>
          <w:tcPr>
            <w:tcW w:w="709" w:type="dxa"/>
            <w:vAlign w:val="center"/>
          </w:tcPr>
          <w:p w14:paraId="73F26E9B"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68A2AAB" w14:textId="552CFF36" w:rsidR="00E75910" w:rsidRPr="00FF58D5" w:rsidRDefault="00EF7E6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11 ust. 2</w:t>
            </w:r>
          </w:p>
        </w:tc>
        <w:tc>
          <w:tcPr>
            <w:tcW w:w="3118" w:type="dxa"/>
            <w:vAlign w:val="center"/>
          </w:tcPr>
          <w:p w14:paraId="5745E367" w14:textId="77777777" w:rsidR="006743A9" w:rsidRPr="00FF58D5" w:rsidRDefault="006743A9"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11 </w:t>
            </w:r>
          </w:p>
          <w:p w14:paraId="72EE72C2" w14:textId="77777777" w:rsidR="006743A9" w:rsidRPr="00FF58D5" w:rsidRDefault="006743A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6D93AD6C" w14:textId="6373F798" w:rsidR="00E75910" w:rsidRPr="00FF58D5" w:rsidRDefault="006743A9"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xml:space="preserve">2. Czynności prawne lub postanowienia układów </w:t>
            </w:r>
            <w:r w:rsidRPr="00FF58D5">
              <w:rPr>
                <w:rFonts w:asciiTheme="minorHAnsi" w:hAnsiTheme="minorHAnsi" w:cstheme="minorHAnsi"/>
                <w:sz w:val="22"/>
                <w:szCs w:val="22"/>
              </w:rPr>
              <w:lastRenderedPageBreak/>
              <w:t>zbiorowych pracy i porozumień zbiorowych oraz regulaminów i statutów, o których mowa w art. 9 § 2 Kodeksu pracy, sprzeczne z ust. 1 są nieważne.</w:t>
            </w:r>
          </w:p>
        </w:tc>
        <w:tc>
          <w:tcPr>
            <w:tcW w:w="3827" w:type="dxa"/>
            <w:vAlign w:val="center"/>
          </w:tcPr>
          <w:p w14:paraId="5570F721" w14:textId="2BE3991E" w:rsidR="00E75910" w:rsidRPr="00FF58D5" w:rsidRDefault="00EF7E6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2. Czynności prawne lub postanowienia </w:t>
            </w:r>
            <w:r w:rsidRPr="00FF58D5">
              <w:rPr>
                <w:rFonts w:asciiTheme="minorHAnsi" w:hAnsiTheme="minorHAnsi" w:cstheme="minorHAnsi"/>
                <w:b/>
                <w:sz w:val="22"/>
                <w:szCs w:val="22"/>
                <w:u w:val="single"/>
              </w:rPr>
              <w:t>umów o pracę</w:t>
            </w:r>
            <w:r w:rsidRPr="00FF58D5">
              <w:rPr>
                <w:rFonts w:asciiTheme="minorHAnsi" w:hAnsiTheme="minorHAnsi" w:cstheme="minorHAnsi"/>
                <w:bCs/>
                <w:sz w:val="22"/>
                <w:szCs w:val="22"/>
              </w:rPr>
              <w:t xml:space="preserve">, układów zbiorowych pracy i porozumień zbiorowych oraz regulaminów i statutów, o których mowa </w:t>
            </w:r>
            <w:r w:rsidRPr="00FF58D5">
              <w:rPr>
                <w:rFonts w:asciiTheme="minorHAnsi" w:hAnsiTheme="minorHAnsi" w:cstheme="minorHAnsi"/>
                <w:bCs/>
                <w:sz w:val="22"/>
                <w:szCs w:val="22"/>
              </w:rPr>
              <w:lastRenderedPageBreak/>
              <w:t>w art. 9 § 2 Kodeksu pracy, sprzeczne z ust. 1 są nieważne.</w:t>
            </w:r>
          </w:p>
        </w:tc>
        <w:tc>
          <w:tcPr>
            <w:tcW w:w="5387" w:type="dxa"/>
          </w:tcPr>
          <w:p w14:paraId="51083ADA" w14:textId="77777777" w:rsidR="00176680" w:rsidRPr="00FF58D5" w:rsidRDefault="00073FA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Umowa o pracę jest czynnością prawną, dlatego teoretycznie mogłaby podlegać rygorowi nieważności przewidzianemu dla „czynności prawnych” w ust. 1. W praktyce zastosowanie takiego rozwiązania mogłoby </w:t>
            </w:r>
            <w:r w:rsidRPr="00FF58D5">
              <w:rPr>
                <w:rFonts w:asciiTheme="minorHAnsi" w:hAnsiTheme="minorHAnsi" w:cstheme="minorHAnsi"/>
                <w:bCs/>
                <w:sz w:val="22"/>
                <w:szCs w:val="22"/>
              </w:rPr>
              <w:lastRenderedPageBreak/>
              <w:t>prowadzić do niezamierzonej nieważności całej umowy o pracę w przypadku, gdyby przez przeoczenie w treści umowy znalazło się postanowienie sprzeczne z ust. 1.</w:t>
            </w:r>
          </w:p>
          <w:p w14:paraId="69C5803B" w14:textId="7BCA1792" w:rsidR="00E75910" w:rsidRPr="00FF58D5" w:rsidRDefault="0017668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Wydaje się, że i</w:t>
            </w:r>
            <w:r w:rsidR="00073FA9" w:rsidRPr="00FF58D5">
              <w:rPr>
                <w:rFonts w:asciiTheme="minorHAnsi" w:hAnsiTheme="minorHAnsi" w:cstheme="minorHAnsi"/>
                <w:bCs/>
                <w:sz w:val="22"/>
                <w:szCs w:val="22"/>
              </w:rPr>
              <w:t>ntencją ustawodawcy jest zachowanie ważności całej umowy o pracę przy jednoczesnym uznaniu za nieważne wyłącznie postanowienia sprzecznego z zakazem określonym w ust. 1. W związku z tym uzasadnione jest wyodrębnienie umowy o pracę wprost w przepisie, tak aby uniknąć niebezpieczeństwa nieważności całej umowy i zapewnić proporcjonalność konsekwencji prawnych.</w:t>
            </w:r>
          </w:p>
        </w:tc>
      </w:tr>
      <w:tr w:rsidR="008B1E48" w:rsidRPr="00FF58D5" w14:paraId="43271966" w14:textId="77777777" w:rsidTr="00AB5A1A">
        <w:trPr>
          <w:trHeight w:val="1275"/>
        </w:trPr>
        <w:tc>
          <w:tcPr>
            <w:tcW w:w="709" w:type="dxa"/>
            <w:vAlign w:val="center"/>
          </w:tcPr>
          <w:p w14:paraId="2E20AAFF" w14:textId="77777777" w:rsidR="008B1E48" w:rsidRPr="00FF58D5" w:rsidRDefault="008B1E48"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64CCAFC" w14:textId="0E837990" w:rsidR="008B1E48" w:rsidRPr="00FF58D5" w:rsidRDefault="008B1E4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w:t>
            </w:r>
            <w:r w:rsidR="00534595" w:rsidRPr="00FF58D5">
              <w:rPr>
                <w:rFonts w:asciiTheme="minorHAnsi" w:hAnsiTheme="minorHAnsi" w:cstheme="minorHAnsi"/>
                <w:b/>
                <w:bCs/>
                <w:sz w:val="22"/>
                <w:szCs w:val="22"/>
              </w:rPr>
              <w:t>2.</w:t>
            </w:r>
          </w:p>
        </w:tc>
        <w:tc>
          <w:tcPr>
            <w:tcW w:w="3118" w:type="dxa"/>
            <w:vAlign w:val="center"/>
          </w:tcPr>
          <w:p w14:paraId="3B13F0ED" w14:textId="2427A55A" w:rsidR="008B1E48" w:rsidRPr="00FF58D5" w:rsidRDefault="00F46D5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12. </w:t>
            </w:r>
            <w:r w:rsidRPr="00FF58D5">
              <w:rPr>
                <w:rFonts w:asciiTheme="minorHAnsi" w:hAnsiTheme="minorHAnsi" w:cstheme="minorHAnsi"/>
                <w:sz w:val="22"/>
                <w:szCs w:val="22"/>
              </w:rPr>
              <w:t>Pracodawca może zobowiązać pracownika, który uzyskał na podstawie art. 8 ust. 1 i ust. 2 informacje dotyczące średnich poziomów wynagrodzenia w podziale na płeć w odniesieniu do kategorii pracowników wykonujących jednakową pracę jak on lub pracę o jednakowej wartości jak jego praca, do niewykorzystywania tych informacji w innym celu niż cel polegający na dochodzeniu prawa do równego wynagrodzenia mężczyzn i kobiet za jednakową pracę lub pracę o jednakowej wartości.</w:t>
            </w:r>
          </w:p>
        </w:tc>
        <w:tc>
          <w:tcPr>
            <w:tcW w:w="3827" w:type="dxa"/>
            <w:vAlign w:val="center"/>
          </w:tcPr>
          <w:p w14:paraId="645FC09B" w14:textId="77777777" w:rsidR="009252E1" w:rsidRPr="00FF58D5" w:rsidRDefault="004112E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Doprecyzowanie przepisu</w:t>
            </w:r>
            <w:r w:rsidR="009252E1" w:rsidRPr="00FF58D5">
              <w:rPr>
                <w:rFonts w:asciiTheme="minorHAnsi" w:hAnsiTheme="minorHAnsi" w:cstheme="minorHAnsi"/>
                <w:bCs/>
                <w:sz w:val="22"/>
                <w:szCs w:val="22"/>
              </w:rPr>
              <w:t>:</w:t>
            </w:r>
          </w:p>
          <w:p w14:paraId="19F2837D" w14:textId="4689012B" w:rsidR="00652133" w:rsidRPr="00FF58D5" w:rsidRDefault="00652133" w:rsidP="005D672D">
            <w:pPr>
              <w:spacing w:line="276" w:lineRule="auto"/>
              <w:ind w:left="373" w:hanging="373"/>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9252E1" w:rsidRPr="00FF58D5">
              <w:rPr>
                <w:rFonts w:asciiTheme="minorHAnsi" w:hAnsiTheme="minorHAnsi" w:cstheme="minorHAnsi"/>
                <w:bCs/>
                <w:sz w:val="22"/>
                <w:szCs w:val="22"/>
              </w:rPr>
              <w:t>uzupełnienie regulacji o analogiczne rozwiązania dotyczące osób ubiegających się o zatrudnienie, którym informacje są przekazywane na podstawie art. 10</w:t>
            </w:r>
            <w:r w:rsidRPr="00FF58D5">
              <w:rPr>
                <w:rFonts w:asciiTheme="minorHAnsi" w:hAnsiTheme="minorHAnsi" w:cstheme="minorHAnsi"/>
                <w:bCs/>
                <w:sz w:val="22"/>
                <w:szCs w:val="22"/>
              </w:rPr>
              <w:t>;</w:t>
            </w:r>
          </w:p>
          <w:p w14:paraId="070E839A" w14:textId="6B818560" w:rsidR="008B1E48" w:rsidRPr="00FF58D5" w:rsidRDefault="00652133" w:rsidP="005D672D">
            <w:pPr>
              <w:spacing w:line="276" w:lineRule="auto"/>
              <w:ind w:left="373" w:hanging="373"/>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4112ED" w:rsidRPr="00FF58D5">
              <w:rPr>
                <w:rFonts w:asciiTheme="minorHAnsi" w:hAnsiTheme="minorHAnsi" w:cstheme="minorHAnsi"/>
                <w:bCs/>
                <w:sz w:val="22"/>
                <w:szCs w:val="22"/>
              </w:rPr>
              <w:t xml:space="preserve">wskazanie konsekwencji za wykorzystanie informacji o wynagrodzeniu w innym celu. </w:t>
            </w:r>
          </w:p>
        </w:tc>
        <w:tc>
          <w:tcPr>
            <w:tcW w:w="5387" w:type="dxa"/>
          </w:tcPr>
          <w:p w14:paraId="00DDCA62" w14:textId="77777777" w:rsidR="000B4A70" w:rsidRPr="00FF58D5" w:rsidRDefault="000B4A7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Przepis art. 12 przewiduje możliwość zobowiązania pracownika do niewykorzystywania informacji o średnich poziomach wynagrodzeń w innym celu niż dochodzenie prawa do równego wynagrodzenia kobiet i mężczyzn za jednakową pracę lub pracę o jednakowej wartości.</w:t>
            </w:r>
          </w:p>
          <w:p w14:paraId="239E9B16" w14:textId="77777777" w:rsidR="000B4A70" w:rsidRPr="00FF58D5" w:rsidRDefault="000B4A7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 brzmienia przepisu wynika, że pracownik nie mógłby wykorzystać uzyskanych informacji w sytuacji, gdy nierówność w wynagrodzeniach występuje w ramach tej samej płci, co budzi wątpliwości co do racjonalności i zakresu takiego ograniczenia.</w:t>
            </w:r>
          </w:p>
          <w:p w14:paraId="075FC502" w14:textId="77777777" w:rsidR="000B4A70" w:rsidRPr="00FF58D5" w:rsidRDefault="000B4A7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Art. 12 odnosi się wyłącznie do pracowników, podczas gdy art. 10 projektu nakłada na pracodawcę obowiązek przekazywania analogicznych informacji osobom ubiegającym się o zatrudnienie. Projekt nie przewiduje jednak możliwości zobowiązania kandydata do niewykorzystywania tych informacji w innym celu, co prowadzi do niespójności regulacyjnej.</w:t>
            </w:r>
          </w:p>
          <w:p w14:paraId="575117A4" w14:textId="77777777" w:rsidR="005D672D" w:rsidRPr="00FF58D5" w:rsidRDefault="005D672D" w:rsidP="00AB5A1A">
            <w:pPr>
              <w:spacing w:line="276" w:lineRule="auto"/>
              <w:jc w:val="both"/>
              <w:rPr>
                <w:rFonts w:asciiTheme="minorHAnsi" w:hAnsiTheme="minorHAnsi" w:cstheme="minorHAnsi"/>
                <w:bCs/>
                <w:sz w:val="22"/>
                <w:szCs w:val="22"/>
              </w:rPr>
            </w:pPr>
          </w:p>
          <w:p w14:paraId="52DB53B5" w14:textId="0C823CE7" w:rsidR="008B1E48" w:rsidRPr="00FF58D5" w:rsidRDefault="00BF570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 p</w:t>
            </w:r>
            <w:r w:rsidR="000B4A70" w:rsidRPr="00FF58D5">
              <w:rPr>
                <w:rFonts w:asciiTheme="minorHAnsi" w:hAnsiTheme="minorHAnsi" w:cstheme="minorHAnsi"/>
                <w:bCs/>
                <w:sz w:val="22"/>
                <w:szCs w:val="22"/>
              </w:rPr>
              <w:t xml:space="preserve">rzepis nie </w:t>
            </w:r>
            <w:r w:rsidR="00874932" w:rsidRPr="00FF58D5">
              <w:rPr>
                <w:rFonts w:asciiTheme="minorHAnsi" w:hAnsiTheme="minorHAnsi" w:cstheme="minorHAnsi"/>
                <w:bCs/>
                <w:sz w:val="22"/>
                <w:szCs w:val="22"/>
              </w:rPr>
              <w:t>określa</w:t>
            </w:r>
            <w:r w:rsidR="000B4A70" w:rsidRPr="00FF58D5">
              <w:rPr>
                <w:rFonts w:asciiTheme="minorHAnsi" w:hAnsiTheme="minorHAnsi" w:cstheme="minorHAnsi"/>
                <w:bCs/>
                <w:sz w:val="22"/>
                <w:szCs w:val="22"/>
              </w:rPr>
              <w:t xml:space="preserve"> jakie konsekwencje mogą grozić za naruszenie tego obowiązku</w:t>
            </w:r>
            <w:r w:rsidR="00874932" w:rsidRPr="00FF58D5">
              <w:rPr>
                <w:rFonts w:asciiTheme="minorHAnsi" w:hAnsiTheme="minorHAnsi" w:cstheme="minorHAnsi"/>
                <w:bCs/>
                <w:sz w:val="22"/>
                <w:szCs w:val="22"/>
              </w:rPr>
              <w:t xml:space="preserve"> przez pracownika</w:t>
            </w:r>
            <w:r w:rsidR="000B4A70" w:rsidRPr="00FF58D5">
              <w:rPr>
                <w:rFonts w:asciiTheme="minorHAnsi" w:hAnsiTheme="minorHAnsi" w:cstheme="minorHAnsi"/>
                <w:bCs/>
                <w:sz w:val="22"/>
                <w:szCs w:val="22"/>
              </w:rPr>
              <w:t>, w szczególności jakie uprawnienia przysługują pracodawcy w tym zakresie.</w:t>
            </w:r>
          </w:p>
        </w:tc>
      </w:tr>
      <w:tr w:rsidR="00D66B7F" w:rsidRPr="00FF58D5" w14:paraId="54EEF70C" w14:textId="77777777" w:rsidTr="00AB5A1A">
        <w:trPr>
          <w:trHeight w:val="1275"/>
        </w:trPr>
        <w:tc>
          <w:tcPr>
            <w:tcW w:w="709" w:type="dxa"/>
            <w:vAlign w:val="center"/>
          </w:tcPr>
          <w:p w14:paraId="364A66C9" w14:textId="77777777" w:rsidR="00D66B7F" w:rsidRPr="00FF58D5" w:rsidRDefault="00D66B7F"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5F560F19" w14:textId="03609A93" w:rsidR="00D66B7F" w:rsidRPr="00FF58D5" w:rsidRDefault="00D66B7F"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14</w:t>
            </w:r>
          </w:p>
        </w:tc>
        <w:tc>
          <w:tcPr>
            <w:tcW w:w="3118" w:type="dxa"/>
            <w:vAlign w:val="center"/>
          </w:tcPr>
          <w:p w14:paraId="3D27314D" w14:textId="77777777" w:rsidR="0024157D" w:rsidRPr="00FF58D5" w:rsidRDefault="0024157D"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 xml:space="preserve">Art. 14. </w:t>
            </w:r>
            <w:r w:rsidRPr="00FF58D5">
              <w:rPr>
                <w:rFonts w:asciiTheme="minorHAnsi" w:hAnsiTheme="minorHAnsi" w:cstheme="minorHAnsi"/>
                <w:sz w:val="22"/>
                <w:szCs w:val="22"/>
              </w:rPr>
              <w:t>Sprawozdanie z luki płacowej zawiera informacje o:</w:t>
            </w:r>
          </w:p>
          <w:p w14:paraId="239B1FCE" w14:textId="77777777" w:rsidR="0024157D" w:rsidRPr="00FF58D5" w:rsidRDefault="0024157D"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luce płacowej ze względu na płeć,</w:t>
            </w:r>
          </w:p>
          <w:p w14:paraId="364D697F" w14:textId="1CD00294" w:rsidR="0024157D" w:rsidRPr="00FF58D5" w:rsidRDefault="0024157D"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038E295F" w14:textId="52D508EC" w:rsidR="00D66B7F" w:rsidRPr="00FF58D5" w:rsidRDefault="0024157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dotyczące poprzedniego roku kalendarzowego.</w:t>
            </w:r>
          </w:p>
        </w:tc>
        <w:tc>
          <w:tcPr>
            <w:tcW w:w="3827" w:type="dxa"/>
            <w:vAlign w:val="center"/>
          </w:tcPr>
          <w:p w14:paraId="7FD5DB94" w14:textId="6F41F50F" w:rsidR="00D66B7F" w:rsidRPr="00FF58D5" w:rsidRDefault="00D66B7F" w:rsidP="00AB5A1A">
            <w:pPr>
              <w:spacing w:line="276" w:lineRule="auto"/>
              <w:jc w:val="both"/>
              <w:rPr>
                <w:rFonts w:asciiTheme="minorHAnsi" w:hAnsiTheme="minorHAnsi" w:cstheme="minorHAnsi"/>
                <w:bCs/>
                <w:sz w:val="22"/>
                <w:szCs w:val="22"/>
              </w:rPr>
            </w:pPr>
          </w:p>
        </w:tc>
        <w:tc>
          <w:tcPr>
            <w:tcW w:w="5387" w:type="dxa"/>
          </w:tcPr>
          <w:p w14:paraId="203CB669" w14:textId="7722E788" w:rsidR="001B3ABC" w:rsidRPr="00FF58D5" w:rsidRDefault="001B3AB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Projekt nie precyzuje zasad uwzględniania pracowników, którzy nie przepracowali pełnego roku kalendarzowego. W ustawie należy jednoznacznie wskazać, czy</w:t>
            </w:r>
            <w:r w:rsidR="00AE40B9"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tacy pracownicy są wyłączani z raportu, czy</w:t>
            </w:r>
            <w:r w:rsidR="00AE40B9"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stosuje się proporcjonalne przeliczenie wynagrodzenia. W przypadku wynagrodzeń prowizyjnych lub zmiennych proporcjonalne przeliczenie może prowadzić do nierzetelnych wyników.</w:t>
            </w:r>
          </w:p>
          <w:p w14:paraId="2E2A201B" w14:textId="77777777" w:rsidR="001D3886" w:rsidRPr="00FF58D5" w:rsidRDefault="001D3886" w:rsidP="00AB5A1A">
            <w:pPr>
              <w:spacing w:line="276" w:lineRule="auto"/>
              <w:jc w:val="both"/>
              <w:rPr>
                <w:rFonts w:asciiTheme="minorHAnsi" w:hAnsiTheme="minorHAnsi" w:cstheme="minorHAnsi"/>
                <w:bCs/>
                <w:sz w:val="22"/>
                <w:szCs w:val="22"/>
              </w:rPr>
            </w:pPr>
          </w:p>
          <w:p w14:paraId="4A55B433" w14:textId="2B919830" w:rsidR="00D66B7F" w:rsidRPr="00FF58D5" w:rsidRDefault="003E3AC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Ś</w:t>
            </w:r>
            <w:r w:rsidR="001B3ABC" w:rsidRPr="00FF58D5">
              <w:rPr>
                <w:rFonts w:asciiTheme="minorHAnsi" w:hAnsiTheme="minorHAnsi" w:cstheme="minorHAnsi"/>
                <w:bCs/>
                <w:sz w:val="22"/>
                <w:szCs w:val="22"/>
              </w:rPr>
              <w:t>rednia i mediana:</w:t>
            </w:r>
            <w:r w:rsidRPr="00FF58D5">
              <w:rPr>
                <w:rFonts w:asciiTheme="minorHAnsi" w:hAnsiTheme="minorHAnsi" w:cstheme="minorHAnsi"/>
                <w:bCs/>
                <w:sz w:val="22"/>
                <w:szCs w:val="22"/>
              </w:rPr>
              <w:t xml:space="preserve"> </w:t>
            </w:r>
            <w:r w:rsidR="001B3ABC" w:rsidRPr="00FF58D5">
              <w:rPr>
                <w:rFonts w:asciiTheme="minorHAnsi" w:hAnsiTheme="minorHAnsi" w:cstheme="minorHAnsi"/>
                <w:bCs/>
                <w:sz w:val="22"/>
                <w:szCs w:val="22"/>
              </w:rPr>
              <w:t>Dyrektywa UE 2023/970 wymaga raportowania zarówno średniej, jak i mediany luki płacowej, jednak w praktyce może to prowadzić do nieporozumień, gdy prawo do informacji pracownika odnosi się wyłącznie do średniej. Rekomendujemy doprecyzowanie w ustawie, że</w:t>
            </w:r>
            <w:r w:rsidRPr="00FF58D5">
              <w:rPr>
                <w:rFonts w:asciiTheme="minorHAnsi" w:hAnsiTheme="minorHAnsi" w:cstheme="minorHAnsi"/>
                <w:bCs/>
                <w:sz w:val="22"/>
                <w:szCs w:val="22"/>
              </w:rPr>
              <w:t xml:space="preserve"> </w:t>
            </w:r>
            <w:r w:rsidR="001B3ABC" w:rsidRPr="00FF58D5">
              <w:rPr>
                <w:rFonts w:asciiTheme="minorHAnsi" w:hAnsiTheme="minorHAnsi" w:cstheme="minorHAnsi"/>
                <w:bCs/>
                <w:sz w:val="22"/>
                <w:szCs w:val="22"/>
              </w:rPr>
              <w:t>raportowanie wewnętrzne i publiczne obejmuje średnią i medianę (zgodnie z dyrektywą),</w:t>
            </w:r>
            <w:r w:rsidRPr="00FF58D5">
              <w:rPr>
                <w:rFonts w:asciiTheme="minorHAnsi" w:hAnsiTheme="minorHAnsi" w:cstheme="minorHAnsi"/>
                <w:bCs/>
                <w:sz w:val="22"/>
                <w:szCs w:val="22"/>
              </w:rPr>
              <w:t xml:space="preserve"> </w:t>
            </w:r>
            <w:r w:rsidR="001B3ABC" w:rsidRPr="00FF58D5">
              <w:rPr>
                <w:rFonts w:asciiTheme="minorHAnsi" w:hAnsiTheme="minorHAnsi" w:cstheme="minorHAnsi"/>
                <w:bCs/>
                <w:sz w:val="22"/>
                <w:szCs w:val="22"/>
              </w:rPr>
              <w:t>natomiast prawo do indywidualnej informacji dla pracownika odnosi się do średniego poziomu wynagrodzenia, aby zachować spójność z oczekiwaniami pracowników i ułatwić interpretację danych.</w:t>
            </w:r>
          </w:p>
        </w:tc>
      </w:tr>
      <w:tr w:rsidR="009B5605" w:rsidRPr="00FF58D5" w14:paraId="5CA954C5" w14:textId="77777777" w:rsidTr="00AB5A1A">
        <w:trPr>
          <w:trHeight w:val="1275"/>
        </w:trPr>
        <w:tc>
          <w:tcPr>
            <w:tcW w:w="709" w:type="dxa"/>
            <w:vAlign w:val="center"/>
          </w:tcPr>
          <w:p w14:paraId="0C5C37A4"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48CF516A" w14:textId="08F225DC" w:rsidR="00E75910" w:rsidRPr="00FF58D5" w:rsidRDefault="0062541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15</w:t>
            </w:r>
          </w:p>
        </w:tc>
        <w:tc>
          <w:tcPr>
            <w:tcW w:w="3118" w:type="dxa"/>
            <w:vAlign w:val="center"/>
          </w:tcPr>
          <w:p w14:paraId="48368AD9" w14:textId="77777777" w:rsidR="00E75910" w:rsidRPr="00FF58D5" w:rsidRDefault="0062541E"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Art. 15. 1. </w:t>
            </w:r>
            <w:r w:rsidR="0054286F" w:rsidRPr="00FF58D5">
              <w:rPr>
                <w:rFonts w:asciiTheme="minorHAnsi" w:hAnsiTheme="minorHAnsi" w:cstheme="minorHAnsi"/>
                <w:sz w:val="22"/>
                <w:szCs w:val="22"/>
              </w:rPr>
              <w:t>Jeżeli u danego pracodawcy działa zakładowa organizacja związkowa, pracodawca potwierdza rzetelność informacji zawartych w sprawozdaniu z luki płacowej, po konsultacji z tą zakładową organizacją związkową, a w przypadku gdy u pracodawcy działa więcej niż jedna zakładowa organizacja związkowa, po konsultacji z tymi organizacjami.</w:t>
            </w:r>
          </w:p>
          <w:p w14:paraId="5EB74787" w14:textId="77777777" w:rsidR="00142080" w:rsidRPr="00FF58D5" w:rsidRDefault="00142080"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Pracodawca zapewnia zakładowej organizacji związkowej lub zakładowym organizacjom związkowym dostęp do metody stosowanej do sporządzania sprawozdania z luki płacowej.</w:t>
            </w:r>
          </w:p>
          <w:p w14:paraId="54732A3F" w14:textId="3840008D" w:rsidR="00142080" w:rsidRPr="00FF58D5" w:rsidRDefault="00142080"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 Rzetelność informacji zawartych w sprawozdaniu z luki płacowej potwierdza pracownik lub pracownicy zarządzający w imieniu pracodawcy zakładem pracy w rozumieniu art. 128 § 2 pkt 2 Kodeksu pracy.</w:t>
            </w:r>
          </w:p>
        </w:tc>
        <w:tc>
          <w:tcPr>
            <w:tcW w:w="3827" w:type="dxa"/>
            <w:vAlign w:val="center"/>
          </w:tcPr>
          <w:p w14:paraId="2CA24FD5" w14:textId="309CE661" w:rsidR="00E75910" w:rsidRPr="00FF58D5" w:rsidRDefault="0039083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15. 1. Jeżeli u danego pracodawcy działa zakładowa organizacja związkowa, pracodawca </w:t>
            </w:r>
            <w:r w:rsidR="00552CCC" w:rsidRPr="00FF58D5">
              <w:rPr>
                <w:rFonts w:asciiTheme="minorHAnsi" w:hAnsiTheme="minorHAnsi" w:cstheme="minorHAnsi"/>
                <w:b/>
                <w:sz w:val="22"/>
                <w:szCs w:val="22"/>
                <w:u w:val="single"/>
              </w:rPr>
              <w:t xml:space="preserve">konsultuje sprawozdanie </w:t>
            </w:r>
            <w:r w:rsidRPr="00FF58D5">
              <w:rPr>
                <w:rFonts w:asciiTheme="minorHAnsi" w:hAnsiTheme="minorHAnsi" w:cstheme="minorHAnsi"/>
                <w:bCs/>
                <w:sz w:val="22"/>
                <w:szCs w:val="22"/>
              </w:rPr>
              <w:t xml:space="preserve">z luki płacowej </w:t>
            </w:r>
            <w:r w:rsidR="00A24C31" w:rsidRPr="00FF58D5">
              <w:rPr>
                <w:rFonts w:asciiTheme="minorHAnsi" w:hAnsiTheme="minorHAnsi" w:cstheme="minorHAnsi"/>
                <w:b/>
                <w:sz w:val="22"/>
                <w:szCs w:val="22"/>
                <w:u w:val="single"/>
              </w:rPr>
              <w:t>z zakładową organizacją związkową</w:t>
            </w:r>
            <w:r w:rsidR="004D3379" w:rsidRPr="00FF58D5">
              <w:rPr>
                <w:rFonts w:asciiTheme="minorHAnsi" w:hAnsiTheme="minorHAnsi" w:cstheme="minorHAnsi"/>
                <w:b/>
                <w:sz w:val="22"/>
                <w:szCs w:val="22"/>
                <w:u w:val="single"/>
              </w:rPr>
              <w:t xml:space="preserve">, </w:t>
            </w:r>
            <w:r w:rsidRPr="00FF58D5">
              <w:rPr>
                <w:rFonts w:asciiTheme="minorHAnsi" w:hAnsiTheme="minorHAnsi" w:cstheme="minorHAnsi"/>
                <w:bCs/>
                <w:sz w:val="22"/>
                <w:szCs w:val="22"/>
              </w:rPr>
              <w:t xml:space="preserve">a w przypadku gdy u pracodawcy działa więcej niż jedna zakładowa organizacja związkowa, po konsultacji z tymi organizacjami, </w:t>
            </w:r>
            <w:r w:rsidRPr="00FF58D5">
              <w:rPr>
                <w:rFonts w:asciiTheme="minorHAnsi" w:hAnsiTheme="minorHAnsi" w:cstheme="minorHAnsi"/>
                <w:b/>
                <w:sz w:val="22"/>
                <w:szCs w:val="22"/>
                <w:u w:val="single"/>
              </w:rPr>
              <w:t xml:space="preserve">w terminie nie dłuższym niż </w:t>
            </w:r>
            <w:r w:rsidR="0097751C" w:rsidRPr="00FF58D5">
              <w:rPr>
                <w:rFonts w:asciiTheme="minorHAnsi" w:hAnsiTheme="minorHAnsi" w:cstheme="minorHAnsi"/>
                <w:b/>
                <w:sz w:val="22"/>
                <w:szCs w:val="22"/>
                <w:u w:val="single"/>
              </w:rPr>
              <w:t xml:space="preserve">10 </w:t>
            </w:r>
            <w:r w:rsidRPr="00FF58D5">
              <w:rPr>
                <w:rFonts w:asciiTheme="minorHAnsi" w:hAnsiTheme="minorHAnsi" w:cstheme="minorHAnsi"/>
                <w:b/>
                <w:sz w:val="22"/>
                <w:szCs w:val="22"/>
                <w:u w:val="single"/>
              </w:rPr>
              <w:t xml:space="preserve">dni od </w:t>
            </w:r>
            <w:r w:rsidR="0097751C" w:rsidRPr="00FF58D5">
              <w:rPr>
                <w:rFonts w:asciiTheme="minorHAnsi" w:hAnsiTheme="minorHAnsi" w:cstheme="minorHAnsi"/>
                <w:b/>
                <w:sz w:val="22"/>
                <w:szCs w:val="22"/>
                <w:u w:val="single"/>
              </w:rPr>
              <w:t xml:space="preserve">dnia </w:t>
            </w:r>
            <w:r w:rsidRPr="00FF58D5">
              <w:rPr>
                <w:rFonts w:asciiTheme="minorHAnsi" w:hAnsiTheme="minorHAnsi" w:cstheme="minorHAnsi"/>
                <w:b/>
                <w:sz w:val="22"/>
                <w:szCs w:val="22"/>
                <w:u w:val="single"/>
              </w:rPr>
              <w:t>przedstawienia informacji</w:t>
            </w:r>
            <w:r w:rsidRPr="00FF58D5">
              <w:rPr>
                <w:rFonts w:asciiTheme="minorHAnsi" w:hAnsiTheme="minorHAnsi" w:cstheme="minorHAnsi"/>
                <w:bCs/>
                <w:sz w:val="22"/>
                <w:szCs w:val="22"/>
              </w:rPr>
              <w:t>.</w:t>
            </w:r>
          </w:p>
          <w:p w14:paraId="10BCDF12" w14:textId="557C66E5" w:rsidR="002A3C17" w:rsidRPr="00FF58D5" w:rsidRDefault="002A3C17" w:rsidP="00AB5A1A">
            <w:pPr>
              <w:spacing w:line="276" w:lineRule="auto"/>
              <w:jc w:val="both"/>
              <w:rPr>
                <w:rFonts w:asciiTheme="minorHAnsi" w:hAnsiTheme="minorHAnsi" w:cstheme="minorHAnsi"/>
                <w:sz w:val="22"/>
                <w:szCs w:val="22"/>
              </w:rPr>
            </w:pPr>
          </w:p>
          <w:p w14:paraId="61288B73" w14:textId="58521E5E" w:rsidR="002A3C17" w:rsidRPr="00FF58D5" w:rsidRDefault="002A3C17" w:rsidP="00AB5A1A">
            <w:pPr>
              <w:spacing w:line="276" w:lineRule="auto"/>
              <w:jc w:val="both"/>
              <w:rPr>
                <w:rFonts w:asciiTheme="minorHAnsi" w:hAnsiTheme="minorHAnsi" w:cstheme="minorHAnsi"/>
                <w:bCs/>
                <w:sz w:val="22"/>
                <w:szCs w:val="22"/>
              </w:rPr>
            </w:pPr>
          </w:p>
        </w:tc>
        <w:tc>
          <w:tcPr>
            <w:tcW w:w="5387" w:type="dxa"/>
          </w:tcPr>
          <w:p w14:paraId="74DCB8CB" w14:textId="30BAD8B2" w:rsidR="00A85AFB" w:rsidRPr="00FF58D5" w:rsidRDefault="00562F3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naszej ocenie obowiązek potwierdzania rzetelności informacji zawartych w sprawozdaniu z luki płacowej przez zakładową organizację związkową ma charakter </w:t>
            </w:r>
            <w:proofErr w:type="spellStart"/>
            <w:r w:rsidRPr="00FF58D5">
              <w:rPr>
                <w:rFonts w:asciiTheme="minorHAnsi" w:hAnsiTheme="minorHAnsi" w:cstheme="minorHAnsi"/>
                <w:bCs/>
                <w:sz w:val="22"/>
                <w:szCs w:val="22"/>
              </w:rPr>
              <w:t>ponadmiarowy</w:t>
            </w:r>
            <w:proofErr w:type="spellEnd"/>
            <w:r w:rsidRPr="00FF58D5">
              <w:rPr>
                <w:rFonts w:asciiTheme="minorHAnsi" w:hAnsiTheme="minorHAnsi" w:cstheme="minorHAnsi"/>
                <w:bCs/>
                <w:sz w:val="22"/>
                <w:szCs w:val="22"/>
              </w:rPr>
              <w:t xml:space="preserve"> i wykracza poza standard wynikający z dyrektywy. Ponadto </w:t>
            </w:r>
            <w:r w:rsidR="007038D3" w:rsidRPr="00FF58D5">
              <w:rPr>
                <w:rFonts w:asciiTheme="minorHAnsi" w:hAnsiTheme="minorHAnsi" w:cstheme="minorHAnsi"/>
                <w:bCs/>
                <w:sz w:val="22"/>
                <w:szCs w:val="22"/>
              </w:rPr>
              <w:t>zastrzeżenia rodzi</w:t>
            </w:r>
            <w:r w:rsidRPr="00FF58D5">
              <w:rPr>
                <w:rFonts w:asciiTheme="minorHAnsi" w:hAnsiTheme="minorHAnsi" w:cstheme="minorHAnsi"/>
                <w:bCs/>
                <w:sz w:val="22"/>
                <w:szCs w:val="22"/>
              </w:rPr>
              <w:t xml:space="preserve"> przyznani</w:t>
            </w:r>
            <w:r w:rsidR="007038D3" w:rsidRPr="00FF58D5">
              <w:rPr>
                <w:rFonts w:asciiTheme="minorHAnsi" w:hAnsiTheme="minorHAnsi" w:cstheme="minorHAnsi"/>
                <w:bCs/>
                <w:sz w:val="22"/>
                <w:szCs w:val="22"/>
              </w:rPr>
              <w:t>e</w:t>
            </w:r>
            <w:r w:rsidRPr="00FF58D5">
              <w:rPr>
                <w:rFonts w:asciiTheme="minorHAnsi" w:hAnsiTheme="minorHAnsi" w:cstheme="minorHAnsi"/>
                <w:bCs/>
                <w:sz w:val="22"/>
                <w:szCs w:val="22"/>
              </w:rPr>
              <w:t xml:space="preserve"> zakładowej organizacji związkowej dostępu do metodyki stosowanej przy sporządzaniu sprawozdania z luki płacowej. Taki obowiązek nie wynika wprost z przepisów dyrektywy, a jego wprowadzenie może prowadzić do nadmiernej ingerencji w wewnętrzne procesy pracodawcy oraz do nieproporcjonalnego rozszerzenia uprawnień informacyjnych strony społecznej, wykraczających poza cel regulacji.</w:t>
            </w:r>
          </w:p>
          <w:p w14:paraId="44134A20" w14:textId="77777777" w:rsidR="00EB7356" w:rsidRPr="00FF58D5" w:rsidRDefault="00EB7356" w:rsidP="00AB5A1A">
            <w:pPr>
              <w:spacing w:line="276" w:lineRule="auto"/>
              <w:jc w:val="both"/>
              <w:rPr>
                <w:rFonts w:asciiTheme="minorHAnsi" w:hAnsiTheme="minorHAnsi" w:cstheme="minorHAnsi"/>
                <w:bCs/>
                <w:sz w:val="22"/>
                <w:szCs w:val="22"/>
              </w:rPr>
            </w:pPr>
          </w:p>
          <w:p w14:paraId="6B7AAF70" w14:textId="4678124E" w:rsidR="00E75910" w:rsidRPr="00FF58D5" w:rsidRDefault="00E70D7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w:t>
            </w:r>
            <w:r w:rsidR="00A85AFB" w:rsidRPr="00FF58D5">
              <w:rPr>
                <w:rFonts w:asciiTheme="minorHAnsi" w:hAnsiTheme="minorHAnsi" w:cstheme="minorHAnsi"/>
                <w:bCs/>
                <w:sz w:val="22"/>
                <w:szCs w:val="22"/>
              </w:rPr>
              <w:t xml:space="preserve">roponowane </w:t>
            </w:r>
            <w:r w:rsidR="00645C41" w:rsidRPr="00FF58D5">
              <w:rPr>
                <w:rFonts w:asciiTheme="minorHAnsi" w:hAnsiTheme="minorHAnsi" w:cstheme="minorHAnsi"/>
                <w:bCs/>
                <w:sz w:val="22"/>
                <w:szCs w:val="22"/>
              </w:rPr>
              <w:t xml:space="preserve">doprecyzowanie przepisu poprzez wskazanie konkretnego terminu maksymalnego </w:t>
            </w:r>
            <w:r w:rsidR="00645C41" w:rsidRPr="00FF58D5">
              <w:rPr>
                <w:rFonts w:asciiTheme="minorHAnsi" w:hAnsiTheme="minorHAnsi" w:cstheme="minorHAnsi"/>
                <w:b/>
                <w:sz w:val="22"/>
                <w:szCs w:val="22"/>
              </w:rPr>
              <w:t>(</w:t>
            </w:r>
            <w:r w:rsidR="0097751C" w:rsidRPr="00FF58D5">
              <w:rPr>
                <w:rFonts w:asciiTheme="minorHAnsi" w:hAnsiTheme="minorHAnsi" w:cstheme="minorHAnsi"/>
                <w:b/>
                <w:sz w:val="22"/>
                <w:szCs w:val="22"/>
              </w:rPr>
              <w:t>10</w:t>
            </w:r>
            <w:r w:rsidR="00645C41" w:rsidRPr="00FF58D5">
              <w:rPr>
                <w:rFonts w:asciiTheme="minorHAnsi" w:hAnsiTheme="minorHAnsi" w:cstheme="minorHAnsi"/>
                <w:b/>
                <w:sz w:val="22"/>
                <w:szCs w:val="22"/>
              </w:rPr>
              <w:t xml:space="preserve"> dni)</w:t>
            </w:r>
            <w:r w:rsidR="00645C41" w:rsidRPr="00FF58D5">
              <w:rPr>
                <w:rFonts w:asciiTheme="minorHAnsi" w:hAnsiTheme="minorHAnsi" w:cstheme="minorHAnsi"/>
                <w:bCs/>
                <w:sz w:val="22"/>
                <w:szCs w:val="22"/>
              </w:rPr>
              <w:t xml:space="preserve"> ma na celu zapewnienie jasności i przewidywalności procedury potwierdzania informacji zawartych w sprawozdaniu z luki płacowej. Wyznaczenie terminu umożliwia pracodawcy i zakładowym organizacjom związkowym sprawne przeprowadzenie konsultacji, a jednocześnie zapobiega opóźnieniom w dalszych obowiązkach sprawozdawczych wynikających z ustawy.</w:t>
            </w:r>
            <w:r w:rsidR="002A5C74" w:rsidRPr="00FF58D5">
              <w:rPr>
                <w:rFonts w:asciiTheme="minorHAnsi" w:hAnsiTheme="minorHAnsi" w:cstheme="minorHAnsi"/>
                <w:bCs/>
                <w:sz w:val="22"/>
                <w:szCs w:val="22"/>
              </w:rPr>
              <w:t xml:space="preserve"> O</w:t>
            </w:r>
            <w:r w:rsidR="00645C41" w:rsidRPr="00FF58D5">
              <w:rPr>
                <w:rFonts w:asciiTheme="minorHAnsi" w:hAnsiTheme="minorHAnsi" w:cstheme="minorHAnsi"/>
                <w:bCs/>
                <w:sz w:val="22"/>
                <w:szCs w:val="22"/>
              </w:rPr>
              <w:t>kreślenie maksymalnego terminu 5 dni od przedstawienia informacji pozwala na zachowanie równowagi między koniecznością szybkiego działania a zapewnieniem możliwości rzetelnej weryfikacji danych przez strony uczestniczące w konsultacjach.</w:t>
            </w:r>
          </w:p>
        </w:tc>
      </w:tr>
      <w:tr w:rsidR="009B5605" w:rsidRPr="00FF58D5" w14:paraId="2976BC58" w14:textId="77777777" w:rsidTr="00AB5A1A">
        <w:trPr>
          <w:trHeight w:val="1275"/>
        </w:trPr>
        <w:tc>
          <w:tcPr>
            <w:tcW w:w="709" w:type="dxa"/>
            <w:vAlign w:val="center"/>
          </w:tcPr>
          <w:p w14:paraId="13C6F2D7"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0A2388B6" w14:textId="77777777" w:rsidR="00E75910" w:rsidRPr="00FF58D5" w:rsidRDefault="003D17BA"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16 ust. 1</w:t>
            </w:r>
          </w:p>
          <w:p w14:paraId="525EE76A" w14:textId="3B323F13" w:rsidR="00DC4EDE" w:rsidRPr="00FF58D5" w:rsidRDefault="00DC4ED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22 ust. 1</w:t>
            </w:r>
          </w:p>
        </w:tc>
        <w:tc>
          <w:tcPr>
            <w:tcW w:w="3118" w:type="dxa"/>
            <w:vAlign w:val="center"/>
          </w:tcPr>
          <w:p w14:paraId="54D71427" w14:textId="77777777" w:rsidR="003B2954" w:rsidRPr="00FF58D5" w:rsidRDefault="003B2954"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16.</w:t>
            </w:r>
            <w:r w:rsidRPr="00FF58D5">
              <w:rPr>
                <w:rFonts w:asciiTheme="minorHAnsi" w:hAnsiTheme="minorHAnsi" w:cstheme="minorHAnsi"/>
                <w:sz w:val="22"/>
                <w:szCs w:val="22"/>
              </w:rPr>
              <w:t xml:space="preserve"> 1. Pracodawca przekazuje do organu monitorującego sprawozdanie z luki płacowej, w postaci elektronicznej, w terminie do 31 marca danego roku kalendarzowego:</w:t>
            </w:r>
          </w:p>
          <w:p w14:paraId="5A2CECA4" w14:textId="77777777" w:rsidR="003B2954" w:rsidRPr="00FF58D5" w:rsidRDefault="003B295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co trzy lata w przypadku pracodawców zatrudniających co najmniej 100 pracowników;</w:t>
            </w:r>
          </w:p>
          <w:p w14:paraId="087F2C91" w14:textId="77777777" w:rsidR="003B2954" w:rsidRPr="00FF58D5" w:rsidRDefault="003B295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corocznie w przypadku pracodawców zatrudniających co najmniej 250 pracowników.</w:t>
            </w:r>
          </w:p>
          <w:p w14:paraId="26453CD5" w14:textId="77777777" w:rsidR="00E75910" w:rsidRPr="00FF58D5" w:rsidRDefault="003B295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Pracodawca zatrudniający poniżej 100 pracowników może co trzy lata, przekazać do organu monitorującego sprawozdanie z luki płacowej, w terminie do 31 marca danego roku kalendarzowego.</w:t>
            </w:r>
          </w:p>
          <w:p w14:paraId="1DE0B386" w14:textId="74EE7295" w:rsidR="00EB55DE" w:rsidRPr="00FF58D5" w:rsidRDefault="00EB55DE"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22.</w:t>
            </w:r>
            <w:r w:rsidRPr="00FF58D5">
              <w:rPr>
                <w:rFonts w:asciiTheme="minorHAnsi" w:hAnsiTheme="minorHAnsi" w:cstheme="minorHAnsi"/>
                <w:sz w:val="22"/>
                <w:szCs w:val="22"/>
              </w:rPr>
              <w:t xml:space="preserve"> 1. W terminie do dnia 31 marca każdego roku pracodawca przekazuje informacje, o których mowa w art. 14 pkt 7, pracownikom oraz zakładowej organizacji związkowej, a w przypadku gdy u pracodawcy działa więcej niż jedna zakładowa </w:t>
            </w:r>
            <w:r w:rsidRPr="00FF58D5">
              <w:rPr>
                <w:rFonts w:asciiTheme="minorHAnsi" w:hAnsiTheme="minorHAnsi" w:cstheme="minorHAnsi"/>
                <w:sz w:val="22"/>
                <w:szCs w:val="22"/>
              </w:rPr>
              <w:lastRenderedPageBreak/>
              <w:t>organizacja związkowa, tym organizacjom.</w:t>
            </w:r>
          </w:p>
        </w:tc>
        <w:tc>
          <w:tcPr>
            <w:tcW w:w="3827" w:type="dxa"/>
            <w:vAlign w:val="center"/>
          </w:tcPr>
          <w:p w14:paraId="22FC0781" w14:textId="561A7EEF" w:rsidR="002F67AD" w:rsidRPr="00FF58D5" w:rsidRDefault="002F67A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Art. 16. 1. Pracodawca przekazuje do organu monitorującego sprawozdanie z luki płacowej, w postaci elektronicznej</w:t>
            </w:r>
            <w:r w:rsidR="00EB7356" w:rsidRPr="00FF58D5">
              <w:rPr>
                <w:rFonts w:asciiTheme="minorHAnsi" w:hAnsiTheme="minorHAnsi" w:cstheme="minorHAnsi"/>
                <w:bCs/>
                <w:sz w:val="22"/>
                <w:szCs w:val="22"/>
              </w:rPr>
              <w:t>:</w:t>
            </w:r>
          </w:p>
          <w:p w14:paraId="39B89B0F" w14:textId="25997333" w:rsidR="002F67AD" w:rsidRPr="00FF58D5" w:rsidRDefault="002F67A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1)</w:t>
            </w:r>
            <w:r w:rsidRPr="00FF58D5">
              <w:rPr>
                <w:rFonts w:asciiTheme="minorHAnsi" w:hAnsiTheme="minorHAnsi" w:cstheme="minorHAnsi"/>
                <w:bCs/>
                <w:sz w:val="22"/>
                <w:szCs w:val="22"/>
              </w:rPr>
              <w:tab/>
              <w:t xml:space="preserve">co trzy lata w przypadku pracodawców zatrudniających co najmniej 100 pracowników </w:t>
            </w:r>
            <w:r w:rsidRPr="00FF58D5">
              <w:rPr>
                <w:rFonts w:asciiTheme="minorHAnsi" w:hAnsiTheme="minorHAnsi" w:cstheme="minorHAnsi"/>
                <w:b/>
                <w:sz w:val="22"/>
                <w:szCs w:val="22"/>
                <w:u w:val="single"/>
              </w:rPr>
              <w:t>w terminie do 3</w:t>
            </w:r>
            <w:r w:rsidR="00AA2D37" w:rsidRPr="00FF58D5">
              <w:rPr>
                <w:rFonts w:asciiTheme="minorHAnsi" w:hAnsiTheme="minorHAnsi" w:cstheme="minorHAnsi"/>
                <w:b/>
                <w:sz w:val="22"/>
                <w:szCs w:val="22"/>
                <w:u w:val="single"/>
              </w:rPr>
              <w:t>0</w:t>
            </w:r>
            <w:r w:rsidRPr="00FF58D5">
              <w:rPr>
                <w:rFonts w:asciiTheme="minorHAnsi" w:hAnsiTheme="minorHAnsi" w:cstheme="minorHAnsi"/>
                <w:b/>
                <w:sz w:val="22"/>
                <w:szCs w:val="22"/>
                <w:u w:val="single"/>
              </w:rPr>
              <w:t xml:space="preserve"> </w:t>
            </w:r>
            <w:r w:rsidR="00E472F9" w:rsidRPr="00FF58D5">
              <w:rPr>
                <w:rFonts w:asciiTheme="minorHAnsi" w:hAnsiTheme="minorHAnsi" w:cstheme="minorHAnsi"/>
                <w:b/>
                <w:sz w:val="22"/>
                <w:szCs w:val="22"/>
                <w:u w:val="single"/>
              </w:rPr>
              <w:t>czerwca</w:t>
            </w:r>
            <w:r w:rsidRPr="00FF58D5">
              <w:rPr>
                <w:rFonts w:asciiTheme="minorHAnsi" w:hAnsiTheme="minorHAnsi" w:cstheme="minorHAnsi"/>
                <w:b/>
                <w:sz w:val="22"/>
                <w:szCs w:val="22"/>
                <w:u w:val="single"/>
              </w:rPr>
              <w:t xml:space="preserve"> roku kalendarzowego następującego po tym okresie trzyletnim;</w:t>
            </w:r>
          </w:p>
          <w:p w14:paraId="7A2154F4" w14:textId="687EF921" w:rsidR="002F67AD" w:rsidRPr="00FF58D5" w:rsidRDefault="002F67AD" w:rsidP="00AB5A1A">
            <w:pPr>
              <w:spacing w:line="276" w:lineRule="auto"/>
              <w:jc w:val="both"/>
              <w:rPr>
                <w:rFonts w:asciiTheme="minorHAnsi" w:hAnsiTheme="minorHAnsi" w:cstheme="minorHAnsi"/>
                <w:b/>
                <w:sz w:val="22"/>
                <w:szCs w:val="22"/>
                <w:u w:val="single"/>
              </w:rPr>
            </w:pPr>
            <w:r w:rsidRPr="00FF58D5">
              <w:rPr>
                <w:rFonts w:asciiTheme="minorHAnsi" w:hAnsiTheme="minorHAnsi" w:cstheme="minorHAnsi"/>
                <w:bCs/>
                <w:sz w:val="22"/>
                <w:szCs w:val="22"/>
              </w:rPr>
              <w:t>2)</w:t>
            </w:r>
            <w:r w:rsidRPr="00FF58D5">
              <w:rPr>
                <w:rFonts w:asciiTheme="minorHAnsi" w:hAnsiTheme="minorHAnsi" w:cstheme="minorHAnsi"/>
                <w:bCs/>
                <w:sz w:val="22"/>
                <w:szCs w:val="22"/>
              </w:rPr>
              <w:tab/>
              <w:t xml:space="preserve">corocznie w przypadku pracodawców zatrudniających co najmniej 250 pracowników </w:t>
            </w:r>
            <w:r w:rsidRPr="00FF58D5">
              <w:rPr>
                <w:rFonts w:asciiTheme="minorHAnsi" w:hAnsiTheme="minorHAnsi" w:cstheme="minorHAnsi"/>
                <w:b/>
                <w:sz w:val="22"/>
                <w:szCs w:val="22"/>
                <w:u w:val="single"/>
              </w:rPr>
              <w:t>w terminie do 3</w:t>
            </w:r>
            <w:r w:rsidR="00AA2D37" w:rsidRPr="00FF58D5">
              <w:rPr>
                <w:rFonts w:asciiTheme="minorHAnsi" w:hAnsiTheme="minorHAnsi" w:cstheme="minorHAnsi"/>
                <w:b/>
                <w:sz w:val="22"/>
                <w:szCs w:val="22"/>
                <w:u w:val="single"/>
              </w:rPr>
              <w:t>0</w:t>
            </w:r>
            <w:r w:rsidRPr="00FF58D5">
              <w:rPr>
                <w:rFonts w:asciiTheme="minorHAnsi" w:hAnsiTheme="minorHAnsi" w:cstheme="minorHAnsi"/>
                <w:b/>
                <w:sz w:val="22"/>
                <w:szCs w:val="22"/>
                <w:u w:val="single"/>
              </w:rPr>
              <w:t xml:space="preserve"> </w:t>
            </w:r>
            <w:r w:rsidR="00E472F9" w:rsidRPr="00FF58D5">
              <w:rPr>
                <w:rFonts w:asciiTheme="minorHAnsi" w:hAnsiTheme="minorHAnsi" w:cstheme="minorHAnsi"/>
                <w:b/>
                <w:sz w:val="22"/>
                <w:szCs w:val="22"/>
                <w:u w:val="single"/>
              </w:rPr>
              <w:t>czerwca</w:t>
            </w:r>
            <w:r w:rsidRPr="00FF58D5">
              <w:rPr>
                <w:rFonts w:asciiTheme="minorHAnsi" w:hAnsiTheme="minorHAnsi" w:cstheme="minorHAnsi"/>
                <w:b/>
                <w:sz w:val="22"/>
                <w:szCs w:val="22"/>
                <w:u w:val="single"/>
              </w:rPr>
              <w:t xml:space="preserve"> kolejnego roku kalendarzowego.</w:t>
            </w:r>
          </w:p>
          <w:p w14:paraId="5587CAFE" w14:textId="4AB9A8C8" w:rsidR="00E75910" w:rsidRPr="00FF58D5" w:rsidRDefault="002F67AD" w:rsidP="00AB5A1A">
            <w:pPr>
              <w:spacing w:line="276" w:lineRule="auto"/>
              <w:jc w:val="both"/>
              <w:rPr>
                <w:rFonts w:asciiTheme="minorHAnsi" w:hAnsiTheme="minorHAnsi" w:cstheme="minorHAnsi"/>
                <w:b/>
                <w:sz w:val="22"/>
                <w:szCs w:val="22"/>
                <w:u w:val="single"/>
              </w:rPr>
            </w:pPr>
            <w:r w:rsidRPr="00FF58D5">
              <w:rPr>
                <w:rFonts w:asciiTheme="minorHAnsi" w:hAnsiTheme="minorHAnsi" w:cstheme="minorHAnsi"/>
                <w:bCs/>
                <w:sz w:val="22"/>
                <w:szCs w:val="22"/>
              </w:rPr>
              <w:t xml:space="preserve">2. Pracodawca zatrudniający poniżej 100 pracowników może co trzy lata, przekazać do organu monitorującego sprawozdanie z luki płacowej, w terminie </w:t>
            </w:r>
            <w:r w:rsidRPr="00FF58D5">
              <w:rPr>
                <w:rFonts w:asciiTheme="minorHAnsi" w:hAnsiTheme="minorHAnsi" w:cstheme="minorHAnsi"/>
                <w:b/>
                <w:sz w:val="22"/>
                <w:szCs w:val="22"/>
              </w:rPr>
              <w:t>do 3</w:t>
            </w:r>
            <w:r w:rsidR="00AA2D37" w:rsidRPr="00FF58D5">
              <w:rPr>
                <w:rFonts w:asciiTheme="minorHAnsi" w:hAnsiTheme="minorHAnsi" w:cstheme="minorHAnsi"/>
                <w:b/>
                <w:sz w:val="22"/>
                <w:szCs w:val="22"/>
              </w:rPr>
              <w:t>0</w:t>
            </w:r>
            <w:r w:rsidRPr="00FF58D5">
              <w:rPr>
                <w:rFonts w:asciiTheme="minorHAnsi" w:hAnsiTheme="minorHAnsi" w:cstheme="minorHAnsi"/>
                <w:b/>
                <w:sz w:val="22"/>
                <w:szCs w:val="22"/>
              </w:rPr>
              <w:t xml:space="preserve"> </w:t>
            </w:r>
            <w:r w:rsidR="00AA2D37" w:rsidRPr="00FF58D5">
              <w:rPr>
                <w:rFonts w:asciiTheme="minorHAnsi" w:hAnsiTheme="minorHAnsi" w:cstheme="minorHAnsi"/>
                <w:b/>
                <w:sz w:val="22"/>
                <w:szCs w:val="22"/>
              </w:rPr>
              <w:t>czerwca</w:t>
            </w:r>
            <w:r w:rsidRPr="00FF58D5">
              <w:rPr>
                <w:rFonts w:asciiTheme="minorHAnsi" w:hAnsiTheme="minorHAnsi" w:cstheme="minorHAnsi"/>
                <w:bCs/>
                <w:sz w:val="22"/>
                <w:szCs w:val="22"/>
              </w:rPr>
              <w:t xml:space="preserve"> </w:t>
            </w:r>
            <w:r w:rsidRPr="00FF58D5">
              <w:rPr>
                <w:rFonts w:asciiTheme="minorHAnsi" w:hAnsiTheme="minorHAnsi" w:cstheme="minorHAnsi"/>
                <w:b/>
                <w:sz w:val="22"/>
                <w:szCs w:val="22"/>
                <w:u w:val="single"/>
              </w:rPr>
              <w:t>danego roku kalendarzowego przypadającego po tym okresie trzyletnim.</w:t>
            </w:r>
          </w:p>
          <w:p w14:paraId="699A77A2" w14:textId="77777777" w:rsidR="00DC4EDE" w:rsidRPr="00FF58D5" w:rsidRDefault="00DC4EDE" w:rsidP="00AB5A1A">
            <w:pPr>
              <w:spacing w:line="276" w:lineRule="auto"/>
              <w:jc w:val="both"/>
              <w:rPr>
                <w:rFonts w:asciiTheme="minorHAnsi" w:hAnsiTheme="minorHAnsi" w:cstheme="minorHAnsi"/>
                <w:b/>
                <w:sz w:val="22"/>
                <w:szCs w:val="22"/>
                <w:u w:val="single"/>
              </w:rPr>
            </w:pPr>
          </w:p>
          <w:p w14:paraId="72B2F266" w14:textId="77777777" w:rsidR="00DC4EDE" w:rsidRPr="00FF58D5" w:rsidRDefault="00DC4ED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Art. 22 ust. 1:</w:t>
            </w:r>
          </w:p>
          <w:p w14:paraId="5CE504C2" w14:textId="77777777" w:rsidR="00DC4EDE" w:rsidRPr="00FF58D5" w:rsidRDefault="00DC4EDE" w:rsidP="00AB5A1A">
            <w:pPr>
              <w:spacing w:line="276" w:lineRule="auto"/>
              <w:jc w:val="both"/>
              <w:rPr>
                <w:rFonts w:asciiTheme="minorHAnsi" w:hAnsiTheme="minorHAnsi" w:cstheme="minorHAnsi"/>
                <w:bCs/>
                <w:sz w:val="22"/>
                <w:szCs w:val="22"/>
              </w:rPr>
            </w:pPr>
          </w:p>
          <w:p w14:paraId="5053EDF3" w14:textId="7C70A38B" w:rsidR="00DC4EDE" w:rsidRPr="00FF58D5" w:rsidRDefault="00DC4ED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22. 1. W terminach </w:t>
            </w:r>
            <w:r w:rsidRPr="00FF58D5">
              <w:rPr>
                <w:rFonts w:asciiTheme="minorHAnsi" w:hAnsiTheme="minorHAnsi" w:cstheme="minorHAnsi"/>
                <w:b/>
                <w:sz w:val="22"/>
                <w:szCs w:val="22"/>
                <w:u w:val="single"/>
              </w:rPr>
              <w:t xml:space="preserve">wskazanych w art. 16 </w:t>
            </w:r>
            <w:r w:rsidRPr="00FF58D5">
              <w:rPr>
                <w:rFonts w:asciiTheme="minorHAnsi" w:hAnsiTheme="minorHAnsi" w:cstheme="minorHAnsi"/>
                <w:bCs/>
                <w:sz w:val="22"/>
                <w:szCs w:val="22"/>
              </w:rPr>
              <w:t xml:space="preserve"> pracodawca przekazuje informacje, o których mowa w art. 14 pkt </w:t>
            </w:r>
            <w:r w:rsidRPr="00FF58D5">
              <w:rPr>
                <w:rFonts w:asciiTheme="minorHAnsi" w:hAnsiTheme="minorHAnsi" w:cstheme="minorHAnsi"/>
                <w:bCs/>
                <w:sz w:val="22"/>
                <w:szCs w:val="22"/>
              </w:rPr>
              <w:lastRenderedPageBreak/>
              <w:t>7, pracownikom oraz zakładowej organizacji związkowej, a w przypadku gdy u pracodawcy działa więcej niż jedna zakładowa organizacja związkowa, tym organizacjom.</w:t>
            </w:r>
          </w:p>
        </w:tc>
        <w:tc>
          <w:tcPr>
            <w:tcW w:w="5387" w:type="dxa"/>
          </w:tcPr>
          <w:p w14:paraId="13088113" w14:textId="77777777" w:rsidR="00FB1FC2" w:rsidRPr="00FF58D5" w:rsidRDefault="000C127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Proponowana zmiana przepisu art. 16 ma na celu</w:t>
            </w:r>
            <w:r w:rsidR="00FB1FC2" w:rsidRPr="00FF58D5">
              <w:rPr>
                <w:rFonts w:asciiTheme="minorHAnsi" w:hAnsiTheme="minorHAnsi" w:cstheme="minorHAnsi"/>
                <w:bCs/>
                <w:sz w:val="22"/>
                <w:szCs w:val="22"/>
              </w:rPr>
              <w:t>:</w:t>
            </w:r>
          </w:p>
          <w:p w14:paraId="7426854A" w14:textId="1757A8A0" w:rsidR="000C1278" w:rsidRPr="00FF58D5" w:rsidRDefault="000C127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FB1FC2" w:rsidRPr="00FF58D5">
              <w:rPr>
                <w:rFonts w:asciiTheme="minorHAnsi" w:hAnsiTheme="minorHAnsi" w:cstheme="minorHAnsi"/>
                <w:bCs/>
                <w:sz w:val="22"/>
                <w:szCs w:val="22"/>
              </w:rPr>
              <w:t>1.</w:t>
            </w:r>
            <w:r w:rsidR="003A5F3C"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doprecyzowanie terminów przekazywania sprawozdań z luki płacowej do organu monitorującego. Wskazanie, że termin przypada po zakończeniu okresu trzyletniego lub rocznego, eliminuje wątpliwości interpretacyjne dotyczące momentu, w którym sprawozdanie powinno być złożone.</w:t>
            </w:r>
            <w:r w:rsidR="00FB1FC2"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Doprecyzowanie terminu zwiększa przewidywalność obowiązków pracodawców, ułatwia planowanie działań związanych z przygotowaniem sprawozdania oraz zapewnia spójność realizacji obowiązków sprawozdawczych w całym kraju.</w:t>
            </w:r>
          </w:p>
          <w:p w14:paraId="669F22D5" w14:textId="604E5422" w:rsidR="00460857" w:rsidRPr="00FF58D5" w:rsidRDefault="00FD689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t>
            </w:r>
            <w:r w:rsidR="0090080F" w:rsidRPr="00FF58D5">
              <w:rPr>
                <w:rFonts w:asciiTheme="minorHAnsi" w:hAnsiTheme="minorHAnsi" w:cstheme="minorHAnsi"/>
                <w:bCs/>
                <w:sz w:val="22"/>
                <w:szCs w:val="22"/>
              </w:rPr>
              <w:t>W</w:t>
            </w:r>
            <w:r w:rsidR="003A5F3C" w:rsidRPr="00FF58D5">
              <w:rPr>
                <w:rFonts w:asciiTheme="minorHAnsi" w:hAnsiTheme="minorHAnsi" w:cstheme="minorHAnsi"/>
                <w:bCs/>
                <w:sz w:val="22"/>
                <w:szCs w:val="22"/>
              </w:rPr>
              <w:t xml:space="preserve">ydłużenie terminu przekazania sprawozdania. </w:t>
            </w:r>
            <w:r w:rsidR="00460857" w:rsidRPr="00FF58D5">
              <w:rPr>
                <w:rFonts w:asciiTheme="minorHAnsi" w:hAnsiTheme="minorHAnsi" w:cstheme="minorHAnsi"/>
                <w:bCs/>
                <w:sz w:val="22"/>
                <w:szCs w:val="22"/>
              </w:rPr>
              <w:t>Termin 31 marca nie uwzględnia realiów procesów kadrowo-płacowych funkcjonujących u pracodawców. Wypłaty wynagrodzeń za miesiąc grudzień mogą następować do 10 stycznia kolejnego roku, a do końca stycznia dokonywane są korekty wynikające m.in. z nieobecności pracowników. W praktyce oznacza to, że kompletne i zweryfikowane dane niezbędne do sporządzenia sprawozdania są dostępne dopiero na przełomie stycznia i lutego, co pozostawia pracodawcy zaledwie około dwóch miesięcy na przygotowanie skomplikowanego sprawozdania.</w:t>
            </w:r>
          </w:p>
          <w:p w14:paraId="0E57655D" w14:textId="77777777" w:rsidR="00460857" w:rsidRPr="00FF58D5" w:rsidRDefault="0046085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Dodatkowo w tym samym okresie konieczne jest przeprowadzenie konsultacji sprawozdania z organizacjami związkowymi lub przedstawicielami pracowników, co wymaga czasu i zaangażowania zasobów organizacyjnych. Należy również uwzględnić, że w pierwszym kwartale roku </w:t>
            </w:r>
            <w:r w:rsidRPr="00FF58D5">
              <w:rPr>
                <w:rFonts w:asciiTheme="minorHAnsi" w:hAnsiTheme="minorHAnsi" w:cstheme="minorHAnsi"/>
                <w:bCs/>
                <w:sz w:val="22"/>
                <w:szCs w:val="22"/>
              </w:rPr>
              <w:lastRenderedPageBreak/>
              <w:t>pracodawcy realizują obowiązki związane z przygotowaniem rocznych informacji podatkowych (PIT), co stanowi istotne dodatkowe obciążenie działów kadrowo-płacowych.</w:t>
            </w:r>
          </w:p>
          <w:p w14:paraId="063782F3" w14:textId="09314D85" w:rsidR="00FD6891" w:rsidRPr="00FF58D5" w:rsidRDefault="0046085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Wydłużenie terminu do 30 czerwca umożliwi rzetelne, kompletne i porównywalne przygotowanie sprawozdania z luki płacowej, bez ryzyka błędów wynikających z presji czasowej, a jednocześnie nie wpłynie negatywnie na realizację celów regulacji.</w:t>
            </w:r>
          </w:p>
          <w:p w14:paraId="3EDC6E0D" w14:textId="6031ADC6" w:rsidR="00E75910" w:rsidRPr="00FF58D5" w:rsidRDefault="000C127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Zmiana ta nie wpływa na częstotliwość ani zakres obowiązku sprawozdawczego, a jedynie precyzuje jego termin realizacji, zapewniając jasność i jednolitość stosowania przepisów.</w:t>
            </w:r>
          </w:p>
        </w:tc>
      </w:tr>
      <w:tr w:rsidR="00931734" w:rsidRPr="00FF58D5" w14:paraId="1410EBE0" w14:textId="77777777" w:rsidTr="00AB5A1A">
        <w:trPr>
          <w:trHeight w:val="1275"/>
        </w:trPr>
        <w:tc>
          <w:tcPr>
            <w:tcW w:w="709" w:type="dxa"/>
            <w:vAlign w:val="center"/>
          </w:tcPr>
          <w:p w14:paraId="75830F18" w14:textId="77777777" w:rsidR="00931734" w:rsidRPr="00FF58D5" w:rsidRDefault="00931734"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FE6F571" w14:textId="6E8320C6" w:rsidR="00931734" w:rsidRPr="00FF58D5" w:rsidRDefault="00B3050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16 ust. 2</w:t>
            </w:r>
          </w:p>
        </w:tc>
        <w:tc>
          <w:tcPr>
            <w:tcW w:w="3118" w:type="dxa"/>
            <w:vAlign w:val="center"/>
          </w:tcPr>
          <w:p w14:paraId="1A62D548" w14:textId="58509608" w:rsidR="00931734" w:rsidRPr="00FF58D5" w:rsidRDefault="0073518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2. </w:t>
            </w:r>
            <w:r w:rsidRPr="00FF58D5">
              <w:rPr>
                <w:rFonts w:asciiTheme="minorHAnsi" w:hAnsiTheme="minorHAnsi" w:cstheme="minorHAnsi"/>
                <w:sz w:val="22"/>
                <w:szCs w:val="22"/>
              </w:rPr>
              <w:t>Pracodawca zatrudniający poniżej 100 pracowników może co trzy lata, przekazać do organu monitorującego sprawozdanie z luki płacowej, w terminie do 31 marca danego roku kalendarzowego.</w:t>
            </w:r>
          </w:p>
        </w:tc>
        <w:tc>
          <w:tcPr>
            <w:tcW w:w="3827" w:type="dxa"/>
            <w:vAlign w:val="center"/>
          </w:tcPr>
          <w:p w14:paraId="5C9CEDD7" w14:textId="18FE9497" w:rsidR="00931734" w:rsidRPr="00FF58D5" w:rsidRDefault="00A9220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Pracodawca zatrudniający poniżej 100 pracowników może co trzy lata, przekazać do organu monitorującego sprawozdanie z luki płacowej, w terminie </w:t>
            </w:r>
            <w:r w:rsidRPr="00FF58D5">
              <w:rPr>
                <w:rFonts w:asciiTheme="minorHAnsi" w:hAnsiTheme="minorHAnsi" w:cstheme="minorHAnsi"/>
                <w:b/>
                <w:sz w:val="22"/>
                <w:szCs w:val="22"/>
              </w:rPr>
              <w:t>do 3</w:t>
            </w:r>
            <w:r w:rsidR="00233B66">
              <w:rPr>
                <w:rFonts w:asciiTheme="minorHAnsi" w:hAnsiTheme="minorHAnsi" w:cstheme="minorHAnsi"/>
                <w:b/>
                <w:sz w:val="22"/>
                <w:szCs w:val="22"/>
              </w:rPr>
              <w:t>0</w:t>
            </w:r>
            <w:r w:rsidRPr="00FF58D5">
              <w:rPr>
                <w:rFonts w:asciiTheme="minorHAnsi" w:hAnsiTheme="minorHAnsi" w:cstheme="minorHAnsi"/>
                <w:b/>
                <w:sz w:val="22"/>
                <w:szCs w:val="22"/>
              </w:rPr>
              <w:t xml:space="preserve"> czerwca </w:t>
            </w:r>
            <w:r w:rsidRPr="00FF58D5">
              <w:rPr>
                <w:rFonts w:asciiTheme="minorHAnsi" w:hAnsiTheme="minorHAnsi" w:cstheme="minorHAnsi"/>
                <w:bCs/>
                <w:sz w:val="22"/>
                <w:szCs w:val="22"/>
              </w:rPr>
              <w:t>danego roku kalendarzowego.</w:t>
            </w:r>
          </w:p>
        </w:tc>
        <w:tc>
          <w:tcPr>
            <w:tcW w:w="5387" w:type="dxa"/>
          </w:tcPr>
          <w:p w14:paraId="6A0E8939" w14:textId="77777777" w:rsidR="00707AF4" w:rsidRPr="00FF58D5" w:rsidRDefault="00707AF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Termin przekazania sprawozdania do dnia 31 marca jest zbyt krótki i nie uwzględnia realiów funkcjonowania pracodawców, w szczególności mniejszych podmiotów. Wynagrodzenia za grudzień są co do zasady wypłacane w styczniu, natomiast styczeń i luty stanowią okres wzmożonej pracy działów kadr i płac związanej m.in. z przygotowaniem i przekazywaniem informacji PIT. Dodatkowo projekt zakłada konieczność omówienia i zatwierdzenia sprawozdania z zakładową organizacją związkową, co wymaga dodatkowego czasu organizacyjnego.</w:t>
            </w:r>
          </w:p>
          <w:p w14:paraId="4AB33FB9" w14:textId="77777777" w:rsidR="00707AF4" w:rsidRPr="00FF58D5" w:rsidRDefault="00707AF4" w:rsidP="00AB5A1A">
            <w:pPr>
              <w:spacing w:line="276" w:lineRule="auto"/>
              <w:jc w:val="both"/>
              <w:rPr>
                <w:rFonts w:asciiTheme="minorHAnsi" w:hAnsiTheme="minorHAnsi" w:cstheme="minorHAnsi"/>
                <w:bCs/>
                <w:sz w:val="22"/>
                <w:szCs w:val="22"/>
              </w:rPr>
            </w:pPr>
          </w:p>
          <w:p w14:paraId="59A08B40" w14:textId="77777777" w:rsidR="00707AF4" w:rsidRPr="00FF58D5" w:rsidRDefault="00707AF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Ponadto pracodawca musi mieć możliwość zamknięcia roku kalendarzowego, przeprowadzenia rzetelnej analizy danych </w:t>
            </w:r>
            <w:r w:rsidRPr="00FF58D5">
              <w:rPr>
                <w:rFonts w:asciiTheme="minorHAnsi" w:hAnsiTheme="minorHAnsi" w:cstheme="minorHAnsi"/>
                <w:bCs/>
                <w:sz w:val="22"/>
                <w:szCs w:val="22"/>
              </w:rPr>
              <w:lastRenderedPageBreak/>
              <w:t>oraz oceny, czy ewentualna luka płacowa wynika z obiektywnych, uzasadnionych przyczyn, a następnie uwzględnienia tych ustaleń w sprawozdaniu.</w:t>
            </w:r>
          </w:p>
          <w:p w14:paraId="7F0AF76E" w14:textId="77777777" w:rsidR="00707AF4" w:rsidRPr="00FF58D5" w:rsidRDefault="00707AF4" w:rsidP="00AB5A1A">
            <w:pPr>
              <w:spacing w:line="276" w:lineRule="auto"/>
              <w:jc w:val="both"/>
              <w:rPr>
                <w:rFonts w:asciiTheme="minorHAnsi" w:hAnsiTheme="minorHAnsi" w:cstheme="minorHAnsi"/>
                <w:bCs/>
                <w:sz w:val="22"/>
                <w:szCs w:val="22"/>
              </w:rPr>
            </w:pPr>
          </w:p>
          <w:p w14:paraId="0B5D4446" w14:textId="076316E0" w:rsidR="00931734" w:rsidRPr="00FF58D5" w:rsidRDefault="00931734" w:rsidP="00AB5A1A">
            <w:pPr>
              <w:spacing w:line="276" w:lineRule="auto"/>
              <w:jc w:val="both"/>
              <w:rPr>
                <w:rFonts w:asciiTheme="minorHAnsi" w:hAnsiTheme="minorHAnsi" w:cstheme="minorHAnsi"/>
                <w:bCs/>
                <w:sz w:val="22"/>
                <w:szCs w:val="22"/>
              </w:rPr>
            </w:pPr>
          </w:p>
        </w:tc>
      </w:tr>
      <w:tr w:rsidR="009B5605" w:rsidRPr="00FF58D5" w14:paraId="6E3684D4" w14:textId="77777777" w:rsidTr="00AB5A1A">
        <w:trPr>
          <w:trHeight w:val="1275"/>
        </w:trPr>
        <w:tc>
          <w:tcPr>
            <w:tcW w:w="709" w:type="dxa"/>
            <w:vAlign w:val="center"/>
          </w:tcPr>
          <w:p w14:paraId="2396BB7D"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8A38299" w14:textId="3D7903DF" w:rsidR="00E75910" w:rsidRPr="00FF58D5" w:rsidRDefault="00077F3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17 ust. 1</w:t>
            </w:r>
          </w:p>
        </w:tc>
        <w:tc>
          <w:tcPr>
            <w:tcW w:w="3118" w:type="dxa"/>
            <w:vAlign w:val="center"/>
          </w:tcPr>
          <w:p w14:paraId="63D61FC4" w14:textId="565615AA" w:rsidR="00E75910" w:rsidRPr="00FF58D5" w:rsidRDefault="00A6055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17. </w:t>
            </w:r>
            <w:r w:rsidRPr="00FF58D5">
              <w:rPr>
                <w:rFonts w:asciiTheme="minorHAnsi" w:hAnsiTheme="minorHAnsi" w:cstheme="minorHAnsi"/>
                <w:sz w:val="22"/>
                <w:szCs w:val="22"/>
              </w:rPr>
              <w:t>1. Pracodawca przekazuje w postaci elektronicznej dodatkowe informacje wskazane przez organ monitorujący wraz ze sprawozdaniem z luki płacowej za pośrednictwem strony internetowej urzędu obsługującego organ monitorujący.</w:t>
            </w:r>
          </w:p>
        </w:tc>
        <w:tc>
          <w:tcPr>
            <w:tcW w:w="3827" w:type="dxa"/>
            <w:vAlign w:val="center"/>
          </w:tcPr>
          <w:p w14:paraId="288D8988" w14:textId="38FE8145" w:rsidR="00E75910" w:rsidRPr="00FF58D5" w:rsidRDefault="00116EC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17. 1. Pracodawca przekazuje w postaci elektronicznej dodatkowe informacje wskazane przez organ monitorujący, </w:t>
            </w:r>
            <w:r w:rsidRPr="00FF58D5">
              <w:rPr>
                <w:rFonts w:asciiTheme="minorHAnsi" w:hAnsiTheme="minorHAnsi" w:cstheme="minorHAnsi"/>
                <w:b/>
                <w:sz w:val="22"/>
                <w:szCs w:val="22"/>
                <w:u w:val="single"/>
              </w:rPr>
              <w:t>wynikające z niniejszej ustawy,</w:t>
            </w:r>
            <w:r w:rsidRPr="00FF58D5">
              <w:rPr>
                <w:rFonts w:asciiTheme="minorHAnsi" w:hAnsiTheme="minorHAnsi" w:cstheme="minorHAnsi"/>
                <w:bCs/>
                <w:sz w:val="22"/>
                <w:szCs w:val="22"/>
              </w:rPr>
              <w:t xml:space="preserve"> wraz ze sprawozdaniem z luki płacowej za pośrednictwem strony internetowej urzędu obsługującego organ monitorujący.</w:t>
            </w:r>
          </w:p>
        </w:tc>
        <w:tc>
          <w:tcPr>
            <w:tcW w:w="5387" w:type="dxa"/>
          </w:tcPr>
          <w:p w14:paraId="58E1EC63" w14:textId="7BF70C60" w:rsidR="00E75910" w:rsidRPr="00FF58D5" w:rsidRDefault="00EE534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Wskazane jest doprecyzowanie jakie informacje dodatkowe miałyby być przekazywane</w:t>
            </w:r>
            <w:r w:rsidR="002774EA" w:rsidRPr="00FF58D5">
              <w:rPr>
                <w:rFonts w:asciiTheme="minorHAnsi" w:hAnsiTheme="minorHAnsi" w:cstheme="minorHAnsi"/>
                <w:bCs/>
                <w:sz w:val="22"/>
                <w:szCs w:val="22"/>
              </w:rPr>
              <w:t>.</w:t>
            </w:r>
          </w:p>
        </w:tc>
      </w:tr>
      <w:tr w:rsidR="00004867" w:rsidRPr="00FF58D5" w14:paraId="4EBA4C5D" w14:textId="77777777" w:rsidTr="00AB5A1A">
        <w:trPr>
          <w:trHeight w:val="1275"/>
        </w:trPr>
        <w:tc>
          <w:tcPr>
            <w:tcW w:w="709" w:type="dxa"/>
            <w:vAlign w:val="center"/>
          </w:tcPr>
          <w:p w14:paraId="2725A944" w14:textId="77777777" w:rsidR="002774EA" w:rsidRPr="00FF58D5" w:rsidRDefault="002774EA" w:rsidP="000F1418">
            <w:pPr>
              <w:pStyle w:val="Akapitzlist"/>
              <w:numPr>
                <w:ilvl w:val="0"/>
                <w:numId w:val="69"/>
              </w:numPr>
              <w:spacing w:line="276" w:lineRule="auto"/>
              <w:contextualSpacing w:val="0"/>
              <w:jc w:val="right"/>
              <w:rPr>
                <w:rFonts w:asciiTheme="minorHAnsi" w:hAnsiTheme="minorHAnsi" w:cstheme="minorHAnsi"/>
                <w:bCs/>
                <w:color w:val="000000" w:themeColor="text1"/>
                <w:sz w:val="22"/>
                <w:szCs w:val="22"/>
              </w:rPr>
            </w:pPr>
          </w:p>
        </w:tc>
        <w:tc>
          <w:tcPr>
            <w:tcW w:w="1134" w:type="dxa"/>
            <w:vAlign w:val="center"/>
          </w:tcPr>
          <w:p w14:paraId="6ADB62A7" w14:textId="2EAC2387" w:rsidR="002774EA" w:rsidRPr="00FF58D5" w:rsidRDefault="002774EA" w:rsidP="00AB5A1A">
            <w:pPr>
              <w:spacing w:line="276" w:lineRule="auto"/>
              <w:jc w:val="both"/>
              <w:rPr>
                <w:rFonts w:asciiTheme="minorHAnsi" w:hAnsiTheme="minorHAnsi" w:cstheme="minorHAnsi"/>
                <w:b/>
                <w:bCs/>
                <w:color w:val="000000" w:themeColor="text1"/>
                <w:sz w:val="22"/>
                <w:szCs w:val="22"/>
              </w:rPr>
            </w:pPr>
            <w:r w:rsidRPr="00FF58D5">
              <w:rPr>
                <w:rFonts w:asciiTheme="minorHAnsi" w:hAnsiTheme="minorHAnsi" w:cstheme="minorHAnsi"/>
                <w:b/>
                <w:bCs/>
                <w:color w:val="000000" w:themeColor="text1"/>
                <w:sz w:val="22"/>
                <w:szCs w:val="22"/>
              </w:rPr>
              <w:t xml:space="preserve">Art. 18 </w:t>
            </w:r>
            <w:r w:rsidR="00BD52F1" w:rsidRPr="00FF58D5">
              <w:rPr>
                <w:rFonts w:asciiTheme="minorHAnsi" w:hAnsiTheme="minorHAnsi" w:cstheme="minorHAnsi"/>
                <w:b/>
                <w:bCs/>
                <w:color w:val="000000" w:themeColor="text1"/>
                <w:sz w:val="22"/>
                <w:szCs w:val="22"/>
              </w:rPr>
              <w:t>ust. 1</w:t>
            </w:r>
          </w:p>
        </w:tc>
        <w:tc>
          <w:tcPr>
            <w:tcW w:w="3118" w:type="dxa"/>
            <w:vAlign w:val="center"/>
          </w:tcPr>
          <w:p w14:paraId="7D648F69" w14:textId="167AD12E" w:rsidR="002774EA" w:rsidRPr="00FF58D5" w:rsidRDefault="000B75A9" w:rsidP="00AB5A1A">
            <w:pPr>
              <w:spacing w:line="276" w:lineRule="auto"/>
              <w:jc w:val="both"/>
              <w:rPr>
                <w:rFonts w:asciiTheme="minorHAnsi" w:hAnsiTheme="minorHAnsi" w:cstheme="minorHAnsi"/>
                <w:b/>
                <w:bCs/>
                <w:color w:val="000000" w:themeColor="text1"/>
                <w:sz w:val="22"/>
                <w:szCs w:val="22"/>
              </w:rPr>
            </w:pPr>
            <w:r w:rsidRPr="00FF58D5">
              <w:rPr>
                <w:rFonts w:asciiTheme="minorHAnsi" w:hAnsiTheme="minorHAnsi" w:cstheme="minorHAnsi"/>
                <w:b/>
                <w:bCs/>
                <w:color w:val="000000" w:themeColor="text1"/>
                <w:sz w:val="22"/>
                <w:szCs w:val="22"/>
              </w:rPr>
              <w:t xml:space="preserve">Art. 18. </w:t>
            </w:r>
            <w:r w:rsidRPr="00FF58D5">
              <w:rPr>
                <w:rFonts w:asciiTheme="minorHAnsi" w:hAnsiTheme="minorHAnsi" w:cstheme="minorHAnsi"/>
                <w:color w:val="000000" w:themeColor="text1"/>
                <w:sz w:val="22"/>
                <w:szCs w:val="22"/>
              </w:rPr>
              <w:t>1. Pracodawca ustala liczbę pracowników zatrudnionych w roku kalendarzowym, w przeliczeniu na pełne etaty, w celu ustalenia, czy podlega obowiązkowi sporządzenia sprawozdania z luki płacowej i częstotliwości tego obowiązku.</w:t>
            </w:r>
          </w:p>
        </w:tc>
        <w:tc>
          <w:tcPr>
            <w:tcW w:w="3827" w:type="dxa"/>
            <w:vAlign w:val="center"/>
          </w:tcPr>
          <w:p w14:paraId="222EE272" w14:textId="77777777" w:rsidR="00FE1854" w:rsidRPr="00FF58D5" w:rsidRDefault="00FE1854" w:rsidP="009A348F">
            <w:pPr>
              <w:spacing w:line="276" w:lineRule="auto"/>
              <w:jc w:val="both"/>
              <w:rPr>
                <w:rFonts w:asciiTheme="minorHAnsi" w:hAnsiTheme="minorHAnsi" w:cstheme="minorHAnsi"/>
                <w:bCs/>
                <w:color w:val="000000" w:themeColor="text1"/>
                <w:sz w:val="22"/>
                <w:szCs w:val="22"/>
              </w:rPr>
            </w:pPr>
          </w:p>
          <w:p w14:paraId="15DE9AF8" w14:textId="714293D9" w:rsidR="002774EA" w:rsidRPr="00FF58D5" w:rsidRDefault="000B75A9" w:rsidP="00AB5A1A">
            <w:pPr>
              <w:spacing w:line="276" w:lineRule="auto"/>
              <w:jc w:val="both"/>
              <w:rPr>
                <w:rFonts w:asciiTheme="minorHAnsi" w:hAnsiTheme="minorHAnsi" w:cstheme="minorHAnsi"/>
                <w:bCs/>
                <w:color w:val="000000" w:themeColor="text1"/>
                <w:sz w:val="22"/>
                <w:szCs w:val="22"/>
              </w:rPr>
            </w:pPr>
            <w:r w:rsidRPr="00FF58D5">
              <w:rPr>
                <w:rFonts w:asciiTheme="minorHAnsi" w:hAnsiTheme="minorHAnsi" w:cstheme="minorHAnsi"/>
                <w:bCs/>
                <w:color w:val="000000" w:themeColor="text1"/>
                <w:sz w:val="22"/>
                <w:szCs w:val="22"/>
              </w:rPr>
              <w:t>Konieczne jest doprecyzowanie przepisu.</w:t>
            </w:r>
          </w:p>
        </w:tc>
        <w:tc>
          <w:tcPr>
            <w:tcW w:w="5387" w:type="dxa"/>
          </w:tcPr>
          <w:p w14:paraId="3CBF5110" w14:textId="16B20FDB" w:rsidR="009674E3" w:rsidRPr="00FF58D5" w:rsidRDefault="009674E3" w:rsidP="00AB5A1A">
            <w:pPr>
              <w:spacing w:line="276" w:lineRule="auto"/>
              <w:jc w:val="both"/>
              <w:rPr>
                <w:rFonts w:asciiTheme="minorHAnsi" w:hAnsiTheme="minorHAnsi" w:cstheme="minorHAnsi"/>
                <w:bCs/>
                <w:color w:val="000000" w:themeColor="text1"/>
                <w:sz w:val="22"/>
                <w:szCs w:val="22"/>
              </w:rPr>
            </w:pPr>
            <w:r w:rsidRPr="00FF58D5">
              <w:rPr>
                <w:rFonts w:asciiTheme="minorHAnsi" w:hAnsiTheme="minorHAnsi" w:cstheme="minorHAnsi"/>
                <w:bCs/>
                <w:color w:val="000000" w:themeColor="text1"/>
                <w:sz w:val="22"/>
                <w:szCs w:val="22"/>
              </w:rPr>
              <w:t xml:space="preserve">Redakcja przepisu budzi wątpliwości w zakresie sposobu ustalania liczby pracowników zatrudnionych w </w:t>
            </w:r>
            <w:r w:rsidR="000D496A" w:rsidRPr="00FF58D5">
              <w:rPr>
                <w:rFonts w:asciiTheme="minorHAnsi" w:hAnsiTheme="minorHAnsi" w:cstheme="minorHAnsi"/>
                <w:bCs/>
                <w:color w:val="000000" w:themeColor="text1"/>
                <w:sz w:val="22"/>
                <w:szCs w:val="22"/>
              </w:rPr>
              <w:t xml:space="preserve">trakcie </w:t>
            </w:r>
            <w:r w:rsidRPr="00FF58D5">
              <w:rPr>
                <w:rFonts w:asciiTheme="minorHAnsi" w:hAnsiTheme="minorHAnsi" w:cstheme="minorHAnsi"/>
                <w:bCs/>
                <w:color w:val="000000" w:themeColor="text1"/>
                <w:sz w:val="22"/>
                <w:szCs w:val="22"/>
              </w:rPr>
              <w:t>roku kalendarzowym, w przeliczeniu na pełne etaty, w celu określenia obowiązku sporządzenia sprawozdania z luki płacowej i częstotliwości jego sporządzania.</w:t>
            </w:r>
          </w:p>
          <w:p w14:paraId="17EBDE42" w14:textId="48170B97" w:rsidR="009674E3" w:rsidRPr="00FF58D5" w:rsidRDefault="006527EC" w:rsidP="00AB5A1A">
            <w:pPr>
              <w:spacing w:line="276" w:lineRule="auto"/>
              <w:jc w:val="both"/>
              <w:rPr>
                <w:rFonts w:asciiTheme="minorHAnsi" w:hAnsiTheme="minorHAnsi" w:cstheme="minorHAnsi"/>
                <w:bCs/>
                <w:color w:val="000000" w:themeColor="text1"/>
                <w:sz w:val="22"/>
                <w:szCs w:val="22"/>
              </w:rPr>
            </w:pPr>
            <w:r w:rsidRPr="00FF58D5">
              <w:rPr>
                <w:rFonts w:asciiTheme="minorHAnsi" w:hAnsiTheme="minorHAnsi" w:cstheme="minorHAnsi"/>
                <w:bCs/>
                <w:color w:val="000000" w:themeColor="text1"/>
                <w:sz w:val="22"/>
                <w:szCs w:val="22"/>
              </w:rPr>
              <w:t>Konieczne jest</w:t>
            </w:r>
            <w:r w:rsidR="009674E3" w:rsidRPr="00FF58D5">
              <w:rPr>
                <w:rFonts w:asciiTheme="minorHAnsi" w:hAnsiTheme="minorHAnsi" w:cstheme="minorHAnsi"/>
                <w:bCs/>
                <w:color w:val="000000" w:themeColor="text1"/>
                <w:sz w:val="22"/>
                <w:szCs w:val="22"/>
              </w:rPr>
              <w:t xml:space="preserve"> doprecyzowanie jakie daty referencyjne należy przyjąć przy ustalaniu liczby pracowników (np. liczba pracowników na koniec roku kalendarzowego, średnia liczba w ciągu roku itp.).</w:t>
            </w:r>
          </w:p>
        </w:tc>
      </w:tr>
      <w:tr w:rsidR="009B5605" w:rsidRPr="00FF58D5" w14:paraId="465DE28A" w14:textId="77777777" w:rsidTr="00AB5A1A">
        <w:trPr>
          <w:trHeight w:val="1275"/>
        </w:trPr>
        <w:tc>
          <w:tcPr>
            <w:tcW w:w="709" w:type="dxa"/>
            <w:vAlign w:val="center"/>
          </w:tcPr>
          <w:p w14:paraId="65D3A2F3"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031F33A0" w14:textId="2CDA3CD5" w:rsidR="00E75910" w:rsidRPr="00FF58D5" w:rsidRDefault="0068086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18 ust. 2</w:t>
            </w:r>
          </w:p>
        </w:tc>
        <w:tc>
          <w:tcPr>
            <w:tcW w:w="3118" w:type="dxa"/>
            <w:vAlign w:val="center"/>
          </w:tcPr>
          <w:p w14:paraId="10AF92A4" w14:textId="77777777" w:rsidR="001F40ED" w:rsidRPr="00FF58D5" w:rsidRDefault="001F40E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18.</w:t>
            </w:r>
          </w:p>
          <w:p w14:paraId="10D38D17" w14:textId="77777777" w:rsidR="001F40ED" w:rsidRPr="00FF58D5" w:rsidRDefault="001F40ED"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5F0C3174" w14:textId="04782942" w:rsidR="00E75910" w:rsidRPr="00FF58D5" w:rsidRDefault="00715A9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2.</w:t>
            </w:r>
            <w:r w:rsidRPr="00FF58D5">
              <w:rPr>
                <w:rFonts w:asciiTheme="minorHAnsi" w:hAnsiTheme="minorHAnsi" w:cstheme="minorHAnsi"/>
                <w:b/>
                <w:bCs/>
                <w:sz w:val="22"/>
                <w:szCs w:val="22"/>
              </w:rPr>
              <w:t xml:space="preserve"> </w:t>
            </w:r>
            <w:r w:rsidRPr="00FF58D5">
              <w:rPr>
                <w:rFonts w:asciiTheme="minorHAnsi" w:hAnsiTheme="minorHAnsi" w:cstheme="minorHAnsi"/>
                <w:sz w:val="22"/>
                <w:szCs w:val="22"/>
              </w:rPr>
              <w:t xml:space="preserve">Dla celów określonych w ust. 1, pracodawca, który korzysta z </w:t>
            </w:r>
            <w:r w:rsidRPr="00FF58D5">
              <w:rPr>
                <w:rFonts w:asciiTheme="minorHAnsi" w:hAnsiTheme="minorHAnsi" w:cstheme="minorHAnsi"/>
                <w:sz w:val="22"/>
                <w:szCs w:val="22"/>
              </w:rPr>
              <w:lastRenderedPageBreak/>
              <w:t>pracy pracowników tymczasowych, uwzględnia również tych pracowników.</w:t>
            </w:r>
          </w:p>
        </w:tc>
        <w:tc>
          <w:tcPr>
            <w:tcW w:w="3827" w:type="dxa"/>
            <w:vAlign w:val="center"/>
          </w:tcPr>
          <w:p w14:paraId="71D20F0C" w14:textId="07B18A0C" w:rsidR="00E75910" w:rsidRPr="00FF58D5" w:rsidRDefault="00871FA9" w:rsidP="00871FA9">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Prz</w:t>
            </w:r>
            <w:r w:rsidR="00C4766B" w:rsidRPr="00FF58D5">
              <w:rPr>
                <w:rFonts w:asciiTheme="minorHAnsi" w:hAnsiTheme="minorHAnsi" w:cstheme="minorHAnsi"/>
                <w:bCs/>
                <w:sz w:val="22"/>
                <w:szCs w:val="22"/>
              </w:rPr>
              <w:t xml:space="preserve">epis wymaga dalszych konsultacji. </w:t>
            </w:r>
          </w:p>
        </w:tc>
        <w:tc>
          <w:tcPr>
            <w:tcW w:w="5387" w:type="dxa"/>
          </w:tcPr>
          <w:p w14:paraId="3CCB44FC" w14:textId="20855178" w:rsidR="00A74AAE" w:rsidRPr="00FF58D5" w:rsidRDefault="008D3FC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Wykonanie obowiązków przez pracodawcę użytkownika będzie wiązało się z szeregiem</w:t>
            </w:r>
            <w:r w:rsidR="0000298C" w:rsidRPr="00FF58D5">
              <w:rPr>
                <w:rFonts w:asciiTheme="minorHAnsi" w:hAnsiTheme="minorHAnsi" w:cstheme="minorHAnsi"/>
                <w:bCs/>
                <w:sz w:val="22"/>
                <w:szCs w:val="22"/>
              </w:rPr>
              <w:t xml:space="preserve"> praktycznych i prawnych trudności.</w:t>
            </w:r>
            <w:r w:rsidR="00597429" w:rsidRPr="00FF58D5">
              <w:rPr>
                <w:rFonts w:asciiTheme="minorHAnsi" w:hAnsiTheme="minorHAnsi" w:cstheme="minorHAnsi"/>
                <w:bCs/>
                <w:sz w:val="22"/>
                <w:szCs w:val="22"/>
              </w:rPr>
              <w:t xml:space="preserve"> </w:t>
            </w:r>
          </w:p>
          <w:p w14:paraId="74EE0622" w14:textId="77777777" w:rsidR="00AD1A30" w:rsidRPr="00FF58D5" w:rsidRDefault="00AD1A30" w:rsidP="00AB5A1A">
            <w:pPr>
              <w:spacing w:line="276" w:lineRule="auto"/>
              <w:jc w:val="both"/>
              <w:rPr>
                <w:rFonts w:asciiTheme="minorHAnsi" w:hAnsiTheme="minorHAnsi" w:cstheme="minorHAnsi"/>
                <w:bCs/>
                <w:sz w:val="22"/>
                <w:szCs w:val="22"/>
              </w:rPr>
            </w:pPr>
          </w:p>
          <w:p w14:paraId="689185BC" w14:textId="77777777" w:rsidR="00E4584F" w:rsidRPr="00FF58D5" w:rsidRDefault="00A348D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Możemy mieć do czynienia z sytuacją, w której nawet niewielki pracodawca, co do zasady </w:t>
            </w:r>
            <w:r w:rsidR="00AD1A30" w:rsidRPr="00FF58D5">
              <w:rPr>
                <w:rFonts w:asciiTheme="minorHAnsi" w:hAnsiTheme="minorHAnsi" w:cstheme="minorHAnsi"/>
                <w:bCs/>
                <w:sz w:val="22"/>
                <w:szCs w:val="22"/>
              </w:rPr>
              <w:t xml:space="preserve">nie </w:t>
            </w:r>
            <w:r w:rsidRPr="00FF58D5">
              <w:rPr>
                <w:rFonts w:asciiTheme="minorHAnsi" w:hAnsiTheme="minorHAnsi" w:cstheme="minorHAnsi"/>
                <w:bCs/>
                <w:sz w:val="22"/>
                <w:szCs w:val="22"/>
              </w:rPr>
              <w:t xml:space="preserve">objęty obowiązkiem sprawozdawczym, po wliczeniu pracowników tymczasowych może przekroczyć ustawowy próg zatrudnienia i zostać zobowiązany do raportowania. To jest niekorzystne dla przedsiębiorców, ponieważ w następstwie krótkotrwałego wzrostu zapotrzebowania kadrowego (np. sezonowości lub realizacji większego zamówienia) mała firma może stać się </w:t>
            </w:r>
            <w:r w:rsidR="00394EAE" w:rsidRPr="00FF58D5">
              <w:rPr>
                <w:rFonts w:asciiTheme="minorHAnsi" w:hAnsiTheme="minorHAnsi" w:cstheme="minorHAnsi"/>
                <w:bCs/>
                <w:sz w:val="22"/>
                <w:szCs w:val="22"/>
              </w:rPr>
              <w:t>średnią</w:t>
            </w:r>
            <w:r w:rsidRPr="00FF58D5">
              <w:rPr>
                <w:rFonts w:asciiTheme="minorHAnsi" w:hAnsiTheme="minorHAnsi" w:cstheme="minorHAnsi"/>
                <w:bCs/>
                <w:sz w:val="22"/>
                <w:szCs w:val="22"/>
              </w:rPr>
              <w:t xml:space="preserve"> na potrzeby raportowania. </w:t>
            </w:r>
          </w:p>
          <w:p w14:paraId="55F63860" w14:textId="77777777" w:rsidR="00E4584F" w:rsidRPr="00FF58D5" w:rsidRDefault="00E4584F" w:rsidP="00AB5A1A">
            <w:pPr>
              <w:spacing w:line="276" w:lineRule="auto"/>
              <w:jc w:val="both"/>
              <w:rPr>
                <w:rFonts w:asciiTheme="minorHAnsi" w:hAnsiTheme="minorHAnsi" w:cstheme="minorHAnsi"/>
                <w:bCs/>
                <w:sz w:val="22"/>
                <w:szCs w:val="22"/>
              </w:rPr>
            </w:pPr>
          </w:p>
          <w:p w14:paraId="05FE32A5" w14:textId="31C46227" w:rsidR="0000298C" w:rsidRPr="00FF58D5" w:rsidRDefault="00A348D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Projekt ustawy nie przewiduje żadnego minimalnego okresu skierowania pracownika tymczasowego do pracodawcy użytkownika ani nie wskazuje momentu dokonywania pomiaru (np. stan na 31 grudnia, stan na koniec poszczególnych miesięcy z wyliczeniem średnie itp.). W konsekwencji do stanu zatrudnienia należy wliczać pracownika tymczasowego nawet w przypadku wykonywania pracy przez jeden dzień.</w:t>
            </w:r>
          </w:p>
          <w:p w14:paraId="24453874" w14:textId="77777777" w:rsidR="0000298C" w:rsidRPr="00FF58D5" w:rsidRDefault="0000298C" w:rsidP="00AB5A1A">
            <w:pPr>
              <w:spacing w:line="276" w:lineRule="auto"/>
              <w:jc w:val="both"/>
              <w:rPr>
                <w:rFonts w:asciiTheme="minorHAnsi" w:hAnsiTheme="minorHAnsi" w:cstheme="minorHAnsi"/>
                <w:bCs/>
                <w:sz w:val="22"/>
                <w:szCs w:val="22"/>
              </w:rPr>
            </w:pPr>
          </w:p>
          <w:p w14:paraId="4B569BBF" w14:textId="77777777" w:rsidR="00A348D0" w:rsidRPr="00FF58D5" w:rsidRDefault="00A348D0" w:rsidP="00AB5A1A">
            <w:pPr>
              <w:spacing w:line="276" w:lineRule="auto"/>
              <w:jc w:val="both"/>
              <w:rPr>
                <w:rFonts w:asciiTheme="minorHAnsi" w:hAnsiTheme="minorHAnsi" w:cstheme="minorHAnsi"/>
                <w:bCs/>
                <w:sz w:val="22"/>
                <w:szCs w:val="22"/>
              </w:rPr>
            </w:pPr>
          </w:p>
          <w:p w14:paraId="22984363" w14:textId="3D3D48AC" w:rsidR="00A348D0" w:rsidRPr="00FF58D5" w:rsidRDefault="00A348D0" w:rsidP="00AB5A1A">
            <w:pPr>
              <w:spacing w:line="276" w:lineRule="auto"/>
              <w:jc w:val="both"/>
              <w:rPr>
                <w:rFonts w:asciiTheme="minorHAnsi" w:hAnsiTheme="minorHAnsi" w:cstheme="minorHAnsi"/>
                <w:bCs/>
                <w:sz w:val="22"/>
                <w:szCs w:val="22"/>
              </w:rPr>
            </w:pPr>
          </w:p>
        </w:tc>
      </w:tr>
      <w:tr w:rsidR="00A37FFD" w:rsidRPr="00FF58D5" w14:paraId="0C669A1F" w14:textId="77777777" w:rsidTr="00AB5A1A">
        <w:trPr>
          <w:trHeight w:val="1275"/>
        </w:trPr>
        <w:tc>
          <w:tcPr>
            <w:tcW w:w="709" w:type="dxa"/>
            <w:vAlign w:val="center"/>
          </w:tcPr>
          <w:p w14:paraId="7A36F952" w14:textId="77777777" w:rsidR="00A37FFD" w:rsidRPr="00FF58D5" w:rsidRDefault="00A37FFD"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2A07C716" w14:textId="052AF88A" w:rsidR="00A37FFD" w:rsidRPr="00FF58D5" w:rsidRDefault="00D26C9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22</w:t>
            </w:r>
          </w:p>
        </w:tc>
        <w:tc>
          <w:tcPr>
            <w:tcW w:w="3118" w:type="dxa"/>
            <w:vAlign w:val="center"/>
          </w:tcPr>
          <w:p w14:paraId="1EE7FD69"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 xml:space="preserve">Art. 22. </w:t>
            </w:r>
            <w:r w:rsidRPr="00FF58D5">
              <w:rPr>
                <w:rFonts w:asciiTheme="minorHAnsi" w:hAnsiTheme="minorHAnsi" w:cstheme="minorHAnsi"/>
                <w:sz w:val="22"/>
                <w:szCs w:val="22"/>
              </w:rPr>
              <w:t xml:space="preserve">1. W terminie do dnia 31 marca każdego roku pracodawca przekazuje informacje, o których mowa w art. 14 pkt 7, pracownikom oraz zakładowej organizacji związkowej, a w </w:t>
            </w:r>
            <w:r w:rsidRPr="00FF58D5">
              <w:rPr>
                <w:rFonts w:asciiTheme="minorHAnsi" w:hAnsiTheme="minorHAnsi" w:cstheme="minorHAnsi"/>
                <w:sz w:val="22"/>
                <w:szCs w:val="22"/>
              </w:rPr>
              <w:lastRenderedPageBreak/>
              <w:t>przypadku gdy u pracodawcy działa więcej niż jedna zakładowa organizacja związkowa, tym organizacjom.</w:t>
            </w:r>
          </w:p>
          <w:p w14:paraId="3C24FD12"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4. Pracodawca przekazuje informacje, o których mowa w art. 14 pkt 7, z poprzednich czterech lat, jeżeli są dostępne:</w:t>
            </w:r>
          </w:p>
          <w:p w14:paraId="720D6B09"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 xml:space="preserve">pracownikowi, </w:t>
            </w:r>
          </w:p>
          <w:p w14:paraId="07D02DC3"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zakładowej organizacji związkowej,</w:t>
            </w:r>
          </w:p>
          <w:p w14:paraId="58783E1F"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w:t>
            </w:r>
            <w:r w:rsidRPr="00FF58D5">
              <w:rPr>
                <w:rFonts w:asciiTheme="minorHAnsi" w:hAnsiTheme="minorHAnsi" w:cstheme="minorHAnsi"/>
                <w:sz w:val="22"/>
                <w:szCs w:val="22"/>
              </w:rPr>
              <w:tab/>
              <w:t>Państwowej Inspekcji Pracy,</w:t>
            </w:r>
          </w:p>
          <w:p w14:paraId="17F41284" w14:textId="77777777" w:rsidR="00966CC8" w:rsidRPr="00FF58D5" w:rsidRDefault="00966CC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4)</w:t>
            </w:r>
            <w:r w:rsidRPr="00FF58D5">
              <w:rPr>
                <w:rFonts w:asciiTheme="minorHAnsi" w:hAnsiTheme="minorHAnsi" w:cstheme="minorHAnsi"/>
                <w:sz w:val="22"/>
                <w:szCs w:val="22"/>
              </w:rPr>
              <w:tab/>
              <w:t>organowi do spraw równości</w:t>
            </w:r>
          </w:p>
          <w:p w14:paraId="076D5A0F" w14:textId="097710F9" w:rsidR="00A37FFD" w:rsidRPr="00FF58D5" w:rsidRDefault="00966CC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na ich wniosek, w terminie 14 dni od dnia otrzymania wniosku przez pracodawcę.</w:t>
            </w:r>
          </w:p>
        </w:tc>
        <w:tc>
          <w:tcPr>
            <w:tcW w:w="3827" w:type="dxa"/>
            <w:vAlign w:val="center"/>
          </w:tcPr>
          <w:p w14:paraId="51881576" w14:textId="77777777" w:rsidR="00FE1854" w:rsidRPr="00FF58D5" w:rsidRDefault="00FE1854"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Art. 22. 1. W terminach wskazanych </w:t>
            </w:r>
            <w:r w:rsidRPr="00FF58D5">
              <w:rPr>
                <w:rFonts w:asciiTheme="minorHAnsi" w:hAnsiTheme="minorHAnsi" w:cstheme="minorHAnsi"/>
                <w:b/>
                <w:sz w:val="22"/>
                <w:szCs w:val="22"/>
              </w:rPr>
              <w:t>w art. 16</w:t>
            </w:r>
            <w:r w:rsidRPr="00FF58D5">
              <w:rPr>
                <w:rFonts w:asciiTheme="minorHAnsi" w:hAnsiTheme="minorHAnsi" w:cstheme="minorHAnsi"/>
                <w:bCs/>
                <w:sz w:val="22"/>
                <w:szCs w:val="22"/>
              </w:rPr>
              <w:t xml:space="preserve">  pracodawca przekazuje informacje, o których mowa w art. 14 pkt 7, pracownikom oraz zakładowej organizacji związkowej, a w przypadku gdy u pracodawcy działa więcej niż jedna </w:t>
            </w:r>
            <w:r w:rsidRPr="00FF58D5">
              <w:rPr>
                <w:rFonts w:asciiTheme="minorHAnsi" w:hAnsiTheme="minorHAnsi" w:cstheme="minorHAnsi"/>
                <w:bCs/>
                <w:sz w:val="22"/>
                <w:szCs w:val="22"/>
              </w:rPr>
              <w:lastRenderedPageBreak/>
              <w:t>zakładowa organizacja związkowa, tym organizacjom.</w:t>
            </w:r>
          </w:p>
          <w:p w14:paraId="0924945F" w14:textId="587C005A" w:rsidR="00A37FFD" w:rsidRPr="00FF58D5" w:rsidRDefault="00A37FFD" w:rsidP="00AB5A1A">
            <w:pPr>
              <w:spacing w:line="276" w:lineRule="auto"/>
              <w:jc w:val="both"/>
              <w:rPr>
                <w:rFonts w:asciiTheme="minorHAnsi" w:hAnsiTheme="minorHAnsi" w:cstheme="minorHAnsi"/>
                <w:bCs/>
                <w:sz w:val="22"/>
                <w:szCs w:val="22"/>
              </w:rPr>
            </w:pPr>
          </w:p>
        </w:tc>
        <w:tc>
          <w:tcPr>
            <w:tcW w:w="5387" w:type="dxa"/>
          </w:tcPr>
          <w:p w14:paraId="15D2A8A3" w14:textId="77777777" w:rsidR="00B319F2" w:rsidRPr="00FF58D5" w:rsidRDefault="00B319F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Zgodnie z literalnym brzmieniem art. 22 ust. 1, wszyscy pracodawcy mają obowiązek corocznego przekazywania informacji z art. 14 pkt 7 pracownikom i zakładowej organizacji(-om) związkowej(-</w:t>
            </w:r>
            <w:proofErr w:type="spellStart"/>
            <w:r w:rsidRPr="00FF58D5">
              <w:rPr>
                <w:rFonts w:asciiTheme="minorHAnsi" w:hAnsiTheme="minorHAnsi" w:cstheme="minorHAnsi"/>
                <w:bCs/>
                <w:sz w:val="22"/>
                <w:szCs w:val="22"/>
              </w:rPr>
              <w:t>ym</w:t>
            </w:r>
            <w:proofErr w:type="spellEnd"/>
            <w:r w:rsidRPr="00FF58D5">
              <w:rPr>
                <w:rFonts w:asciiTheme="minorHAnsi" w:hAnsiTheme="minorHAnsi" w:cstheme="minorHAnsi"/>
                <w:bCs/>
                <w:sz w:val="22"/>
                <w:szCs w:val="22"/>
              </w:rPr>
              <w:t>), niezależnie od częstotliwości raportowania sprawozdania do organu monitorującego określonej w art. 16 ust. 1.</w:t>
            </w:r>
          </w:p>
          <w:p w14:paraId="7CCEA914" w14:textId="77777777" w:rsidR="00B319F2" w:rsidRPr="00FF58D5" w:rsidRDefault="00B319F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W praktyce oznacza to, że pracodawcy zatrudniający 100–249 pracowników, którzy mają obowiązek przekazywania sprawozdania do organu monitorującego co trzy lata, będą musieli przekazywać pracownikom i organizacjom związkowym informacje co rok. Takie rozbieżności w częstotliwości mogą powodować niejasności i utrudnienia w realizacji obowiązków raportowych.</w:t>
            </w:r>
          </w:p>
          <w:p w14:paraId="5B5CA659" w14:textId="77AAC318" w:rsidR="00A37FFD" w:rsidRPr="00FF58D5" w:rsidRDefault="00B319F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Celowe wydaje się </w:t>
            </w:r>
            <w:proofErr w:type="spellStart"/>
            <w:r w:rsidRPr="00FF58D5">
              <w:rPr>
                <w:rFonts w:asciiTheme="minorHAnsi" w:hAnsiTheme="minorHAnsi" w:cstheme="minorHAnsi"/>
                <w:bCs/>
                <w:sz w:val="22"/>
                <w:szCs w:val="22"/>
              </w:rPr>
              <w:t>uspójnienie</w:t>
            </w:r>
            <w:proofErr w:type="spellEnd"/>
            <w:r w:rsidRPr="00FF58D5">
              <w:rPr>
                <w:rFonts w:asciiTheme="minorHAnsi" w:hAnsiTheme="minorHAnsi" w:cstheme="minorHAnsi"/>
                <w:bCs/>
                <w:sz w:val="22"/>
                <w:szCs w:val="22"/>
              </w:rPr>
              <w:t xml:space="preserve"> częstotliwości przekazywania informacji pracownikom i organizacjom związkowym z częstotliwością raportowania do organu monitorującego w celu uproszczenia procedur i zapewnienia spójności przepisów.</w:t>
            </w:r>
          </w:p>
        </w:tc>
      </w:tr>
      <w:tr w:rsidR="00004867" w:rsidRPr="00FF58D5" w14:paraId="7360CDB0" w14:textId="77777777" w:rsidTr="00AB5A1A">
        <w:trPr>
          <w:trHeight w:val="1275"/>
        </w:trPr>
        <w:tc>
          <w:tcPr>
            <w:tcW w:w="709" w:type="dxa"/>
            <w:vAlign w:val="center"/>
          </w:tcPr>
          <w:p w14:paraId="4A34214E" w14:textId="77777777" w:rsidR="00561058" w:rsidRPr="00FF58D5" w:rsidRDefault="00561058"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7095354B" w14:textId="77777777" w:rsidR="00561058" w:rsidRPr="00FF58D5" w:rsidRDefault="0056105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22 ust. 2</w:t>
            </w:r>
            <w:r w:rsidR="00842170" w:rsidRPr="00FF58D5">
              <w:rPr>
                <w:rFonts w:asciiTheme="minorHAnsi" w:hAnsiTheme="minorHAnsi" w:cstheme="minorHAnsi"/>
                <w:b/>
                <w:bCs/>
                <w:sz w:val="22"/>
                <w:szCs w:val="22"/>
              </w:rPr>
              <w:t xml:space="preserve"> i ust. 4</w:t>
            </w:r>
          </w:p>
          <w:p w14:paraId="4CEE8261" w14:textId="678001FD" w:rsidR="009F0705" w:rsidRPr="00FF58D5" w:rsidRDefault="009F070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24 ust. 2</w:t>
            </w:r>
          </w:p>
        </w:tc>
        <w:tc>
          <w:tcPr>
            <w:tcW w:w="3118" w:type="dxa"/>
            <w:vAlign w:val="center"/>
          </w:tcPr>
          <w:p w14:paraId="2E3876AB" w14:textId="77777777" w:rsidR="009F0705" w:rsidRPr="00FF58D5" w:rsidRDefault="009F070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22</w:t>
            </w:r>
          </w:p>
          <w:p w14:paraId="310D9144" w14:textId="093AC231" w:rsidR="00561058" w:rsidRPr="00FF58D5" w:rsidRDefault="0056105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2. Pracodawca przekazuje informacje, o których mowa w art. 14 pkt 7: </w:t>
            </w:r>
          </w:p>
          <w:p w14:paraId="708AAFE6" w14:textId="77777777" w:rsidR="00561058" w:rsidRPr="00FF58D5" w:rsidRDefault="0056105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 xml:space="preserve">Państwowej Inspekcji Pracy, </w:t>
            </w:r>
          </w:p>
          <w:p w14:paraId="138AEE5D" w14:textId="77777777" w:rsidR="00561058" w:rsidRPr="00FF58D5" w:rsidRDefault="0056105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organowi do spraw równości</w:t>
            </w:r>
          </w:p>
          <w:p w14:paraId="1C1896F3" w14:textId="77777777" w:rsidR="00561058" w:rsidRPr="00FF58D5" w:rsidRDefault="0056105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 na ich wniosek, w terminie 14 dni od dnia otrzymania wniosku przez pracodawcę.</w:t>
            </w:r>
          </w:p>
          <w:p w14:paraId="77BEF571" w14:textId="77777777" w:rsidR="00842170" w:rsidRPr="00FF58D5" w:rsidRDefault="0084217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t>
            </w:r>
          </w:p>
          <w:p w14:paraId="5D1A6F18" w14:textId="77777777" w:rsidR="00C216C3"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4. Pracodawca przekazuje informacje, o których mowa w art. 14 pkt 7, z poprzednich czterech lat, jeżeli są dostępne:</w:t>
            </w:r>
          </w:p>
          <w:p w14:paraId="5A24D5AB" w14:textId="77777777" w:rsidR="00C216C3"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 xml:space="preserve">pracownikowi, </w:t>
            </w:r>
          </w:p>
          <w:p w14:paraId="5225D4D1" w14:textId="77777777" w:rsidR="00C216C3"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zakładowej organizacji związkowej,</w:t>
            </w:r>
          </w:p>
          <w:p w14:paraId="10622BA6" w14:textId="77777777" w:rsidR="00C216C3"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w:t>
            </w:r>
            <w:r w:rsidRPr="00FF58D5">
              <w:rPr>
                <w:rFonts w:asciiTheme="minorHAnsi" w:hAnsiTheme="minorHAnsi" w:cstheme="minorHAnsi"/>
                <w:sz w:val="22"/>
                <w:szCs w:val="22"/>
              </w:rPr>
              <w:tab/>
              <w:t>Państwowej Inspekcji Pracy,</w:t>
            </w:r>
          </w:p>
          <w:p w14:paraId="21312AFD" w14:textId="77777777" w:rsidR="00C216C3"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4)</w:t>
            </w:r>
            <w:r w:rsidRPr="00FF58D5">
              <w:rPr>
                <w:rFonts w:asciiTheme="minorHAnsi" w:hAnsiTheme="minorHAnsi" w:cstheme="minorHAnsi"/>
                <w:sz w:val="22"/>
                <w:szCs w:val="22"/>
              </w:rPr>
              <w:tab/>
              <w:t>organowi do spraw równości</w:t>
            </w:r>
          </w:p>
          <w:p w14:paraId="087BC6AF" w14:textId="77777777" w:rsidR="00842170" w:rsidRPr="00FF58D5" w:rsidRDefault="00C216C3"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na ich wniosek, w terminie 14 dni od dnia otrzymania wniosku przez pracodawcę.</w:t>
            </w:r>
          </w:p>
          <w:p w14:paraId="3361504C" w14:textId="77777777" w:rsidR="009F0705" w:rsidRPr="00FF58D5" w:rsidRDefault="009F0705" w:rsidP="00AB5A1A">
            <w:pPr>
              <w:spacing w:line="276" w:lineRule="auto"/>
              <w:jc w:val="both"/>
              <w:rPr>
                <w:rFonts w:asciiTheme="minorHAnsi" w:hAnsiTheme="minorHAnsi" w:cstheme="minorHAnsi"/>
                <w:sz w:val="22"/>
                <w:szCs w:val="22"/>
              </w:rPr>
            </w:pPr>
          </w:p>
          <w:p w14:paraId="66210FC1" w14:textId="77777777" w:rsidR="009F0705" w:rsidRPr="00FF58D5" w:rsidRDefault="009F070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24.</w:t>
            </w:r>
          </w:p>
          <w:p w14:paraId="3474AE4A" w14:textId="77777777" w:rsidR="009F0705" w:rsidRPr="00FF58D5" w:rsidRDefault="009F0705"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750CA34B" w14:textId="6F6C9A9F" w:rsidR="009F0705" w:rsidRPr="00FF58D5" w:rsidRDefault="009F0705"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Pracodawca obowiązany jest do udzielenia dodatkowych, szczegółowych wyjaśnień w terminie nie dłuższym niż 14 dni od dnia otrzymania wniosku.</w:t>
            </w:r>
          </w:p>
        </w:tc>
        <w:tc>
          <w:tcPr>
            <w:tcW w:w="3827" w:type="dxa"/>
            <w:vAlign w:val="center"/>
          </w:tcPr>
          <w:p w14:paraId="29DBC43C" w14:textId="77777777" w:rsidR="009F0705" w:rsidRPr="00FF58D5" w:rsidRDefault="009F0705"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lastRenderedPageBreak/>
              <w:t>Art. 22</w:t>
            </w:r>
          </w:p>
          <w:p w14:paraId="6BD04CB3" w14:textId="2FDC19EF" w:rsidR="008D5FFF" w:rsidRPr="00FF58D5" w:rsidRDefault="008D5FF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Pracodawca przekazuje informacje, o których mowa w art. 14 pkt 7: </w:t>
            </w:r>
          </w:p>
          <w:p w14:paraId="311B5C20" w14:textId="77777777" w:rsidR="008D5FFF" w:rsidRPr="00FF58D5" w:rsidRDefault="008D5FF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1)</w:t>
            </w:r>
            <w:r w:rsidRPr="00FF58D5">
              <w:rPr>
                <w:rFonts w:asciiTheme="minorHAnsi" w:hAnsiTheme="minorHAnsi" w:cstheme="minorHAnsi"/>
                <w:bCs/>
                <w:sz w:val="22"/>
                <w:szCs w:val="22"/>
              </w:rPr>
              <w:tab/>
              <w:t xml:space="preserve">Państwowej Inspekcji Pracy, </w:t>
            </w:r>
          </w:p>
          <w:p w14:paraId="01A9FD16" w14:textId="77777777" w:rsidR="008D5FFF" w:rsidRPr="00FF58D5" w:rsidRDefault="008D5FF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w:t>
            </w:r>
            <w:r w:rsidRPr="00FF58D5">
              <w:rPr>
                <w:rFonts w:asciiTheme="minorHAnsi" w:hAnsiTheme="minorHAnsi" w:cstheme="minorHAnsi"/>
                <w:bCs/>
                <w:sz w:val="22"/>
                <w:szCs w:val="22"/>
              </w:rPr>
              <w:tab/>
              <w:t>organowi do spraw równości</w:t>
            </w:r>
          </w:p>
          <w:p w14:paraId="5636EF95" w14:textId="77777777" w:rsidR="00561058" w:rsidRPr="00FF58D5" w:rsidRDefault="008D5FF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na ich wniosek, w terminie 2 miesięcy od dnia otrzymania wniosku przez pracodawcę.</w:t>
            </w:r>
          </w:p>
          <w:p w14:paraId="25FB5752"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t>
            </w:r>
          </w:p>
          <w:p w14:paraId="29790ACB"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4. Pracodawca przekazuje informacje, o których mowa w art. 14 pkt 7, z poprzednich czterech lat, jeżeli są dostępne:</w:t>
            </w:r>
          </w:p>
          <w:p w14:paraId="239FDAB3"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1)</w:t>
            </w:r>
            <w:r w:rsidRPr="00FF58D5">
              <w:rPr>
                <w:rFonts w:asciiTheme="minorHAnsi" w:hAnsiTheme="minorHAnsi" w:cstheme="minorHAnsi"/>
                <w:bCs/>
                <w:sz w:val="22"/>
                <w:szCs w:val="22"/>
              </w:rPr>
              <w:tab/>
              <w:t xml:space="preserve">pracownikowi, </w:t>
            </w:r>
          </w:p>
          <w:p w14:paraId="4695CD68"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w:t>
            </w:r>
            <w:r w:rsidRPr="00FF58D5">
              <w:rPr>
                <w:rFonts w:asciiTheme="minorHAnsi" w:hAnsiTheme="minorHAnsi" w:cstheme="minorHAnsi"/>
                <w:bCs/>
                <w:sz w:val="22"/>
                <w:szCs w:val="22"/>
              </w:rPr>
              <w:tab/>
              <w:t>zakładowej organizacji związkowej,</w:t>
            </w:r>
          </w:p>
          <w:p w14:paraId="7BF5FA73"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3)</w:t>
            </w:r>
            <w:r w:rsidRPr="00FF58D5">
              <w:rPr>
                <w:rFonts w:asciiTheme="minorHAnsi" w:hAnsiTheme="minorHAnsi" w:cstheme="minorHAnsi"/>
                <w:bCs/>
                <w:sz w:val="22"/>
                <w:szCs w:val="22"/>
              </w:rPr>
              <w:tab/>
              <w:t>Państwowej Inspekcji Pracy,</w:t>
            </w:r>
          </w:p>
          <w:p w14:paraId="26960EA8"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4)</w:t>
            </w:r>
            <w:r w:rsidRPr="00FF58D5">
              <w:rPr>
                <w:rFonts w:asciiTheme="minorHAnsi" w:hAnsiTheme="minorHAnsi" w:cstheme="minorHAnsi"/>
                <w:bCs/>
                <w:sz w:val="22"/>
                <w:szCs w:val="22"/>
              </w:rPr>
              <w:tab/>
              <w:t>organowi do spraw równości</w:t>
            </w:r>
          </w:p>
          <w:p w14:paraId="6BE50146" w14:textId="77777777" w:rsidR="00C216C3" w:rsidRPr="00FF58D5" w:rsidRDefault="00C216C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 na ich wniosek, w terminie </w:t>
            </w:r>
            <w:r w:rsidRPr="00FF58D5">
              <w:rPr>
                <w:rFonts w:asciiTheme="minorHAnsi" w:hAnsiTheme="minorHAnsi" w:cstheme="minorHAnsi"/>
                <w:b/>
                <w:sz w:val="22"/>
                <w:szCs w:val="22"/>
              </w:rPr>
              <w:t>2 miesięcy</w:t>
            </w:r>
            <w:r w:rsidRPr="00FF58D5">
              <w:rPr>
                <w:rFonts w:asciiTheme="minorHAnsi" w:hAnsiTheme="minorHAnsi" w:cstheme="minorHAnsi"/>
                <w:bCs/>
                <w:sz w:val="22"/>
                <w:szCs w:val="22"/>
              </w:rPr>
              <w:t xml:space="preserve"> od dnia otrzymania wniosku przez pracodawcę.</w:t>
            </w:r>
          </w:p>
          <w:p w14:paraId="15D03421" w14:textId="77777777" w:rsidR="009F0705" w:rsidRPr="00FF58D5" w:rsidRDefault="009F0705" w:rsidP="00AB5A1A">
            <w:pPr>
              <w:spacing w:line="276" w:lineRule="auto"/>
              <w:jc w:val="both"/>
              <w:rPr>
                <w:rFonts w:asciiTheme="minorHAnsi" w:hAnsiTheme="minorHAnsi" w:cstheme="minorHAnsi"/>
                <w:bCs/>
                <w:sz w:val="22"/>
                <w:szCs w:val="22"/>
              </w:rPr>
            </w:pPr>
          </w:p>
          <w:p w14:paraId="4946CD2C" w14:textId="77777777" w:rsidR="009F0705" w:rsidRPr="00FF58D5" w:rsidRDefault="009F070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24.</w:t>
            </w:r>
          </w:p>
          <w:p w14:paraId="230C813B" w14:textId="77777777" w:rsidR="009F0705" w:rsidRPr="00FF58D5" w:rsidRDefault="009F0705"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00E16F35" w14:textId="59BCA13A" w:rsidR="009F0705" w:rsidRPr="00FF58D5" w:rsidRDefault="009F0705" w:rsidP="00AB5A1A">
            <w:pPr>
              <w:spacing w:line="276" w:lineRule="auto"/>
              <w:jc w:val="both"/>
              <w:rPr>
                <w:rFonts w:asciiTheme="minorHAnsi" w:hAnsiTheme="minorHAnsi" w:cstheme="minorHAnsi"/>
                <w:bCs/>
                <w:sz w:val="22"/>
                <w:szCs w:val="22"/>
              </w:rPr>
            </w:pPr>
            <w:r w:rsidRPr="00FF58D5">
              <w:rPr>
                <w:rFonts w:asciiTheme="minorHAnsi" w:hAnsiTheme="minorHAnsi" w:cstheme="minorHAnsi"/>
                <w:sz w:val="22"/>
                <w:szCs w:val="22"/>
              </w:rPr>
              <w:t>2. Pracodawca obowiązany jest do udzielenia dodatkowych, szczegółowych wyjaśnień w terminie nie dłuższym niż</w:t>
            </w:r>
            <w:r w:rsidRPr="00FF58D5">
              <w:rPr>
                <w:rFonts w:asciiTheme="minorHAnsi" w:hAnsiTheme="minorHAnsi" w:cstheme="minorHAnsi"/>
                <w:b/>
                <w:bCs/>
                <w:sz w:val="22"/>
                <w:szCs w:val="22"/>
              </w:rPr>
              <w:t xml:space="preserve"> 2 miesiące</w:t>
            </w:r>
            <w:r w:rsidRPr="00FF58D5">
              <w:rPr>
                <w:rFonts w:asciiTheme="minorHAnsi" w:hAnsiTheme="minorHAnsi" w:cstheme="minorHAnsi"/>
                <w:sz w:val="22"/>
                <w:szCs w:val="22"/>
              </w:rPr>
              <w:t xml:space="preserve"> od dnia otrzymania wniosku.</w:t>
            </w:r>
          </w:p>
        </w:tc>
        <w:tc>
          <w:tcPr>
            <w:tcW w:w="5387" w:type="dxa"/>
          </w:tcPr>
          <w:p w14:paraId="58EDE449" w14:textId="790B1072" w:rsidR="008D5FFF" w:rsidRPr="00FF58D5" w:rsidRDefault="00716A31"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1. P</w:t>
            </w:r>
            <w:r w:rsidR="008D5FFF" w:rsidRPr="00FF58D5">
              <w:rPr>
                <w:rFonts w:asciiTheme="minorHAnsi" w:hAnsiTheme="minorHAnsi" w:cstheme="minorHAnsi"/>
                <w:bCs/>
                <w:sz w:val="22"/>
                <w:szCs w:val="22"/>
              </w:rPr>
              <w:t xml:space="preserve">roponuje się wydłużenie terminu przekazania informacji przez pracodawcę z 14 dni do </w:t>
            </w:r>
            <w:r w:rsidR="008D5FFF" w:rsidRPr="00FF58D5">
              <w:rPr>
                <w:rFonts w:asciiTheme="minorHAnsi" w:hAnsiTheme="minorHAnsi" w:cstheme="minorHAnsi"/>
                <w:sz w:val="22"/>
                <w:szCs w:val="22"/>
              </w:rPr>
              <w:t>2 miesięcy</w:t>
            </w:r>
            <w:r w:rsidR="008D5FFF" w:rsidRPr="00FF58D5">
              <w:rPr>
                <w:rFonts w:asciiTheme="minorHAnsi" w:hAnsiTheme="minorHAnsi" w:cstheme="minorHAnsi"/>
                <w:bCs/>
                <w:sz w:val="22"/>
                <w:szCs w:val="22"/>
              </w:rPr>
              <w:t xml:space="preserve"> od dnia otrzymania wniosku.</w:t>
            </w:r>
            <w:r w:rsidR="00D14105" w:rsidRPr="00FF58D5">
              <w:rPr>
                <w:rFonts w:asciiTheme="minorHAnsi" w:hAnsiTheme="minorHAnsi" w:cstheme="minorHAnsi"/>
                <w:bCs/>
                <w:sz w:val="22"/>
                <w:szCs w:val="22"/>
              </w:rPr>
              <w:t xml:space="preserve"> Tym bardziej, iż dyrektywa nie określa terminu na odpowiedź pracodawcy, posługując się pojęciem „rozsądnego terminu”. </w:t>
            </w:r>
          </w:p>
          <w:p w14:paraId="0BCC111F" w14:textId="77777777" w:rsidR="00D14105" w:rsidRPr="00FF58D5" w:rsidRDefault="00D14105" w:rsidP="00AB5A1A">
            <w:pPr>
              <w:spacing w:line="276" w:lineRule="auto"/>
              <w:jc w:val="both"/>
              <w:rPr>
                <w:rFonts w:asciiTheme="minorHAnsi" w:hAnsiTheme="minorHAnsi" w:cstheme="minorHAnsi"/>
                <w:bCs/>
                <w:sz w:val="22"/>
                <w:szCs w:val="22"/>
              </w:rPr>
            </w:pPr>
          </w:p>
          <w:p w14:paraId="19409F24" w14:textId="771A1475" w:rsidR="008D5FFF" w:rsidRPr="00FF58D5" w:rsidRDefault="008D5FF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Termin 14 dni na przekazanie informacji może być niewystarczający, zwłaszcza w przypadku podmiotów zatrudniających większą liczbę pracowników lub </w:t>
            </w:r>
            <w:r w:rsidRPr="00FF58D5">
              <w:rPr>
                <w:rFonts w:asciiTheme="minorHAnsi" w:hAnsiTheme="minorHAnsi" w:cstheme="minorHAnsi"/>
                <w:bCs/>
                <w:sz w:val="22"/>
                <w:szCs w:val="22"/>
              </w:rPr>
              <w:lastRenderedPageBreak/>
              <w:t xml:space="preserve">posiadających złożoną strukturę organizacyjną. </w:t>
            </w:r>
            <w:r w:rsidR="00FB1F11"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Wydłużenie terminu do 2 miesięcy nie naruszy celów regulacji ani skuteczności działań Państwowej Inspekcji Pracy oraz organu do spraw równości. Proponowany termin pozostaje proporcjonalny i adekwatny do charakteru obowiązku nałożonego na pracodawcę.</w:t>
            </w:r>
          </w:p>
          <w:p w14:paraId="2898718B" w14:textId="77777777" w:rsidR="00716A31" w:rsidRPr="00FF58D5" w:rsidRDefault="00716A3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 Należy doprecyzować okres historyczny danych, które mają być przekazywane organizacjom związkowym. Obecne brzmienie nie wskazuje jednoznacznie, czy dane mają obejmować np. ostatnie 4 lata wstecz od dnia wejścia ustawy w życie, czy od początku roku kalendarzowego obowiązywania ustawy.</w:t>
            </w:r>
          </w:p>
          <w:p w14:paraId="785650F8" w14:textId="2E9E370E" w:rsidR="00716A31" w:rsidRPr="00FF58D5" w:rsidRDefault="00716A3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Brak tej precyzji rodzi ryzyko różnej interpretacji i utrudnia pracodawcom prawidłowe przygotowanie sprawozdań, zwłaszcza przy pierwszym raporcie.</w:t>
            </w:r>
          </w:p>
          <w:p w14:paraId="0974A02D" w14:textId="77777777" w:rsidR="00561058" w:rsidRPr="00FF58D5" w:rsidRDefault="00561058" w:rsidP="00AB5A1A">
            <w:pPr>
              <w:spacing w:line="276" w:lineRule="auto"/>
              <w:jc w:val="both"/>
              <w:rPr>
                <w:rFonts w:asciiTheme="minorHAnsi" w:hAnsiTheme="minorHAnsi" w:cstheme="minorHAnsi"/>
                <w:bCs/>
                <w:sz w:val="22"/>
                <w:szCs w:val="22"/>
              </w:rPr>
            </w:pPr>
          </w:p>
          <w:p w14:paraId="7E918CE0" w14:textId="7BE15491" w:rsidR="00525936" w:rsidRPr="00FF58D5" w:rsidRDefault="00955BC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3. </w:t>
            </w:r>
            <w:r w:rsidR="005E5324" w:rsidRPr="00FF58D5">
              <w:rPr>
                <w:rFonts w:asciiTheme="minorHAnsi" w:hAnsiTheme="minorHAnsi" w:cstheme="minorHAnsi"/>
                <w:bCs/>
                <w:sz w:val="22"/>
                <w:szCs w:val="22"/>
              </w:rPr>
              <w:t>Należy d</w:t>
            </w:r>
            <w:r w:rsidR="00525936" w:rsidRPr="00FF58D5">
              <w:rPr>
                <w:rFonts w:asciiTheme="minorHAnsi" w:hAnsiTheme="minorHAnsi" w:cstheme="minorHAnsi"/>
                <w:bCs/>
                <w:sz w:val="22"/>
                <w:szCs w:val="22"/>
              </w:rPr>
              <w:t>oprecyzować przepisy w następujący sposób:</w:t>
            </w:r>
          </w:p>
          <w:p w14:paraId="30D65B85" w14:textId="77777777" w:rsidR="00525936" w:rsidRPr="00FF58D5" w:rsidRDefault="00525936" w:rsidP="00AB5A1A">
            <w:pPr>
              <w:spacing w:line="276" w:lineRule="auto"/>
              <w:jc w:val="both"/>
              <w:rPr>
                <w:rFonts w:asciiTheme="minorHAnsi" w:hAnsiTheme="minorHAnsi" w:cstheme="minorHAnsi"/>
                <w:bCs/>
                <w:sz w:val="22"/>
                <w:szCs w:val="22"/>
              </w:rPr>
            </w:pPr>
          </w:p>
          <w:p w14:paraId="52AA5268" w14:textId="77004BF3" w:rsidR="00525936" w:rsidRPr="00FF58D5" w:rsidRDefault="00525936" w:rsidP="00AB5A1A">
            <w:pPr>
              <w:pStyle w:val="Akapitzlist"/>
              <w:numPr>
                <w:ilvl w:val="0"/>
                <w:numId w:val="50"/>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określić relację między uzasadnieniem</w:t>
            </w:r>
            <w:r w:rsidR="005E5324" w:rsidRPr="00FF58D5">
              <w:rPr>
                <w:rFonts w:asciiTheme="minorHAnsi" w:hAnsiTheme="minorHAnsi" w:cstheme="minorHAnsi"/>
                <w:bCs/>
                <w:sz w:val="22"/>
                <w:szCs w:val="22"/>
              </w:rPr>
              <w:t xml:space="preserve"> luki płacowej</w:t>
            </w:r>
            <w:r w:rsidRPr="00FF58D5">
              <w:rPr>
                <w:rFonts w:asciiTheme="minorHAnsi" w:hAnsiTheme="minorHAnsi" w:cstheme="minorHAnsi"/>
                <w:bCs/>
                <w:sz w:val="22"/>
                <w:szCs w:val="22"/>
              </w:rPr>
              <w:t xml:space="preserve"> a dodatkowymi wyjaśnieniami;</w:t>
            </w:r>
          </w:p>
          <w:p w14:paraId="6B283100" w14:textId="77777777" w:rsidR="00525936" w:rsidRPr="00FF58D5" w:rsidRDefault="00525936" w:rsidP="00AB5A1A">
            <w:pPr>
              <w:spacing w:line="276" w:lineRule="auto"/>
              <w:jc w:val="both"/>
              <w:rPr>
                <w:rFonts w:asciiTheme="minorHAnsi" w:hAnsiTheme="minorHAnsi" w:cstheme="minorHAnsi"/>
                <w:bCs/>
                <w:sz w:val="22"/>
                <w:szCs w:val="22"/>
              </w:rPr>
            </w:pPr>
          </w:p>
          <w:p w14:paraId="1C6A55C8" w14:textId="18893042" w:rsidR="00955BC7" w:rsidRPr="00FF58D5" w:rsidRDefault="00525936" w:rsidP="00AB5A1A">
            <w:pPr>
              <w:pStyle w:val="Akapitzlist"/>
              <w:numPr>
                <w:ilvl w:val="0"/>
                <w:numId w:val="50"/>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ustalić mechanizm i terminy współpracy ze stroną pracowniczą w ramach wspólnej oceny wynagrodzeń, uwzględniając przypadki braku współpracy lub niedotrzymania terminów</w:t>
            </w:r>
            <w:r w:rsidR="00AA639C" w:rsidRPr="00FF58D5">
              <w:rPr>
                <w:rFonts w:asciiTheme="minorHAnsi" w:hAnsiTheme="minorHAnsi" w:cstheme="minorHAnsi"/>
                <w:bCs/>
                <w:sz w:val="22"/>
                <w:szCs w:val="22"/>
              </w:rPr>
              <w:t>.</w:t>
            </w:r>
          </w:p>
          <w:p w14:paraId="6373FA93" w14:textId="26EF6DEE" w:rsidR="00AA639C" w:rsidRPr="00FF58D5" w:rsidRDefault="0069613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4. Przepis nakłada na pracodawcę obowiązek przekazywania informacji z art. 14 pkt 7 zarówno </w:t>
            </w:r>
            <w:r w:rsidRPr="00FF58D5">
              <w:rPr>
                <w:rFonts w:asciiTheme="minorHAnsi" w:hAnsiTheme="minorHAnsi" w:cstheme="minorHAnsi"/>
                <w:bCs/>
                <w:sz w:val="22"/>
                <w:szCs w:val="22"/>
              </w:rPr>
              <w:lastRenderedPageBreak/>
              <w:t>Państwowej Inspekcji Pracy, jak i organowi do spraw równości, w terminie 14 dni od wniosku. Jednocześnie raportowanie odbywa się za pośrednictwem narzędzia udostępnionego przez GUS, a dane są publikowane przez organ monitorujący. Niejasne pozostaje powiązanie między tymi organami i sposób udostępniania danych między nimi – w szczególności czy PIP będzie miała dostęp do danych z tego źródła. W konsekwencji pracodawca może zostać obciążony dodatkowym obowiązkiem raportowania do kolejnej instytucji, co prowadzi do nadmiernego rozproszenia obowiązków i powielania przekazywania danych.</w:t>
            </w:r>
            <w:r w:rsidR="00D85AB9" w:rsidRPr="00FF58D5">
              <w:rPr>
                <w:rFonts w:asciiTheme="minorHAnsi" w:hAnsiTheme="minorHAnsi" w:cstheme="minorHAnsi"/>
                <w:bCs/>
                <w:sz w:val="22"/>
                <w:szCs w:val="22"/>
              </w:rPr>
              <w:t xml:space="preserve"> Zgodnie z zasadą proporcjonalności i w celu uniknięcia nadmiernego raportowania, projekt powinien przewidywać jednolite kanały raportowania sprawozdań z art. 14 pkt 7. W szczególności doprecyzować, że dane przekazywane organowi do spraw równości mogą być udostępniane za pośrednictwem organu monitorującego (GUS), tak aby pracodawca nie był zobowiązany do składania osobnych raportów do wielu instytucji.</w:t>
            </w:r>
          </w:p>
        </w:tc>
      </w:tr>
      <w:tr w:rsidR="00004867" w:rsidRPr="00FF58D5" w14:paraId="0F9EA646" w14:textId="77777777" w:rsidTr="00AB5A1A">
        <w:trPr>
          <w:trHeight w:val="1275"/>
        </w:trPr>
        <w:tc>
          <w:tcPr>
            <w:tcW w:w="709" w:type="dxa"/>
            <w:vAlign w:val="center"/>
          </w:tcPr>
          <w:p w14:paraId="0532DFF5" w14:textId="77777777" w:rsidR="004061B3" w:rsidRPr="00FF58D5" w:rsidRDefault="004061B3"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0BC65F19" w14:textId="7A83F931" w:rsidR="004061B3" w:rsidRPr="00FF58D5" w:rsidRDefault="004061B3"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w:t>
            </w:r>
            <w:r w:rsidR="005B7ADE" w:rsidRPr="00FF58D5">
              <w:rPr>
                <w:rFonts w:asciiTheme="minorHAnsi" w:hAnsiTheme="minorHAnsi" w:cstheme="minorHAnsi"/>
                <w:b/>
                <w:bCs/>
                <w:sz w:val="22"/>
                <w:szCs w:val="22"/>
              </w:rPr>
              <w:t xml:space="preserve">24 </w:t>
            </w:r>
            <w:r w:rsidR="00B80D7E" w:rsidRPr="00FF58D5">
              <w:rPr>
                <w:rFonts w:asciiTheme="minorHAnsi" w:hAnsiTheme="minorHAnsi" w:cstheme="minorHAnsi"/>
                <w:b/>
                <w:bCs/>
                <w:sz w:val="22"/>
                <w:szCs w:val="22"/>
              </w:rPr>
              <w:t>ust. 1</w:t>
            </w:r>
          </w:p>
        </w:tc>
        <w:tc>
          <w:tcPr>
            <w:tcW w:w="3118" w:type="dxa"/>
            <w:vAlign w:val="center"/>
          </w:tcPr>
          <w:p w14:paraId="43429B6B" w14:textId="77777777" w:rsidR="00437BB8" w:rsidRPr="00FF58D5" w:rsidRDefault="00437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Art. 24.</w:t>
            </w:r>
          </w:p>
          <w:p w14:paraId="543AF22F" w14:textId="65428058" w:rsidR="004061B3" w:rsidRPr="00FF58D5" w:rsidRDefault="00437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1. Podmioty wymienione w art. 22 ust. 4 mają prawo wystąpić z wnioskiem do pracodawcy o udzielenie dodatkowych, szczegółowych wyjaśnień w zakresie przekazanego sprawozdania z luki płacowej, w </w:t>
            </w:r>
            <w:r w:rsidRPr="00FF58D5">
              <w:rPr>
                <w:rFonts w:asciiTheme="minorHAnsi" w:hAnsiTheme="minorHAnsi" w:cstheme="minorHAnsi"/>
                <w:sz w:val="22"/>
                <w:szCs w:val="22"/>
              </w:rPr>
              <w:lastRenderedPageBreak/>
              <w:t>tym dotyczących różnic w wynagrodzeniach ze względu na płeć.</w:t>
            </w:r>
          </w:p>
        </w:tc>
        <w:tc>
          <w:tcPr>
            <w:tcW w:w="3827" w:type="dxa"/>
            <w:vAlign w:val="center"/>
          </w:tcPr>
          <w:p w14:paraId="0378F642" w14:textId="549BD14E" w:rsidR="0045049B" w:rsidRPr="00FF58D5" w:rsidRDefault="0045049B"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Zaleca się doprecyzowanie przepisów poprzez:</w:t>
            </w:r>
          </w:p>
          <w:p w14:paraId="5F066CCB" w14:textId="345ED283" w:rsidR="0045049B" w:rsidRPr="00FF58D5" w:rsidRDefault="0045049B" w:rsidP="00AB5A1A">
            <w:pPr>
              <w:pStyle w:val="Akapitzlist"/>
              <w:numPr>
                <w:ilvl w:val="0"/>
                <w:numId w:val="44"/>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określenie rodzaju informacji, które mogą być żądane w ramach dodatkowych wyjaśnień,</w:t>
            </w:r>
          </w:p>
          <w:p w14:paraId="55C31370" w14:textId="1993641E" w:rsidR="0045049B" w:rsidRPr="00FF58D5" w:rsidRDefault="0045049B" w:rsidP="00AB5A1A">
            <w:pPr>
              <w:pStyle w:val="Akapitzlist"/>
              <w:numPr>
                <w:ilvl w:val="0"/>
                <w:numId w:val="44"/>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wprowadzenie ograniczenia wniosku do informacji niezbędnych do weryfikacji </w:t>
            </w:r>
            <w:r w:rsidRPr="00FF58D5">
              <w:rPr>
                <w:rFonts w:asciiTheme="minorHAnsi" w:hAnsiTheme="minorHAnsi" w:cstheme="minorHAnsi"/>
                <w:bCs/>
                <w:sz w:val="22"/>
                <w:szCs w:val="22"/>
              </w:rPr>
              <w:lastRenderedPageBreak/>
              <w:t>sprawozdania i zgodności z zasadą równego traktowania,</w:t>
            </w:r>
          </w:p>
          <w:p w14:paraId="7469E670" w14:textId="37CD8748" w:rsidR="004061B3" w:rsidRPr="00FF58D5" w:rsidRDefault="0045049B" w:rsidP="00AB5A1A">
            <w:pPr>
              <w:pStyle w:val="Akapitzlist"/>
              <w:numPr>
                <w:ilvl w:val="0"/>
                <w:numId w:val="44"/>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zapewnienie, że wnioski nie obejmują informacji pozwalających na identyfikację indywidualnych wynagrodzeń w sposób naruszający poufność danych osobowych.</w:t>
            </w:r>
          </w:p>
        </w:tc>
        <w:tc>
          <w:tcPr>
            <w:tcW w:w="5387" w:type="dxa"/>
          </w:tcPr>
          <w:p w14:paraId="5AA552F7" w14:textId="324AF0AE" w:rsidR="0031648F" w:rsidRPr="00FF58D5" w:rsidRDefault="0031648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Przepis przyznaje podmiotom wymienionym w art. 22 ust. 4 prawo do wystąpienia z wnioskiem o dodatkowe, szczegółowe wyjaśnienia dotyczące sprawozdania z luki płacowej, w tym różnic w wynagrodzeniach ze względu na płeć.</w:t>
            </w:r>
          </w:p>
          <w:p w14:paraId="7FD6300D" w14:textId="77777777" w:rsidR="004061B3" w:rsidRPr="00FF58D5" w:rsidRDefault="0031648F"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Zakres tego uprawnienia jest bardzo szeroki i nieprecyzyjny – nie wiadomo, jakie konkretnie informacje mogą być żądane w ramach „dodatkowych, szczegółowych </w:t>
            </w:r>
            <w:r w:rsidRPr="00FF58D5">
              <w:rPr>
                <w:rFonts w:asciiTheme="minorHAnsi" w:hAnsiTheme="minorHAnsi" w:cstheme="minorHAnsi"/>
                <w:bCs/>
                <w:sz w:val="22"/>
                <w:szCs w:val="22"/>
              </w:rPr>
              <w:lastRenderedPageBreak/>
              <w:t>wyjaśnień”. Taka konstrukcja stwarza ryzyko nadinterpretacji uprawnień, a w konsekwencji – potencjalnych sporów i konfrontacji między pracodawcą a podmiotami wnioskującymi.</w:t>
            </w:r>
          </w:p>
          <w:p w14:paraId="1FCE0CF4" w14:textId="77777777" w:rsidR="00DC2F27" w:rsidRPr="00FF58D5" w:rsidRDefault="00DC2F27" w:rsidP="009A348F">
            <w:pPr>
              <w:spacing w:line="276" w:lineRule="auto"/>
              <w:jc w:val="both"/>
              <w:rPr>
                <w:rFonts w:asciiTheme="minorHAnsi" w:hAnsiTheme="minorHAnsi" w:cstheme="minorHAnsi"/>
                <w:bCs/>
                <w:sz w:val="22"/>
                <w:szCs w:val="22"/>
              </w:rPr>
            </w:pPr>
          </w:p>
          <w:p w14:paraId="1DBA5013" w14:textId="0F43E60D" w:rsidR="00DC2F27" w:rsidRPr="00FF58D5" w:rsidRDefault="00DC2F2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ocenie KL pożądane byłoby uzupełnienie art. 24 o przepis, że szczegółowe wyjaśnienia nie mogą  ujawniać informacji wrażliwych / poufnych ani stanowić podstawy identyfikacji wynagrodzeń innych pracowników.</w:t>
            </w:r>
          </w:p>
        </w:tc>
      </w:tr>
      <w:tr w:rsidR="00004867" w:rsidRPr="00FF58D5" w14:paraId="2A3392C6" w14:textId="77777777" w:rsidTr="00AB5A1A">
        <w:trPr>
          <w:trHeight w:val="1275"/>
        </w:trPr>
        <w:tc>
          <w:tcPr>
            <w:tcW w:w="709" w:type="dxa"/>
            <w:vAlign w:val="center"/>
          </w:tcPr>
          <w:p w14:paraId="104AFDB3" w14:textId="77777777" w:rsidR="002C09B5" w:rsidRPr="00FF58D5" w:rsidRDefault="002C09B5"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4DDB99FD" w14:textId="77777777" w:rsidR="002C09B5" w:rsidRPr="00FF58D5" w:rsidRDefault="002C09B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24 ust. 3</w:t>
            </w:r>
          </w:p>
          <w:p w14:paraId="27F3647E" w14:textId="7100AE4A" w:rsidR="002C09B5" w:rsidRPr="00FF58D5" w:rsidRDefault="002C09B5"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32 ust. </w:t>
            </w:r>
            <w:r w:rsidR="00863181" w:rsidRPr="00FF58D5">
              <w:rPr>
                <w:rFonts w:asciiTheme="minorHAnsi" w:hAnsiTheme="minorHAnsi" w:cstheme="minorHAnsi"/>
                <w:b/>
                <w:bCs/>
                <w:sz w:val="22"/>
                <w:szCs w:val="22"/>
              </w:rPr>
              <w:t>2</w:t>
            </w:r>
          </w:p>
        </w:tc>
        <w:tc>
          <w:tcPr>
            <w:tcW w:w="3118" w:type="dxa"/>
            <w:vAlign w:val="center"/>
          </w:tcPr>
          <w:p w14:paraId="2BE164E1" w14:textId="77777777" w:rsidR="00306B2F" w:rsidRPr="00FF58D5" w:rsidRDefault="00265E73"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 xml:space="preserve">Art. </w:t>
            </w:r>
            <w:r w:rsidR="00306B2F" w:rsidRPr="00FF58D5">
              <w:rPr>
                <w:rFonts w:asciiTheme="minorHAnsi" w:hAnsiTheme="minorHAnsi" w:cstheme="minorHAnsi"/>
                <w:b/>
                <w:sz w:val="22"/>
                <w:szCs w:val="22"/>
              </w:rPr>
              <w:t>24.</w:t>
            </w:r>
          </w:p>
          <w:p w14:paraId="5A56BC56" w14:textId="4584ADC1" w:rsidR="00306B2F" w:rsidRPr="00FF58D5" w:rsidRDefault="00306B2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3. W przypadku, gdy z dodatkowych wyjaśnień, o których mowa w ust. 1 i 2, wynika, że luka płacowa ze względu na płeć nie jest uzasadniona obiektywnymi, neutralnymi pod względem płci kryteriami, pracodawca podejmuje skuteczne działania zaradcze w terminie uwzględniającym zakres wymaganych działań, nie dłuższym niż 8 miesięcy od udzielenia szczegółowych wyjaśnień, z zastrzeżeniem art. 23.</w:t>
            </w:r>
          </w:p>
          <w:p w14:paraId="2AA97DD6" w14:textId="00E7DEB0" w:rsidR="00C46189" w:rsidRPr="00FF58D5" w:rsidRDefault="00C46189"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32.</w:t>
            </w:r>
          </w:p>
          <w:p w14:paraId="3F62EC8C" w14:textId="434D4AB1" w:rsidR="002C09B5" w:rsidRPr="00FF58D5" w:rsidRDefault="00C46189"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Cs/>
                <w:sz w:val="22"/>
                <w:szCs w:val="22"/>
              </w:rPr>
              <w:lastRenderedPageBreak/>
              <w:t>2. Pracodawca wdrażając środki wynikające ze wspólnej oceny wynagrodzeń ma obowiązek podjąć skuteczne działania zaradcze w terminie nie dłuższym niż 8 miesięcy od dnia przekazania informacji ze wspólnej oceny wynagrodzeń zgodnie z art. 30.</w:t>
            </w:r>
          </w:p>
        </w:tc>
        <w:tc>
          <w:tcPr>
            <w:tcW w:w="3827" w:type="dxa"/>
            <w:vAlign w:val="center"/>
          </w:tcPr>
          <w:p w14:paraId="5C1CBB59" w14:textId="08921A7D" w:rsidR="00CC63DB" w:rsidRPr="00FF58D5" w:rsidRDefault="00F60A8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
                <w:sz w:val="22"/>
                <w:szCs w:val="22"/>
              </w:rPr>
              <w:lastRenderedPageBreak/>
              <w:t>1</w:t>
            </w:r>
            <w:r w:rsidRPr="00FF58D5">
              <w:rPr>
                <w:rFonts w:asciiTheme="minorHAnsi" w:hAnsiTheme="minorHAnsi" w:cstheme="minorHAnsi"/>
                <w:bCs/>
                <w:sz w:val="22"/>
                <w:szCs w:val="22"/>
              </w:rPr>
              <w:t xml:space="preserve">. </w:t>
            </w:r>
            <w:r w:rsidR="00CC63DB" w:rsidRPr="00FF58D5">
              <w:rPr>
                <w:rFonts w:asciiTheme="minorHAnsi" w:hAnsiTheme="minorHAnsi" w:cstheme="minorHAnsi"/>
                <w:bCs/>
                <w:sz w:val="22"/>
                <w:szCs w:val="22"/>
              </w:rPr>
              <w:t>Wskazane jest doprecyzowanie przepisów.</w:t>
            </w:r>
          </w:p>
          <w:p w14:paraId="15723665" w14:textId="3841C956" w:rsidR="00CC63DB" w:rsidRPr="00FF58D5" w:rsidRDefault="00CC63DB"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t>
            </w:r>
            <w:r w:rsidR="00F60A84" w:rsidRPr="00FF58D5">
              <w:rPr>
                <w:rFonts w:asciiTheme="minorHAnsi" w:hAnsiTheme="minorHAnsi" w:cstheme="minorHAnsi"/>
                <w:bCs/>
                <w:sz w:val="22"/>
                <w:szCs w:val="22"/>
              </w:rPr>
              <w:t>Konieczne jest wydłużenie terminów:</w:t>
            </w:r>
          </w:p>
          <w:p w14:paraId="0FC84F18" w14:textId="54DBADC3" w:rsidR="00306B2F" w:rsidRPr="00FF58D5" w:rsidRDefault="00306B2F"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24.</w:t>
            </w:r>
          </w:p>
          <w:p w14:paraId="128EF289" w14:textId="14CE2711" w:rsidR="00306B2F" w:rsidRPr="00FF58D5" w:rsidRDefault="00306B2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3. W przypadku, gdy z dodatkowych wyjaśnień, o których mowa w ust. 1 i 2, wynika, że luka płacowa ze względu na płeć nie jest uzasadniona obiektywnymi, neutralnymi pod względem płci kryteriami, pracodawca podejmuje skuteczne działania zaradcze w terminie uwzględniającym zakres wymaganych działań, nie dłuższym niż </w:t>
            </w:r>
            <w:r w:rsidRPr="00FF58D5">
              <w:rPr>
                <w:rFonts w:asciiTheme="minorHAnsi" w:hAnsiTheme="minorHAnsi" w:cstheme="minorHAnsi"/>
                <w:b/>
                <w:sz w:val="22"/>
                <w:szCs w:val="22"/>
              </w:rPr>
              <w:t xml:space="preserve">12 </w:t>
            </w:r>
            <w:r w:rsidRPr="00FF58D5">
              <w:rPr>
                <w:rFonts w:asciiTheme="minorHAnsi" w:hAnsiTheme="minorHAnsi" w:cstheme="minorHAnsi"/>
                <w:bCs/>
                <w:sz w:val="22"/>
                <w:szCs w:val="22"/>
              </w:rPr>
              <w:t>miesięcy od udzielenia szczegółowych wyjaśnień, z zastrzeżeniem art. 23.</w:t>
            </w:r>
          </w:p>
          <w:p w14:paraId="133F50D8" w14:textId="77777777" w:rsidR="002C09B5" w:rsidRPr="00FF58D5" w:rsidRDefault="00C46189"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Art. 32.</w:t>
            </w:r>
          </w:p>
          <w:p w14:paraId="5119883B" w14:textId="00561E8B" w:rsidR="00C46189" w:rsidRPr="00FF58D5" w:rsidRDefault="00C4618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Pracodawca wdrażając środki wynikające ze wspólnej oceny </w:t>
            </w:r>
            <w:r w:rsidRPr="00FF58D5">
              <w:rPr>
                <w:rFonts w:asciiTheme="minorHAnsi" w:hAnsiTheme="minorHAnsi" w:cstheme="minorHAnsi"/>
                <w:bCs/>
                <w:sz w:val="22"/>
                <w:szCs w:val="22"/>
              </w:rPr>
              <w:lastRenderedPageBreak/>
              <w:t xml:space="preserve">wynagrodzeń ma obowiązek podjąć skuteczne działania zaradcze w terminie nie dłuższym niż </w:t>
            </w:r>
            <w:r w:rsidRPr="00FF58D5">
              <w:rPr>
                <w:rFonts w:asciiTheme="minorHAnsi" w:hAnsiTheme="minorHAnsi" w:cstheme="minorHAnsi"/>
                <w:b/>
                <w:sz w:val="22"/>
                <w:szCs w:val="22"/>
              </w:rPr>
              <w:t>12 miesięcy</w:t>
            </w:r>
            <w:r w:rsidRPr="00FF58D5">
              <w:rPr>
                <w:rFonts w:asciiTheme="minorHAnsi" w:hAnsiTheme="minorHAnsi" w:cstheme="minorHAnsi"/>
                <w:bCs/>
                <w:sz w:val="22"/>
                <w:szCs w:val="22"/>
              </w:rPr>
              <w:t xml:space="preserve"> od dnia przekazania informacji ze wspólnej oceny wynagrodzeń zgodnie z art. 30.</w:t>
            </w:r>
          </w:p>
        </w:tc>
        <w:tc>
          <w:tcPr>
            <w:tcW w:w="5387" w:type="dxa"/>
          </w:tcPr>
          <w:p w14:paraId="49F2D303" w14:textId="716E75AE" w:rsidR="00FF469D" w:rsidRPr="00FF58D5" w:rsidRDefault="00CC63D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1.</w:t>
            </w:r>
            <w:r w:rsidR="00FF469D" w:rsidRPr="00FF58D5">
              <w:rPr>
                <w:rFonts w:asciiTheme="minorHAnsi" w:hAnsiTheme="minorHAnsi" w:cstheme="minorHAnsi"/>
                <w:sz w:val="22"/>
                <w:szCs w:val="22"/>
              </w:rPr>
              <w:t xml:space="preserve"> </w:t>
            </w:r>
            <w:r w:rsidR="00417EB7" w:rsidRPr="00FF58D5">
              <w:rPr>
                <w:rFonts w:asciiTheme="minorHAnsi" w:hAnsiTheme="minorHAnsi" w:cstheme="minorHAnsi"/>
                <w:sz w:val="22"/>
                <w:szCs w:val="22"/>
              </w:rPr>
              <w:t>W</w:t>
            </w:r>
            <w:r w:rsidR="00FF469D" w:rsidRPr="00FF58D5">
              <w:rPr>
                <w:rFonts w:asciiTheme="minorHAnsi" w:hAnsiTheme="minorHAnsi" w:cstheme="minorHAnsi"/>
                <w:sz w:val="22"/>
                <w:szCs w:val="22"/>
              </w:rPr>
              <w:t xml:space="preserve">skazane jest określenie czym </w:t>
            </w:r>
            <w:r w:rsidR="008966EB" w:rsidRPr="00FF58D5">
              <w:rPr>
                <w:rFonts w:asciiTheme="minorHAnsi" w:hAnsiTheme="minorHAnsi" w:cstheme="minorHAnsi"/>
                <w:sz w:val="22"/>
                <w:szCs w:val="22"/>
              </w:rPr>
              <w:t>mogą być</w:t>
            </w:r>
            <w:r w:rsidR="00FF469D" w:rsidRPr="00FF58D5">
              <w:rPr>
                <w:rFonts w:asciiTheme="minorHAnsi" w:hAnsiTheme="minorHAnsi" w:cstheme="minorHAnsi"/>
                <w:sz w:val="22"/>
                <w:szCs w:val="22"/>
              </w:rPr>
              <w:t xml:space="preserve"> działania zaradcze. Brak definicji prowadzi do niejasności interpretacyjnej i ryzyka nadmiernej różnorodności stosowania przepisów między pracodawcami.</w:t>
            </w:r>
            <w:r w:rsidR="003F502A" w:rsidRPr="00FF58D5">
              <w:rPr>
                <w:rFonts w:asciiTheme="minorHAnsi" w:hAnsiTheme="minorHAnsi" w:cstheme="minorHAnsi"/>
                <w:sz w:val="22"/>
                <w:szCs w:val="22"/>
              </w:rPr>
              <w:t xml:space="preserve"> </w:t>
            </w:r>
            <w:r w:rsidR="00FF469D" w:rsidRPr="00FF58D5">
              <w:rPr>
                <w:rFonts w:asciiTheme="minorHAnsi" w:hAnsiTheme="minorHAnsi" w:cstheme="minorHAnsi"/>
                <w:sz w:val="22"/>
                <w:szCs w:val="22"/>
              </w:rPr>
              <w:t>Pracodawcy mogą mieć trudności w określeniu, jakie działania należy uznać za skuteczne, co utrudnia prawidłową realizację obowiązków ustawowych i może prowadzić do spornych sytuacji w przypadku kontroli.</w:t>
            </w:r>
          </w:p>
          <w:p w14:paraId="59DB7654" w14:textId="1165541F" w:rsidR="00CC63DB" w:rsidRPr="00FF58D5" w:rsidRDefault="00CC63D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r w:rsidR="00FF469D" w:rsidRPr="00FF58D5">
              <w:rPr>
                <w:rFonts w:asciiTheme="minorHAnsi" w:hAnsiTheme="minorHAnsi" w:cstheme="minorHAnsi"/>
                <w:sz w:val="22"/>
                <w:szCs w:val="22"/>
              </w:rPr>
              <w:t>P</w:t>
            </w:r>
            <w:r w:rsidRPr="00FF58D5">
              <w:rPr>
                <w:rFonts w:asciiTheme="minorHAnsi" w:hAnsiTheme="minorHAnsi" w:cstheme="minorHAnsi"/>
                <w:sz w:val="22"/>
                <w:szCs w:val="22"/>
              </w:rPr>
              <w:t xml:space="preserve">róg zastosowania przepisu </w:t>
            </w:r>
            <w:r w:rsidR="00FF469D" w:rsidRPr="00FF58D5">
              <w:rPr>
                <w:rFonts w:asciiTheme="minorHAnsi" w:hAnsiTheme="minorHAnsi" w:cstheme="minorHAnsi"/>
                <w:sz w:val="22"/>
                <w:szCs w:val="22"/>
              </w:rPr>
              <w:t xml:space="preserve">nie jest jasny </w:t>
            </w:r>
            <w:r w:rsidRPr="00FF58D5">
              <w:rPr>
                <w:rFonts w:asciiTheme="minorHAnsi" w:hAnsiTheme="minorHAnsi" w:cstheme="minorHAnsi"/>
                <w:sz w:val="22"/>
                <w:szCs w:val="22"/>
              </w:rPr>
              <w:t>– nie wiadomo, czy termin 8 miesięcy dotyczy:</w:t>
            </w:r>
          </w:p>
          <w:p w14:paraId="364B476C" w14:textId="77777777" w:rsidR="003470A6" w:rsidRPr="00FF58D5" w:rsidRDefault="00C47B1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r w:rsidR="00CC63DB" w:rsidRPr="00FF58D5">
              <w:rPr>
                <w:rFonts w:asciiTheme="minorHAnsi" w:hAnsiTheme="minorHAnsi" w:cstheme="minorHAnsi"/>
                <w:sz w:val="22"/>
                <w:szCs w:val="22"/>
              </w:rPr>
              <w:t>luk płacowych przekraczających określony poziom (np. ≥5%), cz</w:t>
            </w:r>
            <w:r w:rsidR="003470A6" w:rsidRPr="00FF58D5">
              <w:rPr>
                <w:rFonts w:asciiTheme="minorHAnsi" w:hAnsiTheme="minorHAnsi" w:cstheme="minorHAnsi"/>
                <w:sz w:val="22"/>
                <w:szCs w:val="22"/>
              </w:rPr>
              <w:t>y</w:t>
            </w:r>
          </w:p>
          <w:p w14:paraId="20A4710E" w14:textId="7CFDF920" w:rsidR="00CC63DB" w:rsidRPr="00FF58D5" w:rsidRDefault="00C47B1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 </w:t>
            </w:r>
            <w:r w:rsidR="00CC63DB" w:rsidRPr="00FF58D5">
              <w:rPr>
                <w:rFonts w:asciiTheme="minorHAnsi" w:hAnsiTheme="minorHAnsi" w:cstheme="minorHAnsi"/>
                <w:sz w:val="22"/>
                <w:szCs w:val="22"/>
              </w:rPr>
              <w:t>każdej wykrytej luki płacowej nieuzasadnionej obiektywnymi kryteriami.</w:t>
            </w:r>
          </w:p>
          <w:p w14:paraId="7E170426" w14:textId="085C4539" w:rsidR="00CC63DB" w:rsidRPr="00FF58D5" w:rsidRDefault="00A77DE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Ponadto należy zwrócić uwagę na s</w:t>
            </w:r>
            <w:r w:rsidR="00CC63DB" w:rsidRPr="00FF58D5">
              <w:rPr>
                <w:rFonts w:asciiTheme="minorHAnsi" w:hAnsiTheme="minorHAnsi" w:cstheme="minorHAnsi"/>
                <w:sz w:val="22"/>
                <w:szCs w:val="22"/>
              </w:rPr>
              <w:t>przeczność z art. 23</w:t>
            </w:r>
            <w:r w:rsidRPr="00FF58D5">
              <w:rPr>
                <w:rFonts w:asciiTheme="minorHAnsi" w:hAnsiTheme="minorHAnsi" w:cstheme="minorHAnsi"/>
                <w:sz w:val="22"/>
                <w:szCs w:val="22"/>
              </w:rPr>
              <w:t xml:space="preserve">, który </w:t>
            </w:r>
            <w:r w:rsidR="00CC63DB" w:rsidRPr="00FF58D5">
              <w:rPr>
                <w:rFonts w:asciiTheme="minorHAnsi" w:hAnsiTheme="minorHAnsi" w:cstheme="minorHAnsi"/>
                <w:sz w:val="22"/>
                <w:szCs w:val="22"/>
              </w:rPr>
              <w:t xml:space="preserve">mówi o obowiązku podjęcia działań zaradczych w terminie 6 miesięcy od przekazania sprawozdania, co jest </w:t>
            </w:r>
            <w:r w:rsidR="00CC63DB" w:rsidRPr="00FF58D5">
              <w:rPr>
                <w:rFonts w:asciiTheme="minorHAnsi" w:hAnsiTheme="minorHAnsi" w:cstheme="minorHAnsi"/>
                <w:sz w:val="22"/>
                <w:szCs w:val="22"/>
              </w:rPr>
              <w:lastRenderedPageBreak/>
              <w:t>krótszym terminem niż 8 miesięcy wskazanym w art. 24 ust. 3.</w:t>
            </w:r>
          </w:p>
          <w:p w14:paraId="791898F2" w14:textId="38A71767" w:rsidR="00CC63DB" w:rsidRPr="00FF58D5" w:rsidRDefault="00CC63D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Brak precyzji w odniesieniu do zastrzeżenia w art. 23 – nie jest jasne, jak połączyć oba przepisy i w jaki sposób uwzględnić zastrzeżenia przewidziane w art. 23 w kontekście działań zaradczych wynikających z art. 24 ust. 3.</w:t>
            </w:r>
          </w:p>
          <w:p w14:paraId="3CC971B0" w14:textId="28A3A7B8" w:rsidR="000D004A" w:rsidRPr="00FF58D5" w:rsidRDefault="00CC63D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2. </w:t>
            </w:r>
            <w:r w:rsidR="000D004A" w:rsidRPr="00FF58D5">
              <w:rPr>
                <w:rFonts w:asciiTheme="minorHAnsi" w:hAnsiTheme="minorHAnsi" w:cstheme="minorHAnsi"/>
                <w:sz w:val="22"/>
                <w:szCs w:val="22"/>
              </w:rPr>
              <w:t xml:space="preserve">Dyrektywa posługuje się </w:t>
            </w:r>
            <w:r w:rsidR="000D004A" w:rsidRPr="00FF58D5">
              <w:rPr>
                <w:rFonts w:asciiTheme="minorHAnsi" w:hAnsiTheme="minorHAnsi" w:cstheme="minorHAnsi"/>
                <w:b/>
                <w:sz w:val="22"/>
                <w:szCs w:val="22"/>
              </w:rPr>
              <w:t xml:space="preserve">pojęciem „rozsądnego terminu” </w:t>
            </w:r>
            <w:r w:rsidR="000D004A" w:rsidRPr="00FF58D5">
              <w:rPr>
                <w:rFonts w:asciiTheme="minorHAnsi" w:hAnsiTheme="minorHAnsi" w:cstheme="minorHAnsi"/>
                <w:sz w:val="22"/>
                <w:szCs w:val="22"/>
              </w:rPr>
              <w:t>na podjęcie skutecznych działań zaradczych, pozostawiając państwom członkowskim swobodę w jego doprecyzowaniu, z uwzględnieniem skali i złożoności wymaganych działań. Sztywno określony termin 8 miesięcy może okazać się niewystarczający, zwłaszcza w przypadku większych organizacji lub sytuacji, w których działania zaradcze wymagają zmian systemowych, takich jak modyfikacja polityk wynagrodzeń, systemów wartościowania stanowisk, regulaminów wynagradzania czy przeprowadzenia konsultacji wewnętrznych.</w:t>
            </w:r>
          </w:p>
          <w:p w14:paraId="5B8C2350" w14:textId="138C56F0" w:rsidR="002C09B5" w:rsidRPr="00FF58D5" w:rsidRDefault="000D004A" w:rsidP="00AB5A1A">
            <w:pPr>
              <w:spacing w:line="276" w:lineRule="auto"/>
              <w:jc w:val="both"/>
              <w:rPr>
                <w:rFonts w:asciiTheme="minorHAnsi" w:hAnsiTheme="minorHAnsi" w:cstheme="minorHAnsi"/>
                <w:bCs/>
                <w:sz w:val="22"/>
                <w:szCs w:val="22"/>
              </w:rPr>
            </w:pPr>
            <w:r w:rsidRPr="00FF58D5">
              <w:rPr>
                <w:rFonts w:asciiTheme="minorHAnsi" w:hAnsiTheme="minorHAnsi" w:cstheme="minorHAnsi"/>
                <w:sz w:val="22"/>
                <w:szCs w:val="22"/>
              </w:rPr>
              <w:t>Wydłużenie maksymalnego terminu do 12 miesięcy lepiej odzwierciedla realia organizacyjne i pozwala na wdrożenie działań zaradczych w sposób przemyślany, trwały i rzeczywiście skuteczny, bez ryzyka działań pozornych podejmowanych wyłącznie w celu dochowania ustawowego terminu. Jednocześnie proponowane rozwiązanie pozostaje zgodne z celem dyrektywy, jakim jest faktyczne zmniejszenie luki płacowej, a nie jedynie formalne spełnienie obowiązków.</w:t>
            </w:r>
          </w:p>
        </w:tc>
      </w:tr>
      <w:tr w:rsidR="009B5605" w:rsidRPr="00FF58D5" w14:paraId="18E0A1CA" w14:textId="77777777" w:rsidTr="00AB5A1A">
        <w:trPr>
          <w:trHeight w:val="1275"/>
        </w:trPr>
        <w:tc>
          <w:tcPr>
            <w:tcW w:w="709" w:type="dxa"/>
            <w:vAlign w:val="center"/>
          </w:tcPr>
          <w:p w14:paraId="6E53C7C1"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F1063BC" w14:textId="77777777" w:rsidR="00E75910" w:rsidRPr="00FF58D5" w:rsidRDefault="000475B3"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23 </w:t>
            </w:r>
          </w:p>
          <w:p w14:paraId="6DB3263A" w14:textId="77777777" w:rsidR="00C75ECE" w:rsidRPr="00FF58D5" w:rsidRDefault="00C75EC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24 ust. </w:t>
            </w:r>
            <w:r w:rsidR="002053E5" w:rsidRPr="00FF58D5">
              <w:rPr>
                <w:rFonts w:asciiTheme="minorHAnsi" w:hAnsiTheme="minorHAnsi" w:cstheme="minorHAnsi"/>
                <w:b/>
                <w:bCs/>
                <w:sz w:val="22"/>
                <w:szCs w:val="22"/>
              </w:rPr>
              <w:t>3</w:t>
            </w:r>
          </w:p>
          <w:p w14:paraId="1F231F44" w14:textId="2088C669" w:rsidR="00C8378D" w:rsidRPr="00FF58D5" w:rsidRDefault="00C8378D"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w:t>
            </w:r>
            <w:r w:rsidR="00602087" w:rsidRPr="00FF58D5">
              <w:rPr>
                <w:rFonts w:asciiTheme="minorHAnsi" w:hAnsiTheme="minorHAnsi" w:cstheme="minorHAnsi"/>
                <w:b/>
                <w:bCs/>
                <w:sz w:val="22"/>
                <w:szCs w:val="22"/>
              </w:rPr>
              <w:t>25 ust. 1</w:t>
            </w:r>
            <w:r w:rsidR="00775921" w:rsidRPr="00FF58D5">
              <w:rPr>
                <w:rFonts w:asciiTheme="minorHAnsi" w:hAnsiTheme="minorHAnsi" w:cstheme="minorHAnsi"/>
                <w:b/>
                <w:bCs/>
                <w:sz w:val="22"/>
                <w:szCs w:val="22"/>
              </w:rPr>
              <w:t xml:space="preserve"> pkt 3</w:t>
            </w:r>
          </w:p>
        </w:tc>
        <w:tc>
          <w:tcPr>
            <w:tcW w:w="3118" w:type="dxa"/>
            <w:vAlign w:val="center"/>
          </w:tcPr>
          <w:p w14:paraId="539F2BCC" w14:textId="77777777" w:rsidR="005D0BB8" w:rsidRPr="00FF58D5" w:rsidRDefault="005D0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Art. 23. W przypadku, gdy ze sprawozdania z luki płacowej wynika, że luka płacowa ze względu na płeć w którejkolwiek kategorii pracowników wynosi co najmniej 5%, a jednocześnie nie jest uzasadniona obiektywnymi, neutralnymi pod względem płci kryteriami, pracodawca podejmuje skuteczne działania zaradcze w terminie 6 miesięcy od dnia przekazania sprawozdania z luki płacowej.</w:t>
            </w:r>
          </w:p>
          <w:p w14:paraId="4A84C31D" w14:textId="77777777" w:rsidR="005D0BB8" w:rsidRPr="00FF58D5" w:rsidRDefault="005D0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Art. 24. </w:t>
            </w:r>
          </w:p>
          <w:p w14:paraId="72AF06A7" w14:textId="77777777" w:rsidR="005D0BB8" w:rsidRPr="00FF58D5" w:rsidRDefault="005D0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32DEC56A" w14:textId="77777777" w:rsidR="00E75910" w:rsidRPr="00FF58D5" w:rsidRDefault="005D0BB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3. W przypadku, gdy z dodatkowych wyjaśnień, o których mowa w ust. 1 i 2, wynika, że luka płacowa ze względu na płeć nie jest uzasadniona obiektywnymi, neutralnymi pod względem płci kryteriami, pracodawca podejmuje skuteczne działania zaradcze w terminie uwzględniającym zakres wymaganych działań, nie dłuższym niż 8 miesięcy od </w:t>
            </w:r>
            <w:r w:rsidRPr="00FF58D5">
              <w:rPr>
                <w:rFonts w:asciiTheme="minorHAnsi" w:hAnsiTheme="minorHAnsi" w:cstheme="minorHAnsi"/>
                <w:sz w:val="22"/>
                <w:szCs w:val="22"/>
              </w:rPr>
              <w:lastRenderedPageBreak/>
              <w:t>udzielenia szczegółowych wyjaśnień, z zastrzeżeniem art. 23.</w:t>
            </w:r>
          </w:p>
          <w:p w14:paraId="59CCCC2B" w14:textId="77777777" w:rsidR="00775921" w:rsidRPr="00FF58D5" w:rsidRDefault="00775921"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25 ust. 1 pkt 3:</w:t>
            </w:r>
          </w:p>
          <w:p w14:paraId="3AE97AA8" w14:textId="77777777" w:rsidR="00775921" w:rsidRPr="00FF58D5" w:rsidRDefault="00775921" w:rsidP="00AB5A1A">
            <w:pPr>
              <w:spacing w:line="276" w:lineRule="auto"/>
              <w:jc w:val="both"/>
              <w:rPr>
                <w:rFonts w:asciiTheme="minorHAnsi" w:hAnsiTheme="minorHAnsi" w:cstheme="minorHAnsi"/>
                <w:b/>
                <w:sz w:val="22"/>
                <w:szCs w:val="22"/>
              </w:rPr>
            </w:pPr>
          </w:p>
          <w:p w14:paraId="2BDFE815" w14:textId="77777777" w:rsidR="002B3BBA" w:rsidRPr="00FF58D5" w:rsidRDefault="002B3BBA"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 Pracodawca,  o którym mowa w art. 13 ust. 1, przeprowadza wspólną ocenę wynagrodzeń, w przypadku gdy zostaną spełnione łącznie następujące przesłanki:</w:t>
            </w:r>
          </w:p>
          <w:p w14:paraId="21EEFB07" w14:textId="77777777" w:rsidR="008C356B" w:rsidRPr="00FF58D5" w:rsidRDefault="008C356B"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217339C3" w14:textId="0B539E5D" w:rsidR="00775921" w:rsidRPr="00FF58D5" w:rsidRDefault="002B3BBA"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w:t>
            </w:r>
            <w:r w:rsidRPr="00FF58D5">
              <w:rPr>
                <w:rFonts w:asciiTheme="minorHAnsi" w:hAnsiTheme="minorHAnsi" w:cstheme="minorHAnsi"/>
                <w:sz w:val="22"/>
                <w:szCs w:val="22"/>
              </w:rPr>
              <w:tab/>
              <w:t>pracodawca nie podjął skutecznych działań zaradczych wobec nieuzasadnionej luki płacowej ze względu na płeć w terminie 6 miesięcy od dnia przekazania sprawozdania z luki płacowej</w:t>
            </w:r>
            <w:r w:rsidR="008C356B" w:rsidRPr="00FF58D5">
              <w:rPr>
                <w:rFonts w:asciiTheme="minorHAnsi" w:hAnsiTheme="minorHAnsi" w:cstheme="minorHAnsi"/>
                <w:sz w:val="22"/>
                <w:szCs w:val="22"/>
              </w:rPr>
              <w:t>.</w:t>
            </w:r>
            <w:r w:rsidRPr="00FF58D5">
              <w:rPr>
                <w:rFonts w:asciiTheme="minorHAnsi" w:hAnsiTheme="minorHAnsi" w:cstheme="minorHAnsi"/>
                <w:sz w:val="22"/>
                <w:szCs w:val="22"/>
              </w:rPr>
              <w:t xml:space="preserve"> </w:t>
            </w:r>
          </w:p>
        </w:tc>
        <w:tc>
          <w:tcPr>
            <w:tcW w:w="3827" w:type="dxa"/>
            <w:vAlign w:val="center"/>
          </w:tcPr>
          <w:p w14:paraId="5C7BC14F" w14:textId="67EA7281" w:rsidR="003C46CF" w:rsidRPr="00FF58D5" w:rsidRDefault="00A76171" w:rsidP="00A76171">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Przepisy wymagają doprecyzowania </w:t>
            </w:r>
          </w:p>
        </w:tc>
        <w:tc>
          <w:tcPr>
            <w:tcW w:w="5387" w:type="dxa"/>
          </w:tcPr>
          <w:p w14:paraId="043F41A6" w14:textId="5520AB7F" w:rsidR="00160417" w:rsidRPr="00FF58D5" w:rsidRDefault="0016041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Projektowane przepisy nie przewidują jasnych zasad postępowania </w:t>
            </w:r>
            <w:r w:rsidR="005A16F5" w:rsidRPr="00FF58D5">
              <w:rPr>
                <w:rFonts w:asciiTheme="minorHAnsi" w:hAnsiTheme="minorHAnsi" w:cstheme="minorHAnsi"/>
                <w:bCs/>
                <w:sz w:val="22"/>
                <w:szCs w:val="22"/>
              </w:rPr>
              <w:t xml:space="preserve">w zakresie ustalania istnienia luki, jej uzasadnienia i podejmowania działań zaradczych. </w:t>
            </w:r>
          </w:p>
          <w:p w14:paraId="10563C58" w14:textId="77777777" w:rsidR="00160417" w:rsidRPr="00FF58D5" w:rsidRDefault="00160417" w:rsidP="00AB5A1A">
            <w:pPr>
              <w:spacing w:line="276" w:lineRule="auto"/>
              <w:jc w:val="both"/>
              <w:rPr>
                <w:rFonts w:asciiTheme="minorHAnsi" w:hAnsiTheme="minorHAnsi" w:cstheme="minorHAnsi"/>
                <w:bCs/>
                <w:sz w:val="22"/>
                <w:szCs w:val="22"/>
              </w:rPr>
            </w:pPr>
          </w:p>
          <w:p w14:paraId="2D98CEB3" w14:textId="718D8568" w:rsidR="00364C55" w:rsidRPr="00FF58D5" w:rsidRDefault="00CD079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Nie jest jasne kto podejmuje decyzje w kwestii stwierdzenia występowania luki płacowej </w:t>
            </w:r>
            <w:r w:rsidR="00077746" w:rsidRPr="00FF58D5">
              <w:rPr>
                <w:rFonts w:asciiTheme="minorHAnsi" w:hAnsiTheme="minorHAnsi" w:cstheme="minorHAnsi"/>
                <w:bCs/>
                <w:sz w:val="22"/>
                <w:szCs w:val="22"/>
              </w:rPr>
              <w:t>„co najmniej 5%”</w:t>
            </w:r>
            <w:r w:rsidR="006B5F53" w:rsidRPr="00FF58D5">
              <w:rPr>
                <w:rFonts w:asciiTheme="minorHAnsi" w:hAnsiTheme="minorHAnsi" w:cstheme="minorHAnsi"/>
                <w:bCs/>
                <w:sz w:val="22"/>
                <w:szCs w:val="22"/>
              </w:rPr>
              <w:t>. W pierwszej kolejności wiążąca powinna być ocena pracodawcy</w:t>
            </w:r>
            <w:r w:rsidR="002D2F46" w:rsidRPr="00FF58D5">
              <w:rPr>
                <w:rFonts w:asciiTheme="minorHAnsi" w:hAnsiTheme="minorHAnsi" w:cstheme="minorHAnsi"/>
                <w:bCs/>
                <w:sz w:val="22"/>
                <w:szCs w:val="22"/>
              </w:rPr>
              <w:t xml:space="preserve"> wyrażona w sprawozdaniu</w:t>
            </w:r>
            <w:r w:rsidR="00A47634" w:rsidRPr="00FF58D5">
              <w:rPr>
                <w:rFonts w:asciiTheme="minorHAnsi" w:hAnsiTheme="minorHAnsi" w:cstheme="minorHAnsi"/>
                <w:bCs/>
                <w:sz w:val="22"/>
                <w:szCs w:val="22"/>
              </w:rPr>
              <w:t>, a</w:t>
            </w:r>
            <w:r w:rsidR="002719FC" w:rsidRPr="00FF58D5">
              <w:rPr>
                <w:rFonts w:asciiTheme="minorHAnsi" w:hAnsiTheme="minorHAnsi" w:cstheme="minorHAnsi"/>
                <w:bCs/>
                <w:sz w:val="22"/>
                <w:szCs w:val="22"/>
              </w:rPr>
              <w:t xml:space="preserve"> </w:t>
            </w:r>
            <w:r w:rsidR="006B5F53" w:rsidRPr="00FF58D5">
              <w:rPr>
                <w:rFonts w:asciiTheme="minorHAnsi" w:hAnsiTheme="minorHAnsi" w:cstheme="minorHAnsi"/>
                <w:bCs/>
                <w:sz w:val="22"/>
                <w:szCs w:val="22"/>
              </w:rPr>
              <w:t xml:space="preserve"> ewentualna weryfikacja </w:t>
            </w:r>
            <w:r w:rsidR="00A47634" w:rsidRPr="00FF58D5">
              <w:rPr>
                <w:rFonts w:asciiTheme="minorHAnsi" w:hAnsiTheme="minorHAnsi" w:cstheme="minorHAnsi"/>
                <w:bCs/>
                <w:sz w:val="22"/>
                <w:szCs w:val="22"/>
              </w:rPr>
              <w:t xml:space="preserve">oceny pracodawcy mogłaby być ostatecznie rozstrzygana </w:t>
            </w:r>
            <w:r w:rsidR="006B5F53" w:rsidRPr="00FF58D5">
              <w:rPr>
                <w:rFonts w:asciiTheme="minorHAnsi" w:hAnsiTheme="minorHAnsi" w:cstheme="minorHAnsi"/>
                <w:bCs/>
                <w:sz w:val="22"/>
                <w:szCs w:val="22"/>
              </w:rPr>
              <w:t>przez sąd</w:t>
            </w:r>
            <w:r w:rsidR="00A47634" w:rsidRPr="00FF58D5">
              <w:rPr>
                <w:rFonts w:asciiTheme="minorHAnsi" w:hAnsiTheme="minorHAnsi" w:cstheme="minorHAnsi"/>
                <w:bCs/>
                <w:sz w:val="22"/>
                <w:szCs w:val="22"/>
              </w:rPr>
              <w:t>.</w:t>
            </w:r>
            <w:r w:rsidR="001C295C" w:rsidRPr="00FF58D5">
              <w:rPr>
                <w:rFonts w:asciiTheme="minorHAnsi" w:hAnsiTheme="minorHAnsi" w:cstheme="minorHAnsi"/>
                <w:bCs/>
                <w:sz w:val="22"/>
                <w:szCs w:val="22"/>
              </w:rPr>
              <w:t xml:space="preserve"> Brakuje w </w:t>
            </w:r>
            <w:r w:rsidR="000D2D56" w:rsidRPr="00FF58D5">
              <w:rPr>
                <w:rFonts w:asciiTheme="minorHAnsi" w:hAnsiTheme="minorHAnsi" w:cstheme="minorHAnsi"/>
                <w:bCs/>
                <w:sz w:val="22"/>
                <w:szCs w:val="22"/>
              </w:rPr>
              <w:t>projekcie</w:t>
            </w:r>
            <w:r w:rsidR="001C295C" w:rsidRPr="00FF58D5">
              <w:rPr>
                <w:rFonts w:asciiTheme="minorHAnsi" w:hAnsiTheme="minorHAnsi" w:cstheme="minorHAnsi"/>
                <w:bCs/>
                <w:sz w:val="22"/>
                <w:szCs w:val="22"/>
              </w:rPr>
              <w:t xml:space="preserve"> przepisów </w:t>
            </w:r>
            <w:r w:rsidR="000D2D56" w:rsidRPr="00FF58D5">
              <w:rPr>
                <w:rFonts w:asciiTheme="minorHAnsi" w:hAnsiTheme="minorHAnsi" w:cstheme="minorHAnsi"/>
                <w:bCs/>
                <w:sz w:val="22"/>
                <w:szCs w:val="22"/>
              </w:rPr>
              <w:t xml:space="preserve">rozstrzygania przypadków spornych. </w:t>
            </w:r>
          </w:p>
          <w:p w14:paraId="73769599" w14:textId="77777777" w:rsidR="006B5F53" w:rsidRPr="00FF58D5" w:rsidRDefault="006B5F53" w:rsidP="00AB5A1A">
            <w:pPr>
              <w:spacing w:line="276" w:lineRule="auto"/>
              <w:jc w:val="both"/>
              <w:rPr>
                <w:rFonts w:asciiTheme="minorHAnsi" w:hAnsiTheme="minorHAnsi" w:cstheme="minorHAnsi"/>
                <w:bCs/>
                <w:sz w:val="22"/>
                <w:szCs w:val="22"/>
              </w:rPr>
            </w:pPr>
          </w:p>
          <w:p w14:paraId="243392A4" w14:textId="0030F5C1" w:rsidR="00364C55" w:rsidRPr="00FF58D5" w:rsidRDefault="00364C5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obecnym brzmieniu ustawy mogą </w:t>
            </w:r>
            <w:r w:rsidR="000D2D56" w:rsidRPr="00FF58D5">
              <w:rPr>
                <w:rFonts w:asciiTheme="minorHAnsi" w:hAnsiTheme="minorHAnsi" w:cstheme="minorHAnsi"/>
                <w:bCs/>
                <w:sz w:val="22"/>
                <w:szCs w:val="22"/>
              </w:rPr>
              <w:t xml:space="preserve">również </w:t>
            </w:r>
            <w:r w:rsidRPr="00FF58D5">
              <w:rPr>
                <w:rFonts w:asciiTheme="minorHAnsi" w:hAnsiTheme="minorHAnsi" w:cstheme="minorHAnsi"/>
                <w:bCs/>
                <w:sz w:val="22"/>
                <w:szCs w:val="22"/>
              </w:rPr>
              <w:t>powstać wątpliwości interpretacyjne – pracownik, organizacja związkowa, PIP lub organ ds. równości mogą kwestionować ocenę pracodawcy co do obiektywności kryteriów, co prowadziłoby do konfliktu stanowisk i braku pewności prawnej co do:</w:t>
            </w:r>
          </w:p>
          <w:p w14:paraId="72EEB842" w14:textId="2B84BDAF" w:rsidR="00364C55" w:rsidRPr="00FF58D5" w:rsidRDefault="00364C55" w:rsidP="00AB5A1A">
            <w:pPr>
              <w:pStyle w:val="Akapitzlist"/>
              <w:numPr>
                <w:ilvl w:val="0"/>
                <w:numId w:val="28"/>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obowiązku wdrożenia środków zaradczych przez pracodawcę,</w:t>
            </w:r>
          </w:p>
          <w:p w14:paraId="4B1F9F2E" w14:textId="77777777" w:rsidR="00364C55" w:rsidRPr="00FF58D5" w:rsidRDefault="00364C55" w:rsidP="00AB5A1A">
            <w:pPr>
              <w:pStyle w:val="Akapitzlist"/>
              <w:numPr>
                <w:ilvl w:val="0"/>
                <w:numId w:val="28"/>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rozpoczęcia biegu sześciomiesięcznego terminu realizacji obowiązków.</w:t>
            </w:r>
          </w:p>
          <w:p w14:paraId="172A946F" w14:textId="77777777" w:rsidR="00364C55" w:rsidRPr="00FF58D5" w:rsidRDefault="00364C55" w:rsidP="00AB5A1A">
            <w:pPr>
              <w:spacing w:line="276" w:lineRule="auto"/>
              <w:jc w:val="both"/>
              <w:rPr>
                <w:rFonts w:asciiTheme="minorHAnsi" w:hAnsiTheme="minorHAnsi" w:cstheme="minorHAnsi"/>
                <w:bCs/>
                <w:sz w:val="22"/>
                <w:szCs w:val="22"/>
              </w:rPr>
            </w:pPr>
          </w:p>
          <w:p w14:paraId="12B3DAE1" w14:textId="1D06C22B" w:rsidR="00B45AC9" w:rsidRPr="00FF58D5" w:rsidRDefault="00364C5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związku z </w:t>
            </w:r>
            <w:r w:rsidR="00077746" w:rsidRPr="00FF58D5">
              <w:rPr>
                <w:rFonts w:asciiTheme="minorHAnsi" w:hAnsiTheme="minorHAnsi" w:cstheme="minorHAnsi"/>
                <w:bCs/>
                <w:sz w:val="22"/>
                <w:szCs w:val="22"/>
              </w:rPr>
              <w:t>wymaga rozważenia czy</w:t>
            </w:r>
            <w:r w:rsidRPr="00FF58D5">
              <w:rPr>
                <w:rFonts w:asciiTheme="minorHAnsi" w:hAnsiTheme="minorHAnsi" w:cstheme="minorHAnsi"/>
                <w:bCs/>
                <w:sz w:val="22"/>
                <w:szCs w:val="22"/>
              </w:rPr>
              <w:t xml:space="preserve"> ustawa </w:t>
            </w:r>
            <w:r w:rsidR="00077746" w:rsidRPr="00FF58D5">
              <w:rPr>
                <w:rFonts w:asciiTheme="minorHAnsi" w:hAnsiTheme="minorHAnsi" w:cstheme="minorHAnsi"/>
                <w:bCs/>
                <w:sz w:val="22"/>
                <w:szCs w:val="22"/>
              </w:rPr>
              <w:t xml:space="preserve">nie powinna </w:t>
            </w:r>
            <w:r w:rsidRPr="00FF58D5">
              <w:rPr>
                <w:rFonts w:asciiTheme="minorHAnsi" w:hAnsiTheme="minorHAnsi" w:cstheme="minorHAnsi"/>
                <w:bCs/>
                <w:sz w:val="22"/>
                <w:szCs w:val="22"/>
              </w:rPr>
              <w:t>jednoznacznie potwierdza</w:t>
            </w:r>
            <w:r w:rsidR="00077746" w:rsidRPr="00FF58D5">
              <w:rPr>
                <w:rFonts w:asciiTheme="minorHAnsi" w:hAnsiTheme="minorHAnsi" w:cstheme="minorHAnsi"/>
                <w:bCs/>
                <w:sz w:val="22"/>
                <w:szCs w:val="22"/>
              </w:rPr>
              <w:t>ć</w:t>
            </w:r>
            <w:r w:rsidRPr="00FF58D5">
              <w:rPr>
                <w:rFonts w:asciiTheme="minorHAnsi" w:hAnsiTheme="minorHAnsi" w:cstheme="minorHAnsi"/>
                <w:bCs/>
                <w:sz w:val="22"/>
                <w:szCs w:val="22"/>
              </w:rPr>
              <w:t xml:space="preserve"> wiążąc</w:t>
            </w:r>
            <w:r w:rsidR="00077746" w:rsidRPr="00FF58D5">
              <w:rPr>
                <w:rFonts w:asciiTheme="minorHAnsi" w:hAnsiTheme="minorHAnsi" w:cstheme="minorHAnsi"/>
                <w:bCs/>
                <w:sz w:val="22"/>
                <w:szCs w:val="22"/>
              </w:rPr>
              <w:t>ego</w:t>
            </w:r>
            <w:r w:rsidRPr="00FF58D5">
              <w:rPr>
                <w:rFonts w:asciiTheme="minorHAnsi" w:hAnsiTheme="minorHAnsi" w:cstheme="minorHAnsi"/>
                <w:bCs/>
                <w:sz w:val="22"/>
                <w:szCs w:val="22"/>
              </w:rPr>
              <w:t xml:space="preserve"> charakter sprawozdania pracodawcy w kwestii uzasadnienia luki </w:t>
            </w:r>
            <w:r w:rsidRPr="00FF58D5">
              <w:rPr>
                <w:rFonts w:asciiTheme="minorHAnsi" w:hAnsiTheme="minorHAnsi" w:cstheme="minorHAnsi"/>
                <w:bCs/>
                <w:sz w:val="22"/>
                <w:szCs w:val="22"/>
              </w:rPr>
              <w:lastRenderedPageBreak/>
              <w:t xml:space="preserve">płacowej. W razie ewentualnych </w:t>
            </w:r>
            <w:r w:rsidR="00F000FD" w:rsidRPr="00FF58D5">
              <w:rPr>
                <w:rFonts w:asciiTheme="minorHAnsi" w:hAnsiTheme="minorHAnsi" w:cstheme="minorHAnsi"/>
                <w:bCs/>
                <w:sz w:val="22"/>
                <w:szCs w:val="22"/>
              </w:rPr>
              <w:t>sporów</w:t>
            </w:r>
            <w:r w:rsidRPr="00FF58D5">
              <w:rPr>
                <w:rFonts w:asciiTheme="minorHAnsi" w:hAnsiTheme="minorHAnsi" w:cstheme="minorHAnsi"/>
                <w:bCs/>
                <w:sz w:val="22"/>
                <w:szCs w:val="22"/>
              </w:rPr>
              <w:t xml:space="preserve"> ich rozstrzygnięcie </w:t>
            </w:r>
            <w:r w:rsidR="00F000FD" w:rsidRPr="00FF58D5">
              <w:rPr>
                <w:rFonts w:asciiTheme="minorHAnsi" w:hAnsiTheme="minorHAnsi" w:cstheme="minorHAnsi"/>
                <w:bCs/>
                <w:sz w:val="22"/>
                <w:szCs w:val="22"/>
              </w:rPr>
              <w:t>mogłoby</w:t>
            </w:r>
            <w:r w:rsidRPr="00FF58D5">
              <w:rPr>
                <w:rFonts w:asciiTheme="minorHAnsi" w:hAnsiTheme="minorHAnsi" w:cstheme="minorHAnsi"/>
                <w:bCs/>
                <w:sz w:val="22"/>
                <w:szCs w:val="22"/>
              </w:rPr>
              <w:t xml:space="preserve"> nastąpić wyłącznie przez właściwy sąd.</w:t>
            </w:r>
          </w:p>
        </w:tc>
      </w:tr>
      <w:tr w:rsidR="009B5605" w:rsidRPr="00FF58D5" w14:paraId="48D8ED74" w14:textId="77777777" w:rsidTr="00AB5A1A">
        <w:trPr>
          <w:trHeight w:val="1275"/>
        </w:trPr>
        <w:tc>
          <w:tcPr>
            <w:tcW w:w="709" w:type="dxa"/>
            <w:vAlign w:val="center"/>
          </w:tcPr>
          <w:p w14:paraId="759C7C71"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0F5EEEF8" w14:textId="42C3C9EE" w:rsidR="00E75910" w:rsidRPr="00FF58D5" w:rsidRDefault="00363E5F"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26.</w:t>
            </w:r>
          </w:p>
        </w:tc>
        <w:tc>
          <w:tcPr>
            <w:tcW w:w="3118" w:type="dxa"/>
            <w:vAlign w:val="center"/>
          </w:tcPr>
          <w:p w14:paraId="5E91EF78" w14:textId="77777777" w:rsidR="00E420C4" w:rsidRPr="00FF58D5" w:rsidRDefault="00E420C4"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26. </w:t>
            </w:r>
          </w:p>
          <w:p w14:paraId="60E1C0B3" w14:textId="114D53BB" w:rsidR="00E420C4" w:rsidRPr="00FF58D5" w:rsidRDefault="00E420C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1. Pracodawca  weryfikuje  przesłanki, o których mowa w art. 25 ust. 1 pkt 2 i 3, oraz przeprowadza wspólną ocenę wynagrodzeń w konsultacji z zakładową organizacją związkową, a w przypadku gdy u pracodawcy działa więcej niż </w:t>
            </w:r>
            <w:r w:rsidRPr="00FF58D5">
              <w:rPr>
                <w:rFonts w:asciiTheme="minorHAnsi" w:hAnsiTheme="minorHAnsi" w:cstheme="minorHAnsi"/>
                <w:sz w:val="22"/>
                <w:szCs w:val="22"/>
              </w:rPr>
              <w:lastRenderedPageBreak/>
              <w:t xml:space="preserve">jedna zakładowa organizacja związkowa, w konsultacji z tymi organizacjami. </w:t>
            </w:r>
          </w:p>
          <w:p w14:paraId="48025392" w14:textId="4FAA89F0" w:rsidR="00E75910" w:rsidRPr="00FF58D5" w:rsidRDefault="00E420C4"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2. Jeżeli u pracodawcy nie działa zakładowa organizacja związkowa, pracodawca  weryfikuje przesłanki, o których mowa w art. 25 ust. 1 pkt 2 i 3, oraz przeprowadza wspólną ocenę wynagrodzeń w konsultacji z pracownikami</w:t>
            </w:r>
            <w:r w:rsidRPr="00FF58D5">
              <w:rPr>
                <w:rFonts w:asciiTheme="minorHAnsi" w:hAnsiTheme="minorHAnsi" w:cstheme="minorHAnsi"/>
                <w:b/>
                <w:bCs/>
                <w:sz w:val="22"/>
                <w:szCs w:val="22"/>
              </w:rPr>
              <w:t xml:space="preserve"> </w:t>
            </w:r>
            <w:r w:rsidRPr="00FF58D5">
              <w:rPr>
                <w:rFonts w:asciiTheme="minorHAnsi" w:hAnsiTheme="minorHAnsi" w:cstheme="minorHAnsi"/>
                <w:sz w:val="22"/>
                <w:szCs w:val="22"/>
              </w:rPr>
              <w:t>wybranymi przez załogę do reprezentowania jej interesów, w trybie przyjętym u danego pracodawcy.</w:t>
            </w:r>
          </w:p>
        </w:tc>
        <w:tc>
          <w:tcPr>
            <w:tcW w:w="3827" w:type="dxa"/>
            <w:vAlign w:val="center"/>
          </w:tcPr>
          <w:p w14:paraId="71775E05" w14:textId="77777777" w:rsidR="00363E5F" w:rsidRPr="00FF58D5" w:rsidRDefault="00363E5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
                <w:sz w:val="22"/>
                <w:szCs w:val="22"/>
              </w:rPr>
              <w:lastRenderedPageBreak/>
              <w:t>Art. 26.</w:t>
            </w:r>
            <w:r w:rsidRPr="00FF58D5">
              <w:rPr>
                <w:rFonts w:asciiTheme="minorHAnsi" w:hAnsiTheme="minorHAnsi" w:cstheme="minorHAnsi"/>
                <w:bCs/>
                <w:sz w:val="22"/>
                <w:szCs w:val="22"/>
              </w:rPr>
              <w:t xml:space="preserve"> </w:t>
            </w:r>
          </w:p>
          <w:p w14:paraId="5B2BCD61" w14:textId="1AACC7BD" w:rsidR="00363E5F" w:rsidRPr="00FF58D5" w:rsidRDefault="00363E5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1. Pracodawca  weryfikuje  przesłanki, o których mowa w art. 25 ust. 1 pkt 2 i 3, oraz przeprowadza wspólną ocenę wynagrodzeń w konsultacji z zakładową organizacją związkową, a w przypadku gdy u pracodawcy działa więcej niż jedna zakładowa organizacja związkowa, w </w:t>
            </w:r>
            <w:r w:rsidRPr="00FF58D5">
              <w:rPr>
                <w:rFonts w:asciiTheme="minorHAnsi" w:hAnsiTheme="minorHAnsi" w:cstheme="minorHAnsi"/>
                <w:bCs/>
                <w:sz w:val="22"/>
                <w:szCs w:val="22"/>
              </w:rPr>
              <w:lastRenderedPageBreak/>
              <w:t xml:space="preserve">konsultacji z tymi organizacjami, </w:t>
            </w:r>
            <w:r w:rsidRPr="00FF58D5">
              <w:rPr>
                <w:rFonts w:asciiTheme="minorHAnsi" w:hAnsiTheme="minorHAnsi" w:cstheme="minorHAnsi"/>
                <w:b/>
                <w:sz w:val="22"/>
                <w:szCs w:val="22"/>
                <w:u w:val="single"/>
              </w:rPr>
              <w:t>w terminie 30 dni.</w:t>
            </w:r>
            <w:r w:rsidRPr="00FF58D5">
              <w:rPr>
                <w:rFonts w:asciiTheme="minorHAnsi" w:hAnsiTheme="minorHAnsi" w:cstheme="minorHAnsi"/>
                <w:bCs/>
                <w:sz w:val="22"/>
                <w:szCs w:val="22"/>
              </w:rPr>
              <w:t xml:space="preserve"> </w:t>
            </w:r>
          </w:p>
          <w:p w14:paraId="1C4CD9B7" w14:textId="646D7970" w:rsidR="00E75910" w:rsidRPr="00FF58D5" w:rsidRDefault="00363E5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Jeżeli u pracodawcy nie działa zakładowa organizacja związkowa, pracodawca  weryfikuje przesłanki, o których mowa w art. 25 ust. 1 pkt 2 i 3, oraz przeprowadza wspólną ocenę wynagrodzeń </w:t>
            </w:r>
            <w:r w:rsidRPr="00FF58D5">
              <w:rPr>
                <w:rFonts w:asciiTheme="minorHAnsi" w:hAnsiTheme="minorHAnsi" w:cstheme="minorHAnsi"/>
                <w:b/>
                <w:sz w:val="22"/>
                <w:szCs w:val="22"/>
                <w:u w:val="single"/>
              </w:rPr>
              <w:t xml:space="preserve">w terminie 30 dni </w:t>
            </w:r>
            <w:r w:rsidRPr="00FF58D5">
              <w:rPr>
                <w:rFonts w:asciiTheme="minorHAnsi" w:hAnsiTheme="minorHAnsi" w:cstheme="minorHAnsi"/>
                <w:bCs/>
                <w:sz w:val="22"/>
                <w:szCs w:val="22"/>
              </w:rPr>
              <w:t>w konsultacji z</w:t>
            </w:r>
            <w:r w:rsidR="00B35A84" w:rsidRPr="00FF58D5">
              <w:rPr>
                <w:rFonts w:asciiTheme="minorHAnsi" w:hAnsiTheme="minorHAnsi" w:cstheme="minorHAnsi"/>
                <w:bCs/>
                <w:sz w:val="22"/>
                <w:szCs w:val="22"/>
              </w:rPr>
              <w:t xml:space="preserve"> </w:t>
            </w:r>
            <w:r w:rsidR="00B35A84" w:rsidRPr="00FF58D5">
              <w:rPr>
                <w:rFonts w:asciiTheme="minorHAnsi" w:hAnsiTheme="minorHAnsi" w:cstheme="minorHAnsi"/>
                <w:b/>
                <w:sz w:val="22"/>
                <w:szCs w:val="22"/>
              </w:rPr>
              <w:t>przedstawicielami pracowników wyłonionymi w trybie przyjętym u danego pracodawcy.</w:t>
            </w:r>
          </w:p>
        </w:tc>
        <w:tc>
          <w:tcPr>
            <w:tcW w:w="5387" w:type="dxa"/>
          </w:tcPr>
          <w:p w14:paraId="72785A07" w14:textId="681EF347" w:rsidR="004016A1" w:rsidRPr="00FF58D5" w:rsidRDefault="00710473" w:rsidP="00AB5A1A">
            <w:pPr>
              <w:spacing w:line="276" w:lineRule="auto"/>
              <w:ind w:left="376" w:hanging="376"/>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1. </w:t>
            </w:r>
            <w:r w:rsidR="004016A1" w:rsidRPr="00FF58D5">
              <w:rPr>
                <w:rFonts w:asciiTheme="minorHAnsi" w:hAnsiTheme="minorHAnsi" w:cstheme="minorHAnsi"/>
                <w:bCs/>
                <w:sz w:val="22"/>
                <w:szCs w:val="22"/>
              </w:rPr>
              <w:t>Proponowane doprecyzowanie przepisu poprzez wprowadzenie terminu 30 dni ma na celu zapewnienie jasności co do czasu, w jakim pracodawca powinien przeprowadzić weryfikację przesłanek oraz wspólną ocenę wynagrodzeń w konsultacji z zakładową organizacją związkową lub wybranymi przez załogę przedstawicielami pracowników.</w:t>
            </w:r>
          </w:p>
          <w:p w14:paraId="6253614B" w14:textId="0E6B982B" w:rsidR="004016A1" w:rsidRPr="00FF58D5" w:rsidRDefault="00B254EA" w:rsidP="00AB5A1A">
            <w:pPr>
              <w:spacing w:line="276" w:lineRule="auto"/>
              <w:ind w:left="376" w:hanging="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4016A1" w:rsidRPr="00FF58D5">
              <w:rPr>
                <w:rFonts w:asciiTheme="minorHAnsi" w:hAnsiTheme="minorHAnsi" w:cstheme="minorHAnsi"/>
                <w:bCs/>
                <w:sz w:val="22"/>
                <w:szCs w:val="22"/>
              </w:rPr>
              <w:t xml:space="preserve">Wyznaczenie konkretnego terminu zwiększa przewidywalność procedury zarówno dla pracodawcy, </w:t>
            </w:r>
            <w:r w:rsidR="004016A1" w:rsidRPr="00FF58D5">
              <w:rPr>
                <w:rFonts w:asciiTheme="minorHAnsi" w:hAnsiTheme="minorHAnsi" w:cstheme="minorHAnsi"/>
                <w:bCs/>
                <w:sz w:val="22"/>
                <w:szCs w:val="22"/>
              </w:rPr>
              <w:lastRenderedPageBreak/>
              <w:t>jak i dla strony reprezentującej pracowników, a także umożliwia sprawne planowanie działań związanych z wdrożeniem ewentualnych środków zaradczych.</w:t>
            </w:r>
          </w:p>
          <w:p w14:paraId="5805F478" w14:textId="719A50E3" w:rsidR="00E75910" w:rsidRPr="00FF58D5" w:rsidRDefault="00B254EA" w:rsidP="00B254EA">
            <w:pPr>
              <w:spacing w:line="276" w:lineRule="auto"/>
              <w:ind w:left="376" w:hanging="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4016A1" w:rsidRPr="00FF58D5">
              <w:rPr>
                <w:rFonts w:asciiTheme="minorHAnsi" w:hAnsiTheme="minorHAnsi" w:cstheme="minorHAnsi"/>
                <w:bCs/>
                <w:sz w:val="22"/>
                <w:szCs w:val="22"/>
              </w:rPr>
              <w:t>Doprecyzowanie terminu nie zmienia obowiązków ani trybu przeprowadzenia oceny, lecz jedynie wprowadza jednoznaczny czas realizacji, co eliminuje wątpliwości interpretacyjne i ryzyko opóźnień w procesie weryfikacji wynagrodzeń.</w:t>
            </w:r>
          </w:p>
          <w:p w14:paraId="15CC7CD5" w14:textId="6630FF0A" w:rsidR="00964D40" w:rsidRPr="00FF58D5" w:rsidRDefault="00DB1339" w:rsidP="00FF58D5">
            <w:pPr>
              <w:pStyle w:val="Akapitzlist"/>
              <w:numPr>
                <w:ilvl w:val="0"/>
                <w:numId w:val="66"/>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 wspólna ocena wynagrodzeń prowadzić może do analizowania wynagrodzeń poszczególnych pracowników, stąd konieczne jest odniesienie się do średnich poziomów wynagrodzeń.</w:t>
            </w:r>
          </w:p>
          <w:p w14:paraId="4B48F482" w14:textId="2B38C83E" w:rsidR="00B35A84" w:rsidRPr="00FF58D5" w:rsidRDefault="000D6BA3" w:rsidP="00FF58D5">
            <w:pPr>
              <w:pStyle w:val="Akapitzlist"/>
              <w:numPr>
                <w:ilvl w:val="0"/>
                <w:numId w:val="66"/>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odniesieniu do wyboru </w:t>
            </w:r>
            <w:r w:rsidR="00CA54E4" w:rsidRPr="00FF58D5">
              <w:rPr>
                <w:rFonts w:asciiTheme="minorHAnsi" w:hAnsiTheme="minorHAnsi" w:cstheme="minorHAnsi"/>
                <w:bCs/>
                <w:sz w:val="22"/>
                <w:szCs w:val="22"/>
              </w:rPr>
              <w:t>reprezentacji</w:t>
            </w:r>
            <w:r w:rsidRPr="00FF58D5">
              <w:rPr>
                <w:rFonts w:asciiTheme="minorHAnsi" w:hAnsiTheme="minorHAnsi" w:cstheme="minorHAnsi"/>
                <w:bCs/>
                <w:sz w:val="22"/>
                <w:szCs w:val="22"/>
              </w:rPr>
              <w:t xml:space="preserve"> pracowników proponujemy posługiwać się </w:t>
            </w:r>
            <w:r w:rsidR="00CA54E4" w:rsidRPr="00FF58D5">
              <w:rPr>
                <w:rFonts w:asciiTheme="minorHAnsi" w:hAnsiTheme="minorHAnsi" w:cstheme="minorHAnsi"/>
                <w:bCs/>
                <w:sz w:val="22"/>
                <w:szCs w:val="22"/>
              </w:rPr>
              <w:t xml:space="preserve">sformułowaniami tożsamymi z przepisami Kodeksu pracy. </w:t>
            </w:r>
          </w:p>
        </w:tc>
      </w:tr>
      <w:tr w:rsidR="009B5605" w:rsidRPr="00FF58D5" w14:paraId="4EB959D5" w14:textId="77777777" w:rsidTr="00AB5A1A">
        <w:trPr>
          <w:trHeight w:val="1275"/>
        </w:trPr>
        <w:tc>
          <w:tcPr>
            <w:tcW w:w="709" w:type="dxa"/>
            <w:vAlign w:val="center"/>
          </w:tcPr>
          <w:p w14:paraId="7FA5D2F6"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179B27B9" w14:textId="1EAC9DAA" w:rsidR="00E75910" w:rsidRPr="00FF58D5" w:rsidRDefault="00883DF4"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27</w:t>
            </w:r>
          </w:p>
        </w:tc>
        <w:tc>
          <w:tcPr>
            <w:tcW w:w="3118" w:type="dxa"/>
            <w:vAlign w:val="center"/>
          </w:tcPr>
          <w:p w14:paraId="357A52FB" w14:textId="77777777" w:rsidR="00883DF4"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27.</w:t>
            </w:r>
            <w:r w:rsidRPr="00FF58D5">
              <w:rPr>
                <w:rFonts w:asciiTheme="minorHAnsi" w:hAnsiTheme="minorHAnsi" w:cstheme="minorHAnsi"/>
                <w:sz w:val="22"/>
                <w:szCs w:val="22"/>
              </w:rPr>
              <w:t xml:space="preserve"> </w:t>
            </w:r>
          </w:p>
          <w:p w14:paraId="2AC0505C" w14:textId="4113F3BC" w:rsidR="00883DF4"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 W przypadku, o którym mowa w  art. 25 ust. 1 pkt 2, przyjmuje się, że   pracodawca nie uzasadnił luki płacowej ze względu na płeć jeżeli:</w:t>
            </w:r>
          </w:p>
          <w:p w14:paraId="2ED79092" w14:textId="77777777" w:rsidR="00883DF4"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 xml:space="preserve">pracodawca nie przedstawi zakładowym organizacjom związkowym, o których mowa w art. 26 ust. 1, albo pracownikom wybranym przez załogę, do reprezentowania </w:t>
            </w:r>
            <w:r w:rsidRPr="00FF58D5">
              <w:rPr>
                <w:rFonts w:asciiTheme="minorHAnsi" w:hAnsiTheme="minorHAnsi" w:cstheme="minorHAnsi"/>
                <w:sz w:val="22"/>
                <w:szCs w:val="22"/>
              </w:rPr>
              <w:lastRenderedPageBreak/>
              <w:t>jej interesów, w trybie przyjętym u danego pracodawcy, , o których mowa w art. 26 ust. 2 (stronie pracowniczej), jej uzasadnienia na podstawie obiektywnych, neutralnych pod względem płci kryteriów;</w:t>
            </w:r>
          </w:p>
          <w:p w14:paraId="1ED1FEE4" w14:textId="77777777" w:rsidR="00883DF4"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nie uzgodniono między pracodawcą a stroną pracowniczą tego, że luka płacowa ze względu na płeć jest uzasadniona.</w:t>
            </w:r>
          </w:p>
          <w:p w14:paraId="792C4019" w14:textId="77777777" w:rsidR="00883DF4"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W przypadku, o którym mowa w art. 25 ust. 1 pkt 3, uznaje się, że pracodawca nie podjął skutecznych działań zaradczych wobec nieuzasadnionej luki płacowej ze względu na płeć, jeżeli nie ma co do tego faktu zgody między pracodawcą a stroną pracowniczą.</w:t>
            </w:r>
          </w:p>
          <w:p w14:paraId="364F9D87" w14:textId="31A40607" w:rsidR="00E75910" w:rsidRPr="00FF58D5" w:rsidRDefault="00883DF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3. W przypadkach, o których mowa w ust. 1 i 2, gdy u pracodawcy działa więcej niż jedna zakładowa organizacja związkowa, za brak zgody między pracodawcą a stroną pracowniczą w zakresie uzasadnienia luki </w:t>
            </w:r>
            <w:r w:rsidRPr="00FF58D5">
              <w:rPr>
                <w:rFonts w:asciiTheme="minorHAnsi" w:hAnsiTheme="minorHAnsi" w:cstheme="minorHAnsi"/>
                <w:sz w:val="22"/>
                <w:szCs w:val="22"/>
              </w:rPr>
              <w:lastRenderedPageBreak/>
              <w:t>płacowej uważa się sytuację, w której  stwierdzą tak wszystkie działające u niego zakładowe organizacje związkowe albo co najmniej wszystkie reprezentatywne organizacje związkowe w rozumieniu art. 253 ust. 1 lub 2 ustawy o związkach zawodowych, z których każda zrzesza co najmniej 5% pracowników zatrudnionych u pracodawcy.</w:t>
            </w:r>
          </w:p>
        </w:tc>
        <w:tc>
          <w:tcPr>
            <w:tcW w:w="3827" w:type="dxa"/>
            <w:vAlign w:val="center"/>
          </w:tcPr>
          <w:p w14:paraId="44BD5EAC" w14:textId="56D89A13" w:rsidR="00961FBB" w:rsidRPr="00FF58D5" w:rsidRDefault="00961FBB"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Proponuje się nadanie ust. 1 i ust. 2 następującego brzmienia oraz skreślenie ust. 3</w:t>
            </w:r>
          </w:p>
          <w:p w14:paraId="47E68FD6" w14:textId="77777777" w:rsidR="0099632F" w:rsidRPr="00FF58D5" w:rsidRDefault="0099632F" w:rsidP="00AB5A1A">
            <w:pPr>
              <w:spacing w:line="276" w:lineRule="auto"/>
              <w:jc w:val="both"/>
              <w:rPr>
                <w:rFonts w:asciiTheme="minorHAnsi" w:hAnsiTheme="minorHAnsi" w:cstheme="minorHAnsi"/>
                <w:bCs/>
                <w:sz w:val="22"/>
                <w:szCs w:val="22"/>
              </w:rPr>
            </w:pPr>
          </w:p>
          <w:p w14:paraId="42B98D10" w14:textId="4E9BA351" w:rsidR="00120AB9" w:rsidRPr="00FF58D5" w:rsidRDefault="00120AB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1. W przypadku, o którym mowa w  art. 25 ust. 1 pkt 2, przyjmuje się, że  pracodawca nie uzasadnił luki płacowej ze względu na płeć jeżeli:</w:t>
            </w:r>
          </w:p>
          <w:p w14:paraId="6365756E" w14:textId="357E43CE" w:rsidR="00120AB9" w:rsidRPr="00FF58D5" w:rsidRDefault="00120AB9" w:rsidP="00AB5A1A">
            <w:pPr>
              <w:spacing w:line="276" w:lineRule="auto"/>
              <w:ind w:left="373" w:hanging="373"/>
              <w:jc w:val="both"/>
              <w:rPr>
                <w:rFonts w:asciiTheme="minorHAnsi" w:hAnsiTheme="minorHAnsi" w:cstheme="minorHAnsi"/>
                <w:bCs/>
                <w:sz w:val="22"/>
                <w:szCs w:val="22"/>
              </w:rPr>
            </w:pPr>
            <w:r w:rsidRPr="00FF58D5">
              <w:rPr>
                <w:rFonts w:asciiTheme="minorHAnsi" w:hAnsiTheme="minorHAnsi" w:cstheme="minorHAnsi"/>
                <w:bCs/>
                <w:sz w:val="22"/>
                <w:szCs w:val="22"/>
              </w:rPr>
              <w:t>1) pracodawca nie przedstawi zakładowym organizacjom związkowym, o których mowa w art. 26 ust. 1, albo</w:t>
            </w:r>
            <w:r w:rsidR="0037155E" w:rsidRPr="00FF58D5">
              <w:rPr>
                <w:rFonts w:asciiTheme="minorHAnsi" w:hAnsiTheme="minorHAnsi" w:cstheme="minorHAnsi"/>
                <w:bCs/>
                <w:sz w:val="22"/>
                <w:szCs w:val="22"/>
              </w:rPr>
              <w:t xml:space="preserve"> </w:t>
            </w:r>
            <w:r w:rsidR="0037155E" w:rsidRPr="00FF58D5">
              <w:rPr>
                <w:rFonts w:asciiTheme="minorHAnsi" w:hAnsiTheme="minorHAnsi" w:cstheme="minorHAnsi"/>
                <w:b/>
                <w:sz w:val="22"/>
                <w:szCs w:val="22"/>
              </w:rPr>
              <w:t>przedstawiciel</w:t>
            </w:r>
            <w:r w:rsidR="00687973" w:rsidRPr="00FF58D5">
              <w:rPr>
                <w:rFonts w:asciiTheme="minorHAnsi" w:hAnsiTheme="minorHAnsi" w:cstheme="minorHAnsi"/>
                <w:b/>
                <w:sz w:val="22"/>
                <w:szCs w:val="22"/>
              </w:rPr>
              <w:t>om</w:t>
            </w:r>
            <w:r w:rsidR="0037155E" w:rsidRPr="00FF58D5">
              <w:rPr>
                <w:rFonts w:asciiTheme="minorHAnsi" w:hAnsiTheme="minorHAnsi" w:cstheme="minorHAnsi"/>
                <w:b/>
                <w:sz w:val="22"/>
                <w:szCs w:val="22"/>
              </w:rPr>
              <w:t xml:space="preserve"> </w:t>
            </w:r>
            <w:r w:rsidR="0037155E" w:rsidRPr="00FF58D5">
              <w:rPr>
                <w:rFonts w:asciiTheme="minorHAnsi" w:hAnsiTheme="minorHAnsi" w:cstheme="minorHAnsi"/>
                <w:b/>
                <w:sz w:val="22"/>
                <w:szCs w:val="22"/>
              </w:rPr>
              <w:lastRenderedPageBreak/>
              <w:t>pracowników wyłonionymi w trybie przyjętym u danego pracodawcy</w:t>
            </w:r>
            <w:r w:rsidRPr="00FF58D5">
              <w:rPr>
                <w:rFonts w:asciiTheme="minorHAnsi" w:hAnsiTheme="minorHAnsi" w:cstheme="minorHAnsi"/>
                <w:bCs/>
                <w:sz w:val="22"/>
                <w:szCs w:val="22"/>
              </w:rPr>
              <w:t>, o</w:t>
            </w:r>
            <w:r w:rsidR="00687973" w:rsidRPr="00FF58D5">
              <w:rPr>
                <w:rFonts w:asciiTheme="minorHAnsi" w:hAnsiTheme="minorHAnsi" w:cstheme="minorHAnsi"/>
                <w:bCs/>
                <w:sz w:val="22"/>
                <w:szCs w:val="22"/>
              </w:rPr>
              <w:t> </w:t>
            </w:r>
            <w:r w:rsidRPr="00FF58D5">
              <w:rPr>
                <w:rFonts w:asciiTheme="minorHAnsi" w:hAnsiTheme="minorHAnsi" w:cstheme="minorHAnsi"/>
                <w:bCs/>
                <w:sz w:val="22"/>
                <w:szCs w:val="22"/>
              </w:rPr>
              <w:t xml:space="preserve">których mowa w art. 26 ust. 2 (stronie pracowniczej), jej uzasadnienia na podstawie obiektywnych, neutralnych pod względem płci kryteriów </w:t>
            </w:r>
            <w:r w:rsidRPr="00FF58D5">
              <w:rPr>
                <w:rFonts w:asciiTheme="minorHAnsi" w:hAnsiTheme="minorHAnsi" w:cstheme="minorHAnsi"/>
                <w:b/>
                <w:sz w:val="22"/>
                <w:szCs w:val="22"/>
                <w:u w:val="single"/>
              </w:rPr>
              <w:t>albo</w:t>
            </w:r>
          </w:p>
          <w:p w14:paraId="4656D5E7" w14:textId="19E9B25C" w:rsidR="00120AB9" w:rsidRPr="00FF58D5" w:rsidRDefault="00120AB9" w:rsidP="00907FD5">
            <w:pPr>
              <w:spacing w:line="276" w:lineRule="auto"/>
              <w:ind w:left="373" w:hanging="373"/>
              <w:jc w:val="both"/>
              <w:rPr>
                <w:rFonts w:asciiTheme="minorHAnsi" w:hAnsiTheme="minorHAnsi" w:cstheme="minorHAnsi"/>
                <w:b/>
                <w:sz w:val="22"/>
                <w:szCs w:val="22"/>
                <w:u w:val="single"/>
              </w:rPr>
            </w:pPr>
            <w:r w:rsidRPr="00FF58D5">
              <w:rPr>
                <w:rFonts w:asciiTheme="minorHAnsi" w:hAnsiTheme="minorHAnsi" w:cstheme="minorHAnsi"/>
                <w:bCs/>
                <w:sz w:val="22"/>
                <w:szCs w:val="22"/>
              </w:rPr>
              <w:t>2)</w:t>
            </w:r>
            <w:r w:rsidRPr="00FF58D5">
              <w:rPr>
                <w:rFonts w:asciiTheme="minorHAnsi" w:hAnsiTheme="minorHAnsi" w:cstheme="minorHAnsi"/>
                <w:bCs/>
                <w:sz w:val="22"/>
                <w:szCs w:val="22"/>
              </w:rPr>
              <w:tab/>
            </w:r>
            <w:r w:rsidRPr="00FF58D5">
              <w:rPr>
                <w:rFonts w:asciiTheme="minorHAnsi" w:hAnsiTheme="minorHAnsi" w:cstheme="minorHAnsi"/>
                <w:b/>
                <w:sz w:val="22"/>
                <w:szCs w:val="22"/>
                <w:u w:val="single"/>
              </w:rPr>
              <w:t xml:space="preserve">brak uzasadnionej luki płacowej został potwierdzony </w:t>
            </w:r>
            <w:r w:rsidR="00AE44B1" w:rsidRPr="00FF58D5">
              <w:rPr>
                <w:rFonts w:asciiTheme="minorHAnsi" w:hAnsiTheme="minorHAnsi" w:cstheme="minorHAnsi"/>
                <w:b/>
                <w:sz w:val="22"/>
                <w:szCs w:val="22"/>
                <w:u w:val="single"/>
              </w:rPr>
              <w:t>przez sąd</w:t>
            </w:r>
            <w:r w:rsidRPr="00FF58D5">
              <w:rPr>
                <w:rFonts w:asciiTheme="minorHAnsi" w:hAnsiTheme="minorHAnsi" w:cstheme="minorHAnsi"/>
                <w:b/>
                <w:sz w:val="22"/>
                <w:szCs w:val="22"/>
                <w:u w:val="single"/>
              </w:rPr>
              <w:t>.</w:t>
            </w:r>
          </w:p>
          <w:p w14:paraId="327ADE19" w14:textId="77777777" w:rsidR="00614C2C" w:rsidRPr="00FF58D5" w:rsidRDefault="00614C2C" w:rsidP="00AB5A1A">
            <w:pPr>
              <w:spacing w:line="276" w:lineRule="auto"/>
              <w:ind w:left="373" w:hanging="373"/>
              <w:jc w:val="both"/>
              <w:rPr>
                <w:rFonts w:asciiTheme="minorHAnsi" w:hAnsiTheme="minorHAnsi" w:cstheme="minorHAnsi"/>
                <w:bCs/>
                <w:sz w:val="22"/>
                <w:szCs w:val="22"/>
              </w:rPr>
            </w:pPr>
          </w:p>
          <w:p w14:paraId="275B1C29" w14:textId="2A16A1C2" w:rsidR="00E75910" w:rsidRPr="00FF58D5" w:rsidRDefault="00120AB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 przypadku, o którym mowa w art. 25 ust. 1 pkt 3, uznaje się, że pracodawca nie podjął skutecznych działań zaradczych wobec nieuzasadnionej luki płacowej ze względu na płeć, </w:t>
            </w:r>
            <w:r w:rsidR="00195384" w:rsidRPr="00FF58D5">
              <w:rPr>
                <w:rFonts w:asciiTheme="minorHAnsi" w:hAnsiTheme="minorHAnsi" w:cstheme="minorHAnsi"/>
                <w:bCs/>
                <w:sz w:val="22"/>
                <w:szCs w:val="22"/>
              </w:rPr>
              <w:t xml:space="preserve">jeżeli </w:t>
            </w:r>
            <w:r w:rsidR="00195384" w:rsidRPr="00FF58D5">
              <w:rPr>
                <w:rFonts w:asciiTheme="minorHAnsi" w:hAnsiTheme="minorHAnsi" w:cstheme="minorHAnsi"/>
                <w:b/>
                <w:sz w:val="22"/>
                <w:szCs w:val="22"/>
                <w:u w:val="single"/>
              </w:rPr>
              <w:t>nie przeprowadzono konsultacji między pracodawcą a stroną pracowniczą tego, że luka płacowa ze względu na płeć jest uzasadniona.</w:t>
            </w:r>
          </w:p>
        </w:tc>
        <w:tc>
          <w:tcPr>
            <w:tcW w:w="5387" w:type="dxa"/>
          </w:tcPr>
          <w:p w14:paraId="2D7A9E17" w14:textId="236097D7" w:rsidR="00E102CA" w:rsidRPr="00FF58D5" w:rsidRDefault="00264CE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Należy wskazać </w:t>
            </w:r>
            <w:r w:rsidR="00E102CA" w:rsidRPr="00FF58D5">
              <w:rPr>
                <w:rFonts w:asciiTheme="minorHAnsi" w:hAnsiTheme="minorHAnsi" w:cstheme="minorHAnsi"/>
                <w:bCs/>
                <w:sz w:val="22"/>
                <w:szCs w:val="22"/>
              </w:rPr>
              <w:t xml:space="preserve">na zbyt szerokie uprawnienia strony pracowniczej w zakresie uzasadniania luki płacowej oraz oceny skuteczności działań zaradczych, </w:t>
            </w:r>
            <w:r w:rsidR="00E102CA" w:rsidRPr="00FF58D5">
              <w:rPr>
                <w:rFonts w:asciiTheme="minorHAnsi" w:hAnsiTheme="minorHAnsi" w:cstheme="minorHAnsi"/>
                <w:b/>
                <w:sz w:val="22"/>
                <w:szCs w:val="22"/>
              </w:rPr>
              <w:t xml:space="preserve">co </w:t>
            </w:r>
            <w:r w:rsidR="00DA74B1" w:rsidRPr="00FF58D5">
              <w:rPr>
                <w:rFonts w:asciiTheme="minorHAnsi" w:hAnsiTheme="minorHAnsi" w:cstheme="minorHAnsi"/>
                <w:b/>
                <w:sz w:val="22"/>
                <w:szCs w:val="22"/>
              </w:rPr>
              <w:t xml:space="preserve">jednocześnie </w:t>
            </w:r>
            <w:r w:rsidR="00E102CA" w:rsidRPr="00FF58D5">
              <w:rPr>
                <w:rFonts w:asciiTheme="minorHAnsi" w:hAnsiTheme="minorHAnsi" w:cstheme="minorHAnsi"/>
                <w:b/>
                <w:sz w:val="22"/>
                <w:szCs w:val="22"/>
              </w:rPr>
              <w:t>wykracza poza standard wynikający z dyrektywy.</w:t>
            </w:r>
          </w:p>
          <w:p w14:paraId="2F313326" w14:textId="77777777"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Wprowadzenie obowiązku uzgodnienia ze stroną pracowniczą, że luka płacowa jest uzasadniona, może w praktyce prowadzić do:</w:t>
            </w:r>
          </w:p>
          <w:p w14:paraId="611A21FD" w14:textId="30ECD119" w:rsidR="00E102CA" w:rsidRPr="00FF58D5" w:rsidRDefault="00034674" w:rsidP="00AB5A1A">
            <w:pPr>
              <w:spacing w:line="276" w:lineRule="auto"/>
              <w:ind w:left="376" w:hanging="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7B5CDC" w:rsidRPr="00FF58D5">
              <w:rPr>
                <w:rFonts w:asciiTheme="minorHAnsi" w:hAnsiTheme="minorHAnsi" w:cstheme="minorHAnsi"/>
                <w:bCs/>
                <w:sz w:val="22"/>
                <w:szCs w:val="22"/>
              </w:rPr>
              <w:t xml:space="preserve">   </w:t>
            </w:r>
            <w:r w:rsidR="00E102CA" w:rsidRPr="00FF58D5">
              <w:rPr>
                <w:rFonts w:asciiTheme="minorHAnsi" w:hAnsiTheme="minorHAnsi" w:cstheme="minorHAnsi"/>
                <w:bCs/>
                <w:sz w:val="22"/>
                <w:szCs w:val="22"/>
              </w:rPr>
              <w:t>blokowania działań pracodawcy,</w:t>
            </w:r>
          </w:p>
          <w:p w14:paraId="2A1AF4DD" w14:textId="274D02E7" w:rsidR="00E102CA" w:rsidRPr="00FF58D5" w:rsidRDefault="00034674" w:rsidP="00AB5A1A">
            <w:pPr>
              <w:spacing w:line="276" w:lineRule="auto"/>
              <w:ind w:left="376" w:hanging="376"/>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E102CA" w:rsidRPr="00FF58D5">
              <w:rPr>
                <w:rFonts w:asciiTheme="minorHAnsi" w:hAnsiTheme="minorHAnsi" w:cstheme="minorHAnsi"/>
                <w:bCs/>
                <w:sz w:val="22"/>
                <w:szCs w:val="22"/>
              </w:rPr>
              <w:t>wymuszania przeprowadzania wspólnej oceny wynagrodzeń, nawet gdy nie wynika to z dyrektywy ani z obiektywnych przesłanek.</w:t>
            </w:r>
            <w:r w:rsidR="00901D4C" w:rsidRPr="00FF58D5">
              <w:rPr>
                <w:rFonts w:asciiTheme="minorHAnsi" w:hAnsiTheme="minorHAnsi" w:cstheme="minorHAnsi"/>
                <w:bCs/>
                <w:sz w:val="22"/>
                <w:szCs w:val="22"/>
              </w:rPr>
              <w:t xml:space="preserve"> </w:t>
            </w:r>
            <w:r w:rsidR="00E102CA" w:rsidRPr="00FF58D5">
              <w:rPr>
                <w:rFonts w:asciiTheme="minorHAnsi" w:hAnsiTheme="minorHAnsi" w:cstheme="minorHAnsi"/>
                <w:bCs/>
                <w:sz w:val="22"/>
                <w:szCs w:val="22"/>
              </w:rPr>
              <w:t xml:space="preserve">Dyrektywa nie wymaga, aby zasadność luki płacowej była uzgadniana, a jedynie </w:t>
            </w:r>
            <w:r w:rsidR="00E102CA" w:rsidRPr="00FF58D5">
              <w:rPr>
                <w:rFonts w:asciiTheme="minorHAnsi" w:hAnsiTheme="minorHAnsi" w:cstheme="minorHAnsi"/>
                <w:bCs/>
                <w:sz w:val="22"/>
                <w:szCs w:val="22"/>
              </w:rPr>
              <w:lastRenderedPageBreak/>
              <w:t>aby była oparta na obiektywnych, neutralnych kryteriach. Zasadne wydaje się zastąpienie „uzgodnienia” konsultacjami lub współpracą ze stroną pracowniczą.</w:t>
            </w:r>
          </w:p>
          <w:p w14:paraId="4CDFC072" w14:textId="04BEA0B3"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 Domniemanie braku działań zaradczych przy braku zgody strony pracowniczej (art. 27 ust. 2)</w:t>
            </w:r>
            <w:r w:rsidR="006D2A32" w:rsidRPr="00FF58D5">
              <w:rPr>
                <w:rFonts w:asciiTheme="minorHAnsi" w:hAnsiTheme="minorHAnsi" w:cstheme="minorHAnsi"/>
                <w:bCs/>
                <w:sz w:val="22"/>
                <w:szCs w:val="22"/>
              </w:rPr>
              <w:t>.</w:t>
            </w:r>
          </w:p>
          <w:p w14:paraId="0524F2CD" w14:textId="0A9213CA" w:rsidR="00E102CA" w:rsidRPr="00FF58D5" w:rsidRDefault="00E102CA"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Kontrowersyjne jest zrównanie</w:t>
            </w:r>
            <w:r w:rsidR="00A74FDB"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braku zgody między pracodawcą a stroną pracowniczą</w:t>
            </w:r>
            <w:r w:rsidR="006D2A32"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z</w:t>
            </w:r>
            <w:r w:rsidR="00A74FDB"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domniemaniem, że pracodawca nie podjął skutecznych działań zaradczych.</w:t>
            </w:r>
          </w:p>
          <w:p w14:paraId="227D301D" w14:textId="38FE737A" w:rsidR="006D2A32" w:rsidRPr="00FF58D5" w:rsidRDefault="006D2A3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Dyrektywa nie nakłada jednocześnie obowiązku uzyskania zgody strony pracowniczej co do zasadności luki płacowej ani planowanych działań zaradczych, lecz przewiduje mechanizm dialogu i współdziałania. Wymóg „uzgodnienia” może w praktyce prowadzić do sytuacji, w której brak porozumienia niezależnie od merytorycznej zasadności argumentów pracodawcy skutkuje domniemaniem naruszenia, co wykracza poza standardy wynikające z dyrektywy.</w:t>
            </w:r>
          </w:p>
          <w:p w14:paraId="758346BC" w14:textId="77777777" w:rsidR="00E102CA" w:rsidRPr="00FF58D5" w:rsidRDefault="00E102CA" w:rsidP="00AB5A1A">
            <w:pPr>
              <w:spacing w:line="276" w:lineRule="auto"/>
              <w:jc w:val="both"/>
              <w:rPr>
                <w:rFonts w:asciiTheme="minorHAnsi" w:hAnsiTheme="minorHAnsi" w:cstheme="minorHAnsi"/>
                <w:bCs/>
                <w:sz w:val="22"/>
                <w:szCs w:val="22"/>
              </w:rPr>
            </w:pPr>
          </w:p>
          <w:p w14:paraId="334CFB43" w14:textId="6AEF4385"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Rozwiązanie to stawia pracodawcę w bardzo trudnym położeniu</w:t>
            </w:r>
            <w:r w:rsidR="00614C2C"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pracodawca może realnie wdrożyć działania zaradcze,</w:t>
            </w:r>
            <w:r w:rsidR="00614C2C" w:rsidRPr="00FF58D5">
              <w:rPr>
                <w:rFonts w:asciiTheme="minorHAnsi" w:hAnsiTheme="minorHAnsi" w:cstheme="minorHAnsi"/>
                <w:bCs/>
                <w:sz w:val="22"/>
                <w:szCs w:val="22"/>
              </w:rPr>
              <w:t xml:space="preserve"> l</w:t>
            </w:r>
            <w:r w:rsidRPr="00FF58D5">
              <w:rPr>
                <w:rFonts w:asciiTheme="minorHAnsi" w:hAnsiTheme="minorHAnsi" w:cstheme="minorHAnsi"/>
                <w:bCs/>
                <w:sz w:val="22"/>
                <w:szCs w:val="22"/>
              </w:rPr>
              <w:t>uka płacowa może ulec istotnemu zmniejszeniu,</w:t>
            </w:r>
            <w:r w:rsidR="00614C2C"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jednak ostateczna „ocena skuteczności” zostaje de facto przeniesiona na stronę pracowniczą.</w:t>
            </w:r>
          </w:p>
          <w:p w14:paraId="2B50102F" w14:textId="77777777" w:rsidR="00E102CA" w:rsidRPr="00FF58D5" w:rsidRDefault="00E102CA" w:rsidP="00AB5A1A">
            <w:pPr>
              <w:spacing w:line="276" w:lineRule="auto"/>
              <w:jc w:val="both"/>
              <w:rPr>
                <w:rFonts w:asciiTheme="minorHAnsi" w:hAnsiTheme="minorHAnsi" w:cstheme="minorHAnsi"/>
                <w:bCs/>
                <w:sz w:val="22"/>
                <w:szCs w:val="22"/>
              </w:rPr>
            </w:pPr>
          </w:p>
          <w:p w14:paraId="3989A28E" w14:textId="77777777"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Oznacza to przyznanie stronie pracowniczej uprawnień decyzyjnych, a nie konsultacyjnych, co nie znajduje oparcia w dyrektywie.</w:t>
            </w:r>
          </w:p>
          <w:p w14:paraId="702E065D" w14:textId="77777777" w:rsidR="00E102CA" w:rsidRPr="00FF58D5" w:rsidRDefault="00E102CA" w:rsidP="00AB5A1A">
            <w:pPr>
              <w:spacing w:line="276" w:lineRule="auto"/>
              <w:jc w:val="both"/>
              <w:rPr>
                <w:rFonts w:asciiTheme="minorHAnsi" w:hAnsiTheme="minorHAnsi" w:cstheme="minorHAnsi"/>
                <w:bCs/>
                <w:sz w:val="22"/>
                <w:szCs w:val="22"/>
              </w:rPr>
            </w:pPr>
          </w:p>
          <w:p w14:paraId="30B70364" w14:textId="77777777"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3. Brak uzasadnienia legislacyjnego przyjętego rozwiązania</w:t>
            </w:r>
          </w:p>
          <w:p w14:paraId="7809D27D" w14:textId="77777777" w:rsidR="00E102CA" w:rsidRPr="00FF58D5" w:rsidRDefault="00E102CA" w:rsidP="00AB5A1A">
            <w:pPr>
              <w:spacing w:line="276" w:lineRule="auto"/>
              <w:jc w:val="both"/>
              <w:rPr>
                <w:rFonts w:asciiTheme="minorHAnsi" w:hAnsiTheme="minorHAnsi" w:cstheme="minorHAnsi"/>
                <w:bCs/>
                <w:sz w:val="22"/>
                <w:szCs w:val="22"/>
              </w:rPr>
            </w:pPr>
          </w:p>
          <w:p w14:paraId="1E857D8D" w14:textId="70AD68D4" w:rsidR="00CE165B"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Projektodawca nie wyjaśnił w uzasadnieniu projektu:</w:t>
            </w:r>
          </w:p>
          <w:p w14:paraId="3CD30C75" w14:textId="791B29E7" w:rsidR="00CE165B" w:rsidRPr="00FF58D5" w:rsidRDefault="00E102CA" w:rsidP="00CE165B">
            <w:pPr>
              <w:pStyle w:val="Akapitzlist"/>
              <w:numPr>
                <w:ilvl w:val="0"/>
                <w:numId w:val="59"/>
              </w:numPr>
              <w:rPr>
                <w:rFonts w:asciiTheme="minorHAnsi" w:hAnsiTheme="minorHAnsi" w:cstheme="minorHAnsi"/>
                <w:bCs/>
                <w:sz w:val="22"/>
                <w:szCs w:val="22"/>
              </w:rPr>
            </w:pPr>
            <w:r w:rsidRPr="00FF58D5">
              <w:rPr>
                <w:rFonts w:asciiTheme="minorHAnsi" w:hAnsiTheme="minorHAnsi" w:cstheme="minorHAnsi"/>
                <w:bCs/>
                <w:sz w:val="22"/>
                <w:szCs w:val="22"/>
              </w:rPr>
              <w:t>dlaczego brak zgody strony pracowniczej ma automatycznie przesądzać o braku skutecznych działań zaradczych,</w:t>
            </w:r>
            <w:r w:rsidR="00CE165B" w:rsidRPr="00FF58D5">
              <w:rPr>
                <w:rFonts w:asciiTheme="minorHAnsi" w:hAnsiTheme="minorHAnsi" w:cstheme="minorHAnsi"/>
                <w:bCs/>
                <w:sz w:val="22"/>
                <w:szCs w:val="22"/>
              </w:rPr>
              <w:t xml:space="preserve"> jak </w:t>
            </w:r>
            <w:r w:rsidRPr="00FF58D5">
              <w:rPr>
                <w:rFonts w:asciiTheme="minorHAnsi" w:hAnsiTheme="minorHAnsi" w:cstheme="minorHAnsi"/>
                <w:bCs/>
                <w:sz w:val="22"/>
                <w:szCs w:val="22"/>
              </w:rPr>
              <w:t xml:space="preserve">i </w:t>
            </w:r>
          </w:p>
          <w:p w14:paraId="553B9932" w14:textId="66F414E9" w:rsidR="00E102CA" w:rsidRPr="00FF58D5" w:rsidRDefault="00E102CA" w:rsidP="00CE165B">
            <w:pPr>
              <w:pStyle w:val="Akapitzlist"/>
              <w:numPr>
                <w:ilvl w:val="0"/>
                <w:numId w:val="59"/>
              </w:numPr>
              <w:rPr>
                <w:rFonts w:asciiTheme="minorHAnsi" w:hAnsiTheme="minorHAnsi" w:cstheme="minorHAnsi"/>
                <w:bCs/>
                <w:sz w:val="22"/>
                <w:szCs w:val="22"/>
              </w:rPr>
            </w:pPr>
            <w:r w:rsidRPr="00FF58D5">
              <w:rPr>
                <w:rFonts w:asciiTheme="minorHAnsi" w:hAnsiTheme="minorHAnsi" w:cstheme="minorHAnsi"/>
                <w:bCs/>
                <w:sz w:val="22"/>
                <w:szCs w:val="22"/>
              </w:rPr>
              <w:t>dlaczego przyjęto tak daleko idące domniemania obciążające pracodawcę.</w:t>
            </w:r>
          </w:p>
          <w:p w14:paraId="0EBF67A1" w14:textId="77777777" w:rsidR="0099632F" w:rsidRPr="00FF58D5" w:rsidRDefault="0099632F" w:rsidP="00AB5A1A">
            <w:pPr>
              <w:pStyle w:val="Akapitzlist"/>
            </w:pPr>
          </w:p>
          <w:p w14:paraId="0A5224C1" w14:textId="0BC3B6E5"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4. Brak jasnego obowiązku sporządzenia uzasadnienia luki płacowej</w:t>
            </w:r>
          </w:p>
          <w:p w14:paraId="35DAF0EC" w14:textId="3B669A82"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Art. 27 ust. 1 pkt 1 wskazuje, że brak uzasadnienia luki płacowej występuje, gdy pracodawca nie przedstawi uzasadnienia na podstawie obiektywnych, neutralnych kryteriów.</w:t>
            </w:r>
            <w:r w:rsidR="0099632F"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Jednocześnie</w:t>
            </w:r>
            <w:r w:rsidR="0099632F"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żaden przepis projektu wprost nie nakłada obowiązku sporządzenia takiego uzasadnienia,</w:t>
            </w:r>
            <w:r w:rsidR="0099632F"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brak jest również terminu, w jakim uzasadnienie powinno zostać przygotowane i przedstawione.</w:t>
            </w:r>
          </w:p>
          <w:p w14:paraId="2B596746" w14:textId="77777777" w:rsidR="00E102CA" w:rsidRPr="00FF58D5" w:rsidRDefault="00E102CA" w:rsidP="00AB5A1A">
            <w:pPr>
              <w:spacing w:line="276" w:lineRule="auto"/>
              <w:jc w:val="both"/>
              <w:rPr>
                <w:rFonts w:asciiTheme="minorHAnsi" w:hAnsiTheme="minorHAnsi" w:cstheme="minorHAnsi"/>
                <w:bCs/>
                <w:sz w:val="22"/>
                <w:szCs w:val="22"/>
              </w:rPr>
            </w:pPr>
          </w:p>
          <w:p w14:paraId="624BE464" w14:textId="77777777" w:rsidR="00E102CA" w:rsidRPr="00FF58D5" w:rsidRDefault="00E102CA" w:rsidP="00AB5A1A">
            <w:pPr>
              <w:spacing w:line="276" w:lineRule="auto"/>
              <w:jc w:val="both"/>
              <w:rPr>
                <w:rFonts w:asciiTheme="minorHAnsi" w:hAnsiTheme="minorHAnsi" w:cstheme="minorHAnsi"/>
                <w:bCs/>
                <w:sz w:val="22"/>
                <w:szCs w:val="22"/>
              </w:rPr>
            </w:pPr>
          </w:p>
          <w:p w14:paraId="1485B2C9" w14:textId="77777777"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5. Postulat zmian</w:t>
            </w:r>
          </w:p>
          <w:p w14:paraId="6828966B" w14:textId="77777777" w:rsidR="00E102CA" w:rsidRPr="00FF58D5" w:rsidRDefault="00E102CA" w:rsidP="00AB5A1A">
            <w:pPr>
              <w:spacing w:line="276" w:lineRule="auto"/>
              <w:jc w:val="both"/>
              <w:rPr>
                <w:rFonts w:asciiTheme="minorHAnsi" w:hAnsiTheme="minorHAnsi" w:cstheme="minorHAnsi"/>
                <w:bCs/>
                <w:sz w:val="22"/>
                <w:szCs w:val="22"/>
              </w:rPr>
            </w:pPr>
          </w:p>
          <w:p w14:paraId="781F790F" w14:textId="77777777" w:rsidR="00E102CA" w:rsidRPr="00FF58D5" w:rsidRDefault="00E102C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związku z powyższym postulujemy:</w:t>
            </w:r>
          </w:p>
          <w:p w14:paraId="6A742DC2" w14:textId="77777777" w:rsidR="00E102CA" w:rsidRPr="00FF58D5" w:rsidRDefault="00E102CA" w:rsidP="00AB5A1A">
            <w:pPr>
              <w:spacing w:line="276" w:lineRule="auto"/>
              <w:jc w:val="both"/>
              <w:rPr>
                <w:rFonts w:asciiTheme="minorHAnsi" w:hAnsiTheme="minorHAnsi" w:cstheme="minorHAnsi"/>
                <w:bCs/>
                <w:sz w:val="22"/>
                <w:szCs w:val="22"/>
              </w:rPr>
            </w:pPr>
          </w:p>
          <w:p w14:paraId="060C4851" w14:textId="50311A71" w:rsidR="00E102CA" w:rsidRPr="00FF58D5" w:rsidRDefault="0051220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 </w:t>
            </w:r>
            <w:r w:rsidR="00E102CA" w:rsidRPr="00FF58D5">
              <w:rPr>
                <w:rFonts w:asciiTheme="minorHAnsi" w:hAnsiTheme="minorHAnsi" w:cstheme="minorHAnsi"/>
                <w:bCs/>
                <w:sz w:val="22"/>
                <w:szCs w:val="22"/>
              </w:rPr>
              <w:t>zastąpienie obowiązku „uzgodnienia” zasadności luki i działań zaradczych obowiązkiem konsultacji/współpracy ze stroną pracowniczą,</w:t>
            </w:r>
          </w:p>
          <w:p w14:paraId="203F00ED" w14:textId="77777777" w:rsidR="00E102CA" w:rsidRPr="00FF58D5" w:rsidRDefault="00E102CA" w:rsidP="00AB5A1A">
            <w:pPr>
              <w:spacing w:line="276" w:lineRule="auto"/>
              <w:jc w:val="both"/>
              <w:rPr>
                <w:rFonts w:asciiTheme="minorHAnsi" w:hAnsiTheme="minorHAnsi" w:cstheme="minorHAnsi"/>
                <w:bCs/>
                <w:sz w:val="22"/>
                <w:szCs w:val="22"/>
              </w:rPr>
            </w:pPr>
          </w:p>
          <w:p w14:paraId="77A81153" w14:textId="2510337C" w:rsidR="00E102CA" w:rsidRPr="00FF58D5" w:rsidRDefault="0051220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E102CA" w:rsidRPr="00FF58D5">
              <w:rPr>
                <w:rFonts w:asciiTheme="minorHAnsi" w:hAnsiTheme="minorHAnsi" w:cstheme="minorHAnsi"/>
                <w:bCs/>
                <w:sz w:val="22"/>
                <w:szCs w:val="22"/>
              </w:rPr>
              <w:t>rezygnację z domniemania braku działań zaradczych wyłącznie na podstawie braku zgody strony pracowniczej,</w:t>
            </w:r>
          </w:p>
          <w:p w14:paraId="6D541BBF" w14:textId="406DDDEC" w:rsidR="00E75910" w:rsidRPr="00FF58D5" w:rsidRDefault="0051220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E102CA" w:rsidRPr="00FF58D5">
              <w:rPr>
                <w:rFonts w:asciiTheme="minorHAnsi" w:hAnsiTheme="minorHAnsi" w:cstheme="minorHAnsi"/>
                <w:bCs/>
                <w:sz w:val="22"/>
                <w:szCs w:val="22"/>
              </w:rPr>
              <w:t>dostosowanie art. 27 do standardu wynikającego z dyrektywy.</w:t>
            </w:r>
          </w:p>
        </w:tc>
      </w:tr>
      <w:tr w:rsidR="009B5605" w:rsidRPr="00FF58D5" w14:paraId="6E3A0974" w14:textId="77777777" w:rsidTr="00AB5A1A">
        <w:trPr>
          <w:trHeight w:val="1275"/>
        </w:trPr>
        <w:tc>
          <w:tcPr>
            <w:tcW w:w="709" w:type="dxa"/>
            <w:vAlign w:val="center"/>
          </w:tcPr>
          <w:p w14:paraId="31952005" w14:textId="77777777" w:rsidR="00E75910" w:rsidRPr="00FF58D5" w:rsidRDefault="00E75910"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40FA3D67" w14:textId="514E52F8" w:rsidR="00E75910" w:rsidRPr="00FF58D5" w:rsidRDefault="00F81363"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29 pkt </w:t>
            </w:r>
            <w:r w:rsidR="00E23711" w:rsidRPr="00FF58D5">
              <w:rPr>
                <w:rFonts w:asciiTheme="minorHAnsi" w:hAnsiTheme="minorHAnsi" w:cstheme="minorHAnsi"/>
                <w:b/>
                <w:bCs/>
                <w:sz w:val="22"/>
                <w:szCs w:val="22"/>
              </w:rPr>
              <w:t>6</w:t>
            </w:r>
          </w:p>
        </w:tc>
        <w:tc>
          <w:tcPr>
            <w:tcW w:w="3118" w:type="dxa"/>
            <w:vAlign w:val="center"/>
          </w:tcPr>
          <w:p w14:paraId="127FEAF9" w14:textId="77777777" w:rsidR="00E75910" w:rsidRPr="00FF58D5" w:rsidRDefault="005A1075"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 xml:space="preserve">Art. 29. </w:t>
            </w:r>
            <w:r w:rsidRPr="00FF58D5">
              <w:rPr>
                <w:rFonts w:asciiTheme="minorHAnsi" w:hAnsiTheme="minorHAnsi" w:cstheme="minorHAnsi"/>
                <w:sz w:val="22"/>
                <w:szCs w:val="22"/>
              </w:rPr>
              <w:t>Wspólna ocena wynagrodzeń obejmuje w szczególności:</w:t>
            </w:r>
          </w:p>
          <w:p w14:paraId="0FA4B7D3" w14:textId="77777777" w:rsidR="005A1075" w:rsidRPr="00FF58D5" w:rsidRDefault="005A107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t>
            </w:r>
          </w:p>
          <w:p w14:paraId="5B126D3C" w14:textId="330D91CF" w:rsidR="005A1075" w:rsidRPr="00FF58D5" w:rsidRDefault="00453A70"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Cs/>
                <w:sz w:val="22"/>
                <w:szCs w:val="22"/>
              </w:rPr>
              <w:t xml:space="preserve">6) </w:t>
            </w:r>
            <w:r w:rsidR="000576D3" w:rsidRPr="00FF58D5">
              <w:rPr>
                <w:rFonts w:asciiTheme="minorHAnsi" w:hAnsiTheme="minorHAnsi" w:cstheme="minorHAnsi"/>
                <w:bCs/>
                <w:sz w:val="22"/>
                <w:szCs w:val="22"/>
              </w:rPr>
              <w:t>środki zaradzające różnicom w wynagrodzeniu, jeżeli nie są one uzasadnione obiektywnymi, neutralnymi pod względem płci kryteriami</w:t>
            </w:r>
            <w:r w:rsidR="000576D3" w:rsidRPr="00FF58D5">
              <w:rPr>
                <w:rFonts w:asciiTheme="minorHAnsi" w:hAnsiTheme="minorHAnsi" w:cstheme="minorHAnsi"/>
                <w:sz w:val="22"/>
                <w:szCs w:val="22"/>
              </w:rPr>
              <w:t>;</w:t>
            </w:r>
          </w:p>
        </w:tc>
        <w:tc>
          <w:tcPr>
            <w:tcW w:w="3827" w:type="dxa"/>
            <w:vAlign w:val="center"/>
          </w:tcPr>
          <w:p w14:paraId="688CC026" w14:textId="77777777" w:rsidR="00D63410" w:rsidRPr="00FF58D5" w:rsidRDefault="00D63410"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Art. 29.</w:t>
            </w:r>
            <w:r w:rsidRPr="00FF58D5">
              <w:rPr>
                <w:rFonts w:asciiTheme="minorHAnsi" w:hAnsiTheme="minorHAnsi" w:cstheme="minorHAnsi"/>
                <w:b/>
                <w:bCs/>
                <w:sz w:val="22"/>
                <w:szCs w:val="22"/>
              </w:rPr>
              <w:t xml:space="preserve"> </w:t>
            </w:r>
            <w:r w:rsidRPr="00FF58D5">
              <w:rPr>
                <w:rFonts w:asciiTheme="minorHAnsi" w:hAnsiTheme="minorHAnsi" w:cstheme="minorHAnsi"/>
                <w:sz w:val="22"/>
                <w:szCs w:val="22"/>
              </w:rPr>
              <w:t>Wspólna ocena wynagrodzeń obejmuje w szczególności:</w:t>
            </w:r>
          </w:p>
          <w:p w14:paraId="7AB4633E" w14:textId="77777777" w:rsidR="00D63410" w:rsidRPr="00FF58D5" w:rsidRDefault="00D6341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t>
            </w:r>
          </w:p>
          <w:p w14:paraId="6CF58850" w14:textId="21EA864D" w:rsidR="00E75910" w:rsidRPr="00FF58D5" w:rsidRDefault="00E7622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6) </w:t>
            </w:r>
            <w:r w:rsidR="00453A70" w:rsidRPr="00FF58D5">
              <w:rPr>
                <w:rFonts w:asciiTheme="minorHAnsi" w:hAnsiTheme="minorHAnsi" w:cstheme="minorHAnsi"/>
                <w:bCs/>
                <w:sz w:val="22"/>
                <w:szCs w:val="22"/>
              </w:rPr>
              <w:t xml:space="preserve">środki </w:t>
            </w:r>
            <w:r w:rsidR="00453A70" w:rsidRPr="00FF58D5">
              <w:rPr>
                <w:rFonts w:asciiTheme="minorHAnsi" w:hAnsiTheme="minorHAnsi" w:cstheme="minorHAnsi"/>
                <w:b/>
                <w:sz w:val="22"/>
                <w:szCs w:val="22"/>
                <w:u w:val="single"/>
              </w:rPr>
              <w:t>zaradcze przeciwdziałające</w:t>
            </w:r>
            <w:r w:rsidR="00453A70" w:rsidRPr="00FF58D5">
              <w:rPr>
                <w:rFonts w:asciiTheme="minorHAnsi" w:hAnsiTheme="minorHAnsi" w:cstheme="minorHAnsi"/>
                <w:bCs/>
                <w:sz w:val="22"/>
                <w:szCs w:val="22"/>
              </w:rPr>
              <w:t xml:space="preserve"> różnicom w wynagrodzeniu, jeżeli nie są one uzasadnione obiektywnymi, neutralnymi pod względem płci kryteriami;</w:t>
            </w:r>
          </w:p>
        </w:tc>
        <w:tc>
          <w:tcPr>
            <w:tcW w:w="5387" w:type="dxa"/>
          </w:tcPr>
          <w:p w14:paraId="494DC28C" w14:textId="432DFA6C" w:rsidR="00FE38FE" w:rsidRPr="00FF58D5" w:rsidRDefault="00FE38F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Proponowana zmiana terminologii z „środków zaradzających” na „środki zaradcze przeciwdziałające” ma na celu doprecyzowanie charakteru działań podejmowanych przez pracodawcę w związku z luką płacową.</w:t>
            </w:r>
          </w:p>
          <w:p w14:paraId="472D5D16" w14:textId="77777777" w:rsidR="00FE38FE" w:rsidRPr="00FF58D5" w:rsidRDefault="00FE38F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Nowe sformułowanie wyraźnie wskazuje, że środki te mają nie tylko niwelować już istniejące różnice w wynagrodzeniu, ale także zapobiegać ich powstawaniu w przyszłości.</w:t>
            </w:r>
          </w:p>
          <w:p w14:paraId="227B4606" w14:textId="16DDE96D" w:rsidR="00E75910" w:rsidRPr="00FF58D5" w:rsidRDefault="00FE38F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 doprecyzowanie podkreśla, że środki te odnoszą się wyłącznie do różnic w wynagrodzeniu, które nie są uzasadnione obiektywnymi, neutralnymi pod względem płci kryteriami, co zwiększa jasność przepisów i minimalizuje ryzyko nieporozumień interpretacyjnych.</w:t>
            </w:r>
          </w:p>
        </w:tc>
      </w:tr>
      <w:tr w:rsidR="007E3661" w:rsidRPr="00FF58D5" w14:paraId="23870219" w14:textId="77777777" w:rsidTr="00413339">
        <w:trPr>
          <w:trHeight w:val="1275"/>
        </w:trPr>
        <w:tc>
          <w:tcPr>
            <w:tcW w:w="709" w:type="dxa"/>
            <w:vAlign w:val="center"/>
          </w:tcPr>
          <w:p w14:paraId="73E6A998" w14:textId="77777777" w:rsidR="007E3661" w:rsidRPr="00FF58D5" w:rsidRDefault="007E3661"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73051A36" w14:textId="16C74F21" w:rsidR="007E3661" w:rsidRPr="00FF58D5" w:rsidRDefault="007E3661" w:rsidP="009A348F">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30 </w:t>
            </w:r>
          </w:p>
        </w:tc>
        <w:tc>
          <w:tcPr>
            <w:tcW w:w="3118" w:type="dxa"/>
            <w:vAlign w:val="center"/>
          </w:tcPr>
          <w:p w14:paraId="25CB7C56" w14:textId="374003D3" w:rsidR="007E3661" w:rsidRPr="00FF58D5" w:rsidRDefault="001B2E8A"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Art. 30. Pracodawcy przekazują informację ze wspólnej oceny wynagrodzeń pracownikom, zakładowym organizacjom związkowym, a jeżeli u pracodawcy nie działa zakładowa </w:t>
            </w:r>
            <w:r w:rsidRPr="00FF58D5">
              <w:rPr>
                <w:rFonts w:asciiTheme="minorHAnsi" w:hAnsiTheme="minorHAnsi" w:cstheme="minorHAnsi"/>
                <w:sz w:val="22"/>
                <w:szCs w:val="22"/>
              </w:rPr>
              <w:lastRenderedPageBreak/>
              <w:t>organizacja związkowa, pracownikom wybranym przez załogę, do reprezentowania jej interesów, w trybie przyjętym u danego pracodawcy oraz organowi monitorującemu, w terminie 14 dni od dnia zakończenia wspólnej oceny wynagrodzeń.</w:t>
            </w:r>
          </w:p>
        </w:tc>
        <w:tc>
          <w:tcPr>
            <w:tcW w:w="3827" w:type="dxa"/>
            <w:vAlign w:val="center"/>
          </w:tcPr>
          <w:p w14:paraId="0A6DA651" w14:textId="2D6856CC" w:rsidR="007E3661" w:rsidRPr="00FF58D5" w:rsidRDefault="001B2E8A"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 xml:space="preserve">Art. 30. Pracodawcy przekazują informację ze wspólnej oceny wynagrodzeń pracownikom, zakładowym organizacjom związkowym, a jeżeli u pracodawcy nie działa zakładowa organizacja związkowa, pracownikom </w:t>
            </w:r>
            <w:r w:rsidRPr="00FF58D5">
              <w:rPr>
                <w:rFonts w:asciiTheme="minorHAnsi" w:hAnsiTheme="minorHAnsi" w:cstheme="minorHAnsi"/>
                <w:sz w:val="22"/>
                <w:szCs w:val="22"/>
              </w:rPr>
              <w:lastRenderedPageBreak/>
              <w:t>wybranym przez załogę, do reprezentowania jej interesów, w trybie przyjętym u danego pracodawcy oraz organowi monitorującemu</w:t>
            </w:r>
            <w:r w:rsidRPr="00FF58D5">
              <w:rPr>
                <w:rFonts w:asciiTheme="minorHAnsi" w:hAnsiTheme="minorHAnsi" w:cstheme="minorHAnsi"/>
                <w:b/>
                <w:bCs/>
                <w:sz w:val="22"/>
                <w:szCs w:val="22"/>
              </w:rPr>
              <w:t>, w terminie 2 miesięcy</w:t>
            </w:r>
            <w:r w:rsidRPr="00FF58D5">
              <w:rPr>
                <w:rFonts w:asciiTheme="minorHAnsi" w:hAnsiTheme="minorHAnsi" w:cstheme="minorHAnsi"/>
                <w:sz w:val="22"/>
                <w:szCs w:val="22"/>
              </w:rPr>
              <w:t xml:space="preserve"> od dnia zakończenia wspólnej oceny wynagrodzeń.</w:t>
            </w:r>
          </w:p>
        </w:tc>
        <w:tc>
          <w:tcPr>
            <w:tcW w:w="5387" w:type="dxa"/>
          </w:tcPr>
          <w:p w14:paraId="2B92384F" w14:textId="77777777" w:rsidR="007E3661" w:rsidRPr="00FF58D5" w:rsidRDefault="007E3661" w:rsidP="009A348F">
            <w:pPr>
              <w:spacing w:line="276" w:lineRule="auto"/>
              <w:jc w:val="both"/>
              <w:rPr>
                <w:rFonts w:asciiTheme="minorHAnsi" w:hAnsiTheme="minorHAnsi" w:cstheme="minorHAnsi"/>
                <w:bCs/>
                <w:sz w:val="22"/>
                <w:szCs w:val="22"/>
              </w:rPr>
            </w:pPr>
          </w:p>
        </w:tc>
      </w:tr>
      <w:tr w:rsidR="00CF3786" w:rsidRPr="00FF58D5" w14:paraId="5FA28521" w14:textId="77777777" w:rsidTr="00AB5A1A">
        <w:trPr>
          <w:trHeight w:val="1275"/>
        </w:trPr>
        <w:tc>
          <w:tcPr>
            <w:tcW w:w="709" w:type="dxa"/>
            <w:vAlign w:val="center"/>
          </w:tcPr>
          <w:p w14:paraId="29CABDB7" w14:textId="77777777" w:rsidR="00CF3786" w:rsidRPr="00FF58D5" w:rsidRDefault="00CF3786"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1DCD5D8" w14:textId="51A48C83" w:rsidR="00CF3786" w:rsidRPr="00FF58D5" w:rsidRDefault="00CF378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31</w:t>
            </w:r>
          </w:p>
        </w:tc>
        <w:tc>
          <w:tcPr>
            <w:tcW w:w="3118" w:type="dxa"/>
            <w:vAlign w:val="center"/>
          </w:tcPr>
          <w:p w14:paraId="69844BD1" w14:textId="77777777" w:rsidR="00CF3786" w:rsidRPr="00FF58D5" w:rsidRDefault="00CF3786"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 xml:space="preserve">Art. 31. </w:t>
            </w:r>
            <w:r w:rsidRPr="00FF58D5">
              <w:rPr>
                <w:rFonts w:asciiTheme="minorHAnsi" w:hAnsiTheme="minorHAnsi" w:cstheme="minorHAnsi"/>
                <w:sz w:val="22"/>
                <w:szCs w:val="22"/>
              </w:rPr>
              <w:t xml:space="preserve">1. Państwowa Inspekcja Pracy lub organ do spraw równości może wystąpić do pracodawcy z wnioskiem o przekazanie informacji ze wspólnej oceny wynagrodzeń, o której mowa w art. 30. </w:t>
            </w:r>
          </w:p>
          <w:p w14:paraId="70049A6E" w14:textId="135D7A21" w:rsidR="00CF3786" w:rsidRPr="00FF58D5" w:rsidRDefault="00CF378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2. Pracodawca niezwłocznie przekazuje informacje ze wspólnej oceny wynagrodzeń na wniosek, o którym mowa w ust. 1.</w:t>
            </w:r>
          </w:p>
        </w:tc>
        <w:tc>
          <w:tcPr>
            <w:tcW w:w="3827" w:type="dxa"/>
            <w:vAlign w:val="center"/>
          </w:tcPr>
          <w:p w14:paraId="7BA55B6E" w14:textId="46C9CCE4" w:rsidR="00CF3786" w:rsidRPr="00FF58D5" w:rsidRDefault="00CF3786"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Doprecyzowanie terminu w art. 31 ust. 2</w:t>
            </w:r>
            <w:r w:rsidR="00E22442" w:rsidRPr="00FF58D5">
              <w:rPr>
                <w:rFonts w:asciiTheme="minorHAnsi" w:hAnsiTheme="minorHAnsi" w:cstheme="minorHAnsi"/>
                <w:sz w:val="22"/>
                <w:szCs w:val="22"/>
              </w:rPr>
              <w:t xml:space="preserve"> </w:t>
            </w:r>
            <w:r w:rsidR="00055569" w:rsidRPr="00FF58D5">
              <w:rPr>
                <w:rFonts w:asciiTheme="minorHAnsi" w:hAnsiTheme="minorHAnsi" w:cstheme="minorHAnsi"/>
                <w:sz w:val="22"/>
                <w:szCs w:val="22"/>
              </w:rPr>
              <w:t xml:space="preserve">- </w:t>
            </w:r>
            <w:r w:rsidR="00FA14BC" w:rsidRPr="00FF58D5">
              <w:rPr>
                <w:rFonts w:asciiTheme="minorHAnsi" w:hAnsiTheme="minorHAnsi" w:cstheme="minorHAnsi"/>
                <w:sz w:val="22"/>
                <w:szCs w:val="22"/>
              </w:rPr>
              <w:t>nie później jednak niż w ciągu 21 dni”.</w:t>
            </w:r>
            <w:r w:rsidR="00E22442" w:rsidRPr="00FF58D5">
              <w:rPr>
                <w:rFonts w:asciiTheme="minorHAnsi" w:hAnsiTheme="minorHAnsi" w:cstheme="minorHAnsi"/>
                <w:sz w:val="22"/>
                <w:szCs w:val="22"/>
              </w:rPr>
              <w:t xml:space="preserve"> </w:t>
            </w:r>
            <w:r w:rsidRPr="00FF58D5">
              <w:rPr>
                <w:rFonts w:asciiTheme="minorHAnsi" w:hAnsiTheme="minorHAnsi" w:cstheme="minorHAnsi"/>
                <w:sz w:val="22"/>
                <w:szCs w:val="22"/>
              </w:rPr>
              <w:t>.</w:t>
            </w:r>
          </w:p>
        </w:tc>
        <w:tc>
          <w:tcPr>
            <w:tcW w:w="5387" w:type="dxa"/>
          </w:tcPr>
          <w:p w14:paraId="11B17357" w14:textId="7807BEC5" w:rsidR="00CF3786" w:rsidRPr="00FF58D5" w:rsidRDefault="00CF378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Wskazane jest doprecyzowanie terminu</w:t>
            </w:r>
            <w:r w:rsidR="006E0F36" w:rsidRPr="00FF58D5">
              <w:rPr>
                <w:rFonts w:asciiTheme="minorHAnsi" w:hAnsiTheme="minorHAnsi" w:cstheme="minorHAnsi"/>
                <w:bCs/>
                <w:sz w:val="22"/>
                <w:szCs w:val="22"/>
              </w:rPr>
              <w:t xml:space="preserve">. Określenie „niezwłocznie” jest nieostre i może prowadzić do wątpliwości interpretacyjnych. </w:t>
            </w:r>
          </w:p>
        </w:tc>
      </w:tr>
      <w:tr w:rsidR="009B5605" w:rsidRPr="00FF58D5" w14:paraId="1EE06687" w14:textId="77777777" w:rsidTr="00AB5A1A">
        <w:trPr>
          <w:trHeight w:val="1275"/>
        </w:trPr>
        <w:tc>
          <w:tcPr>
            <w:tcW w:w="709" w:type="dxa"/>
            <w:vAlign w:val="center"/>
          </w:tcPr>
          <w:p w14:paraId="1C662A8B"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167AC4A8" w14:textId="100DC818" w:rsidR="00FE38FE" w:rsidRPr="00FF58D5" w:rsidRDefault="008577C0"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32 ust. 1</w:t>
            </w:r>
          </w:p>
        </w:tc>
        <w:tc>
          <w:tcPr>
            <w:tcW w:w="3118" w:type="dxa"/>
            <w:vAlign w:val="center"/>
          </w:tcPr>
          <w:p w14:paraId="2F47DCC9" w14:textId="77777777" w:rsidR="005A4C86" w:rsidRPr="00FF58D5" w:rsidRDefault="005A4C8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32. </w:t>
            </w:r>
          </w:p>
          <w:p w14:paraId="7ED7104F" w14:textId="1B8743FC" w:rsidR="00FE38FE" w:rsidRPr="00FF58D5" w:rsidRDefault="005A4C8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xml:space="preserve">1. Pracodawca wdraża środki wynikające ze wspólnej oceny wynagrodzeń w konsultacji z zakładową organizacją związkową, a w przypadku gdy u pracodawcy działa więcej niż </w:t>
            </w:r>
            <w:r w:rsidRPr="00FF58D5">
              <w:rPr>
                <w:rFonts w:asciiTheme="minorHAnsi" w:hAnsiTheme="minorHAnsi" w:cstheme="minorHAnsi"/>
                <w:sz w:val="22"/>
                <w:szCs w:val="22"/>
              </w:rPr>
              <w:lastRenderedPageBreak/>
              <w:t>jedna zakładowa organizacja związkowa w konsultacji z tymi organizacjami, a jeżeli u pracodawcy nie działa zakładowa organizacja związkowa, z pracownikami wybranymi przez załogę, do reprezentowania jej interesów, w trybie przyjętym u danego pracodawcy.</w:t>
            </w:r>
          </w:p>
        </w:tc>
        <w:tc>
          <w:tcPr>
            <w:tcW w:w="3827" w:type="dxa"/>
            <w:vAlign w:val="center"/>
          </w:tcPr>
          <w:p w14:paraId="28F93A0C" w14:textId="77777777" w:rsidR="005A4C86" w:rsidRPr="00FF58D5" w:rsidRDefault="008577C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Art. 32. </w:t>
            </w:r>
          </w:p>
          <w:p w14:paraId="1B999825" w14:textId="3AD186EE" w:rsidR="00FE38FE" w:rsidRPr="00FF58D5" w:rsidRDefault="008577C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1. Pracodawca wdraża środki wynikające ze wspólnej oceny wynagrodzeń </w:t>
            </w:r>
            <w:r w:rsidRPr="00FF58D5">
              <w:rPr>
                <w:rFonts w:asciiTheme="minorHAnsi" w:hAnsiTheme="minorHAnsi" w:cstheme="minorHAnsi"/>
                <w:b/>
                <w:sz w:val="22"/>
                <w:szCs w:val="22"/>
                <w:u w:val="single"/>
              </w:rPr>
              <w:t>po konsultacji</w:t>
            </w:r>
            <w:r w:rsidR="00240A3F" w:rsidRPr="00FF58D5">
              <w:rPr>
                <w:rFonts w:asciiTheme="minorHAnsi" w:hAnsiTheme="minorHAnsi" w:cstheme="minorHAnsi"/>
                <w:b/>
                <w:sz w:val="22"/>
                <w:szCs w:val="22"/>
                <w:u w:val="single"/>
              </w:rPr>
              <w:t>,</w:t>
            </w:r>
            <w:r w:rsidRPr="00FF58D5">
              <w:rPr>
                <w:rFonts w:asciiTheme="minorHAnsi" w:hAnsiTheme="minorHAnsi" w:cstheme="minorHAnsi"/>
                <w:b/>
                <w:sz w:val="22"/>
                <w:szCs w:val="22"/>
                <w:u w:val="single"/>
              </w:rPr>
              <w:t xml:space="preserve"> w terminie 7 dni</w:t>
            </w:r>
            <w:r w:rsidR="00240A3F"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 xml:space="preserve">z zakładową organizacją związkową, a w przypadku gdy u pracodawcy działa więcej niż jedna zakładowa organizacja związkowa z tymi </w:t>
            </w:r>
            <w:r w:rsidRPr="00FF58D5">
              <w:rPr>
                <w:rFonts w:asciiTheme="minorHAnsi" w:hAnsiTheme="minorHAnsi" w:cstheme="minorHAnsi"/>
                <w:bCs/>
                <w:sz w:val="22"/>
                <w:szCs w:val="22"/>
              </w:rPr>
              <w:lastRenderedPageBreak/>
              <w:t xml:space="preserve">organizacjami, a jeżeli u pracodawcy nie działa zakładowa organizacja związkowa, </w:t>
            </w:r>
            <w:r w:rsidRPr="00FF58D5">
              <w:rPr>
                <w:rFonts w:asciiTheme="minorHAnsi" w:hAnsiTheme="minorHAnsi" w:cstheme="minorHAnsi"/>
                <w:b/>
                <w:sz w:val="22"/>
                <w:szCs w:val="22"/>
                <w:u w:val="single"/>
              </w:rPr>
              <w:t>po konsultacji</w:t>
            </w:r>
            <w:r w:rsidR="00240A3F" w:rsidRPr="00FF58D5">
              <w:rPr>
                <w:rFonts w:asciiTheme="minorHAnsi" w:hAnsiTheme="minorHAnsi" w:cstheme="minorHAnsi"/>
                <w:b/>
                <w:sz w:val="22"/>
                <w:szCs w:val="22"/>
                <w:u w:val="single"/>
              </w:rPr>
              <w:t>,</w:t>
            </w:r>
            <w:r w:rsidRPr="00FF58D5">
              <w:rPr>
                <w:rFonts w:asciiTheme="minorHAnsi" w:hAnsiTheme="minorHAnsi" w:cstheme="minorHAnsi"/>
                <w:b/>
                <w:sz w:val="22"/>
                <w:szCs w:val="22"/>
                <w:u w:val="single"/>
              </w:rPr>
              <w:t xml:space="preserve"> w terminie 7 dni</w:t>
            </w:r>
            <w:r w:rsidR="00240A3F" w:rsidRPr="00FF58D5">
              <w:rPr>
                <w:rFonts w:asciiTheme="minorHAnsi" w:hAnsiTheme="minorHAnsi" w:cstheme="minorHAnsi"/>
                <w:b/>
                <w:sz w:val="22"/>
                <w:szCs w:val="22"/>
                <w:u w:val="single"/>
              </w:rPr>
              <w:t>,</w:t>
            </w:r>
            <w:r w:rsidRPr="00FF58D5">
              <w:rPr>
                <w:rFonts w:asciiTheme="minorHAnsi" w:hAnsiTheme="minorHAnsi" w:cstheme="minorHAnsi"/>
                <w:bCs/>
                <w:sz w:val="22"/>
                <w:szCs w:val="22"/>
              </w:rPr>
              <w:t xml:space="preserve"> z </w:t>
            </w:r>
            <w:r w:rsidR="005B2565" w:rsidRPr="00FF58D5">
              <w:rPr>
                <w:rFonts w:asciiTheme="minorHAnsi" w:hAnsiTheme="minorHAnsi" w:cstheme="minorHAnsi"/>
                <w:b/>
                <w:sz w:val="22"/>
                <w:szCs w:val="22"/>
              </w:rPr>
              <w:t>przedstawicielami pracowników wyłonionymi w trybie przyjętym u tego pracodawcy</w:t>
            </w:r>
            <w:r w:rsidRPr="00FF58D5">
              <w:rPr>
                <w:rFonts w:asciiTheme="minorHAnsi" w:hAnsiTheme="minorHAnsi" w:cstheme="minorHAnsi"/>
                <w:b/>
                <w:sz w:val="22"/>
                <w:szCs w:val="22"/>
              </w:rPr>
              <w:t>.</w:t>
            </w:r>
          </w:p>
        </w:tc>
        <w:tc>
          <w:tcPr>
            <w:tcW w:w="5387" w:type="dxa"/>
          </w:tcPr>
          <w:p w14:paraId="63CF1FA0" w14:textId="5B1B3730" w:rsidR="003B33E5" w:rsidRPr="00FF58D5" w:rsidRDefault="00B261C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1. </w:t>
            </w:r>
            <w:r w:rsidR="003B33E5" w:rsidRPr="00FF58D5">
              <w:rPr>
                <w:rFonts w:asciiTheme="minorHAnsi" w:hAnsiTheme="minorHAnsi" w:cstheme="minorHAnsi"/>
                <w:bCs/>
                <w:sz w:val="22"/>
                <w:szCs w:val="22"/>
              </w:rPr>
              <w:t>Proponowane doprecyzowanie przepisu poprzez wprowadzenie terminu 7 dni ma na celu zapewnienie przewidywalności i terminowości konsultacji przed wdrożeniem środków wynikających ze wspólnej oceny wynagrodzeń.</w:t>
            </w:r>
          </w:p>
          <w:p w14:paraId="5A88CF52" w14:textId="77777777" w:rsidR="003B33E5" w:rsidRPr="00FF58D5" w:rsidRDefault="003B33E5" w:rsidP="00AB5A1A">
            <w:pPr>
              <w:spacing w:line="276" w:lineRule="auto"/>
              <w:ind w:right="-55"/>
              <w:jc w:val="both"/>
              <w:rPr>
                <w:rFonts w:asciiTheme="minorHAnsi" w:hAnsiTheme="minorHAnsi" w:cstheme="minorHAnsi"/>
                <w:bCs/>
                <w:sz w:val="22"/>
                <w:szCs w:val="22"/>
              </w:rPr>
            </w:pPr>
            <w:r w:rsidRPr="00FF58D5">
              <w:rPr>
                <w:rFonts w:asciiTheme="minorHAnsi" w:hAnsiTheme="minorHAnsi" w:cstheme="minorHAnsi"/>
                <w:bCs/>
                <w:sz w:val="22"/>
                <w:szCs w:val="22"/>
              </w:rPr>
              <w:t xml:space="preserve">Wyznaczenie maksymalnego terminu umożliwia pracodawcy i stronie reprezentującej pracowników </w:t>
            </w:r>
            <w:r w:rsidRPr="00FF58D5">
              <w:rPr>
                <w:rFonts w:asciiTheme="minorHAnsi" w:hAnsiTheme="minorHAnsi" w:cstheme="minorHAnsi"/>
                <w:bCs/>
                <w:sz w:val="22"/>
                <w:szCs w:val="22"/>
              </w:rPr>
              <w:lastRenderedPageBreak/>
              <w:t>(zakładowej organizacji związkowej lub przedstawicielom wybranym przez załogę) sprawne przeprowadzenie konsultacji, a jednocześnie zapobiega opóźnieniom we wdrażaniu działań mających na celu eliminację nieuzasadnionych różnic w wynagrodzeniach.</w:t>
            </w:r>
          </w:p>
          <w:p w14:paraId="144B1FD9" w14:textId="77777777" w:rsidR="00FE38FE" w:rsidRPr="00FF58D5" w:rsidRDefault="003B33E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Doprecyzowanie terminu nie zmienia obowiązków ani trybu konsultacji, lecz jednoznacznie określa czas ich realizacji, co zwiększa jasność przepisów i ułatwia planowanie działań zarówno pracodawcy, jak i pracowników.</w:t>
            </w:r>
          </w:p>
          <w:p w14:paraId="6E6E7737" w14:textId="4187CEE7" w:rsidR="00B261C5" w:rsidRPr="00FF58D5" w:rsidRDefault="00B261C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w:t>
            </w:r>
            <w:r w:rsidR="00995AB5" w:rsidRPr="00FF58D5">
              <w:rPr>
                <w:rFonts w:asciiTheme="minorHAnsi" w:hAnsiTheme="minorHAnsi" w:cstheme="minorHAnsi"/>
                <w:bCs/>
                <w:sz w:val="22"/>
                <w:szCs w:val="22"/>
              </w:rPr>
              <w:t xml:space="preserve">Warto podkreślić, że </w:t>
            </w:r>
            <w:r w:rsidR="0040056C" w:rsidRPr="00FF58D5">
              <w:rPr>
                <w:rFonts w:asciiTheme="minorHAnsi" w:hAnsiTheme="minorHAnsi" w:cstheme="minorHAnsi"/>
                <w:bCs/>
                <w:sz w:val="22"/>
                <w:szCs w:val="22"/>
              </w:rPr>
              <w:t>d</w:t>
            </w:r>
            <w:r w:rsidR="00B83858" w:rsidRPr="00FF58D5">
              <w:rPr>
                <w:rFonts w:asciiTheme="minorHAnsi" w:hAnsiTheme="minorHAnsi" w:cstheme="minorHAnsi"/>
                <w:bCs/>
                <w:sz w:val="22"/>
                <w:szCs w:val="22"/>
              </w:rPr>
              <w:t>yrektywa 2023/970 wymaga udziału i konsultacji przedstawicieli pracowników w procesie wspólnej oceny wynagrodzeń, jednak nie nakłada obowiązku uzgadniania ani wspólnego zatwierdzania środków zaradczych. Wystarczające dla realizacji celów dyrektywy byłoby poinformowanie organizacji związkowych o planowanych działaniach oraz o sposobie ich wdrożenia.</w:t>
            </w:r>
          </w:p>
        </w:tc>
      </w:tr>
      <w:tr w:rsidR="009B5605" w:rsidRPr="00FF58D5" w14:paraId="0EED1E08" w14:textId="77777777" w:rsidTr="00AB5A1A">
        <w:trPr>
          <w:trHeight w:val="1275"/>
        </w:trPr>
        <w:tc>
          <w:tcPr>
            <w:tcW w:w="709" w:type="dxa"/>
            <w:vAlign w:val="center"/>
          </w:tcPr>
          <w:p w14:paraId="553DAD30"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A29EDB8" w14:textId="19003B26" w:rsidR="00FE38FE" w:rsidRPr="00FF58D5" w:rsidRDefault="006C1C4F"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32 ust. 4</w:t>
            </w:r>
          </w:p>
        </w:tc>
        <w:tc>
          <w:tcPr>
            <w:tcW w:w="3118" w:type="dxa"/>
            <w:vAlign w:val="center"/>
          </w:tcPr>
          <w:p w14:paraId="722F424B" w14:textId="77777777" w:rsidR="00182CD7" w:rsidRPr="00FF58D5" w:rsidRDefault="00182CD7"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32.</w:t>
            </w:r>
          </w:p>
          <w:p w14:paraId="102C786E" w14:textId="77777777" w:rsidR="00182CD7" w:rsidRPr="00FF58D5" w:rsidRDefault="00182CD7"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w:t>
            </w:r>
          </w:p>
          <w:p w14:paraId="7591792B" w14:textId="685B4329" w:rsidR="00FE38FE" w:rsidRPr="00FF58D5" w:rsidRDefault="00182CD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4. Podmioty, o których mowa w ust. 1, mogą zwrócić się do Państwowej Inspekcji Pracy lub organu do spraw równości z wnioskiem o udział we wdrażaniu środków wynikających ze wspólnej oceny wynagrodzeń.</w:t>
            </w:r>
          </w:p>
        </w:tc>
        <w:tc>
          <w:tcPr>
            <w:tcW w:w="3827" w:type="dxa"/>
            <w:vAlign w:val="center"/>
          </w:tcPr>
          <w:p w14:paraId="68E251D7" w14:textId="74102A5F" w:rsidR="00FE38FE" w:rsidRPr="00FF58D5" w:rsidRDefault="006C1C4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4. Podmioty, o których mowa w ust. 1, mogą zwrócić się </w:t>
            </w:r>
            <w:r w:rsidRPr="00FF58D5">
              <w:rPr>
                <w:rFonts w:asciiTheme="minorHAnsi" w:hAnsiTheme="minorHAnsi" w:cstheme="minorHAnsi"/>
                <w:b/>
                <w:sz w:val="22"/>
                <w:szCs w:val="22"/>
                <w:u w:val="single"/>
              </w:rPr>
              <w:t>do pracodawcy</w:t>
            </w:r>
            <w:r w:rsidRPr="00FF58D5">
              <w:rPr>
                <w:rFonts w:asciiTheme="minorHAnsi" w:hAnsiTheme="minorHAnsi" w:cstheme="minorHAnsi"/>
                <w:b/>
                <w:sz w:val="22"/>
                <w:szCs w:val="22"/>
              </w:rPr>
              <w:t xml:space="preserve"> </w:t>
            </w:r>
            <w:r w:rsidRPr="00FF58D5">
              <w:rPr>
                <w:rFonts w:asciiTheme="minorHAnsi" w:hAnsiTheme="minorHAnsi" w:cstheme="minorHAnsi"/>
                <w:bCs/>
                <w:sz w:val="22"/>
                <w:szCs w:val="22"/>
              </w:rPr>
              <w:t xml:space="preserve">z wnioskiem </w:t>
            </w:r>
            <w:r w:rsidRPr="00FF58D5">
              <w:rPr>
                <w:rFonts w:asciiTheme="minorHAnsi" w:hAnsiTheme="minorHAnsi" w:cstheme="minorHAnsi"/>
                <w:b/>
                <w:sz w:val="22"/>
                <w:szCs w:val="22"/>
                <w:u w:val="single"/>
              </w:rPr>
              <w:t xml:space="preserve">o informowanie o postępach </w:t>
            </w:r>
            <w:r w:rsidRPr="00FF58D5">
              <w:rPr>
                <w:rFonts w:asciiTheme="minorHAnsi" w:hAnsiTheme="minorHAnsi" w:cstheme="minorHAnsi"/>
                <w:bCs/>
                <w:sz w:val="22"/>
                <w:szCs w:val="22"/>
              </w:rPr>
              <w:t>we wdrażaniu środków wynikających ze wspólnej oceny wynagrodzeń.</w:t>
            </w:r>
          </w:p>
        </w:tc>
        <w:tc>
          <w:tcPr>
            <w:tcW w:w="5387" w:type="dxa"/>
          </w:tcPr>
          <w:p w14:paraId="2C6E0699" w14:textId="77777777" w:rsidR="00E97558" w:rsidRPr="00FF58D5" w:rsidRDefault="00E9755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Proponowana zmiana przepisu ma na celu doprecyzowanie roli podmiotów, o których mowa w ust. 1, w procesie wdrażania środków wynikających ze wspólnej oceny wynagrodzeń.</w:t>
            </w:r>
          </w:p>
          <w:p w14:paraId="59A2CE01" w14:textId="77777777" w:rsidR="00E97558" w:rsidRPr="00FF58D5" w:rsidRDefault="00E9755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Dyrektywie Parlamentu Europejskiego i Rady (UE) 2023/970 nie przewidziano udziału podmiotów zewnętrznych w samym wdrażaniu środków, lecz wskazano konieczność współpracy pracodawcy z przedstawicielami pracowników, inspektoratem pracy lub organem ds. równości. W związku z tym przepis został zmieniony w taki </w:t>
            </w:r>
            <w:r w:rsidRPr="00FF58D5">
              <w:rPr>
                <w:rFonts w:asciiTheme="minorHAnsi" w:hAnsiTheme="minorHAnsi" w:cstheme="minorHAnsi"/>
                <w:bCs/>
                <w:sz w:val="22"/>
                <w:szCs w:val="22"/>
              </w:rPr>
              <w:lastRenderedPageBreak/>
              <w:t>sposób, aby podmioty te mogły zwrócić się do pracodawcy z wnioskiem o informowanie o postępach we wdrażaniu środków, a nie brać w tym procesie bezpośredniego udziału.</w:t>
            </w:r>
          </w:p>
          <w:p w14:paraId="4D6AA29C" w14:textId="25469191" w:rsidR="00FE38FE" w:rsidRPr="00FF58D5" w:rsidRDefault="00E9755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Zmiana ta zapewnia zgodność przepisów krajowych z wymogami Dyrektywy UE, zachowując jednocześnie transparentność działań pracodawcy wobec stron społecznych i organów kontrolnych.</w:t>
            </w:r>
          </w:p>
        </w:tc>
      </w:tr>
      <w:tr w:rsidR="009B5605" w:rsidRPr="00FF58D5" w14:paraId="76004A85" w14:textId="77777777" w:rsidTr="00AB5A1A">
        <w:trPr>
          <w:trHeight w:val="1275"/>
        </w:trPr>
        <w:tc>
          <w:tcPr>
            <w:tcW w:w="709" w:type="dxa"/>
            <w:vAlign w:val="center"/>
          </w:tcPr>
          <w:p w14:paraId="5CFECCA7"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5FE1263" w14:textId="7D47ECDA" w:rsidR="00FE38FE" w:rsidRPr="00FF58D5" w:rsidRDefault="005141B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Art.33.</w:t>
            </w:r>
          </w:p>
        </w:tc>
        <w:tc>
          <w:tcPr>
            <w:tcW w:w="3118" w:type="dxa"/>
            <w:vAlign w:val="center"/>
          </w:tcPr>
          <w:p w14:paraId="6F143322" w14:textId="36821399" w:rsidR="00FE38FE" w:rsidRPr="00FF58D5" w:rsidRDefault="00557653"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33. </w:t>
            </w:r>
            <w:r w:rsidRPr="00FF58D5">
              <w:rPr>
                <w:rFonts w:asciiTheme="minorHAnsi" w:hAnsiTheme="minorHAnsi" w:cstheme="minorHAnsi"/>
                <w:sz w:val="22"/>
                <w:szCs w:val="22"/>
              </w:rPr>
              <w:t>Dane osobowe przetwarzane na podstawie art.  8 , 14, 22, 24, 28, 30, 31, 32 nie mogą być wykorzystywane w innym celu niż stosowanie zasady równego traktowania w zatrudnieniu w zakresie prawa do jednakowego wynagrodzenia mężczyzn i kobiet za jednakową pracę lub pracę o jednakowej wartości.</w:t>
            </w:r>
          </w:p>
        </w:tc>
        <w:tc>
          <w:tcPr>
            <w:tcW w:w="3827" w:type="dxa"/>
            <w:vAlign w:val="center"/>
          </w:tcPr>
          <w:p w14:paraId="74FA9104" w14:textId="707ABB0C" w:rsidR="00FE38FE" w:rsidRPr="00FF58D5" w:rsidRDefault="00EB6A0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33. Dane osobowe przetwarzane na podstawie art.  8 , 14, 22, 24, 28, 30, 31, 32 nie mogą być wykorzystywane w innym celu niż stosowanie zasady równego traktowania w zatrudnieniu w zakresie prawa do jednakowego wynagrodzenia, </w:t>
            </w:r>
            <w:r w:rsidRPr="00FF58D5">
              <w:rPr>
                <w:rFonts w:asciiTheme="minorHAnsi" w:hAnsiTheme="minorHAnsi" w:cstheme="minorHAnsi"/>
                <w:b/>
                <w:sz w:val="22"/>
                <w:szCs w:val="22"/>
                <w:u w:val="single"/>
              </w:rPr>
              <w:t>w szczególności w zakresie wynagrodzeń</w:t>
            </w:r>
            <w:r w:rsidRPr="00FF58D5">
              <w:rPr>
                <w:rFonts w:asciiTheme="minorHAnsi" w:hAnsiTheme="minorHAnsi" w:cstheme="minorHAnsi"/>
                <w:bCs/>
                <w:sz w:val="22"/>
                <w:szCs w:val="22"/>
              </w:rPr>
              <w:t xml:space="preserve"> mężczyzn i kobiet za jednakową pracę lub pracę o jednakowej wartości.</w:t>
            </w:r>
          </w:p>
        </w:tc>
        <w:tc>
          <w:tcPr>
            <w:tcW w:w="5387" w:type="dxa"/>
          </w:tcPr>
          <w:p w14:paraId="4B9A356C" w14:textId="08AA6CFC" w:rsidR="00FE38FE" w:rsidRPr="00FF58D5" w:rsidRDefault="00FE38FE" w:rsidP="00AB5A1A">
            <w:pPr>
              <w:spacing w:line="276" w:lineRule="auto"/>
              <w:jc w:val="both"/>
              <w:rPr>
                <w:rFonts w:asciiTheme="minorHAnsi" w:hAnsiTheme="minorHAnsi" w:cstheme="minorHAnsi"/>
                <w:bCs/>
                <w:sz w:val="22"/>
                <w:szCs w:val="22"/>
              </w:rPr>
            </w:pPr>
          </w:p>
        </w:tc>
      </w:tr>
      <w:tr w:rsidR="009B5605" w:rsidRPr="00FF58D5" w14:paraId="1626F6B4" w14:textId="77777777" w:rsidTr="00AB5A1A">
        <w:trPr>
          <w:trHeight w:val="1275"/>
        </w:trPr>
        <w:tc>
          <w:tcPr>
            <w:tcW w:w="709" w:type="dxa"/>
            <w:vAlign w:val="center"/>
          </w:tcPr>
          <w:p w14:paraId="1AAF46ED" w14:textId="77777777" w:rsidR="008C0DE5" w:rsidRPr="00FF58D5" w:rsidRDefault="008C0DE5"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5140B229" w14:textId="6FA1D72A" w:rsidR="008C0DE5" w:rsidRPr="00FF58D5" w:rsidRDefault="005315E4"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34</w:t>
            </w:r>
          </w:p>
        </w:tc>
        <w:tc>
          <w:tcPr>
            <w:tcW w:w="3118" w:type="dxa"/>
            <w:vAlign w:val="center"/>
          </w:tcPr>
          <w:p w14:paraId="0356FBE8" w14:textId="77777777" w:rsidR="005315E4" w:rsidRPr="00FF58D5" w:rsidRDefault="005315E4"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34.</w:t>
            </w:r>
            <w:r w:rsidRPr="00FF58D5">
              <w:rPr>
                <w:rFonts w:asciiTheme="minorHAnsi" w:hAnsiTheme="minorHAnsi" w:cstheme="minorHAnsi"/>
                <w:sz w:val="22"/>
                <w:szCs w:val="22"/>
              </w:rPr>
              <w:t xml:space="preserve"> 1. Jeżeli informacje, przekazane zgodnie z art. 8, 14, 22, 24, 28, 30, 32, prowadziłyby do ujawnienia bezpośrednio lub pośrednio wynagrodzenia pracownika możliwego do zidentyfikowania, pracodawca zapewnia dostęp do takich </w:t>
            </w:r>
            <w:r w:rsidRPr="00FF58D5">
              <w:rPr>
                <w:rFonts w:asciiTheme="minorHAnsi" w:hAnsiTheme="minorHAnsi" w:cstheme="minorHAnsi"/>
                <w:sz w:val="22"/>
                <w:szCs w:val="22"/>
              </w:rPr>
              <w:lastRenderedPageBreak/>
              <w:t xml:space="preserve">informacji wyłącznie reprezentującej pracownika zakładowej organizacji związkowej, pracownikom wybranym przez załogę, do reprezentowania jej interesów, w trybie przyjętym u danego pracodawcy, o których mowa w art. 26 ust. 2, 27 pkt 1 i art. 32 ust. 1, Państwowej Inspekcji Pracy lub organowi do spraw równości. </w:t>
            </w:r>
          </w:p>
          <w:p w14:paraId="3B0A9BF8" w14:textId="77777777" w:rsidR="005315E4" w:rsidRPr="00FF58D5" w:rsidRDefault="005315E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Do przetwarzania danych osobowych mogą być dopuszczone wyłącznie osoby,  o których mowa w art. 26 ust. 2, 27 pkt 1 i art. 32 ust. 1, posiadające pisemne upoważnienie do przetwarzania takich danych wydane przez pracodawcę. Osoby dopuszczone do przetwarzania takich danych są obowiązane do zachowania ich w tajemnicy.</w:t>
            </w:r>
          </w:p>
          <w:p w14:paraId="39FFB459" w14:textId="4BE55BF2" w:rsidR="008C0DE5" w:rsidRPr="00FF58D5" w:rsidRDefault="005315E4"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3. Jeżeli o informacje, o których mowa w ust. 1, występuje pracownik, pracodawca niezwłocznie informuje pracownika o braku możliwości </w:t>
            </w:r>
            <w:r w:rsidRPr="00FF58D5">
              <w:rPr>
                <w:rFonts w:asciiTheme="minorHAnsi" w:hAnsiTheme="minorHAnsi" w:cstheme="minorHAnsi"/>
                <w:sz w:val="22"/>
                <w:szCs w:val="22"/>
              </w:rPr>
              <w:lastRenderedPageBreak/>
              <w:t xml:space="preserve">przekazania tych informacji oraz o możliwości zwrócenia się do reprezentującej pracownika zakładowej organizacji związkowej lub  organu do spraw równości w celu doradzenia pracownikowi w zakresie ewentualnych roszczeń nie ujawniając rzeczywistych poziomów wynagrodzenia poszczególnych pracowników wykonujących jednakową pracę lub pracę o jednakowej wartości. </w:t>
            </w:r>
          </w:p>
        </w:tc>
        <w:tc>
          <w:tcPr>
            <w:tcW w:w="3827" w:type="dxa"/>
            <w:vAlign w:val="center"/>
          </w:tcPr>
          <w:p w14:paraId="177CDCF5" w14:textId="25704B3C" w:rsidR="002C6E36" w:rsidRPr="00FF58D5" w:rsidRDefault="002C6E3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Proponuje się nadanie art. 34 następującego brzmienia</w:t>
            </w:r>
            <w:r w:rsidR="00EF5E8B" w:rsidRPr="00FF58D5">
              <w:rPr>
                <w:rFonts w:asciiTheme="minorHAnsi" w:hAnsiTheme="minorHAnsi" w:cstheme="minorHAnsi"/>
                <w:bCs/>
                <w:sz w:val="22"/>
                <w:szCs w:val="22"/>
              </w:rPr>
              <w:t xml:space="preserve"> ust. 1 </w:t>
            </w:r>
            <w:r w:rsidR="00F473F6" w:rsidRPr="00FF58D5">
              <w:rPr>
                <w:rFonts w:asciiTheme="minorHAnsi" w:hAnsiTheme="minorHAnsi" w:cstheme="minorHAnsi"/>
                <w:bCs/>
                <w:sz w:val="22"/>
                <w:szCs w:val="22"/>
              </w:rPr>
              <w:t>i 2</w:t>
            </w:r>
            <w:r w:rsidRPr="00FF58D5">
              <w:rPr>
                <w:rFonts w:asciiTheme="minorHAnsi" w:hAnsiTheme="minorHAnsi" w:cstheme="minorHAnsi"/>
                <w:bCs/>
                <w:sz w:val="22"/>
                <w:szCs w:val="22"/>
              </w:rPr>
              <w:t xml:space="preserve">: </w:t>
            </w:r>
          </w:p>
          <w:p w14:paraId="11964C30" w14:textId="7726BE8C" w:rsidR="002C6E36" w:rsidRPr="00FF58D5" w:rsidRDefault="002C6E3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34. 1. Jeżeli informacje, przekazane zgodnie z art. 8, 14, 22, 24, 28, 30, 32, prowadziłyby do ujawnienia bezpośrednio lub pośrednio wynagrodzenia pracownika możliwego do zidentyfikowania, pracodawca zapewnia </w:t>
            </w:r>
            <w:r w:rsidRPr="00FF58D5">
              <w:rPr>
                <w:rFonts w:asciiTheme="minorHAnsi" w:hAnsiTheme="minorHAnsi" w:cstheme="minorHAnsi"/>
                <w:bCs/>
                <w:sz w:val="22"/>
                <w:szCs w:val="22"/>
              </w:rPr>
              <w:lastRenderedPageBreak/>
              <w:t xml:space="preserve">dostęp do takich informacji wyłącznie organowi do spraw równości. </w:t>
            </w:r>
          </w:p>
          <w:p w14:paraId="60566C0C" w14:textId="710813BB" w:rsidR="002C6E36" w:rsidRPr="00FF58D5" w:rsidRDefault="002C6E3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Jeżeli o informacje, o których mowa w ust. 1, występuje pracownik, pracodawca niezwłocznie informuje pracownika o braku możliwości przekazania tych informacji oraz o możliwości zwrócenia się do organu do spraw równości w celu doradzenia pracownikowi w zakresie ewentualnych roszczeń nie ujawniając rzeczywistych poziomów wynagrodzenia poszczególnych pracowników wykonujących jednakową pracę lub pracę o jednakowej wartości. </w:t>
            </w:r>
          </w:p>
          <w:p w14:paraId="4862237B" w14:textId="77777777" w:rsidR="008C0DE5" w:rsidRPr="00FF58D5" w:rsidRDefault="008C0DE5" w:rsidP="009A348F">
            <w:pPr>
              <w:spacing w:line="276" w:lineRule="auto"/>
              <w:jc w:val="both"/>
              <w:rPr>
                <w:rFonts w:asciiTheme="minorHAnsi" w:hAnsiTheme="minorHAnsi" w:cstheme="minorHAnsi"/>
                <w:bCs/>
                <w:sz w:val="22"/>
                <w:szCs w:val="22"/>
              </w:rPr>
            </w:pPr>
          </w:p>
          <w:p w14:paraId="0DBB6F95" w14:textId="77777777" w:rsidR="00D0644F" w:rsidRPr="00FF58D5" w:rsidRDefault="00D0644F" w:rsidP="00AB5A1A">
            <w:pPr>
              <w:spacing w:line="276" w:lineRule="auto"/>
              <w:jc w:val="both"/>
              <w:rPr>
                <w:rFonts w:asciiTheme="minorHAnsi" w:hAnsiTheme="minorHAnsi" w:cstheme="minorHAnsi"/>
                <w:bCs/>
                <w:sz w:val="22"/>
                <w:szCs w:val="22"/>
              </w:rPr>
            </w:pPr>
          </w:p>
          <w:p w14:paraId="21B691ED" w14:textId="3004A2EB" w:rsidR="00003EE0" w:rsidRPr="00FF58D5" w:rsidRDefault="00F473F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Ponadto</w:t>
            </w:r>
            <w:r w:rsidR="00D0644F" w:rsidRPr="00FF58D5">
              <w:rPr>
                <w:rFonts w:asciiTheme="minorHAnsi" w:hAnsiTheme="minorHAnsi" w:cstheme="minorHAnsi"/>
                <w:bCs/>
                <w:sz w:val="22"/>
                <w:szCs w:val="22"/>
              </w:rPr>
              <w:t xml:space="preserve"> k</w:t>
            </w:r>
            <w:r w:rsidR="00003EE0" w:rsidRPr="00FF58D5">
              <w:rPr>
                <w:rFonts w:asciiTheme="minorHAnsi" w:hAnsiTheme="minorHAnsi" w:cstheme="minorHAnsi"/>
                <w:bCs/>
                <w:sz w:val="22"/>
                <w:szCs w:val="22"/>
              </w:rPr>
              <w:t>onieczne jest doprecyzowanie przepisu</w:t>
            </w:r>
            <w:r w:rsidR="0076498C" w:rsidRPr="00FF58D5">
              <w:rPr>
                <w:rFonts w:asciiTheme="minorHAnsi" w:hAnsiTheme="minorHAnsi" w:cstheme="minorHAnsi"/>
                <w:bCs/>
                <w:sz w:val="22"/>
                <w:szCs w:val="22"/>
              </w:rPr>
              <w:t xml:space="preserve"> i wskazanie jak należy rozumieć „ujawnienie bezpośrednio lub pośrednio wynagrodzenia pracownika”</w:t>
            </w:r>
          </w:p>
        </w:tc>
        <w:tc>
          <w:tcPr>
            <w:tcW w:w="5387" w:type="dxa"/>
          </w:tcPr>
          <w:p w14:paraId="6D44C5FB"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Art. 34 ust. 1 implementuje fakultatywne rozwiązanie przewidziane w dyrektywie, którego stosowanie nie jest obligatoryjne. W związku z tym jego wprowadzenie powinno być starannie uzasadnione po stronie ustawodawcy i zaprojektowane tak, aby nie nakładało na pracodawców nadmiernych obowiązków ani nie powodowało nieproporcjonalnych trudności. W obecnym kształcie przepis może prowadzić do sytuacji, w których </w:t>
            </w:r>
            <w:r w:rsidRPr="00FF58D5">
              <w:rPr>
                <w:rFonts w:asciiTheme="minorHAnsi" w:hAnsiTheme="minorHAnsi" w:cstheme="minorHAnsi"/>
                <w:bCs/>
                <w:sz w:val="22"/>
                <w:szCs w:val="22"/>
              </w:rPr>
              <w:lastRenderedPageBreak/>
              <w:t>szeroki krąg podmiotów uzyskuje dostęp do danych mogących bezpośrednio lub pośrednio umożliwić identyfikację wynagrodzenia konkretnego pracownika, co rodzi wątpliwości w zakresie ochrony danych osobowych i poufności danych płacowych.</w:t>
            </w:r>
          </w:p>
          <w:p w14:paraId="026C2ACB" w14:textId="77777777" w:rsidR="00F76D1F" w:rsidRPr="00FF58D5" w:rsidRDefault="00F76D1F" w:rsidP="00AB5A1A">
            <w:pPr>
              <w:spacing w:line="276" w:lineRule="auto"/>
              <w:jc w:val="both"/>
              <w:rPr>
                <w:rFonts w:asciiTheme="minorHAnsi" w:hAnsiTheme="minorHAnsi" w:cstheme="minorHAnsi"/>
                <w:bCs/>
                <w:sz w:val="22"/>
                <w:szCs w:val="22"/>
              </w:rPr>
            </w:pPr>
          </w:p>
          <w:p w14:paraId="0AB263EC"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Ograniczenie dostępu do danych wrażliwych</w:t>
            </w:r>
          </w:p>
          <w:p w14:paraId="78B014B9"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Zasadne jest rozważenie ograniczenia dostępu do informacji:</w:t>
            </w:r>
          </w:p>
          <w:p w14:paraId="1617F2B0" w14:textId="77777777" w:rsidR="00F76D1F" w:rsidRPr="00FF58D5" w:rsidRDefault="00F76D1F" w:rsidP="00AB5A1A">
            <w:pPr>
              <w:spacing w:line="276" w:lineRule="auto"/>
              <w:jc w:val="both"/>
              <w:rPr>
                <w:rFonts w:asciiTheme="minorHAnsi" w:hAnsiTheme="minorHAnsi" w:cstheme="minorHAnsi"/>
                <w:bCs/>
                <w:sz w:val="22"/>
                <w:szCs w:val="22"/>
              </w:rPr>
            </w:pPr>
          </w:p>
          <w:p w14:paraId="2FC60D73" w14:textId="277B85A5" w:rsidR="00F76D1F" w:rsidRPr="00FF58D5" w:rsidRDefault="00DF29DE" w:rsidP="00AB5A1A">
            <w:pPr>
              <w:spacing w:line="276" w:lineRule="auto"/>
              <w:ind w:left="234"/>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F76D1F" w:rsidRPr="00FF58D5">
              <w:rPr>
                <w:rFonts w:asciiTheme="minorHAnsi" w:hAnsiTheme="minorHAnsi" w:cstheme="minorHAnsi"/>
                <w:bCs/>
                <w:sz w:val="22"/>
                <w:szCs w:val="22"/>
              </w:rPr>
              <w:t>wyłącznie do organu do spraw równości lub ewentualnie Państwowej Inspekcji Pracy,</w:t>
            </w:r>
          </w:p>
          <w:p w14:paraId="5BFEC181" w14:textId="77777777" w:rsidR="00F76D1F" w:rsidRPr="00FF58D5" w:rsidRDefault="00F76D1F" w:rsidP="00AB5A1A">
            <w:pPr>
              <w:spacing w:line="276" w:lineRule="auto"/>
              <w:ind w:left="234"/>
              <w:jc w:val="both"/>
              <w:rPr>
                <w:rFonts w:asciiTheme="minorHAnsi" w:hAnsiTheme="minorHAnsi" w:cstheme="minorHAnsi"/>
                <w:bCs/>
                <w:sz w:val="22"/>
                <w:szCs w:val="22"/>
              </w:rPr>
            </w:pPr>
          </w:p>
          <w:p w14:paraId="51C83672" w14:textId="06F3B953" w:rsidR="00DF29DE" w:rsidRPr="00FF58D5" w:rsidRDefault="00CD5EF3" w:rsidP="00AB5A1A">
            <w:pPr>
              <w:spacing w:line="276" w:lineRule="auto"/>
              <w:ind w:left="234"/>
              <w:jc w:val="both"/>
              <w:rPr>
                <w:rFonts w:asciiTheme="minorHAnsi" w:hAnsiTheme="minorHAnsi" w:cstheme="minorHAnsi"/>
                <w:bCs/>
                <w:sz w:val="22"/>
                <w:szCs w:val="22"/>
              </w:rPr>
            </w:pPr>
            <w:r w:rsidRPr="00FF58D5">
              <w:rPr>
                <w:rFonts w:asciiTheme="minorHAnsi" w:hAnsiTheme="minorHAnsi" w:cstheme="minorHAnsi"/>
                <w:bCs/>
                <w:sz w:val="22"/>
                <w:szCs w:val="22"/>
              </w:rPr>
              <w:t>l</w:t>
            </w:r>
            <w:r w:rsidR="00F76D1F" w:rsidRPr="00FF58D5">
              <w:rPr>
                <w:rFonts w:asciiTheme="minorHAnsi" w:hAnsiTheme="minorHAnsi" w:cstheme="minorHAnsi"/>
                <w:bCs/>
                <w:sz w:val="22"/>
                <w:szCs w:val="22"/>
              </w:rPr>
              <w:t>ub</w:t>
            </w:r>
          </w:p>
          <w:p w14:paraId="57524BB4" w14:textId="0B6EA26F" w:rsidR="00F76D1F" w:rsidRPr="00FF58D5" w:rsidRDefault="00DF29DE" w:rsidP="00AB5A1A">
            <w:pPr>
              <w:spacing w:line="276" w:lineRule="auto"/>
              <w:ind w:left="234"/>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F76D1F" w:rsidRPr="00FF58D5">
              <w:rPr>
                <w:rFonts w:asciiTheme="minorHAnsi" w:hAnsiTheme="minorHAnsi" w:cstheme="minorHAnsi"/>
                <w:bCs/>
                <w:sz w:val="22"/>
                <w:szCs w:val="22"/>
              </w:rPr>
              <w:t xml:space="preserve"> wprowadzenia zasady przekazywania danych wyłącznie w formie zagregowanej, uniemożliwiającej identyfikację indywidualnych wynagrodzeń.</w:t>
            </w:r>
          </w:p>
          <w:p w14:paraId="0B2F0A11" w14:textId="77777777" w:rsidR="00F76D1F" w:rsidRPr="00FF58D5" w:rsidRDefault="00F76D1F" w:rsidP="00AB5A1A">
            <w:pPr>
              <w:spacing w:line="276" w:lineRule="auto"/>
              <w:jc w:val="both"/>
              <w:rPr>
                <w:rFonts w:asciiTheme="minorHAnsi" w:hAnsiTheme="minorHAnsi" w:cstheme="minorHAnsi"/>
                <w:bCs/>
                <w:sz w:val="22"/>
                <w:szCs w:val="22"/>
              </w:rPr>
            </w:pPr>
          </w:p>
          <w:p w14:paraId="26A1E134"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Upoważnienia i obowiązek zachowania tajemnicy</w:t>
            </w:r>
          </w:p>
          <w:p w14:paraId="4C3BF07A" w14:textId="093D8D5B" w:rsidR="00C20FF9"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ust. 1–2 przewidziano dostęp do danych osobowych wyłącznie dla osób wybranych przez pracowników lub upoważnionych przez pracodawcę. </w:t>
            </w:r>
          </w:p>
          <w:p w14:paraId="4C7C3AA5" w14:textId="56034F87" w:rsidR="00F76D1F" w:rsidRPr="00FF58D5" w:rsidRDefault="00F76D1F" w:rsidP="00AB5A1A">
            <w:pPr>
              <w:spacing w:line="276" w:lineRule="auto"/>
              <w:jc w:val="both"/>
              <w:rPr>
                <w:rFonts w:asciiTheme="minorHAnsi" w:hAnsiTheme="minorHAnsi" w:cstheme="minorHAnsi"/>
                <w:bCs/>
                <w:sz w:val="22"/>
                <w:szCs w:val="22"/>
              </w:rPr>
            </w:pPr>
          </w:p>
          <w:p w14:paraId="54E2ACD3" w14:textId="1E3614A2" w:rsidR="00F76D1F" w:rsidRPr="00FF58D5" w:rsidRDefault="00C20FF9" w:rsidP="00AB5A1A">
            <w:pPr>
              <w:pStyle w:val="Akapitzlist"/>
              <w:numPr>
                <w:ilvl w:val="0"/>
                <w:numId w:val="61"/>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czy przepis ten należy rozumieć w ten sposób, że wszystkie osoby po stronie pracodawcy oraz Partnerów Społecznych lub reprezentantów pracowników musz</w:t>
            </w:r>
            <w:r w:rsidR="009B53C2" w:rsidRPr="00FF58D5">
              <w:rPr>
                <w:rFonts w:asciiTheme="minorHAnsi" w:hAnsiTheme="minorHAnsi" w:cstheme="minorHAnsi"/>
                <w:bCs/>
                <w:sz w:val="22"/>
                <w:szCs w:val="22"/>
              </w:rPr>
              <w:t>ą</w:t>
            </w:r>
            <w:r w:rsidRPr="00FF58D5">
              <w:rPr>
                <w:rFonts w:asciiTheme="minorHAnsi" w:hAnsiTheme="minorHAnsi" w:cstheme="minorHAnsi"/>
                <w:bCs/>
                <w:sz w:val="22"/>
                <w:szCs w:val="22"/>
              </w:rPr>
              <w:t xml:space="preserve"> mieć specjalne pisemne upoważnienie pracodawcy</w:t>
            </w:r>
            <w:r w:rsidR="009B53C2" w:rsidRPr="00FF58D5">
              <w:rPr>
                <w:rFonts w:asciiTheme="minorHAnsi" w:hAnsiTheme="minorHAnsi" w:cstheme="minorHAnsi"/>
                <w:bCs/>
                <w:sz w:val="22"/>
                <w:szCs w:val="22"/>
              </w:rPr>
              <w:t>?</w:t>
            </w:r>
          </w:p>
          <w:p w14:paraId="170CEF2D" w14:textId="6CE2DB52" w:rsidR="00F76D1F" w:rsidRPr="00FF58D5" w:rsidRDefault="00905917" w:rsidP="00AB5A1A">
            <w:pPr>
              <w:spacing w:line="276" w:lineRule="auto"/>
              <w:ind w:left="92" w:hanging="92"/>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 </w:t>
            </w:r>
            <w:r w:rsidR="00F76D1F" w:rsidRPr="00FF58D5">
              <w:rPr>
                <w:rFonts w:asciiTheme="minorHAnsi" w:hAnsiTheme="minorHAnsi" w:cstheme="minorHAnsi"/>
                <w:bCs/>
                <w:sz w:val="22"/>
                <w:szCs w:val="22"/>
              </w:rPr>
              <w:t>przepis nie jest jasny co do zakresu upoważnienia: czy dotyczy wszystkich danych związanych z realizacją obowiązków ustawowych, danych określonych w art. 26 ust. 2, art. 27 ust. 1 i art. 32 ust. 1, czy także innych danych przetwarzanych w ramach art. 34 ust. 1,</w:t>
            </w:r>
          </w:p>
          <w:p w14:paraId="664040A0" w14:textId="77777777" w:rsidR="00F76D1F" w:rsidRPr="00FF58D5" w:rsidRDefault="00F76D1F" w:rsidP="00AB5A1A">
            <w:pPr>
              <w:spacing w:line="276" w:lineRule="auto"/>
              <w:jc w:val="both"/>
              <w:rPr>
                <w:rFonts w:asciiTheme="minorHAnsi" w:hAnsiTheme="minorHAnsi" w:cstheme="minorHAnsi"/>
                <w:bCs/>
                <w:sz w:val="22"/>
                <w:szCs w:val="22"/>
              </w:rPr>
            </w:pPr>
          </w:p>
          <w:p w14:paraId="49FC2B91" w14:textId="580ED54B" w:rsidR="00F76D1F" w:rsidRPr="00FF58D5" w:rsidRDefault="009B53C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w:t>
            </w:r>
            <w:r w:rsidR="00F76D1F" w:rsidRPr="00FF58D5">
              <w:rPr>
                <w:rFonts w:asciiTheme="minorHAnsi" w:hAnsiTheme="minorHAnsi" w:cstheme="minorHAnsi"/>
                <w:bCs/>
                <w:sz w:val="22"/>
                <w:szCs w:val="22"/>
              </w:rPr>
              <w:t>desłanie w ust. 2 do art. 27 pkt 1 jest błędne i powinno brzmieć: art. 27 ust. 1 lub art. 27 ust. 1 pkt 1.</w:t>
            </w:r>
          </w:p>
          <w:p w14:paraId="6A2033AA" w14:textId="77777777" w:rsidR="00F76D1F" w:rsidRPr="00FF58D5" w:rsidRDefault="00F76D1F" w:rsidP="00AB5A1A">
            <w:pPr>
              <w:spacing w:line="276" w:lineRule="auto"/>
              <w:jc w:val="both"/>
              <w:rPr>
                <w:rFonts w:asciiTheme="minorHAnsi" w:hAnsiTheme="minorHAnsi" w:cstheme="minorHAnsi"/>
                <w:bCs/>
                <w:sz w:val="22"/>
                <w:szCs w:val="22"/>
              </w:rPr>
            </w:pPr>
          </w:p>
          <w:p w14:paraId="706AE05D"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Sytuacja po upływie terminu działań zaradczych</w:t>
            </w:r>
          </w:p>
          <w:p w14:paraId="4F2E474C"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Należy wyjaśnić, jak art. 34 odnosi się do sytuacji po upływie terminu wskazanego w art. 24 ust. 3 – tj. gdy pracodawca powinien podjąć działania zaradcze wobec nieuzasadnionej luki płacowej, a pracownik wciąż nie uzyskał informacji. Czy w takim przypadku przepisy przewidują mechanizm udostępnienia danych?</w:t>
            </w:r>
          </w:p>
          <w:p w14:paraId="3D71FDA9" w14:textId="77777777" w:rsidR="00F76D1F" w:rsidRPr="00FF58D5" w:rsidRDefault="00F76D1F" w:rsidP="00AB5A1A">
            <w:pPr>
              <w:spacing w:line="276" w:lineRule="auto"/>
              <w:jc w:val="both"/>
              <w:rPr>
                <w:rFonts w:asciiTheme="minorHAnsi" w:hAnsiTheme="minorHAnsi" w:cstheme="minorHAnsi"/>
                <w:bCs/>
                <w:sz w:val="22"/>
                <w:szCs w:val="22"/>
              </w:rPr>
            </w:pPr>
          </w:p>
          <w:p w14:paraId="591D0812"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Dodatkowe gwarancje ochrony pracownika</w:t>
            </w:r>
          </w:p>
          <w:p w14:paraId="49CB85E9"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przypadku utrzymania art. 34 ust. 1 w obecnym brzmieniu zasadne jest wprowadzenie dodatkowych gwarancji:</w:t>
            </w:r>
          </w:p>
          <w:p w14:paraId="1FDD20A6" w14:textId="77777777" w:rsidR="00F76D1F" w:rsidRPr="00FF58D5" w:rsidRDefault="00F76D1F" w:rsidP="00AB5A1A">
            <w:pPr>
              <w:spacing w:line="276" w:lineRule="auto"/>
              <w:jc w:val="both"/>
              <w:rPr>
                <w:rFonts w:asciiTheme="minorHAnsi" w:hAnsiTheme="minorHAnsi" w:cstheme="minorHAnsi"/>
                <w:bCs/>
                <w:sz w:val="22"/>
                <w:szCs w:val="22"/>
              </w:rPr>
            </w:pPr>
          </w:p>
          <w:p w14:paraId="013A5474"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obowiązek uzyskania pisemnej zgody pracownika na przekazanie informacji reprezentantom pracowników, gdy może dojść do bezpośredniego lub pośredniego ujawnienia jego wynagrodzenia,</w:t>
            </w:r>
          </w:p>
          <w:p w14:paraId="35C698F1" w14:textId="77777777" w:rsidR="00F76D1F" w:rsidRPr="00FF58D5" w:rsidRDefault="00F76D1F" w:rsidP="00AB5A1A">
            <w:pPr>
              <w:spacing w:line="276" w:lineRule="auto"/>
              <w:jc w:val="both"/>
              <w:rPr>
                <w:rFonts w:asciiTheme="minorHAnsi" w:hAnsiTheme="minorHAnsi" w:cstheme="minorHAnsi"/>
                <w:bCs/>
                <w:sz w:val="22"/>
                <w:szCs w:val="22"/>
              </w:rPr>
            </w:pPr>
          </w:p>
          <w:p w14:paraId="1EE6353D" w14:textId="77777777" w:rsidR="00F76D1F" w:rsidRPr="00FF58D5" w:rsidRDefault="00F76D1F"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lub obowiązek poinformowania pracownika o ryzyku ujawnienia oraz zapewnienia mu możliwości sprzeciwu.</w:t>
            </w:r>
          </w:p>
          <w:p w14:paraId="2038824F" w14:textId="77777777" w:rsidR="003A4B68" w:rsidRPr="00FF58D5" w:rsidRDefault="003A4B68" w:rsidP="00AB5A1A">
            <w:pPr>
              <w:spacing w:line="276" w:lineRule="auto"/>
              <w:jc w:val="both"/>
              <w:rPr>
                <w:rFonts w:asciiTheme="minorHAnsi" w:hAnsiTheme="minorHAnsi" w:cstheme="minorHAnsi"/>
                <w:bCs/>
                <w:sz w:val="22"/>
                <w:szCs w:val="22"/>
              </w:rPr>
            </w:pPr>
          </w:p>
          <w:p w14:paraId="00952261"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Analogiczne zasady powinny dotyczyć zakładowych organizacji związkowych – informacje o wynagrodzeniu powinny być udostępniane wyłącznie organizacji reprezentującej danego pracownika, a nie wszystkim działającym u pracodawcy organizacjom.</w:t>
            </w:r>
          </w:p>
          <w:p w14:paraId="7454A612" w14:textId="77777777" w:rsidR="00F76D1F" w:rsidRPr="00FF58D5" w:rsidRDefault="00F76D1F" w:rsidP="00AB5A1A">
            <w:pPr>
              <w:spacing w:line="276" w:lineRule="auto"/>
              <w:jc w:val="both"/>
              <w:rPr>
                <w:rFonts w:asciiTheme="minorHAnsi" w:hAnsiTheme="minorHAnsi" w:cstheme="minorHAnsi"/>
                <w:bCs/>
                <w:sz w:val="22"/>
                <w:szCs w:val="22"/>
              </w:rPr>
            </w:pPr>
          </w:p>
          <w:p w14:paraId="6E7401A4" w14:textId="77777777" w:rsidR="00F76D1F"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Niejasność pojęcia „ujawnienie bezpośrednie lub pośrednie”</w:t>
            </w:r>
          </w:p>
          <w:p w14:paraId="7408F188" w14:textId="736FD4C1" w:rsidR="0076498C" w:rsidRPr="00FF58D5" w:rsidRDefault="00F76D1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Nie jest jasne, jakie sytuacje mieszczą się w definicji „ujawnienia bezpośredniego lub pośredniego” wynagrodzenia. Wątpliwości budzą np. przypadki, gdy na danym stanowisku pracują jedynie dwie osoby odmiennej płci. Brak doprecyzowania może prowadzić do rozbieżności interpretacyjnych i zwiększonego ryzyka naruszenia poufności wynagrodzeń.</w:t>
            </w:r>
          </w:p>
        </w:tc>
      </w:tr>
      <w:tr w:rsidR="006E0F36" w:rsidRPr="00FF58D5" w14:paraId="1C358A76" w14:textId="77777777" w:rsidTr="00AB5A1A">
        <w:trPr>
          <w:trHeight w:val="1275"/>
        </w:trPr>
        <w:tc>
          <w:tcPr>
            <w:tcW w:w="709" w:type="dxa"/>
            <w:vAlign w:val="center"/>
          </w:tcPr>
          <w:p w14:paraId="449258BF" w14:textId="77777777" w:rsidR="006E0F36" w:rsidRPr="00FF58D5" w:rsidRDefault="006E0F36"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7AC03426" w14:textId="77777777" w:rsidR="006E0F36" w:rsidRPr="00FF58D5" w:rsidRDefault="006E0F36" w:rsidP="00AB5A1A">
            <w:pPr>
              <w:spacing w:line="276" w:lineRule="auto"/>
              <w:jc w:val="both"/>
              <w:rPr>
                <w:rFonts w:asciiTheme="minorHAnsi" w:hAnsiTheme="minorHAnsi" w:cstheme="minorHAnsi"/>
                <w:b/>
                <w:bCs/>
                <w:sz w:val="22"/>
                <w:szCs w:val="22"/>
              </w:rPr>
            </w:pPr>
          </w:p>
          <w:p w14:paraId="3D6368FC" w14:textId="0F24533E" w:rsidR="006E0F36" w:rsidRPr="00FF58D5" w:rsidRDefault="006E0F36" w:rsidP="00AB5A1A">
            <w:pPr>
              <w:spacing w:line="276" w:lineRule="auto"/>
              <w:rPr>
                <w:rFonts w:asciiTheme="minorHAnsi" w:hAnsiTheme="minorHAnsi" w:cstheme="minorHAnsi"/>
                <w:b/>
                <w:bCs/>
                <w:sz w:val="22"/>
                <w:szCs w:val="22"/>
              </w:rPr>
            </w:pPr>
            <w:r w:rsidRPr="00FF58D5">
              <w:rPr>
                <w:rFonts w:asciiTheme="minorHAnsi" w:hAnsiTheme="minorHAnsi" w:cstheme="minorHAnsi"/>
                <w:b/>
                <w:bCs/>
                <w:sz w:val="22"/>
                <w:szCs w:val="22"/>
              </w:rPr>
              <w:t>Art. 39</w:t>
            </w:r>
          </w:p>
        </w:tc>
        <w:tc>
          <w:tcPr>
            <w:tcW w:w="3118" w:type="dxa"/>
            <w:vAlign w:val="center"/>
          </w:tcPr>
          <w:p w14:paraId="29BF5DF8" w14:textId="46BF8C4D" w:rsidR="006E0F36" w:rsidRPr="00FF58D5" w:rsidRDefault="006E0F36"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39. </w:t>
            </w:r>
            <w:r w:rsidRPr="00FF58D5">
              <w:rPr>
                <w:rFonts w:asciiTheme="minorHAnsi" w:hAnsiTheme="minorHAnsi" w:cstheme="minorHAnsi"/>
                <w:sz w:val="22"/>
                <w:szCs w:val="22"/>
              </w:rPr>
              <w:t>Państwowa Inspekcja Pracy zapewnia szkolenia  pracodawcom zatrudniającym mniej niż 250 pracowników oraz zakładowym organizacjom związkowym, w celu ułatwienia im realizacji zadań wynikających z niniejszej ustawy.</w:t>
            </w:r>
          </w:p>
        </w:tc>
        <w:tc>
          <w:tcPr>
            <w:tcW w:w="3827" w:type="dxa"/>
            <w:vAlign w:val="center"/>
          </w:tcPr>
          <w:p w14:paraId="2D84C571" w14:textId="44308684" w:rsidR="006E0F36" w:rsidRPr="00FF58D5" w:rsidRDefault="005F651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Doprecyzowanie trybu przeprowadzenia szkoleń oraz rozszerzenie przepisu o przedsiębiorców zatrudniających więcej niż 250 osó</w:t>
            </w:r>
            <w:r w:rsidR="00640FFB" w:rsidRPr="00FF58D5">
              <w:rPr>
                <w:rFonts w:asciiTheme="minorHAnsi" w:hAnsiTheme="minorHAnsi" w:cstheme="minorHAnsi"/>
                <w:bCs/>
                <w:sz w:val="22"/>
                <w:szCs w:val="22"/>
              </w:rPr>
              <w:t>b</w:t>
            </w:r>
            <w:r w:rsidRPr="00FF58D5">
              <w:rPr>
                <w:rFonts w:asciiTheme="minorHAnsi" w:hAnsiTheme="minorHAnsi" w:cstheme="minorHAnsi"/>
                <w:bCs/>
                <w:sz w:val="22"/>
                <w:szCs w:val="22"/>
              </w:rPr>
              <w:t xml:space="preserve">. </w:t>
            </w:r>
          </w:p>
        </w:tc>
        <w:tc>
          <w:tcPr>
            <w:tcW w:w="5387" w:type="dxa"/>
          </w:tcPr>
          <w:p w14:paraId="2C608420" w14:textId="77777777" w:rsidR="005F651A" w:rsidRPr="00FF58D5" w:rsidRDefault="005F651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ocenie Konfederacji Lewiatan, ze względu na istotność i zakres zmian wprowadzanych projektem ustawy, dostęp do szkoleń nie powinien być ograniczony wyłącznie do pracodawców zatrudniających mniej niż 250 pracowników, zwłaszcza że obecnie możliwe jest prowadzenie szkoleń w formule online.</w:t>
            </w:r>
          </w:p>
          <w:p w14:paraId="0DB997E5" w14:textId="77777777" w:rsidR="005F651A" w:rsidRPr="00FF58D5" w:rsidRDefault="005F651A" w:rsidP="00AB5A1A">
            <w:pPr>
              <w:spacing w:line="276" w:lineRule="auto"/>
              <w:jc w:val="both"/>
              <w:rPr>
                <w:rFonts w:asciiTheme="minorHAnsi" w:hAnsiTheme="minorHAnsi" w:cstheme="minorHAnsi"/>
                <w:bCs/>
                <w:sz w:val="22"/>
                <w:szCs w:val="22"/>
              </w:rPr>
            </w:pPr>
          </w:p>
          <w:p w14:paraId="2404DE9F" w14:textId="77777777" w:rsidR="005F651A" w:rsidRPr="00FF58D5" w:rsidRDefault="005F651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Ponadto art. 39 nie precyzuje, na czym ma polegać „zapewnienie szkoleń” przez Państwową Inspekcję Pracy – </w:t>
            </w:r>
            <w:r w:rsidRPr="00FF58D5">
              <w:rPr>
                <w:rFonts w:asciiTheme="minorHAnsi" w:hAnsiTheme="minorHAnsi" w:cstheme="minorHAnsi"/>
                <w:bCs/>
                <w:sz w:val="22"/>
                <w:szCs w:val="22"/>
              </w:rPr>
              <w:lastRenderedPageBreak/>
              <w:t>brak jest informacji, kto i w jakim trybie będzie prowadził szkolenia, na jakich zasadach oraz z jakich źródeł będą one finansowane, zarówno dla pracodawców, jak i dla zakładowych organizacji związkowych.</w:t>
            </w:r>
          </w:p>
          <w:p w14:paraId="69DD369A" w14:textId="77777777" w:rsidR="005F651A" w:rsidRPr="00FF58D5" w:rsidRDefault="005F651A" w:rsidP="00AB5A1A">
            <w:pPr>
              <w:spacing w:line="276" w:lineRule="auto"/>
              <w:jc w:val="both"/>
              <w:rPr>
                <w:rFonts w:asciiTheme="minorHAnsi" w:hAnsiTheme="minorHAnsi" w:cstheme="minorHAnsi"/>
                <w:bCs/>
                <w:sz w:val="22"/>
                <w:szCs w:val="22"/>
              </w:rPr>
            </w:pPr>
          </w:p>
          <w:p w14:paraId="59974B6D" w14:textId="66849EAA" w:rsidR="006E0F36" w:rsidRPr="00FF58D5" w:rsidRDefault="005F651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Postulujemy doprecyzowanie tych kwestii w projekcie ustawy.</w:t>
            </w:r>
          </w:p>
        </w:tc>
      </w:tr>
      <w:tr w:rsidR="00D821DE" w:rsidRPr="00FF58D5" w14:paraId="05E5511F" w14:textId="77777777" w:rsidTr="00413339">
        <w:trPr>
          <w:trHeight w:val="1275"/>
        </w:trPr>
        <w:tc>
          <w:tcPr>
            <w:tcW w:w="709" w:type="dxa"/>
            <w:vAlign w:val="center"/>
          </w:tcPr>
          <w:p w14:paraId="6A0E435A" w14:textId="77777777" w:rsidR="00D821DE" w:rsidRPr="00FF58D5" w:rsidRDefault="00D821D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403ACEF4" w14:textId="0DBA3CA5" w:rsidR="00D821DE" w:rsidRPr="00FF58D5" w:rsidRDefault="00D821DE" w:rsidP="009A348F">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42</w:t>
            </w:r>
          </w:p>
        </w:tc>
        <w:tc>
          <w:tcPr>
            <w:tcW w:w="3118" w:type="dxa"/>
            <w:vAlign w:val="center"/>
          </w:tcPr>
          <w:p w14:paraId="2B2238C3" w14:textId="490449D8" w:rsidR="00D821DE" w:rsidRPr="00FF58D5" w:rsidRDefault="00D821DE" w:rsidP="009A348F">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Art. 42. 1. W sprawach dotyczących zarzucanej bezpośredniej lub pośredniej dyskryminacji wynikającej z naruszenia zasady równego traktowania w zatrudnieniu w zakresie prawa do jednakowego wynagrodzenia mężczyzn i kobiet za jednakową pracę lub pracę o jednakowej wartości, w przypadku gdy pracodawca naruszył obowiązki związane z przejrzystością wynagrodzeń, o których mowa w rozdziale 3 lub art. 183ca Kodeksu pracy, na .pracodawcy spoczywa obowiązek udowodnienia, że kierował się obiektywnymi powodami, nawet jeżeli osoba, która zarzuca pracodawcy </w:t>
            </w:r>
            <w:r w:rsidRPr="00FF58D5">
              <w:rPr>
                <w:rFonts w:asciiTheme="minorHAnsi" w:hAnsiTheme="minorHAnsi" w:cstheme="minorHAnsi"/>
                <w:sz w:val="22"/>
                <w:szCs w:val="22"/>
              </w:rPr>
              <w:lastRenderedPageBreak/>
              <w:t xml:space="preserve">naruszenie zasady równego traktowania w zatrudnieniu w zakresie prawa do jednakowego wynagrodzenia mężczyzn i kobiet za jednakową pracę lub pracę o jednakowej wartości, nie uprawdopodobni występowania bezpośredniej lub pośredniej dyskryminacji.  </w:t>
            </w:r>
          </w:p>
        </w:tc>
        <w:tc>
          <w:tcPr>
            <w:tcW w:w="3827" w:type="dxa"/>
            <w:vAlign w:val="center"/>
          </w:tcPr>
          <w:p w14:paraId="4575CD0C" w14:textId="32C982A9" w:rsidR="009F5186" w:rsidRPr="00FF58D5" w:rsidRDefault="00995AF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Przepis wymaga przeredagowania</w:t>
            </w:r>
            <w:r w:rsidR="00F73F1C" w:rsidRPr="00FF58D5">
              <w:rPr>
                <w:rFonts w:asciiTheme="minorHAnsi" w:hAnsiTheme="minorHAnsi" w:cstheme="minorHAnsi"/>
                <w:bCs/>
                <w:sz w:val="22"/>
                <w:szCs w:val="22"/>
              </w:rPr>
              <w:t>:</w:t>
            </w:r>
            <w:r w:rsidRPr="00FF58D5">
              <w:rPr>
                <w:rFonts w:asciiTheme="minorHAnsi" w:hAnsiTheme="minorHAnsi" w:cstheme="minorHAnsi"/>
                <w:bCs/>
                <w:sz w:val="22"/>
                <w:szCs w:val="22"/>
              </w:rPr>
              <w:t xml:space="preserve"> </w:t>
            </w:r>
          </w:p>
          <w:p w14:paraId="5AE86DAD" w14:textId="53E60F3F" w:rsidR="009F5186" w:rsidRPr="00FF58D5" w:rsidRDefault="00A859B8"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Art. 42. 1. W sprawach dotyczących zarzucanej bezpośredniej lub pośredniej dyskryminacji wynikającej z naruszenia zasady równego traktowania w zatrudnieniu w zakresie prawa do jednakowego wynagrodzenia mężczyzn i kobiet za jednakową pracę lub pracę o jednakowej wartości, </w:t>
            </w:r>
            <w:r w:rsidRPr="00FF58D5">
              <w:rPr>
                <w:rFonts w:asciiTheme="minorHAnsi" w:hAnsiTheme="minorHAnsi" w:cstheme="minorHAnsi"/>
                <w:b/>
                <w:sz w:val="22"/>
                <w:szCs w:val="22"/>
              </w:rPr>
              <w:t>w przypadku gdy pracownik wykaże, iż</w:t>
            </w:r>
            <w:r w:rsidRPr="00FF58D5">
              <w:rPr>
                <w:rFonts w:asciiTheme="minorHAnsi" w:hAnsiTheme="minorHAnsi" w:cstheme="minorHAnsi"/>
                <w:bCs/>
                <w:sz w:val="22"/>
                <w:szCs w:val="22"/>
              </w:rPr>
              <w:t xml:space="preserve"> pracodawca </w:t>
            </w:r>
            <w:r w:rsidR="002576FE" w:rsidRPr="00FF58D5">
              <w:rPr>
                <w:rFonts w:asciiTheme="minorHAnsi" w:hAnsiTheme="minorHAnsi" w:cstheme="minorHAnsi"/>
                <w:b/>
                <w:sz w:val="22"/>
                <w:szCs w:val="22"/>
              </w:rPr>
              <w:t>nie rea</w:t>
            </w:r>
            <w:r w:rsidR="00752053" w:rsidRPr="00FF58D5">
              <w:rPr>
                <w:rFonts w:asciiTheme="minorHAnsi" w:hAnsiTheme="minorHAnsi" w:cstheme="minorHAnsi"/>
                <w:b/>
                <w:sz w:val="22"/>
                <w:szCs w:val="22"/>
              </w:rPr>
              <w:t xml:space="preserve">lizował obowiązków </w:t>
            </w:r>
            <w:r w:rsidRPr="00FF58D5">
              <w:rPr>
                <w:rFonts w:asciiTheme="minorHAnsi" w:hAnsiTheme="minorHAnsi" w:cstheme="minorHAnsi"/>
                <w:bCs/>
                <w:sz w:val="22"/>
                <w:szCs w:val="22"/>
              </w:rPr>
              <w:t>związan</w:t>
            </w:r>
            <w:r w:rsidR="00752053" w:rsidRPr="00FF58D5">
              <w:rPr>
                <w:rFonts w:asciiTheme="minorHAnsi" w:hAnsiTheme="minorHAnsi" w:cstheme="minorHAnsi"/>
                <w:bCs/>
                <w:sz w:val="22"/>
                <w:szCs w:val="22"/>
              </w:rPr>
              <w:t>ych</w:t>
            </w:r>
            <w:r w:rsidRPr="00FF58D5">
              <w:rPr>
                <w:rFonts w:asciiTheme="minorHAnsi" w:hAnsiTheme="minorHAnsi" w:cstheme="minorHAnsi"/>
                <w:bCs/>
                <w:sz w:val="22"/>
                <w:szCs w:val="22"/>
              </w:rPr>
              <w:t xml:space="preserve"> z przejrzystością wynagrodzeń, o których mowa w rozdziale 3 lub art. 183ca Kodeksu pracy</w:t>
            </w:r>
            <w:r w:rsidR="004C7CC0" w:rsidRPr="00FF58D5">
              <w:rPr>
                <w:rFonts w:asciiTheme="minorHAnsi" w:hAnsiTheme="minorHAnsi" w:cstheme="minorHAnsi"/>
                <w:bCs/>
                <w:sz w:val="22"/>
                <w:szCs w:val="22"/>
              </w:rPr>
              <w:t xml:space="preserve"> (…).</w:t>
            </w:r>
          </w:p>
        </w:tc>
        <w:tc>
          <w:tcPr>
            <w:tcW w:w="5387" w:type="dxa"/>
          </w:tcPr>
          <w:p w14:paraId="2B248826" w14:textId="14CA4BEB" w:rsidR="00146F75" w:rsidRPr="00FF58D5" w:rsidRDefault="00F73F1C" w:rsidP="00995AF0">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w:t>
            </w:r>
            <w:r w:rsidR="00F4003B" w:rsidRPr="00FF58D5">
              <w:rPr>
                <w:rFonts w:asciiTheme="minorHAnsi" w:hAnsiTheme="minorHAnsi" w:cstheme="minorHAnsi"/>
                <w:bCs/>
                <w:sz w:val="22"/>
                <w:szCs w:val="22"/>
              </w:rPr>
              <w:t xml:space="preserve">racownik, od którego nie </w:t>
            </w:r>
            <w:r w:rsidR="00170E8E" w:rsidRPr="00FF58D5">
              <w:rPr>
                <w:rFonts w:asciiTheme="minorHAnsi" w:hAnsiTheme="minorHAnsi" w:cstheme="minorHAnsi"/>
                <w:bCs/>
                <w:sz w:val="22"/>
                <w:szCs w:val="22"/>
              </w:rPr>
              <w:t>wymagamy</w:t>
            </w:r>
            <w:r w:rsidR="00F4003B" w:rsidRPr="00FF58D5">
              <w:rPr>
                <w:rFonts w:asciiTheme="minorHAnsi" w:hAnsiTheme="minorHAnsi" w:cstheme="minorHAnsi"/>
                <w:bCs/>
                <w:sz w:val="22"/>
                <w:szCs w:val="22"/>
              </w:rPr>
              <w:t xml:space="preserve"> </w:t>
            </w:r>
            <w:r w:rsidR="00170E8E" w:rsidRPr="00FF58D5">
              <w:rPr>
                <w:rFonts w:asciiTheme="minorHAnsi" w:hAnsiTheme="minorHAnsi" w:cstheme="minorHAnsi"/>
                <w:bCs/>
                <w:sz w:val="22"/>
                <w:szCs w:val="22"/>
              </w:rPr>
              <w:t>uprawdopodobnienia</w:t>
            </w:r>
            <w:r w:rsidR="00F4003B" w:rsidRPr="00FF58D5">
              <w:rPr>
                <w:rFonts w:asciiTheme="minorHAnsi" w:hAnsiTheme="minorHAnsi" w:cstheme="minorHAnsi"/>
                <w:bCs/>
                <w:sz w:val="22"/>
                <w:szCs w:val="22"/>
              </w:rPr>
              <w:t xml:space="preserve"> </w:t>
            </w:r>
            <w:r w:rsidR="00170E8E" w:rsidRPr="00FF58D5">
              <w:rPr>
                <w:rFonts w:asciiTheme="minorHAnsi" w:hAnsiTheme="minorHAnsi" w:cstheme="minorHAnsi"/>
                <w:bCs/>
                <w:sz w:val="22"/>
                <w:szCs w:val="22"/>
              </w:rPr>
              <w:t xml:space="preserve">dyskryminacji, powinien wykazać, iż pracodawca nie realizował określonych obowiązków. </w:t>
            </w:r>
          </w:p>
          <w:p w14:paraId="68CADCB4" w14:textId="77777777" w:rsidR="00995AF0" w:rsidRPr="00FF58D5" w:rsidRDefault="00995AF0" w:rsidP="00146F75">
            <w:pPr>
              <w:spacing w:line="276" w:lineRule="auto"/>
              <w:jc w:val="both"/>
              <w:rPr>
                <w:rFonts w:asciiTheme="minorHAnsi" w:hAnsiTheme="minorHAnsi" w:cstheme="minorHAnsi"/>
                <w:bCs/>
                <w:sz w:val="22"/>
                <w:szCs w:val="22"/>
              </w:rPr>
            </w:pPr>
          </w:p>
          <w:p w14:paraId="3387DB11" w14:textId="209D9BF1" w:rsidR="00146F75" w:rsidRPr="00FF58D5" w:rsidRDefault="00170E8E" w:rsidP="00146F75">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Ponadto </w:t>
            </w:r>
            <w:r w:rsidR="002917F3" w:rsidRPr="00FF58D5">
              <w:rPr>
                <w:rFonts w:asciiTheme="minorHAnsi" w:hAnsiTheme="minorHAnsi" w:cstheme="minorHAnsi"/>
                <w:bCs/>
                <w:sz w:val="22"/>
                <w:szCs w:val="22"/>
              </w:rPr>
              <w:t xml:space="preserve">przepis powinien uwzględniać przepis dyrektywy , iż mechanizm ten </w:t>
            </w:r>
            <w:r w:rsidR="00146F75" w:rsidRPr="00FF58D5">
              <w:rPr>
                <w:rFonts w:asciiTheme="minorHAnsi" w:hAnsiTheme="minorHAnsi" w:cstheme="minorHAnsi"/>
                <w:bCs/>
                <w:sz w:val="22"/>
                <w:szCs w:val="22"/>
              </w:rPr>
              <w:t>nie ma zastosowania w przypadku, gdy pracodawca udowodni, że naruszenie obowiązków określonych w art. 5, 6, 7, 9 i 10</w:t>
            </w:r>
            <w:r w:rsidR="002917F3" w:rsidRPr="00FF58D5">
              <w:rPr>
                <w:rFonts w:asciiTheme="minorHAnsi" w:hAnsiTheme="minorHAnsi" w:cstheme="minorHAnsi"/>
                <w:bCs/>
                <w:sz w:val="22"/>
                <w:szCs w:val="22"/>
              </w:rPr>
              <w:t xml:space="preserve"> dyrektywy</w:t>
            </w:r>
            <w:r w:rsidR="00146F75" w:rsidRPr="00FF58D5">
              <w:rPr>
                <w:rFonts w:asciiTheme="minorHAnsi" w:hAnsiTheme="minorHAnsi" w:cstheme="minorHAnsi"/>
                <w:bCs/>
                <w:sz w:val="22"/>
                <w:szCs w:val="22"/>
              </w:rPr>
              <w:t xml:space="preserve"> było w oczywisty sposób niezamierzone i miało marginalny charakter.</w:t>
            </w:r>
          </w:p>
          <w:p w14:paraId="21C461B6" w14:textId="63441900" w:rsidR="00146F75" w:rsidRPr="00FF58D5" w:rsidRDefault="00146F75" w:rsidP="00E64A28">
            <w:pPr>
              <w:spacing w:line="276" w:lineRule="auto"/>
              <w:jc w:val="both"/>
              <w:rPr>
                <w:rFonts w:asciiTheme="minorHAnsi" w:hAnsiTheme="minorHAnsi" w:cstheme="minorHAnsi"/>
                <w:bCs/>
                <w:sz w:val="22"/>
                <w:szCs w:val="22"/>
              </w:rPr>
            </w:pPr>
          </w:p>
        </w:tc>
      </w:tr>
      <w:tr w:rsidR="00004867" w:rsidRPr="00FF58D5" w14:paraId="792E6457" w14:textId="77777777" w:rsidTr="00AB5A1A">
        <w:trPr>
          <w:trHeight w:val="1275"/>
        </w:trPr>
        <w:tc>
          <w:tcPr>
            <w:tcW w:w="709" w:type="dxa"/>
            <w:vAlign w:val="center"/>
          </w:tcPr>
          <w:p w14:paraId="5223D620" w14:textId="77777777" w:rsidR="00E42F6C" w:rsidRPr="00FF58D5" w:rsidRDefault="00E42F6C"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43DA6CE8" w14:textId="3992DB49" w:rsidR="00E42F6C" w:rsidRPr="00FF58D5" w:rsidRDefault="00DF7B09"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43</w:t>
            </w:r>
          </w:p>
        </w:tc>
        <w:tc>
          <w:tcPr>
            <w:tcW w:w="3118" w:type="dxa"/>
            <w:vAlign w:val="center"/>
          </w:tcPr>
          <w:p w14:paraId="3E512A72" w14:textId="77777777" w:rsidR="00DF7B09" w:rsidRPr="00FF58D5" w:rsidRDefault="00DF7B09"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43.</w:t>
            </w:r>
            <w:r w:rsidRPr="00FF58D5">
              <w:rPr>
                <w:rFonts w:asciiTheme="minorHAnsi" w:hAnsiTheme="minorHAnsi" w:cstheme="minorHAnsi"/>
                <w:sz w:val="22"/>
                <w:szCs w:val="22"/>
              </w:rPr>
              <w:t xml:space="preserve"> 1. Bieg terminu przedawnienia roszczenia z tytułu naruszenia praw lub obowiązków z naruszenia zasady równego traktowania w zatrudnieniu w zakresie prawa do jednakowego wynagrodzenia mężczyzn i kobiet za jednakową pracę lub pracę o jednakowej wartości przerywa się :</w:t>
            </w:r>
          </w:p>
          <w:p w14:paraId="4AD61D06" w14:textId="77777777" w:rsidR="00DF7B09" w:rsidRPr="00FF58D5" w:rsidRDefault="00DF7B0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 xml:space="preserve">przez każdą czynność przed właściwym organem powołanym do rozstrzygania sporów, bezpośrednio lub za pośrednictwem przedstawicieli pracowników, inspektoratu pracy lub organu do spraw równości lub egzekwowania roszczeń w celu </w:t>
            </w:r>
            <w:r w:rsidRPr="00FF58D5">
              <w:rPr>
                <w:rFonts w:asciiTheme="minorHAnsi" w:hAnsiTheme="minorHAnsi" w:cstheme="minorHAnsi"/>
                <w:sz w:val="22"/>
                <w:szCs w:val="22"/>
              </w:rPr>
              <w:lastRenderedPageBreak/>
              <w:t>dochodzenia lub ustalenia albo zaspokojenia lub zabezpieczenia roszczenia wynikającego z realizacji zasady równego traktowania w zatrudnieniu w zakresie prawa do jednakowego wynagrodzenia mężczyzn i kobiet za jednakową pracę lub pracę o jednakowej wartości;</w:t>
            </w:r>
          </w:p>
          <w:p w14:paraId="13243F35" w14:textId="77777777" w:rsidR="00DF7B09" w:rsidRPr="00FF58D5" w:rsidRDefault="00DF7B0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przez uznanie roszczeń wynikających z niniejszej ustawy;</w:t>
            </w:r>
          </w:p>
          <w:p w14:paraId="2D90CD9C" w14:textId="3DA38FC4" w:rsidR="00E42F6C" w:rsidRPr="00FF58D5" w:rsidRDefault="00DF7B09"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w:t>
            </w:r>
            <w:r w:rsidRPr="00FF58D5">
              <w:rPr>
                <w:rFonts w:asciiTheme="minorHAnsi" w:hAnsiTheme="minorHAnsi" w:cstheme="minorHAnsi"/>
                <w:sz w:val="22"/>
                <w:szCs w:val="22"/>
              </w:rPr>
              <w:tab/>
              <w:t xml:space="preserve">poprzez złożenie skargi do pracodawcy. </w:t>
            </w:r>
          </w:p>
        </w:tc>
        <w:tc>
          <w:tcPr>
            <w:tcW w:w="3827" w:type="dxa"/>
            <w:vAlign w:val="center"/>
          </w:tcPr>
          <w:p w14:paraId="6408677D" w14:textId="33935579" w:rsidR="00E42F6C" w:rsidRPr="00FF58D5" w:rsidRDefault="00DF7B0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Proponuje się nadanie </w:t>
            </w:r>
            <w:r w:rsidR="00F41426" w:rsidRPr="00FF58D5">
              <w:rPr>
                <w:rFonts w:asciiTheme="minorHAnsi" w:hAnsiTheme="minorHAnsi" w:cstheme="minorHAnsi"/>
                <w:bCs/>
                <w:sz w:val="22"/>
                <w:szCs w:val="22"/>
              </w:rPr>
              <w:t>Art. 43 ust. 1 i ust. 2</w:t>
            </w:r>
            <w:r w:rsidR="007A19A9" w:rsidRPr="00FF58D5">
              <w:rPr>
                <w:rFonts w:asciiTheme="minorHAnsi" w:hAnsiTheme="minorHAnsi" w:cstheme="minorHAnsi"/>
                <w:bCs/>
                <w:sz w:val="22"/>
                <w:szCs w:val="22"/>
              </w:rPr>
              <w:t xml:space="preserve"> następującego brzemienia:</w:t>
            </w:r>
          </w:p>
          <w:p w14:paraId="3C63D8A9" w14:textId="77777777" w:rsidR="007A19A9" w:rsidRPr="00FF58D5" w:rsidRDefault="007A19A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
                <w:bCs/>
                <w:sz w:val="22"/>
                <w:szCs w:val="22"/>
              </w:rPr>
              <w:t>Art. 43.</w:t>
            </w:r>
            <w:r w:rsidRPr="00FF58D5">
              <w:rPr>
                <w:rFonts w:asciiTheme="minorHAnsi" w:hAnsiTheme="minorHAnsi" w:cstheme="minorHAnsi"/>
                <w:bCs/>
                <w:sz w:val="22"/>
                <w:szCs w:val="22"/>
              </w:rPr>
              <w:t xml:space="preserve"> 1. Bieg terminu przedawnienia roszczenia z tytułu naruszenia praw lub obowiązków z naruszenia zasady równego traktowania w zatrudnieniu w zakresie prawa do jednakowego wynagrodzenia mężczyzn i kobiet za jednakową pracę lub pracę o jednakowej wartości przerywa się :</w:t>
            </w:r>
          </w:p>
          <w:p w14:paraId="5D7B9D11" w14:textId="77777777" w:rsidR="007A19A9" w:rsidRPr="00FF58D5" w:rsidRDefault="007A19A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1)</w:t>
            </w:r>
            <w:r w:rsidRPr="00FF58D5">
              <w:rPr>
                <w:rFonts w:asciiTheme="minorHAnsi" w:hAnsiTheme="minorHAnsi" w:cstheme="minorHAnsi"/>
                <w:bCs/>
                <w:sz w:val="22"/>
                <w:szCs w:val="22"/>
              </w:rPr>
              <w:tab/>
              <w:t xml:space="preserve">przez każdą czynność przed właściwym organem powołanym do rozstrzygania sporów, bezpośrednio lub za pośrednictwem przedstawicieli pracowników, inspektoratu pracy lub organu do spraw równości lub egzekwowania roszczeń w celu dochodzenia lub ustalenia albo </w:t>
            </w:r>
            <w:r w:rsidRPr="00FF58D5">
              <w:rPr>
                <w:rFonts w:asciiTheme="minorHAnsi" w:hAnsiTheme="minorHAnsi" w:cstheme="minorHAnsi"/>
                <w:bCs/>
                <w:sz w:val="22"/>
                <w:szCs w:val="22"/>
              </w:rPr>
              <w:lastRenderedPageBreak/>
              <w:t>zaspokojenia lub zabezpieczenia roszczenia wynikającego z realizacji zasady równego traktowania w zatrudnieniu w zakresie prawa do jednakowego wynagrodzenia mężczyzn i kobiet za jednakową pracę lub pracę o jednakowej wartości;</w:t>
            </w:r>
          </w:p>
          <w:p w14:paraId="762B9DAF" w14:textId="77777777" w:rsidR="001C2324" w:rsidRPr="00FF58D5" w:rsidRDefault="007A19A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w:t>
            </w:r>
            <w:r w:rsidRPr="00FF58D5">
              <w:rPr>
                <w:rFonts w:asciiTheme="minorHAnsi" w:hAnsiTheme="minorHAnsi" w:cstheme="minorHAnsi"/>
                <w:bCs/>
                <w:sz w:val="22"/>
                <w:szCs w:val="22"/>
              </w:rPr>
              <w:tab/>
              <w:t>przez uznanie roszczeń wynikających z niniejszej ustawy</w:t>
            </w:r>
            <w:r w:rsidR="006C6D6C" w:rsidRPr="00FF58D5">
              <w:rPr>
                <w:rFonts w:asciiTheme="minorHAnsi" w:hAnsiTheme="minorHAnsi" w:cstheme="minorHAnsi"/>
                <w:bCs/>
                <w:sz w:val="22"/>
                <w:szCs w:val="22"/>
              </w:rPr>
              <w:t>.</w:t>
            </w:r>
          </w:p>
          <w:p w14:paraId="272C9E88" w14:textId="145CA00F" w:rsidR="007A19A9" w:rsidRPr="00FF58D5" w:rsidRDefault="00F41426"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2. Złożenie skargi do pracodawcy powoduje zawieszenie biegu terminu przedawnienia roszczeń, o których mowa w ust. 1, do dnia zakończenia postępowania skargowego.</w:t>
            </w:r>
          </w:p>
        </w:tc>
        <w:tc>
          <w:tcPr>
            <w:tcW w:w="5387" w:type="dxa"/>
          </w:tcPr>
          <w:p w14:paraId="78D8C983" w14:textId="77777777" w:rsidR="00D25B88" w:rsidRPr="00FF58D5" w:rsidRDefault="00D25B88"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Proponowana zmiana ma na celu zróżnicowanie skutków prawnych poszczególnych czynności podejmowanych przez pracownika w kontekście biegu terminu przedawnienia roszczeń.</w:t>
            </w:r>
          </w:p>
          <w:p w14:paraId="1D2118BB" w14:textId="77777777" w:rsidR="00F77272" w:rsidRPr="00FF58D5" w:rsidRDefault="00F77272" w:rsidP="00AB5A1A">
            <w:pPr>
              <w:spacing w:line="276" w:lineRule="auto"/>
              <w:jc w:val="both"/>
              <w:rPr>
                <w:rFonts w:asciiTheme="minorHAnsi" w:hAnsiTheme="minorHAnsi" w:cstheme="minorHAnsi"/>
                <w:bCs/>
                <w:sz w:val="22"/>
                <w:szCs w:val="22"/>
              </w:rPr>
            </w:pPr>
          </w:p>
          <w:p w14:paraId="322ABB38" w14:textId="77777777" w:rsidR="00D25B88" w:rsidRPr="00FF58D5" w:rsidRDefault="00D25B88"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Złożenie skargi do pracodawcy ma charakter wewnętrzny i nie zawsze prowadzi do formalnego rozstrzygnięcia sporu ani do jednoznacznego ustalenia istnienia roszczenia. Zrównanie tej czynności – w zakresie skutków dla biegu przedawnienia – z czynnościami podejmowanymi przed sądem lub innym właściwym organem może prowadzić do nadmiernego i nieproporcjonalnego wydłużenia okresu dochodzenia roszczeń.</w:t>
            </w:r>
          </w:p>
          <w:p w14:paraId="0E2AA385" w14:textId="77777777" w:rsidR="00F77272" w:rsidRPr="00FF58D5" w:rsidRDefault="00F77272" w:rsidP="00AB5A1A">
            <w:pPr>
              <w:spacing w:line="276" w:lineRule="auto"/>
              <w:jc w:val="both"/>
              <w:rPr>
                <w:rFonts w:asciiTheme="minorHAnsi" w:hAnsiTheme="minorHAnsi" w:cstheme="minorHAnsi"/>
                <w:bCs/>
                <w:sz w:val="22"/>
                <w:szCs w:val="22"/>
              </w:rPr>
            </w:pPr>
          </w:p>
          <w:p w14:paraId="75CA9E78" w14:textId="09DE00D1" w:rsidR="00E42F6C" w:rsidRPr="00FF58D5" w:rsidRDefault="00D25B8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Jednocześnie proponowane rozwiązanie pozostaje w pełni zgodne z art. 21 ust. 2 dyrektywy, który pozostawia ustawodawcy krajowemu wybór pomiędzy zawieszeniem a przerwaniem biegu przedawnienia („Państwa członkowskie </w:t>
            </w:r>
            <w:r w:rsidRPr="00FF58D5">
              <w:rPr>
                <w:rFonts w:asciiTheme="minorHAnsi" w:hAnsiTheme="minorHAnsi" w:cstheme="minorHAnsi"/>
                <w:bCs/>
                <w:sz w:val="22"/>
                <w:szCs w:val="22"/>
              </w:rPr>
              <w:lastRenderedPageBreak/>
              <w:t>zapewniają, aby bieg terminu przedawnienia ulegał zawieszeniu lub, w zależności od prawa krajowego, przerwaniu…”). W tym kontekście zawieszenie biegu przedawnienia w przypadku skargi do pracodawcy stanowi rozwiązanie wyważone, zapewniające ochronę pracownika, a jednocześnie uwzględniające zasadę pewności prawa po stronie pracodawcy.</w:t>
            </w:r>
          </w:p>
        </w:tc>
      </w:tr>
      <w:tr w:rsidR="00B84E9F" w:rsidRPr="00FF58D5" w14:paraId="61F3AD73" w14:textId="77777777" w:rsidTr="00AB5A1A">
        <w:trPr>
          <w:trHeight w:val="1275"/>
        </w:trPr>
        <w:tc>
          <w:tcPr>
            <w:tcW w:w="709" w:type="dxa"/>
            <w:vAlign w:val="center"/>
          </w:tcPr>
          <w:p w14:paraId="3721B1D5" w14:textId="77777777" w:rsidR="00B84E9F" w:rsidRPr="00FF58D5" w:rsidRDefault="00B84E9F"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22B0022F" w14:textId="6E3D52AD" w:rsidR="00B84E9F" w:rsidRPr="00FF58D5" w:rsidRDefault="008C708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44</w:t>
            </w:r>
          </w:p>
        </w:tc>
        <w:tc>
          <w:tcPr>
            <w:tcW w:w="3118" w:type="dxa"/>
            <w:vAlign w:val="center"/>
          </w:tcPr>
          <w:p w14:paraId="55509BB1" w14:textId="656C4939" w:rsidR="00B84E9F" w:rsidRPr="00FF58D5" w:rsidRDefault="008C708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44. </w:t>
            </w:r>
            <w:r w:rsidRPr="00FF58D5">
              <w:rPr>
                <w:rFonts w:asciiTheme="minorHAnsi" w:hAnsiTheme="minorHAnsi" w:cstheme="minorHAnsi"/>
                <w:sz w:val="22"/>
                <w:szCs w:val="22"/>
              </w:rPr>
              <w:t xml:space="preserve">Ocena czy pracownicy płci żeńskiej i męskiej wykonują jednakową pracę lub pracę o jednakowej wartości, o której mowa w art. 183c § 3 Kodeksu pracy, oraz czy pracownicy ci znajdują się w  porównywalnej sytuacji, nie ogranicza się do przypadków, w których pracownicy ci pracują dla tego samego pracodawcy, lecz dotyczy także stosowania przez różnych pracodawców jednego źródła, </w:t>
            </w:r>
            <w:r w:rsidRPr="00FF58D5">
              <w:rPr>
                <w:rFonts w:asciiTheme="minorHAnsi" w:hAnsiTheme="minorHAnsi" w:cstheme="minorHAnsi"/>
                <w:sz w:val="22"/>
                <w:szCs w:val="22"/>
              </w:rPr>
              <w:lastRenderedPageBreak/>
              <w:t>które ustanawia jednakowe dla tych pracodawców warunki wynagrodzenia, które mają znaczenia dla celów porównywania sytuacji pracowników.</w:t>
            </w:r>
          </w:p>
        </w:tc>
        <w:tc>
          <w:tcPr>
            <w:tcW w:w="3827" w:type="dxa"/>
            <w:vAlign w:val="center"/>
          </w:tcPr>
          <w:p w14:paraId="1071AE3E" w14:textId="4C1983A0" w:rsidR="00B84E9F" w:rsidRPr="00FF58D5" w:rsidRDefault="00F937B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Konieczne d</w:t>
            </w:r>
            <w:r w:rsidR="00983A71" w:rsidRPr="00FF58D5">
              <w:rPr>
                <w:rFonts w:asciiTheme="minorHAnsi" w:hAnsiTheme="minorHAnsi" w:cstheme="minorHAnsi"/>
                <w:bCs/>
                <w:sz w:val="22"/>
                <w:szCs w:val="22"/>
              </w:rPr>
              <w:t>oprecyzowanie przepisu.</w:t>
            </w:r>
          </w:p>
        </w:tc>
        <w:tc>
          <w:tcPr>
            <w:tcW w:w="5387" w:type="dxa"/>
          </w:tcPr>
          <w:p w14:paraId="3DAB8905" w14:textId="77777777" w:rsidR="00983A71" w:rsidRPr="00FF58D5" w:rsidRDefault="00983A7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Przepis budzi wątpliwości praktyczne przy stosowaniu do spółek powiązanych kapitałowo lub korzystających z tego samego źródła wynagrodzenia. Różnice w skali działalności, liczbie zatrudnionych czy wynikach wartościowania pracy mogą uniemożliwiać rzetelne porównanie sytuacji pracowników w różnych podmiotach.</w:t>
            </w:r>
          </w:p>
          <w:p w14:paraId="12B97373" w14:textId="77777777" w:rsidR="00B71D84" w:rsidRPr="00FF58D5" w:rsidRDefault="00B71D84" w:rsidP="00AB5A1A">
            <w:pPr>
              <w:spacing w:line="276" w:lineRule="auto"/>
              <w:jc w:val="both"/>
              <w:rPr>
                <w:rFonts w:asciiTheme="minorHAnsi" w:hAnsiTheme="minorHAnsi" w:cstheme="minorHAnsi"/>
                <w:bCs/>
                <w:sz w:val="22"/>
                <w:szCs w:val="22"/>
              </w:rPr>
            </w:pPr>
          </w:p>
          <w:p w14:paraId="74364B4D" w14:textId="3A106B2C" w:rsidR="00B84E9F" w:rsidRPr="00FF58D5" w:rsidRDefault="00983A7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Brak jasności, w jaki sposób każdy pracodawca miałby wykonywać obowiązki informacyjne względem pracowników, jeśli porównanie obejmuje pracowników różnych pracodawców.</w:t>
            </w:r>
          </w:p>
        </w:tc>
      </w:tr>
      <w:tr w:rsidR="009B5605" w:rsidRPr="00FF58D5" w14:paraId="12E81B24" w14:textId="77777777" w:rsidTr="00AB5A1A">
        <w:trPr>
          <w:trHeight w:val="1275"/>
        </w:trPr>
        <w:tc>
          <w:tcPr>
            <w:tcW w:w="709" w:type="dxa"/>
            <w:vAlign w:val="center"/>
          </w:tcPr>
          <w:p w14:paraId="05101B9B" w14:textId="77777777" w:rsidR="00663391" w:rsidRPr="00FF58D5" w:rsidRDefault="00663391"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55FFC148" w14:textId="202595C5" w:rsidR="00663391" w:rsidRPr="00FF58D5" w:rsidRDefault="00663391"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45</w:t>
            </w:r>
          </w:p>
        </w:tc>
        <w:tc>
          <w:tcPr>
            <w:tcW w:w="3118" w:type="dxa"/>
            <w:vAlign w:val="center"/>
          </w:tcPr>
          <w:p w14:paraId="4B00F0D5" w14:textId="77777777" w:rsidR="004822F7" w:rsidRPr="00FF58D5" w:rsidRDefault="004822F7"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Art. 45.</w:t>
            </w:r>
            <w:r w:rsidRPr="00FF58D5">
              <w:rPr>
                <w:rFonts w:asciiTheme="minorHAnsi" w:hAnsiTheme="minorHAnsi" w:cstheme="minorHAnsi"/>
                <w:sz w:val="22"/>
                <w:szCs w:val="22"/>
              </w:rPr>
              <w:t xml:space="preserve"> Jedno źródło istnieje w przypadku, gdy warunki wynagrodzenia są ustalane wspólnie z pracodawcą lub poza pracodawcą dla więcej niż jednej organizacji lub przedsiębiorstwa, w szczególności w postaci:</w:t>
            </w:r>
          </w:p>
          <w:p w14:paraId="7E23F42A" w14:textId="77777777" w:rsidR="004822F7" w:rsidRPr="00FF58D5" w:rsidRDefault="004822F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przepisów powszechnie obowiązującego prawa;</w:t>
            </w:r>
          </w:p>
          <w:p w14:paraId="445AF8D4" w14:textId="77777777" w:rsidR="004822F7" w:rsidRPr="00FF58D5" w:rsidRDefault="004822F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w:t>
            </w:r>
            <w:r w:rsidRPr="00FF58D5">
              <w:rPr>
                <w:rFonts w:asciiTheme="minorHAnsi" w:hAnsiTheme="minorHAnsi" w:cstheme="minorHAnsi"/>
                <w:sz w:val="22"/>
                <w:szCs w:val="22"/>
              </w:rPr>
              <w:tab/>
              <w:t>układów zbiorowych pracy;</w:t>
            </w:r>
          </w:p>
          <w:p w14:paraId="4FA6C06E" w14:textId="7108A35F" w:rsidR="00663391" w:rsidRPr="00FF58D5" w:rsidRDefault="004822F7"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3)</w:t>
            </w:r>
            <w:r w:rsidRPr="00FF58D5">
              <w:rPr>
                <w:rFonts w:asciiTheme="minorHAnsi" w:hAnsiTheme="minorHAnsi" w:cstheme="minorHAnsi"/>
                <w:sz w:val="22"/>
                <w:szCs w:val="22"/>
              </w:rPr>
              <w:tab/>
              <w:t>wewnętrznych regulacji wiążących w ramach grupy kapitałowej, grupy przedsiębiorstw lub grupy przedsiębiorców prowadzących wspólną działalność gospodarczą.</w:t>
            </w:r>
          </w:p>
        </w:tc>
        <w:tc>
          <w:tcPr>
            <w:tcW w:w="3827" w:type="dxa"/>
            <w:vAlign w:val="center"/>
          </w:tcPr>
          <w:p w14:paraId="4B310B4F" w14:textId="09DB61C0" w:rsidR="00663391" w:rsidRPr="00FF58D5" w:rsidRDefault="0009362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Konieczne d</w:t>
            </w:r>
            <w:r w:rsidR="00CD08AB" w:rsidRPr="00FF58D5">
              <w:rPr>
                <w:rFonts w:asciiTheme="minorHAnsi" w:hAnsiTheme="minorHAnsi" w:cstheme="minorHAnsi"/>
                <w:bCs/>
                <w:sz w:val="22"/>
                <w:szCs w:val="22"/>
              </w:rPr>
              <w:t>oprecyzowanie przepisu.</w:t>
            </w:r>
          </w:p>
        </w:tc>
        <w:tc>
          <w:tcPr>
            <w:tcW w:w="5387" w:type="dxa"/>
          </w:tcPr>
          <w:p w14:paraId="04A1457E" w14:textId="2E68E25C" w:rsidR="00CF0060" w:rsidRPr="00FF58D5" w:rsidRDefault="00CF006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Zwracamy uwagę na istotną niejasność zaproponowanego art. 45. W obecnym brzmieniu przepis budzi poważne wątpliwości co do jego praktycznego zastosowania, w szczególności w realiach funkcjonowania grup kapitałowych oraz grup przedsiębiorstw.</w:t>
            </w:r>
          </w:p>
          <w:p w14:paraId="4791204E" w14:textId="77777777" w:rsidR="00093628" w:rsidRPr="00FF58D5" w:rsidRDefault="00093628" w:rsidP="00AB5A1A">
            <w:pPr>
              <w:spacing w:line="276" w:lineRule="auto"/>
              <w:jc w:val="both"/>
              <w:rPr>
                <w:rFonts w:asciiTheme="minorHAnsi" w:hAnsiTheme="minorHAnsi" w:cstheme="minorHAnsi"/>
                <w:bCs/>
                <w:sz w:val="22"/>
                <w:szCs w:val="22"/>
              </w:rPr>
            </w:pPr>
          </w:p>
          <w:p w14:paraId="55B61A78" w14:textId="28770F44" w:rsidR="00CF0060" w:rsidRPr="00FF58D5" w:rsidRDefault="00CF006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pierwszej kolejności wymaga doprecyzowania, w jaki sposób należy ujmować obowiązki sprawozdawcze wobec organów państwowych w przypadku istnienia „jednego źródła” w ramach grupy – czy raportowanie powinno odbywać się odrębnie przez każdą spółkę będącą pracodawcą, czy też dopuszczalne (lub wymagane) jest raportowanie na poziomie całej grupy kapitałowej. Brak jednoznacznego rozstrzygnięcia w tym zakresie może prowadzić do niejednolitej praktyki oraz zwiększonego ryzyka naruszeń obowiązków ustawowych.</w:t>
            </w:r>
          </w:p>
          <w:p w14:paraId="239FCB38" w14:textId="77777777" w:rsidR="00093628" w:rsidRPr="00FF58D5" w:rsidRDefault="00093628" w:rsidP="00AB5A1A">
            <w:pPr>
              <w:spacing w:line="276" w:lineRule="auto"/>
              <w:jc w:val="both"/>
              <w:rPr>
                <w:rFonts w:asciiTheme="minorHAnsi" w:hAnsiTheme="minorHAnsi" w:cstheme="minorHAnsi"/>
                <w:bCs/>
                <w:sz w:val="22"/>
                <w:szCs w:val="22"/>
              </w:rPr>
            </w:pPr>
          </w:p>
          <w:p w14:paraId="2E266776" w14:textId="64033606" w:rsidR="00CF0060" w:rsidRPr="00FF58D5" w:rsidRDefault="00CF006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 drugie, nie jest jasne, jak relacja pomiędzy raportowaniem do organów państwowych a informowaniem pracowników ma funkcjonować w sytuacji, gdy warunki wynagrodzenia są ustalane wspólnie dla wielu </w:t>
            </w:r>
            <w:r w:rsidRPr="00FF58D5">
              <w:rPr>
                <w:rFonts w:asciiTheme="minorHAnsi" w:hAnsiTheme="minorHAnsi" w:cstheme="minorHAnsi"/>
                <w:bCs/>
                <w:sz w:val="22"/>
                <w:szCs w:val="22"/>
              </w:rPr>
              <w:lastRenderedPageBreak/>
              <w:t>podmiotów. Powstaje ryzyko wytworzenia dualizmu raportowego, w którym zakres i forma informacji przekazywanych organom publicznym będą różne od informacji przekazywanych pracownikom poszczególnych spółek.</w:t>
            </w:r>
          </w:p>
          <w:p w14:paraId="69655DAB" w14:textId="0A703A85" w:rsidR="00CF0060" w:rsidRPr="00FF58D5" w:rsidRDefault="00CF006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Dodatkowo, z perspektywy przepisów Kodeksu spółek handlowych, niejasne pozostaje, w jaki sposób należy traktować spółki zależne uczestniczące w grupie spółek, które – działając zgodnie z art. 214 § 1 KSH – podejmą uchwałę o odmowie wykonania wiążącego polecenia dotyczącego wspólnego ustalania lub raportowania warunków wynagrodzenia, w szczególności gdy wykonanie takiego polecenia mogłoby prowadzić do niewypłacalności lub zagrożenia niewypłacalnością spółki.</w:t>
            </w:r>
          </w:p>
          <w:p w14:paraId="35201112" w14:textId="77777777" w:rsidR="00663391" w:rsidRPr="00FF58D5" w:rsidRDefault="00CF0060"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Powyższe kwestie wymagają jednoznacznego doprecyzowania w treści przepisu albo co najmniej wyraźnego wyjaśnienia w uzasadnieniu do ustawy, tak aby zapewnić spójność regulacji, pewność prawa oraz zgodność z obowiązującymi przepisami prawa handlowego.</w:t>
            </w:r>
          </w:p>
          <w:p w14:paraId="3A9F10FE" w14:textId="77777777" w:rsidR="00C03C88" w:rsidRPr="00FF58D5" w:rsidRDefault="00C03C88" w:rsidP="009A348F">
            <w:pPr>
              <w:spacing w:line="276" w:lineRule="auto"/>
              <w:jc w:val="both"/>
              <w:rPr>
                <w:rFonts w:asciiTheme="minorHAnsi" w:hAnsiTheme="minorHAnsi" w:cstheme="minorHAnsi"/>
                <w:bCs/>
                <w:sz w:val="22"/>
                <w:szCs w:val="22"/>
              </w:rPr>
            </w:pPr>
          </w:p>
          <w:p w14:paraId="338BBD40" w14:textId="7710DFD1" w:rsidR="00C03C88" w:rsidRPr="00FF58D5" w:rsidRDefault="00C03C8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Brakuje doprecyzowania, czy jedno źródło może istnieć </w:t>
            </w:r>
            <w:r w:rsidRPr="00FF58D5">
              <w:rPr>
                <w:rFonts w:asciiTheme="minorHAnsi" w:hAnsiTheme="minorHAnsi" w:cstheme="minorHAnsi"/>
                <w:b/>
                <w:sz w:val="22"/>
                <w:szCs w:val="22"/>
              </w:rPr>
              <w:t>tylko w ramach danego kraju</w:t>
            </w:r>
            <w:r w:rsidRPr="00FF58D5">
              <w:rPr>
                <w:rFonts w:asciiTheme="minorHAnsi" w:hAnsiTheme="minorHAnsi" w:cstheme="minorHAnsi"/>
                <w:bCs/>
                <w:sz w:val="22"/>
                <w:szCs w:val="22"/>
              </w:rPr>
              <w:t xml:space="preserve">. Z brzmienia tego przepisu nie wynikają ograniczenia. Dlatego może dojść do porównywania wynagrodzeń w różnych krajach, w których działa międzynarodowa grupa kapitałowa. Związki zawodowe robią to już od lat, a teraz zyskają narzędzie. Nie bardzo chcą słuchać, że mamy różną sytuację gospodarczą </w:t>
            </w:r>
            <w:r w:rsidRPr="00FF58D5">
              <w:rPr>
                <w:rFonts w:asciiTheme="minorHAnsi" w:hAnsiTheme="minorHAnsi" w:cstheme="minorHAnsi"/>
                <w:bCs/>
                <w:sz w:val="22"/>
                <w:szCs w:val="22"/>
              </w:rPr>
              <w:lastRenderedPageBreak/>
              <w:t>w różnych krajach. Ponadto katalog otwarty pozwala uważać za jedno źródło także tych pracodawców, którzy mają wspólne, centralne struktury HR. Prowadzi to do pytania co z regionalizacją wynagrodzeń w ramach Polski? Np. stawki na Śląsku i w Warszawie są różne i ma to swoje usprawiedliwione przyczyny.</w:t>
            </w:r>
          </w:p>
        </w:tc>
      </w:tr>
      <w:tr w:rsidR="00004867" w:rsidRPr="00FF58D5" w14:paraId="23217FF9" w14:textId="77777777" w:rsidTr="00AB5A1A">
        <w:trPr>
          <w:trHeight w:val="1275"/>
        </w:trPr>
        <w:tc>
          <w:tcPr>
            <w:tcW w:w="709" w:type="dxa"/>
            <w:vAlign w:val="center"/>
          </w:tcPr>
          <w:p w14:paraId="77B44054" w14:textId="77777777" w:rsidR="00B8072C" w:rsidRPr="00FF58D5" w:rsidRDefault="00B8072C"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5914BC7E" w14:textId="3142EB34" w:rsidR="00B8072C" w:rsidRPr="00FF58D5" w:rsidRDefault="00B8072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46</w:t>
            </w:r>
          </w:p>
        </w:tc>
        <w:tc>
          <w:tcPr>
            <w:tcW w:w="3118" w:type="dxa"/>
            <w:vAlign w:val="center"/>
          </w:tcPr>
          <w:p w14:paraId="0B900FDC" w14:textId="291C3B58" w:rsidR="00B8072C" w:rsidRPr="00FF58D5" w:rsidRDefault="00223F30"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46. </w:t>
            </w:r>
            <w:r w:rsidRPr="00FF58D5">
              <w:rPr>
                <w:rFonts w:asciiTheme="minorHAnsi" w:hAnsiTheme="minorHAnsi" w:cstheme="minorHAnsi"/>
                <w:sz w:val="22"/>
                <w:szCs w:val="22"/>
              </w:rPr>
              <w:t>Ocena, czy pracownicy znajdują się w porównywalnej sytuacji nie ogranicza się do pracowników, którzy są zatrudnieni w tym samym czasie co zainteresowany pracownik.</w:t>
            </w:r>
          </w:p>
        </w:tc>
        <w:tc>
          <w:tcPr>
            <w:tcW w:w="3827" w:type="dxa"/>
            <w:vAlign w:val="center"/>
          </w:tcPr>
          <w:p w14:paraId="30BD157B" w14:textId="73B112B4" w:rsidR="00B8072C" w:rsidRPr="00FF58D5" w:rsidRDefault="00E77CF5"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Konieczne jest doprecyzowanie pojęcia „zainteresowanego pracownika” w kontekście porównywania wynagrodzenia</w:t>
            </w:r>
            <w:r w:rsidR="0042544A" w:rsidRPr="00FF58D5">
              <w:rPr>
                <w:rFonts w:asciiTheme="minorHAnsi" w:hAnsiTheme="minorHAnsi" w:cstheme="minorHAnsi"/>
                <w:bCs/>
                <w:sz w:val="22"/>
                <w:szCs w:val="22"/>
              </w:rPr>
              <w:t xml:space="preserve"> oraz </w:t>
            </w:r>
            <w:r w:rsidRPr="00FF58D5">
              <w:rPr>
                <w:rFonts w:asciiTheme="minorHAnsi" w:hAnsiTheme="minorHAnsi" w:cstheme="minorHAnsi"/>
                <w:bCs/>
                <w:sz w:val="22"/>
                <w:szCs w:val="22"/>
              </w:rPr>
              <w:t>określenie jasnych ram czasowych dla porównań wynagrodzeń (np. rok kalendarzowy lub okres zatrudnienia w danym roku).</w:t>
            </w:r>
          </w:p>
        </w:tc>
        <w:tc>
          <w:tcPr>
            <w:tcW w:w="5387" w:type="dxa"/>
          </w:tcPr>
          <w:p w14:paraId="1F278320" w14:textId="77777777" w:rsidR="00B8072C" w:rsidRPr="00FF58D5" w:rsidRDefault="00B8072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Przepis stanowi, że ocena, czy pracownicy znajdują się w porównywalnej sytuacji, nie ogranicza się do pracowników zatrudnionych w tym samym czasie co „zainteresowany pracownik”.</w:t>
            </w:r>
          </w:p>
          <w:p w14:paraId="68E00B28" w14:textId="77777777" w:rsidR="00B8072C" w:rsidRPr="00FF58D5" w:rsidRDefault="00B8072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Zakres tego przepisu jest bardzo niejasny, ponieważ:</w:t>
            </w:r>
          </w:p>
          <w:p w14:paraId="362A19B9" w14:textId="37931A17" w:rsidR="00B8072C" w:rsidRPr="00FF58D5" w:rsidRDefault="00B8072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nie precyzuje, jaki czasokres należy uwzględnić przy porównaniu (np. cały rok, okres zatrudnienia pracownika, historyczne dane).</w:t>
            </w:r>
          </w:p>
          <w:p w14:paraId="60EDF01D" w14:textId="0FDDF9E3" w:rsidR="00B8072C" w:rsidRPr="00FF58D5" w:rsidRDefault="00B8072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nie wyjaśnia pojęcia „zainteresowanego pracownika”, co rodzi wątpliwości, kto jest punktem odniesienia do analizy porównawczej.</w:t>
            </w:r>
          </w:p>
        </w:tc>
      </w:tr>
      <w:tr w:rsidR="00004867" w:rsidRPr="00FF58D5" w14:paraId="28945767" w14:textId="77777777" w:rsidTr="00AB5A1A">
        <w:trPr>
          <w:trHeight w:val="1275"/>
        </w:trPr>
        <w:tc>
          <w:tcPr>
            <w:tcW w:w="709" w:type="dxa"/>
            <w:vAlign w:val="center"/>
          </w:tcPr>
          <w:p w14:paraId="30B16236" w14:textId="77777777" w:rsidR="00CB47F5" w:rsidRPr="00FF58D5" w:rsidRDefault="00CB47F5"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20117355" w14:textId="41F34EA2" w:rsidR="00CB47F5" w:rsidRPr="00FF58D5" w:rsidRDefault="00EF21C1"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47.</w:t>
            </w:r>
          </w:p>
        </w:tc>
        <w:tc>
          <w:tcPr>
            <w:tcW w:w="3118" w:type="dxa"/>
            <w:vAlign w:val="center"/>
          </w:tcPr>
          <w:p w14:paraId="588242D1" w14:textId="074D9A8E" w:rsidR="00CB47F5" w:rsidRPr="00FF58D5" w:rsidRDefault="00EF21C1"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47. </w:t>
            </w:r>
            <w:r w:rsidRPr="00FF58D5">
              <w:rPr>
                <w:rFonts w:asciiTheme="minorHAnsi" w:hAnsiTheme="minorHAnsi" w:cstheme="minorHAnsi"/>
                <w:sz w:val="22"/>
                <w:szCs w:val="22"/>
              </w:rPr>
              <w:t xml:space="preserve">W przypadku gdy nie ma pracownika innej płci znajdującego się w porównywalnej sytuacji, możliwe jest wykorzystanie wszelkich innych dowodów, w tym statystyk, w celu wykazania zarzucanej dyskryminacji płacowej lub porównania, w jaki sposób byłby traktowany </w:t>
            </w:r>
            <w:r w:rsidRPr="00FF58D5">
              <w:rPr>
                <w:rFonts w:asciiTheme="minorHAnsi" w:hAnsiTheme="minorHAnsi" w:cstheme="minorHAnsi"/>
                <w:sz w:val="22"/>
                <w:szCs w:val="22"/>
              </w:rPr>
              <w:lastRenderedPageBreak/>
              <w:t>pracownik innej płci w porównywalnej sytuacji.</w:t>
            </w:r>
          </w:p>
        </w:tc>
        <w:tc>
          <w:tcPr>
            <w:tcW w:w="3827" w:type="dxa"/>
            <w:vAlign w:val="center"/>
          </w:tcPr>
          <w:p w14:paraId="61213D23" w14:textId="77777777" w:rsidR="00870F7C" w:rsidRPr="00FF58D5" w:rsidRDefault="0056520F"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Konieczne jest</w:t>
            </w:r>
            <w:r w:rsidR="00870F7C" w:rsidRPr="00FF58D5">
              <w:rPr>
                <w:rFonts w:asciiTheme="minorHAnsi" w:hAnsiTheme="minorHAnsi" w:cstheme="minorHAnsi"/>
                <w:bCs/>
                <w:sz w:val="22"/>
                <w:szCs w:val="22"/>
              </w:rPr>
              <w:t>:</w:t>
            </w:r>
          </w:p>
          <w:p w14:paraId="0A54949B" w14:textId="09EB0622" w:rsidR="0056520F" w:rsidRPr="00FF58D5" w:rsidRDefault="00870F7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doprecyzowanie</w:t>
            </w:r>
            <w:r w:rsidR="0056520F" w:rsidRPr="00FF58D5">
              <w:rPr>
                <w:rFonts w:asciiTheme="minorHAnsi" w:hAnsiTheme="minorHAnsi" w:cstheme="minorHAnsi"/>
                <w:bCs/>
                <w:sz w:val="22"/>
                <w:szCs w:val="22"/>
              </w:rPr>
              <w:t xml:space="preserve"> rodzaju statystyk i innych dowodów, które mogą być wykorzystane, tak aby były wiarygodne i porównywalne</w:t>
            </w:r>
            <w:r w:rsidR="00413753" w:rsidRPr="00FF58D5">
              <w:rPr>
                <w:rFonts w:asciiTheme="minorHAnsi" w:hAnsiTheme="minorHAnsi" w:cstheme="minorHAnsi"/>
                <w:bCs/>
                <w:sz w:val="22"/>
                <w:szCs w:val="22"/>
              </w:rPr>
              <w:t>;</w:t>
            </w:r>
          </w:p>
          <w:p w14:paraId="69D5A2F2" w14:textId="5B78EEA9" w:rsidR="0056520F" w:rsidRPr="00FF58D5" w:rsidRDefault="00870F7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h</w:t>
            </w:r>
            <w:r w:rsidR="0056520F" w:rsidRPr="00FF58D5">
              <w:rPr>
                <w:rFonts w:asciiTheme="minorHAnsi" w:hAnsiTheme="minorHAnsi" w:cstheme="minorHAnsi"/>
                <w:bCs/>
                <w:sz w:val="22"/>
                <w:szCs w:val="22"/>
              </w:rPr>
              <w:t>armonizacja art. 42 i 47 pod kątem ciężaru dowodu, wyraźne wskazanie, że w art. 47 rolą pracodawcy jest wykazanie braku dyskryminacji, a nie istnienia zarzucanej dyskryminacji</w:t>
            </w:r>
            <w:r w:rsidR="00413753" w:rsidRPr="00FF58D5">
              <w:rPr>
                <w:rFonts w:asciiTheme="minorHAnsi" w:hAnsiTheme="minorHAnsi" w:cstheme="minorHAnsi"/>
                <w:bCs/>
                <w:sz w:val="22"/>
                <w:szCs w:val="22"/>
              </w:rPr>
              <w:t>;</w:t>
            </w:r>
          </w:p>
          <w:p w14:paraId="1AAC9A8D" w14:textId="1E26F5C6" w:rsidR="00413753" w:rsidRPr="00FF58D5" w:rsidRDefault="0041375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jednoznaczne potwierdzenie w ustawie, że średnie poziomy wynagrodzeń mogą być ustalane również w oparciu o jednego pracownika danej płci, o ile spełnione są kryteria porównywalności pracy, albo</w:t>
            </w:r>
          </w:p>
          <w:p w14:paraId="50EE8814" w14:textId="3B384A3E" w:rsidR="00413753" w:rsidRPr="00FF58D5" w:rsidRDefault="0041375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wyraźne wskazanie, że brak porównywalnego pracownika u danego pracodawcy nie rodzi obowiązku stosowania art. 47 Projektu na etapie raportowania luki płacowej.</w:t>
            </w:r>
          </w:p>
          <w:p w14:paraId="184A3BF2" w14:textId="4D489612" w:rsidR="00CB47F5" w:rsidRPr="00FF58D5" w:rsidRDefault="00CB47F5" w:rsidP="00AB5A1A">
            <w:pPr>
              <w:spacing w:line="276" w:lineRule="auto"/>
              <w:jc w:val="both"/>
              <w:rPr>
                <w:rFonts w:asciiTheme="minorHAnsi" w:hAnsiTheme="minorHAnsi" w:cstheme="minorHAnsi"/>
                <w:bCs/>
                <w:sz w:val="22"/>
                <w:szCs w:val="22"/>
              </w:rPr>
            </w:pPr>
          </w:p>
        </w:tc>
        <w:tc>
          <w:tcPr>
            <w:tcW w:w="5387" w:type="dxa"/>
          </w:tcPr>
          <w:p w14:paraId="1EEDD64A" w14:textId="729DFE37" w:rsidR="009C66D3"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1. </w:t>
            </w:r>
            <w:r w:rsidR="009F666A" w:rsidRPr="00FF58D5">
              <w:rPr>
                <w:rFonts w:asciiTheme="minorHAnsi" w:hAnsiTheme="minorHAnsi" w:cstheme="minorHAnsi"/>
                <w:bCs/>
                <w:sz w:val="22"/>
                <w:szCs w:val="22"/>
              </w:rPr>
              <w:t>P</w:t>
            </w:r>
            <w:r w:rsidR="009C66D3" w:rsidRPr="00FF58D5">
              <w:rPr>
                <w:rFonts w:asciiTheme="minorHAnsi" w:hAnsiTheme="minorHAnsi" w:cstheme="minorHAnsi"/>
                <w:bCs/>
                <w:sz w:val="22"/>
                <w:szCs w:val="22"/>
              </w:rPr>
              <w:t>rzepis nie precyzuje, jakie statystyki mogą być wykorzystane w przypadku „hipotetycznej” dyskryminacji. Brak wskazania źródeł lub metodologii może prowadzić do rozbieżności interpretacyjnych i spornych sytuacji.</w:t>
            </w:r>
          </w:p>
          <w:p w14:paraId="25428ECE" w14:textId="0986D0E3" w:rsidR="009C66D3" w:rsidRPr="00FF58D5" w:rsidRDefault="00562CE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Ponadto warto zwrócić uwagę na </w:t>
            </w:r>
            <w:r w:rsidR="00FA1204" w:rsidRPr="00FF58D5">
              <w:rPr>
                <w:rFonts w:asciiTheme="minorHAnsi" w:hAnsiTheme="minorHAnsi" w:cstheme="minorHAnsi"/>
                <w:bCs/>
                <w:sz w:val="22"/>
                <w:szCs w:val="22"/>
              </w:rPr>
              <w:t>n</w:t>
            </w:r>
            <w:r w:rsidR="009C66D3" w:rsidRPr="00FF58D5">
              <w:rPr>
                <w:rFonts w:asciiTheme="minorHAnsi" w:hAnsiTheme="minorHAnsi" w:cstheme="minorHAnsi"/>
                <w:bCs/>
                <w:sz w:val="22"/>
                <w:szCs w:val="22"/>
              </w:rPr>
              <w:t>iekonsekwencj</w:t>
            </w:r>
            <w:r w:rsidR="00FA1204" w:rsidRPr="00FF58D5">
              <w:rPr>
                <w:rFonts w:asciiTheme="minorHAnsi" w:hAnsiTheme="minorHAnsi" w:cstheme="minorHAnsi"/>
                <w:bCs/>
                <w:sz w:val="22"/>
                <w:szCs w:val="22"/>
              </w:rPr>
              <w:t>ę</w:t>
            </w:r>
            <w:r w:rsidR="009C66D3" w:rsidRPr="00FF58D5">
              <w:rPr>
                <w:rFonts w:asciiTheme="minorHAnsi" w:hAnsiTheme="minorHAnsi" w:cstheme="minorHAnsi"/>
                <w:bCs/>
                <w:sz w:val="22"/>
                <w:szCs w:val="22"/>
              </w:rPr>
              <w:t xml:space="preserve"> z art. 42 ust. 1</w:t>
            </w:r>
            <w:r w:rsidR="00433DEC" w:rsidRPr="00FF58D5">
              <w:rPr>
                <w:rFonts w:asciiTheme="minorHAnsi" w:hAnsiTheme="minorHAnsi" w:cstheme="minorHAnsi"/>
                <w:bCs/>
                <w:sz w:val="22"/>
                <w:szCs w:val="22"/>
              </w:rPr>
              <w:t xml:space="preserve">. Art. 42 </w:t>
            </w:r>
            <w:r w:rsidR="009C66D3" w:rsidRPr="00FF58D5">
              <w:rPr>
                <w:rFonts w:asciiTheme="minorHAnsi" w:hAnsiTheme="minorHAnsi" w:cstheme="minorHAnsi"/>
                <w:bCs/>
                <w:sz w:val="22"/>
                <w:szCs w:val="22"/>
              </w:rPr>
              <w:t>przesuwa ciężar dowodu na pracodawcę, który musi udowodnić, że kierował się obiektywnymi powodami w przypadku zarzutu dyskryminacji, nawet jeśli pracownik nie uprawdopodobnił dyskryminacji.</w:t>
            </w:r>
          </w:p>
          <w:p w14:paraId="5A78B6D5" w14:textId="0024D4FA" w:rsidR="009C66D3" w:rsidRPr="00FF58D5" w:rsidRDefault="009C66D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Art. 47 natomiast sformułowan</w:t>
            </w:r>
            <w:r w:rsidR="00433DEC" w:rsidRPr="00FF58D5">
              <w:rPr>
                <w:rFonts w:asciiTheme="minorHAnsi" w:hAnsiTheme="minorHAnsi" w:cstheme="minorHAnsi"/>
                <w:bCs/>
                <w:sz w:val="22"/>
                <w:szCs w:val="22"/>
              </w:rPr>
              <w:t>y</w:t>
            </w:r>
            <w:r w:rsidRPr="00FF58D5">
              <w:rPr>
                <w:rFonts w:asciiTheme="minorHAnsi" w:hAnsiTheme="minorHAnsi" w:cstheme="minorHAnsi"/>
                <w:bCs/>
                <w:sz w:val="22"/>
                <w:szCs w:val="22"/>
              </w:rPr>
              <w:t xml:space="preserve"> jest w kontekście „wykazywania zarzucanej dyskryminacji”, co może sugerować, że to pracodawca miałby wykazywać istnienie dyskryminacji, podczas gdy w praktyce jego rolą powinno być wykazywanie, że dyskryminacja nie wystąpiła.</w:t>
            </w:r>
          </w:p>
          <w:p w14:paraId="39955EA8" w14:textId="77777777" w:rsidR="00CB47F5" w:rsidRPr="00FF58D5" w:rsidRDefault="009C66D3"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Taka rozbieżność prowadzi do niejasności co do faktycznego ciężaru dowodu i może utrudniać prawidłowe stosowanie przepisów.</w:t>
            </w:r>
          </w:p>
          <w:p w14:paraId="696EC57C" w14:textId="77777777" w:rsidR="006566D2"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2. Projekt ustawy nie zawiera jednoznacznych regulacji określających minimalną liczebność grupy porównawczej, na podstawie której pracodawca jest zobowiązany do obliczania luki płacowej ze względu na płeć oraz do przekazywania informacji o średnich poziomach wynagrodzeń w podziale na płeć.</w:t>
            </w:r>
          </w:p>
          <w:p w14:paraId="599B1D42" w14:textId="77777777" w:rsidR="006566D2"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praktyce, w celu rzetelnego i zgodnego z celem dyrektywy porównywania wynagrodzeń za jednakową pracę lub pracę o jednakowej wartości, pracodawcy stosują szczegółowe i obiektywne kryteria porównawcze, takie jak poziom zaszeregowania, obszar biznesowy, siatka płac czy tożsame stanowisko pracy. Skutkuje to tworzeniem bardzo wąskich kategorii porównawczych, w których często występuje tylko jeden pracownik danej płci.</w:t>
            </w:r>
          </w:p>
          <w:p w14:paraId="2EBE4671" w14:textId="77777777" w:rsidR="006566D2"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Projekt ustawy nie przesądza jednak, czy:</w:t>
            </w:r>
          </w:p>
          <w:p w14:paraId="54A1323E" w14:textId="77777777" w:rsidR="006566D2" w:rsidRPr="00FF58D5" w:rsidRDefault="006566D2" w:rsidP="00AB5A1A">
            <w:pPr>
              <w:numPr>
                <w:ilvl w:val="0"/>
                <w:numId w:val="48"/>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średni poziom wynagrodzenia może być ustalony na podstawie jednej osoby,</w:t>
            </w:r>
          </w:p>
          <w:p w14:paraId="47116285" w14:textId="77777777" w:rsidR="006566D2" w:rsidRPr="00FF58D5" w:rsidRDefault="006566D2" w:rsidP="00AB5A1A">
            <w:pPr>
              <w:numPr>
                <w:ilvl w:val="0"/>
                <w:numId w:val="48"/>
              </w:num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czy też wymagane jest występowanie co najmniej dwóch lub większej liczby pracowników danej płci.</w:t>
            </w:r>
          </w:p>
          <w:p w14:paraId="00FD54AC" w14:textId="34501E65" w:rsidR="006566D2"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Przyjęcie nieformalnego wymogu minimalnej liczebności grupy skutkowałoby znacznym ograniczeniem zakresu populacji objętej raportowaniem luki płacowej – nie z powodu braku nierówności, lecz z powodu braku „statystycznych bliźniaków”. W konsekwencji im bardziej szczegółowe i obiektywne kryteria porównawcze stosuje pracodawca, tym mniejszą część zatrudnionych może objąć analizą, co pozostaje w sprzeczności z celem ustawy.</w:t>
            </w:r>
          </w:p>
          <w:p w14:paraId="72EA7B97" w14:textId="41562CB0" w:rsidR="006566D2" w:rsidRPr="00FF58D5" w:rsidRDefault="006566D2"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Dodatkowo, w przypadku uznania, że brak odpowiedniej liczebności grupy porównawczej automatycznie uruchamia obowiązek stosowania art. 47 Projektu (porównania hipotetyczne lub rynkowe), dochodzi do nieuzasadnionego rozszerzenia tego przepisu poza jego pierwotny sens, który powinien mieć zastosowanie przede wszystkim jako instrument dowodowy w indywidualnych sporach, a nie jako obowiązkowy element raportowania pracodawcy.</w:t>
            </w:r>
          </w:p>
        </w:tc>
      </w:tr>
      <w:tr w:rsidR="009B5605" w:rsidRPr="00FF58D5" w14:paraId="5330ECBD" w14:textId="77777777" w:rsidTr="00AB5A1A">
        <w:trPr>
          <w:trHeight w:val="1275"/>
        </w:trPr>
        <w:tc>
          <w:tcPr>
            <w:tcW w:w="709" w:type="dxa"/>
            <w:vAlign w:val="center"/>
          </w:tcPr>
          <w:p w14:paraId="4CF208CF"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7C48CBE8" w14:textId="75148628" w:rsidR="00FE38FE" w:rsidRPr="00FF58D5" w:rsidRDefault="004D54E0"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49</w:t>
            </w:r>
          </w:p>
        </w:tc>
        <w:tc>
          <w:tcPr>
            <w:tcW w:w="3118" w:type="dxa"/>
            <w:vAlign w:val="center"/>
          </w:tcPr>
          <w:p w14:paraId="30EA2FD7" w14:textId="77777777" w:rsidR="00630A7C" w:rsidRPr="00FF58D5" w:rsidRDefault="00630A7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49. </w:t>
            </w:r>
          </w:p>
          <w:p w14:paraId="387D936A" w14:textId="2031C89F" w:rsidR="00630A7C" w:rsidRPr="00FF58D5" w:rsidRDefault="00630A7C"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 Pracodawca użytkownik wykonuje obowiązki wynikające z niniejszej ustawy  wobec pracowników tymczasowych.</w:t>
            </w:r>
          </w:p>
          <w:p w14:paraId="448D1B1B" w14:textId="77777777" w:rsidR="00630A7C" w:rsidRPr="00FF58D5" w:rsidRDefault="00630A7C"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2. Obowiązki wynikające z art. 10 i 11 w stosunku do pracowników tymczasowych wykonuje również agencja pracy tymczasowej.</w:t>
            </w:r>
          </w:p>
          <w:p w14:paraId="0FC373E7" w14:textId="7455AD3A" w:rsidR="00FE38FE" w:rsidRPr="00FF58D5" w:rsidRDefault="00630A7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xml:space="preserve">3. W celu realizacji obowiązków, o których mowa w ust. 1, agencja </w:t>
            </w:r>
            <w:r w:rsidRPr="00FF58D5">
              <w:rPr>
                <w:rFonts w:asciiTheme="minorHAnsi" w:hAnsiTheme="minorHAnsi" w:cstheme="minorHAnsi"/>
                <w:sz w:val="22"/>
                <w:szCs w:val="22"/>
              </w:rPr>
              <w:lastRenderedPageBreak/>
              <w:t>pracy tymczasowej udziela wszelkich, niezbędnych informacji pracodawcy  użytkownikowi.</w:t>
            </w:r>
            <w:r w:rsidRPr="00FF58D5">
              <w:rPr>
                <w:rFonts w:asciiTheme="minorHAnsi" w:hAnsiTheme="minorHAnsi" w:cstheme="minorHAnsi"/>
                <w:b/>
                <w:bCs/>
                <w:sz w:val="22"/>
                <w:szCs w:val="22"/>
              </w:rPr>
              <w:t xml:space="preserve">  </w:t>
            </w:r>
          </w:p>
        </w:tc>
        <w:tc>
          <w:tcPr>
            <w:tcW w:w="3827" w:type="dxa"/>
            <w:vAlign w:val="center"/>
          </w:tcPr>
          <w:p w14:paraId="584218B1" w14:textId="37DFD5F1" w:rsidR="00FE38FE" w:rsidRPr="00FF58D5" w:rsidRDefault="00B02E61"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Przepis wymaga dalszych konsultacji. </w:t>
            </w:r>
          </w:p>
        </w:tc>
        <w:tc>
          <w:tcPr>
            <w:tcW w:w="5387" w:type="dxa"/>
          </w:tcPr>
          <w:p w14:paraId="653AF2E6" w14:textId="158E53FE" w:rsidR="004F28E4" w:rsidRPr="00FF58D5" w:rsidRDefault="004F28E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Z formalnego i praktycznego punktu widzenia włączenie pracowników tymczasowych do </w:t>
            </w:r>
            <w:r w:rsidR="00E146B8" w:rsidRPr="00FF58D5">
              <w:rPr>
                <w:rFonts w:asciiTheme="minorHAnsi" w:hAnsiTheme="minorHAnsi" w:cstheme="minorHAnsi"/>
                <w:bCs/>
                <w:sz w:val="22"/>
                <w:szCs w:val="22"/>
              </w:rPr>
              <w:t xml:space="preserve">realizacji obowiązków wynikających z ustawy przez pracodawcę użytkownika, w tym </w:t>
            </w:r>
            <w:r w:rsidRPr="00FF58D5">
              <w:rPr>
                <w:rFonts w:asciiTheme="minorHAnsi" w:hAnsiTheme="minorHAnsi" w:cstheme="minorHAnsi"/>
                <w:bCs/>
                <w:sz w:val="22"/>
                <w:szCs w:val="22"/>
              </w:rPr>
              <w:t>sprawozdania z luki płacowej</w:t>
            </w:r>
            <w:r w:rsidR="00E146B8"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 xml:space="preserve"> jest trudne do realizacji</w:t>
            </w:r>
            <w:r w:rsidR="00581407" w:rsidRPr="00FF58D5">
              <w:rPr>
                <w:rFonts w:asciiTheme="minorHAnsi" w:hAnsiTheme="minorHAnsi" w:cstheme="minorHAnsi"/>
                <w:bCs/>
                <w:sz w:val="22"/>
                <w:szCs w:val="22"/>
              </w:rPr>
              <w:t xml:space="preserve"> i związane z zasadniczym obciążeniem </w:t>
            </w:r>
            <w:r w:rsidR="00552923" w:rsidRPr="00FF58D5">
              <w:rPr>
                <w:rFonts w:asciiTheme="minorHAnsi" w:hAnsiTheme="minorHAnsi" w:cstheme="minorHAnsi"/>
                <w:bCs/>
                <w:sz w:val="22"/>
                <w:szCs w:val="22"/>
              </w:rPr>
              <w:t>administracyjnym</w:t>
            </w:r>
            <w:r w:rsidR="00581407" w:rsidRPr="00FF58D5">
              <w:rPr>
                <w:rFonts w:asciiTheme="minorHAnsi" w:hAnsiTheme="minorHAnsi" w:cstheme="minorHAnsi"/>
                <w:bCs/>
                <w:sz w:val="22"/>
                <w:szCs w:val="22"/>
              </w:rPr>
              <w:t>.</w:t>
            </w:r>
          </w:p>
          <w:p w14:paraId="7B5FC862" w14:textId="220EB2D6" w:rsidR="004F28E4" w:rsidRPr="00FF58D5" w:rsidRDefault="00E15678" w:rsidP="0060593B">
            <w:pPr>
              <w:spacing w:line="276" w:lineRule="auto"/>
              <w:ind w:left="234" w:hanging="234"/>
              <w:jc w:val="both"/>
              <w:rPr>
                <w:rFonts w:asciiTheme="minorHAnsi" w:hAnsiTheme="minorHAnsi" w:cstheme="minorHAnsi"/>
                <w:bCs/>
                <w:sz w:val="22"/>
                <w:szCs w:val="22"/>
              </w:rPr>
            </w:pPr>
            <w:r w:rsidRPr="00FF58D5">
              <w:rPr>
                <w:rFonts w:asciiTheme="minorHAnsi" w:hAnsiTheme="minorHAnsi" w:cstheme="minorHAnsi"/>
                <w:bCs/>
                <w:sz w:val="22"/>
                <w:szCs w:val="22"/>
              </w:rPr>
              <w:t xml:space="preserve">- </w:t>
            </w:r>
            <w:r w:rsidR="004F28E4" w:rsidRPr="00FF58D5">
              <w:rPr>
                <w:rFonts w:asciiTheme="minorHAnsi" w:hAnsiTheme="minorHAnsi" w:cstheme="minorHAnsi"/>
                <w:bCs/>
                <w:sz w:val="22"/>
                <w:szCs w:val="22"/>
              </w:rPr>
              <w:t>pracodawca użytkownik nie dysponuje umową o pracę pracownika tymczasowego, nie ustala jego wynagrodzenia i nie ma wglądu w szczegółowe dane dotyczące jego płacy.</w:t>
            </w:r>
          </w:p>
          <w:p w14:paraId="24974406" w14:textId="2B88B2FD" w:rsidR="004F28E4" w:rsidRPr="00FF58D5" w:rsidRDefault="004F28E4" w:rsidP="0060593B">
            <w:pPr>
              <w:spacing w:line="276" w:lineRule="auto"/>
              <w:ind w:left="234" w:hanging="234"/>
              <w:jc w:val="both"/>
              <w:rPr>
                <w:rFonts w:asciiTheme="minorHAnsi" w:hAnsiTheme="minorHAnsi" w:cstheme="minorHAnsi"/>
                <w:bCs/>
                <w:sz w:val="22"/>
                <w:szCs w:val="22"/>
              </w:rPr>
            </w:pPr>
            <w:r w:rsidRPr="00FF58D5">
              <w:rPr>
                <w:rFonts w:asciiTheme="minorHAnsi" w:hAnsiTheme="minorHAnsi" w:cstheme="minorHAnsi"/>
                <w:bCs/>
                <w:sz w:val="22"/>
                <w:szCs w:val="22"/>
              </w:rPr>
              <w:t xml:space="preserve">– regulamin wynagradzania lub zakładowy układ zbiorowy przekazywany pracodawcy użytkownikowi jest </w:t>
            </w:r>
            <w:r w:rsidRPr="00FF58D5">
              <w:rPr>
                <w:rFonts w:asciiTheme="minorHAnsi" w:hAnsiTheme="minorHAnsi" w:cstheme="minorHAnsi"/>
                <w:bCs/>
                <w:sz w:val="22"/>
                <w:szCs w:val="22"/>
              </w:rPr>
              <w:lastRenderedPageBreak/>
              <w:t>stosowany przez agencję pracy tymczasowej, a to ona odpowiada za jego realizację i wypłatę wynagrodzeń.</w:t>
            </w:r>
          </w:p>
          <w:p w14:paraId="7299AF69" w14:textId="77777777" w:rsidR="004F28E4" w:rsidRPr="00FF58D5" w:rsidRDefault="004F28E4" w:rsidP="00AB5A1A">
            <w:pPr>
              <w:spacing w:line="276" w:lineRule="auto"/>
              <w:jc w:val="both"/>
              <w:rPr>
                <w:rFonts w:asciiTheme="minorHAnsi" w:hAnsiTheme="minorHAnsi" w:cstheme="minorHAnsi"/>
                <w:bCs/>
                <w:sz w:val="22"/>
                <w:szCs w:val="22"/>
              </w:rPr>
            </w:pPr>
          </w:p>
          <w:p w14:paraId="32DEC1D1" w14:textId="3D7D6DAF" w:rsidR="0079206A" w:rsidRPr="00FF58D5" w:rsidRDefault="004F28E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związku z powyższym, </w:t>
            </w:r>
            <w:r w:rsidR="00E15678" w:rsidRPr="00FF58D5">
              <w:rPr>
                <w:rFonts w:asciiTheme="minorHAnsi" w:hAnsiTheme="minorHAnsi" w:cstheme="minorHAnsi"/>
                <w:bCs/>
                <w:sz w:val="22"/>
                <w:szCs w:val="22"/>
              </w:rPr>
              <w:t xml:space="preserve">przepis w </w:t>
            </w:r>
            <w:r w:rsidR="00B155BC" w:rsidRPr="00FF58D5">
              <w:rPr>
                <w:rFonts w:asciiTheme="minorHAnsi" w:hAnsiTheme="minorHAnsi" w:cstheme="minorHAnsi"/>
                <w:bCs/>
                <w:sz w:val="22"/>
                <w:szCs w:val="22"/>
              </w:rPr>
              <w:t>z</w:t>
            </w:r>
            <w:r w:rsidR="00E15678" w:rsidRPr="00FF58D5">
              <w:rPr>
                <w:rFonts w:asciiTheme="minorHAnsi" w:hAnsiTheme="minorHAnsi" w:cstheme="minorHAnsi"/>
                <w:bCs/>
                <w:sz w:val="22"/>
                <w:szCs w:val="22"/>
              </w:rPr>
              <w:t xml:space="preserve">aproponowanym </w:t>
            </w:r>
            <w:r w:rsidR="00B155BC" w:rsidRPr="00FF58D5">
              <w:rPr>
                <w:rFonts w:asciiTheme="minorHAnsi" w:hAnsiTheme="minorHAnsi" w:cstheme="minorHAnsi"/>
                <w:bCs/>
                <w:sz w:val="22"/>
                <w:szCs w:val="22"/>
              </w:rPr>
              <w:t>brzmieniu</w:t>
            </w:r>
            <w:r w:rsidRPr="00FF58D5">
              <w:rPr>
                <w:rFonts w:asciiTheme="minorHAnsi" w:hAnsiTheme="minorHAnsi" w:cstheme="minorHAnsi"/>
                <w:bCs/>
                <w:sz w:val="22"/>
                <w:szCs w:val="22"/>
              </w:rPr>
              <w:t xml:space="preserve"> stwarza poważne trudności praktyczne i ryzyko błędów w raportowaniu.</w:t>
            </w:r>
          </w:p>
          <w:p w14:paraId="7191E23C" w14:textId="77777777" w:rsidR="00E146B8" w:rsidRPr="00FF58D5" w:rsidRDefault="00E146B8" w:rsidP="00AB5A1A">
            <w:pPr>
              <w:spacing w:line="276" w:lineRule="auto"/>
              <w:jc w:val="both"/>
              <w:rPr>
                <w:rFonts w:asciiTheme="minorHAnsi" w:hAnsiTheme="minorHAnsi" w:cstheme="minorHAnsi"/>
                <w:bCs/>
                <w:sz w:val="22"/>
                <w:szCs w:val="22"/>
              </w:rPr>
            </w:pPr>
          </w:p>
          <w:p w14:paraId="7ABA2BD8" w14:textId="63538F90" w:rsidR="00FE38FE" w:rsidRPr="00FF58D5" w:rsidRDefault="00FE38FE" w:rsidP="00AB5A1A">
            <w:pPr>
              <w:spacing w:line="276" w:lineRule="auto"/>
              <w:jc w:val="both"/>
              <w:rPr>
                <w:rFonts w:asciiTheme="minorHAnsi" w:hAnsiTheme="minorHAnsi" w:cstheme="minorHAnsi"/>
                <w:bCs/>
                <w:sz w:val="22"/>
                <w:szCs w:val="22"/>
              </w:rPr>
            </w:pPr>
          </w:p>
        </w:tc>
      </w:tr>
      <w:tr w:rsidR="00004867" w:rsidRPr="00FF58D5" w14:paraId="434A7802" w14:textId="77777777" w:rsidTr="00AB5A1A">
        <w:trPr>
          <w:trHeight w:val="1275"/>
        </w:trPr>
        <w:tc>
          <w:tcPr>
            <w:tcW w:w="709" w:type="dxa"/>
            <w:vAlign w:val="center"/>
          </w:tcPr>
          <w:p w14:paraId="3785AF73" w14:textId="77777777" w:rsidR="00B155BC" w:rsidRPr="00FF58D5" w:rsidRDefault="00B155BC"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1EA88D45" w14:textId="2862C778" w:rsidR="00B155BC" w:rsidRPr="00FF58D5" w:rsidRDefault="00B155B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w:t>
            </w:r>
            <w:r w:rsidR="0011251E" w:rsidRPr="00FF58D5">
              <w:rPr>
                <w:rFonts w:asciiTheme="minorHAnsi" w:hAnsiTheme="minorHAnsi" w:cstheme="minorHAnsi"/>
                <w:b/>
                <w:bCs/>
                <w:sz w:val="22"/>
                <w:szCs w:val="22"/>
              </w:rPr>
              <w:t>9</w:t>
            </w:r>
            <w:r w:rsidRPr="00FF58D5">
              <w:rPr>
                <w:rFonts w:asciiTheme="minorHAnsi" w:hAnsiTheme="minorHAnsi" w:cstheme="minorHAnsi"/>
                <w:b/>
                <w:bCs/>
                <w:sz w:val="22"/>
                <w:szCs w:val="22"/>
              </w:rPr>
              <w:t xml:space="preserve"> ust. 2</w:t>
            </w:r>
          </w:p>
        </w:tc>
        <w:tc>
          <w:tcPr>
            <w:tcW w:w="3118" w:type="dxa"/>
            <w:vAlign w:val="center"/>
          </w:tcPr>
          <w:p w14:paraId="43405646" w14:textId="427DC8AA" w:rsidR="00B155BC" w:rsidRPr="00FF58D5" w:rsidRDefault="00776AA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2. </w:t>
            </w:r>
            <w:r w:rsidRPr="00FF58D5">
              <w:rPr>
                <w:rFonts w:asciiTheme="minorHAnsi" w:hAnsiTheme="minorHAnsi" w:cstheme="minorHAnsi"/>
                <w:sz w:val="22"/>
                <w:szCs w:val="22"/>
              </w:rPr>
              <w:t>Obowiązki wynikające z art. 10 i 11 w stosunku do pracowników tymczasowych wykonuje również agencja pracy tymczasowej.</w:t>
            </w:r>
          </w:p>
        </w:tc>
        <w:tc>
          <w:tcPr>
            <w:tcW w:w="3827" w:type="dxa"/>
            <w:vAlign w:val="center"/>
          </w:tcPr>
          <w:p w14:paraId="163A9CD7" w14:textId="5F0C1AE8" w:rsidR="00B155BC" w:rsidRPr="00FF58D5" w:rsidRDefault="00F768A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Przepis wymaga dalszych konsultacji.</w:t>
            </w:r>
          </w:p>
        </w:tc>
        <w:tc>
          <w:tcPr>
            <w:tcW w:w="5387" w:type="dxa"/>
          </w:tcPr>
          <w:p w14:paraId="3F3A1571" w14:textId="77777777" w:rsidR="00242C5A" w:rsidRPr="00FF58D5" w:rsidRDefault="00242C5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Art. 10 odnosi się wyłącznie do sposobu przekazywania informacji, o których mowa w art. 7 ust. 2 i 3, art. 8 oraz art. 183ca § 1 Kodeksu pracy. Nie przewiduje obowiązków sprawozdawczych ani działań mających na celu raportowanie luki płacowej.</w:t>
            </w:r>
          </w:p>
          <w:p w14:paraId="32557608" w14:textId="77777777" w:rsidR="00242C5A" w:rsidRPr="00FF58D5" w:rsidRDefault="00242C5A" w:rsidP="00AB5A1A">
            <w:pPr>
              <w:spacing w:line="276" w:lineRule="auto"/>
              <w:jc w:val="both"/>
              <w:rPr>
                <w:rFonts w:asciiTheme="minorHAnsi" w:hAnsiTheme="minorHAnsi" w:cstheme="minorHAnsi"/>
                <w:bCs/>
                <w:sz w:val="22"/>
                <w:szCs w:val="22"/>
              </w:rPr>
            </w:pPr>
          </w:p>
          <w:p w14:paraId="139DCC8D" w14:textId="77777777" w:rsidR="00242C5A" w:rsidRPr="00FF58D5" w:rsidRDefault="00242C5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Art. 11 nie nakłada żadnego obowiązku informacyjnego wobec pracowników, a jedynie określa zasady wstępnej oceny wynagrodzeń.</w:t>
            </w:r>
          </w:p>
          <w:p w14:paraId="27BD072E" w14:textId="77777777" w:rsidR="00242C5A" w:rsidRPr="00FF58D5" w:rsidRDefault="00242C5A" w:rsidP="00AB5A1A">
            <w:pPr>
              <w:spacing w:line="276" w:lineRule="auto"/>
              <w:jc w:val="both"/>
              <w:rPr>
                <w:rFonts w:asciiTheme="minorHAnsi" w:hAnsiTheme="minorHAnsi" w:cstheme="minorHAnsi"/>
                <w:bCs/>
                <w:sz w:val="22"/>
                <w:szCs w:val="22"/>
              </w:rPr>
            </w:pPr>
          </w:p>
          <w:p w14:paraId="619F9CAD" w14:textId="6E711E94" w:rsidR="00B155BC" w:rsidRPr="00FF58D5" w:rsidRDefault="00242C5A"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W związku z tym przepisy art. 49 ust. 2 rodzą wątpliwości, jakie konkretne obowiązki agencja miałaby wykonywać wobec pracowników tymczasowych. </w:t>
            </w:r>
          </w:p>
        </w:tc>
      </w:tr>
      <w:tr w:rsidR="00004867" w:rsidRPr="00FF58D5" w14:paraId="698653B1" w14:textId="77777777" w:rsidTr="00AB5A1A">
        <w:trPr>
          <w:trHeight w:val="1275"/>
        </w:trPr>
        <w:tc>
          <w:tcPr>
            <w:tcW w:w="709" w:type="dxa"/>
            <w:vAlign w:val="center"/>
          </w:tcPr>
          <w:p w14:paraId="44F2E0DC" w14:textId="77777777" w:rsidR="00D20C3B" w:rsidRPr="00FF58D5" w:rsidRDefault="00D20C3B"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4A932BC" w14:textId="06B61A15" w:rsidR="00D20C3B" w:rsidRPr="00FF58D5" w:rsidRDefault="00D20C3B"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49 ust. 3</w:t>
            </w:r>
          </w:p>
        </w:tc>
        <w:tc>
          <w:tcPr>
            <w:tcW w:w="3118" w:type="dxa"/>
            <w:vAlign w:val="center"/>
          </w:tcPr>
          <w:p w14:paraId="5A0C35D4" w14:textId="38BE1E59" w:rsidR="00D20C3B" w:rsidRPr="00FF58D5" w:rsidRDefault="00A42E03"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3. </w:t>
            </w:r>
            <w:r w:rsidRPr="00FF58D5">
              <w:rPr>
                <w:rFonts w:asciiTheme="minorHAnsi" w:hAnsiTheme="minorHAnsi" w:cstheme="minorHAnsi"/>
                <w:sz w:val="22"/>
                <w:szCs w:val="22"/>
              </w:rPr>
              <w:t xml:space="preserve">W celu realizacji obowiązków, o których mowa w ust. 1, agencja pracy tymczasowej udziela wszelkich, niezbędnych informacji pracodawcy  użytkownikowi.  </w:t>
            </w:r>
          </w:p>
        </w:tc>
        <w:tc>
          <w:tcPr>
            <w:tcW w:w="3827" w:type="dxa"/>
            <w:vAlign w:val="center"/>
          </w:tcPr>
          <w:p w14:paraId="05643CFA" w14:textId="681A3F7C" w:rsidR="00942B0B" w:rsidRPr="00FF58D5" w:rsidRDefault="00F768AE"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Przepis wymaga dalszych konsultacji. </w:t>
            </w:r>
          </w:p>
          <w:p w14:paraId="2179F68F" w14:textId="430889B7" w:rsidR="00D20C3B" w:rsidRPr="00FF58D5" w:rsidRDefault="00D20C3B" w:rsidP="00AB5A1A">
            <w:pPr>
              <w:spacing w:line="276" w:lineRule="auto"/>
              <w:jc w:val="both"/>
              <w:rPr>
                <w:rFonts w:asciiTheme="minorHAnsi" w:hAnsiTheme="minorHAnsi" w:cstheme="minorHAnsi"/>
                <w:bCs/>
                <w:sz w:val="22"/>
                <w:szCs w:val="22"/>
              </w:rPr>
            </w:pPr>
          </w:p>
        </w:tc>
        <w:tc>
          <w:tcPr>
            <w:tcW w:w="5387" w:type="dxa"/>
          </w:tcPr>
          <w:p w14:paraId="6AE87EDD" w14:textId="3D519B7C" w:rsidR="00DB10C0" w:rsidRPr="00FF58D5" w:rsidRDefault="0072353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Przepis rodzi szereg w</w:t>
            </w:r>
            <w:r w:rsidR="00DB10C0" w:rsidRPr="00FF58D5">
              <w:rPr>
                <w:rFonts w:asciiTheme="minorHAnsi" w:hAnsiTheme="minorHAnsi" w:cstheme="minorHAnsi"/>
                <w:bCs/>
                <w:sz w:val="22"/>
                <w:szCs w:val="22"/>
              </w:rPr>
              <w:t>ątpliwości i ryzyka interpretacyjn</w:t>
            </w:r>
            <w:r w:rsidRPr="00FF58D5">
              <w:rPr>
                <w:rFonts w:asciiTheme="minorHAnsi" w:hAnsiTheme="minorHAnsi" w:cstheme="minorHAnsi"/>
                <w:bCs/>
                <w:sz w:val="22"/>
                <w:szCs w:val="22"/>
              </w:rPr>
              <w:t xml:space="preserve">ych. </w:t>
            </w:r>
          </w:p>
          <w:p w14:paraId="7457CC5C" w14:textId="77777777" w:rsidR="00DB10C0" w:rsidRPr="00FF58D5" w:rsidRDefault="00DB10C0" w:rsidP="00AB5A1A">
            <w:pPr>
              <w:spacing w:line="276" w:lineRule="auto"/>
              <w:jc w:val="both"/>
              <w:rPr>
                <w:rFonts w:asciiTheme="minorHAnsi" w:hAnsiTheme="minorHAnsi" w:cstheme="minorHAnsi"/>
                <w:bCs/>
                <w:sz w:val="22"/>
                <w:szCs w:val="22"/>
              </w:rPr>
            </w:pPr>
          </w:p>
          <w:p w14:paraId="6747CACC" w14:textId="153291F9" w:rsidR="00DB10C0" w:rsidRPr="00FF58D5" w:rsidRDefault="00DB10C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nie jest określone, jakiego rodzaju i w jakim zakresie informacje powinny być przekazywane, aby pracodawca użytkownik mógł rzetelnie wypełnić obowiązki informacyjne wobec pracownika tymczasowego.</w:t>
            </w:r>
          </w:p>
          <w:p w14:paraId="483BEB2C" w14:textId="77777777" w:rsidR="00DB10C0" w:rsidRPr="00FF58D5" w:rsidRDefault="00DB10C0" w:rsidP="00AB5A1A">
            <w:pPr>
              <w:spacing w:line="276" w:lineRule="auto"/>
              <w:jc w:val="both"/>
              <w:rPr>
                <w:rFonts w:asciiTheme="minorHAnsi" w:hAnsiTheme="minorHAnsi" w:cstheme="minorHAnsi"/>
                <w:bCs/>
                <w:sz w:val="22"/>
                <w:szCs w:val="22"/>
              </w:rPr>
            </w:pPr>
          </w:p>
          <w:p w14:paraId="1A67F907" w14:textId="77777777" w:rsidR="00DB10C0" w:rsidRPr="00FF58D5" w:rsidRDefault="00DB10C0" w:rsidP="00AB5A1A">
            <w:pPr>
              <w:spacing w:line="276" w:lineRule="auto"/>
              <w:jc w:val="both"/>
              <w:rPr>
                <w:rFonts w:asciiTheme="minorHAnsi" w:hAnsiTheme="minorHAnsi" w:cstheme="minorHAnsi"/>
                <w:bCs/>
                <w:sz w:val="22"/>
                <w:szCs w:val="22"/>
              </w:rPr>
            </w:pPr>
          </w:p>
          <w:p w14:paraId="5EF49F0B" w14:textId="4BD77956" w:rsidR="00D20C3B" w:rsidRPr="00FF58D5" w:rsidRDefault="00DB10C0"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brak doprecyzowania, w jaki sposób informacje przekazywane przez agencję mają być uwzględniane w procesie konsultacji z zakładowymi organizacjami związkowymi, co może prowadzić do niejasności w zakresie realizacji obowiązków ustawowych.</w:t>
            </w:r>
          </w:p>
        </w:tc>
      </w:tr>
      <w:tr w:rsidR="009B5605" w:rsidRPr="00FF58D5" w14:paraId="2DB99084" w14:textId="77777777" w:rsidTr="00AB5A1A">
        <w:trPr>
          <w:trHeight w:val="1275"/>
        </w:trPr>
        <w:tc>
          <w:tcPr>
            <w:tcW w:w="709" w:type="dxa"/>
            <w:vAlign w:val="center"/>
          </w:tcPr>
          <w:p w14:paraId="14282E0B" w14:textId="77777777" w:rsidR="00FE38FE" w:rsidRPr="00FF58D5" w:rsidRDefault="00FE38FE" w:rsidP="000F1418">
            <w:pPr>
              <w:pStyle w:val="Akapitzlist"/>
              <w:numPr>
                <w:ilvl w:val="0"/>
                <w:numId w:val="69"/>
              </w:numPr>
              <w:spacing w:line="276" w:lineRule="auto"/>
              <w:contextualSpacing w:val="0"/>
              <w:jc w:val="center"/>
              <w:rPr>
                <w:rFonts w:asciiTheme="minorHAnsi" w:hAnsiTheme="minorHAnsi" w:cstheme="minorHAnsi"/>
                <w:bCs/>
                <w:sz w:val="22"/>
                <w:szCs w:val="22"/>
              </w:rPr>
            </w:pPr>
          </w:p>
        </w:tc>
        <w:tc>
          <w:tcPr>
            <w:tcW w:w="1134" w:type="dxa"/>
            <w:vAlign w:val="center"/>
          </w:tcPr>
          <w:p w14:paraId="647B280C" w14:textId="2F88FF3B" w:rsidR="00FE38FE" w:rsidRPr="00FF58D5" w:rsidRDefault="00E345F4"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Art.50</w:t>
            </w:r>
          </w:p>
        </w:tc>
        <w:tc>
          <w:tcPr>
            <w:tcW w:w="3118" w:type="dxa"/>
            <w:vAlign w:val="center"/>
          </w:tcPr>
          <w:p w14:paraId="2D5B574A" w14:textId="77777777" w:rsidR="003C66A2" w:rsidRPr="00FF58D5" w:rsidRDefault="003C66A2"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 xml:space="preserve">Art. 50. </w:t>
            </w:r>
            <w:r w:rsidRPr="00FF58D5">
              <w:rPr>
                <w:rFonts w:asciiTheme="minorHAnsi" w:hAnsiTheme="minorHAnsi" w:cstheme="minorHAnsi"/>
                <w:sz w:val="22"/>
                <w:szCs w:val="22"/>
              </w:rPr>
              <w:t>1. Kto będąc pracodawcą lub działając w jego imieniu:</w:t>
            </w:r>
          </w:p>
          <w:p w14:paraId="24307818" w14:textId="77777777" w:rsidR="003C66A2" w:rsidRPr="00FF58D5" w:rsidRDefault="003C66A2"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w:t>
            </w:r>
            <w:r w:rsidRPr="00FF58D5">
              <w:rPr>
                <w:rFonts w:asciiTheme="minorHAnsi" w:hAnsiTheme="minorHAnsi" w:cstheme="minorHAnsi"/>
                <w:sz w:val="22"/>
                <w:szCs w:val="22"/>
              </w:rPr>
              <w:tab/>
              <w:t>nie ocenia wartości poszczególnych stanowisk pracy lub rodzaju pracy zgodnie z art. 3 i 4,</w:t>
            </w:r>
          </w:p>
          <w:p w14:paraId="0A41CDE8" w14:textId="77777777" w:rsidR="00CF09FC" w:rsidRPr="00FF58D5" w:rsidRDefault="00CF09FC"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w:t>
            </w:r>
          </w:p>
          <w:p w14:paraId="7EDE9057" w14:textId="7AF453DA" w:rsidR="003C66A2" w:rsidRPr="00FF58D5" w:rsidRDefault="003C66A2"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10)</w:t>
            </w:r>
            <w:r w:rsidRPr="00FF58D5">
              <w:rPr>
                <w:rFonts w:asciiTheme="minorHAnsi" w:hAnsiTheme="minorHAnsi" w:cstheme="minorHAnsi"/>
                <w:sz w:val="22"/>
                <w:szCs w:val="22"/>
              </w:rPr>
              <w:tab/>
              <w:t>zamieszcza w umowie o pracę lub w innych aktach, o których mowa w art. 9 § 2 Kodeksu pracy, postanowienia zakazujące ujawnienia przez pracowników wysokości otrzymywanego przez nich wynagrodzenia</w:t>
            </w:r>
          </w:p>
          <w:p w14:paraId="63BC3C35" w14:textId="3B544FD8" w:rsidR="00FE38FE" w:rsidRPr="00FF58D5" w:rsidRDefault="003C66A2"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podlega karze grzywny od 3000 zł do 50 000zł.</w:t>
            </w:r>
          </w:p>
        </w:tc>
        <w:tc>
          <w:tcPr>
            <w:tcW w:w="3827" w:type="dxa"/>
            <w:vAlign w:val="center"/>
          </w:tcPr>
          <w:p w14:paraId="702F381C" w14:textId="5E888966" w:rsidR="00E345F4" w:rsidRPr="00FF58D5" w:rsidRDefault="00E345F4"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Proponuje się dodanie do art. 50 ust. 2 o następującym brzmieniu:</w:t>
            </w:r>
          </w:p>
          <w:p w14:paraId="1B741B65" w14:textId="77777777" w:rsidR="00CF09FC" w:rsidRPr="00FF58D5" w:rsidRDefault="00CF09FC" w:rsidP="00AB5A1A">
            <w:pPr>
              <w:spacing w:line="276" w:lineRule="auto"/>
              <w:jc w:val="both"/>
              <w:rPr>
                <w:rFonts w:asciiTheme="minorHAnsi" w:hAnsiTheme="minorHAnsi" w:cstheme="minorHAnsi"/>
                <w:bCs/>
                <w:sz w:val="22"/>
                <w:szCs w:val="22"/>
              </w:rPr>
            </w:pPr>
          </w:p>
          <w:p w14:paraId="475EB404" w14:textId="5B5805EC" w:rsidR="00FE38FE" w:rsidRPr="00FF58D5" w:rsidRDefault="00E345F4" w:rsidP="00AB5A1A">
            <w:pPr>
              <w:spacing w:line="276" w:lineRule="auto"/>
              <w:jc w:val="both"/>
              <w:rPr>
                <w:rFonts w:asciiTheme="minorHAnsi" w:hAnsiTheme="minorHAnsi" w:cstheme="minorHAnsi"/>
                <w:bCs/>
                <w:i/>
                <w:iCs/>
                <w:sz w:val="22"/>
                <w:szCs w:val="22"/>
              </w:rPr>
            </w:pPr>
            <w:r w:rsidRPr="00FF58D5">
              <w:rPr>
                <w:rFonts w:asciiTheme="minorHAnsi" w:hAnsiTheme="minorHAnsi" w:cstheme="minorHAnsi"/>
                <w:bCs/>
                <w:i/>
                <w:iCs/>
                <w:sz w:val="22"/>
                <w:szCs w:val="22"/>
              </w:rPr>
              <w:t>2. Pracodawca nie podlega karze w przypadku gdy brak wykonania obowiązków wskazanych w ust. 1 wynika z przyczyn niezależnych od pracodawcy, w szczególności gdy jest spowodowany brakiem współdziałania przy ich wykonaniu innych osób</w:t>
            </w:r>
            <w:r w:rsidR="00DA79C5" w:rsidRPr="00FF58D5">
              <w:rPr>
                <w:rFonts w:asciiTheme="minorHAnsi" w:hAnsiTheme="minorHAnsi" w:cstheme="minorHAnsi"/>
                <w:bCs/>
                <w:i/>
                <w:iCs/>
                <w:sz w:val="22"/>
                <w:szCs w:val="22"/>
              </w:rPr>
              <w:t>, podmiotów</w:t>
            </w:r>
            <w:r w:rsidRPr="00FF58D5">
              <w:rPr>
                <w:rFonts w:asciiTheme="minorHAnsi" w:hAnsiTheme="minorHAnsi" w:cstheme="minorHAnsi"/>
                <w:bCs/>
                <w:i/>
                <w:iCs/>
                <w:sz w:val="22"/>
                <w:szCs w:val="22"/>
              </w:rPr>
              <w:t xml:space="preserve"> wskazanych w niniejszej ustawie.</w:t>
            </w:r>
          </w:p>
        </w:tc>
        <w:tc>
          <w:tcPr>
            <w:tcW w:w="5387" w:type="dxa"/>
          </w:tcPr>
          <w:p w14:paraId="32DD81A5" w14:textId="0CE50126" w:rsidR="00716038" w:rsidRPr="00FF58D5" w:rsidRDefault="0071603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Proponowany ustęp ma na celu doprecyzowanie zakresu odpowiedzialności pracodawcy w przypadku niewykonania obowiązków wynikających z ustawy.</w:t>
            </w:r>
          </w:p>
          <w:p w14:paraId="125C0FD0" w14:textId="77777777" w:rsidR="00FE38FE" w:rsidRPr="00FF58D5" w:rsidRDefault="0071603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Wprowadzenie przepisu przewidującego wyłączenie odpowiedzialności w sytuacjach, gdy niewykonanie obowiązków wynika z przyczyn niezależnych od pracodawcy, w tym braku współdziałania innych osób wskazanych w ustawie, jest zgodne z zasadą proporcjonalności odpowiedzialności karnej.</w:t>
            </w:r>
            <w:r w:rsidR="00130F66" w:rsidRPr="00FF58D5">
              <w:rPr>
                <w:rFonts w:asciiTheme="minorHAnsi" w:hAnsiTheme="minorHAnsi" w:cstheme="minorHAnsi"/>
                <w:bCs/>
                <w:sz w:val="22"/>
                <w:szCs w:val="22"/>
              </w:rPr>
              <w:t xml:space="preserve"> </w:t>
            </w:r>
            <w:r w:rsidRPr="00FF58D5">
              <w:rPr>
                <w:rFonts w:asciiTheme="minorHAnsi" w:hAnsiTheme="minorHAnsi" w:cstheme="minorHAnsi"/>
                <w:bCs/>
                <w:sz w:val="22"/>
                <w:szCs w:val="22"/>
              </w:rPr>
              <w:t>Rozwiązanie to zapewnia, że pracodawca nie będzie ponosił odpowiedzialności karnej za zdarzenia, na które nie miał realnego wpływu, co zwiększa bezpieczeństwo prawne i sprawiedliwość stosowania przepisów. Jednocześnie nie ogranicza ono skuteczności systemu sankcji wobec sytuacji, w których pracodawca rzeczywiście zawinił lub zaniedbał swoje obowiązki.</w:t>
            </w:r>
          </w:p>
          <w:p w14:paraId="172CD379" w14:textId="691178A0" w:rsidR="00130F66" w:rsidRPr="00FF58D5" w:rsidRDefault="00130F66"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Ponadto zwracamy na to, że </w:t>
            </w:r>
            <w:r w:rsidR="008E42C9" w:rsidRPr="00FF58D5">
              <w:rPr>
                <w:rFonts w:asciiTheme="minorHAnsi" w:hAnsiTheme="minorHAnsi" w:cstheme="minorHAnsi"/>
                <w:bCs/>
                <w:sz w:val="22"/>
                <w:szCs w:val="22"/>
              </w:rPr>
              <w:t xml:space="preserve">jeden z celów dyrektywy, jakim jest zapewnienie rzeczywistego efektu odstraszającego od naruszeń przepisów przez pracodawców, może zostać osiągnięty nie tyle poprzez ustanawianie wysokich kar </w:t>
            </w:r>
            <w:r w:rsidR="008E42C9" w:rsidRPr="00FF58D5">
              <w:rPr>
                <w:rFonts w:asciiTheme="minorHAnsi" w:hAnsiTheme="minorHAnsi" w:cstheme="minorHAnsi"/>
                <w:bCs/>
                <w:sz w:val="22"/>
                <w:szCs w:val="22"/>
              </w:rPr>
              <w:lastRenderedPageBreak/>
              <w:t>grzywny, sięgających do 50 000 zł, ile poprzez wprowadzenie skutecznych mechanizmów gwarantujących nieuchronność egzekwowania kar oraz sprawny i możliwie szybki proces ich nakładania na podmioty naruszające przepisy.</w:t>
            </w:r>
          </w:p>
        </w:tc>
      </w:tr>
      <w:tr w:rsidR="00AB45A1" w:rsidRPr="00FF58D5" w14:paraId="392D8EE8" w14:textId="77777777" w:rsidTr="00AB5A1A">
        <w:trPr>
          <w:trHeight w:val="1275"/>
        </w:trPr>
        <w:tc>
          <w:tcPr>
            <w:tcW w:w="709" w:type="dxa"/>
            <w:vAlign w:val="center"/>
          </w:tcPr>
          <w:p w14:paraId="6BC09434" w14:textId="77777777" w:rsidR="00AB45A1" w:rsidRPr="00FF58D5" w:rsidRDefault="00AB45A1" w:rsidP="000F1418">
            <w:pPr>
              <w:pStyle w:val="Akapitzlist"/>
              <w:numPr>
                <w:ilvl w:val="0"/>
                <w:numId w:val="69"/>
              </w:numPr>
              <w:spacing w:line="276" w:lineRule="auto"/>
              <w:contextualSpacing w:val="0"/>
              <w:jc w:val="center"/>
              <w:rPr>
                <w:rFonts w:asciiTheme="minorHAnsi" w:hAnsiTheme="minorHAnsi" w:cstheme="minorHAnsi"/>
                <w:bCs/>
                <w:sz w:val="22"/>
                <w:szCs w:val="22"/>
              </w:rPr>
            </w:pPr>
          </w:p>
        </w:tc>
        <w:tc>
          <w:tcPr>
            <w:tcW w:w="1134" w:type="dxa"/>
            <w:vAlign w:val="center"/>
          </w:tcPr>
          <w:p w14:paraId="560286DA" w14:textId="0CE3EBF9" w:rsidR="00AB45A1" w:rsidRPr="00FF58D5" w:rsidRDefault="006D6BEE"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w:t>
            </w:r>
            <w:r w:rsidR="009E2E7A" w:rsidRPr="00FF58D5">
              <w:rPr>
                <w:rFonts w:asciiTheme="minorHAnsi" w:hAnsiTheme="minorHAnsi" w:cstheme="minorHAnsi"/>
                <w:b/>
                <w:bCs/>
                <w:sz w:val="22"/>
                <w:szCs w:val="22"/>
              </w:rPr>
              <w:t>54 pkt 4</w:t>
            </w:r>
          </w:p>
        </w:tc>
        <w:tc>
          <w:tcPr>
            <w:tcW w:w="3118" w:type="dxa"/>
            <w:vAlign w:val="center"/>
          </w:tcPr>
          <w:p w14:paraId="6C48376F" w14:textId="77777777" w:rsidR="009E2E7A" w:rsidRPr="00FF58D5" w:rsidRDefault="009E2E7A" w:rsidP="00AB5A1A">
            <w:pPr>
              <w:spacing w:line="276" w:lineRule="auto"/>
              <w:jc w:val="both"/>
              <w:rPr>
                <w:rFonts w:asciiTheme="minorHAnsi" w:hAnsiTheme="minorHAnsi" w:cstheme="minorHAnsi"/>
                <w:sz w:val="22"/>
                <w:szCs w:val="22"/>
              </w:rPr>
            </w:pPr>
            <w:r w:rsidRPr="00FF58D5">
              <w:rPr>
                <w:rFonts w:asciiTheme="minorHAnsi" w:hAnsiTheme="minorHAnsi" w:cstheme="minorHAnsi"/>
                <w:b/>
                <w:bCs/>
                <w:sz w:val="22"/>
                <w:szCs w:val="22"/>
              </w:rPr>
              <w:t>4)</w:t>
            </w:r>
            <w:r w:rsidRPr="00FF58D5">
              <w:rPr>
                <w:rFonts w:asciiTheme="minorHAnsi" w:hAnsiTheme="minorHAnsi" w:cstheme="minorHAnsi"/>
                <w:b/>
                <w:bCs/>
                <w:sz w:val="22"/>
                <w:szCs w:val="22"/>
              </w:rPr>
              <w:tab/>
            </w:r>
            <w:r w:rsidRPr="00FF58D5">
              <w:rPr>
                <w:rFonts w:asciiTheme="minorHAnsi" w:hAnsiTheme="minorHAnsi" w:cstheme="minorHAnsi"/>
                <w:sz w:val="22"/>
                <w:szCs w:val="22"/>
              </w:rPr>
              <w:t>w art. 291 po § 1 dodaje się § 11 w brzmieniu:</w:t>
            </w:r>
          </w:p>
          <w:p w14:paraId="39FC2BB1" w14:textId="29837E6F" w:rsidR="00AB45A1" w:rsidRPr="00FF58D5" w:rsidRDefault="009E2E7A"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 11. Przepisy § 1 stosuje się do roszczeń wynikających z rozdziału IIA oraz art. 221– 221b.”.</w:t>
            </w:r>
          </w:p>
        </w:tc>
        <w:tc>
          <w:tcPr>
            <w:tcW w:w="3827" w:type="dxa"/>
            <w:vAlign w:val="center"/>
          </w:tcPr>
          <w:p w14:paraId="1A24FE9E" w14:textId="02B4CF5C" w:rsidR="00AB45A1" w:rsidRPr="00FF58D5" w:rsidRDefault="00DF2F3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Doprecyzowanie przepisu.</w:t>
            </w:r>
          </w:p>
        </w:tc>
        <w:tc>
          <w:tcPr>
            <w:tcW w:w="5387" w:type="dxa"/>
          </w:tcPr>
          <w:p w14:paraId="1848BAA8" w14:textId="1CE83BBC" w:rsidR="00AB45A1" w:rsidRPr="00FF58D5" w:rsidRDefault="00DF2F3D"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Projektowany przepis zawiera odesłanie do Rozdziału IIA bez wskazania odpowiedniego Działu Kodeksu pracy. Kwestia ta powinna zostać doprecyzowana, szczególnie, że Rozdział IIA znajduje się zarówno w Dziale I, jak i w Dziale IV.</w:t>
            </w:r>
          </w:p>
        </w:tc>
      </w:tr>
      <w:tr w:rsidR="00E82DFC" w:rsidRPr="00FF58D5" w14:paraId="77D38217" w14:textId="77777777" w:rsidTr="00AB5A1A">
        <w:trPr>
          <w:trHeight w:val="1275"/>
        </w:trPr>
        <w:tc>
          <w:tcPr>
            <w:tcW w:w="709" w:type="dxa"/>
            <w:vAlign w:val="center"/>
          </w:tcPr>
          <w:p w14:paraId="358A83B3" w14:textId="77777777" w:rsidR="00E82DFC" w:rsidRPr="00FF58D5" w:rsidRDefault="00E82DFC" w:rsidP="000F1418">
            <w:pPr>
              <w:pStyle w:val="Akapitzlist"/>
              <w:numPr>
                <w:ilvl w:val="0"/>
                <w:numId w:val="69"/>
              </w:numPr>
              <w:spacing w:line="276" w:lineRule="auto"/>
              <w:contextualSpacing w:val="0"/>
              <w:jc w:val="center"/>
              <w:rPr>
                <w:rFonts w:asciiTheme="minorHAnsi" w:hAnsiTheme="minorHAnsi" w:cstheme="minorHAnsi"/>
                <w:bCs/>
                <w:sz w:val="22"/>
                <w:szCs w:val="22"/>
              </w:rPr>
            </w:pPr>
          </w:p>
        </w:tc>
        <w:tc>
          <w:tcPr>
            <w:tcW w:w="1134" w:type="dxa"/>
            <w:vAlign w:val="center"/>
          </w:tcPr>
          <w:p w14:paraId="1DEB357C" w14:textId="25EE73A5" w:rsidR="00E82DFC" w:rsidRPr="00FF58D5" w:rsidRDefault="00E82DF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56</w:t>
            </w:r>
          </w:p>
        </w:tc>
        <w:tc>
          <w:tcPr>
            <w:tcW w:w="3118" w:type="dxa"/>
            <w:vAlign w:val="center"/>
          </w:tcPr>
          <w:p w14:paraId="636F8626" w14:textId="14E4C4CB" w:rsidR="00E82DFC" w:rsidRPr="00FF58D5" w:rsidRDefault="00E82DFC"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Art. 56</w:t>
            </w:r>
            <w:r w:rsidRPr="00FF58D5">
              <w:rPr>
                <w:rFonts w:asciiTheme="minorHAnsi" w:hAnsiTheme="minorHAnsi" w:cstheme="minorHAnsi"/>
                <w:sz w:val="22"/>
                <w:szCs w:val="22"/>
              </w:rPr>
              <w:t>. Organ monitorujący w porozumieniu z Prezesem Głównego Urzędu Statystycznego opracuje oraz udostępni narzędzie informatyczne służące realizacji obowiązku sporządzenia sprawozdania z luki płacowej.</w:t>
            </w:r>
          </w:p>
        </w:tc>
        <w:tc>
          <w:tcPr>
            <w:tcW w:w="3827" w:type="dxa"/>
            <w:vAlign w:val="center"/>
          </w:tcPr>
          <w:p w14:paraId="487A512C" w14:textId="061ABF9D" w:rsidR="00E82DFC" w:rsidRPr="00FF58D5" w:rsidRDefault="006F2C49"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Doprecyzowanie terminu.</w:t>
            </w:r>
          </w:p>
        </w:tc>
        <w:tc>
          <w:tcPr>
            <w:tcW w:w="5387" w:type="dxa"/>
          </w:tcPr>
          <w:p w14:paraId="1788D802" w14:textId="3EFB22A0" w:rsidR="00E82DFC" w:rsidRPr="00FF58D5" w:rsidRDefault="0072201B"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Proponuje się wskazanie konkretnego terminu udostępnienia narzędzia informatycznego, służącego realizacji obowiązku sporządzenia sprawozdania z luki płacowej. </w:t>
            </w:r>
            <w:r w:rsidR="00077F61" w:rsidRPr="00FF58D5">
              <w:rPr>
                <w:rFonts w:asciiTheme="minorHAnsi" w:hAnsiTheme="minorHAnsi" w:cstheme="minorHAnsi"/>
                <w:bCs/>
                <w:sz w:val="22"/>
                <w:szCs w:val="22"/>
              </w:rPr>
              <w:t>Udostępnienie narzędzie powinno się odbyć najpóźniej w</w:t>
            </w:r>
            <w:r w:rsidRPr="00FF58D5">
              <w:rPr>
                <w:rFonts w:asciiTheme="minorHAnsi" w:hAnsiTheme="minorHAnsi" w:cstheme="minorHAnsi"/>
                <w:bCs/>
                <w:sz w:val="22"/>
                <w:szCs w:val="22"/>
              </w:rPr>
              <w:t xml:space="preserve"> d</w:t>
            </w:r>
            <w:r w:rsidR="00077F61" w:rsidRPr="00FF58D5">
              <w:rPr>
                <w:rFonts w:asciiTheme="minorHAnsi" w:hAnsiTheme="minorHAnsi" w:cstheme="minorHAnsi"/>
                <w:bCs/>
                <w:sz w:val="22"/>
                <w:szCs w:val="22"/>
              </w:rPr>
              <w:t xml:space="preserve">niu </w:t>
            </w:r>
            <w:r w:rsidRPr="00FF58D5">
              <w:rPr>
                <w:rFonts w:asciiTheme="minorHAnsi" w:hAnsiTheme="minorHAnsi" w:cstheme="minorHAnsi"/>
                <w:bCs/>
                <w:sz w:val="22"/>
                <w:szCs w:val="22"/>
              </w:rPr>
              <w:t>wejścia w życie projektowanej ustawy.</w:t>
            </w:r>
          </w:p>
        </w:tc>
      </w:tr>
      <w:tr w:rsidR="009B5605" w:rsidRPr="00FF58D5" w14:paraId="458214F1" w14:textId="77777777" w:rsidTr="00AB5A1A">
        <w:trPr>
          <w:trHeight w:val="1275"/>
        </w:trPr>
        <w:tc>
          <w:tcPr>
            <w:tcW w:w="709" w:type="dxa"/>
            <w:vAlign w:val="center"/>
          </w:tcPr>
          <w:p w14:paraId="4B6E887B"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A76AAFA" w14:textId="77777777" w:rsidR="00FE38FE" w:rsidRPr="00FF58D5" w:rsidRDefault="00FE38FE" w:rsidP="00AB5A1A">
            <w:pPr>
              <w:spacing w:line="276" w:lineRule="auto"/>
              <w:jc w:val="both"/>
              <w:rPr>
                <w:rFonts w:asciiTheme="minorHAnsi" w:hAnsiTheme="minorHAnsi" w:cstheme="minorHAnsi"/>
                <w:b/>
                <w:bCs/>
                <w:sz w:val="22"/>
                <w:szCs w:val="22"/>
              </w:rPr>
            </w:pPr>
          </w:p>
        </w:tc>
        <w:tc>
          <w:tcPr>
            <w:tcW w:w="3118" w:type="dxa"/>
            <w:vAlign w:val="center"/>
          </w:tcPr>
          <w:p w14:paraId="3F026469" w14:textId="77777777" w:rsidR="00B040AC" w:rsidRPr="00FF58D5" w:rsidRDefault="007E53E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57. </w:t>
            </w:r>
          </w:p>
          <w:p w14:paraId="79CCB649" w14:textId="35A611B7" w:rsidR="007E53E8" w:rsidRPr="00FF58D5" w:rsidRDefault="007E53E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1. Pracodawca zatrudniający co najmniej 150 pracowników przekazuje pierwsze sprawozdanie z luki płacowej, o którym mowa w art. 14, za okres od dnia 7 czerwca 2026 r. do 31 grudnia 2026 r., do organu monitorującego w terminie  do dnia 7 czerwca 2027 r.</w:t>
            </w:r>
          </w:p>
          <w:p w14:paraId="3D7A0402" w14:textId="77777777" w:rsidR="007E53E8" w:rsidRPr="00FF58D5" w:rsidRDefault="007E53E8" w:rsidP="00AB5A1A">
            <w:pPr>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lastRenderedPageBreak/>
              <w:t>2. Pracodawca zatrudniający od 100 do 149 pracowników przekazuje pierwsze sprawozdanie z  luki płacowej, o którym mowa w art. 14, za poprzedni rok kalendarzowy, do organu monitorującego w terminie do dnia 7 czerwca 2031 r.</w:t>
            </w:r>
          </w:p>
          <w:p w14:paraId="658A1FEB" w14:textId="0CF89360" w:rsidR="00FE38FE" w:rsidRPr="00FF58D5" w:rsidRDefault="007E53E8"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sz w:val="22"/>
                <w:szCs w:val="22"/>
              </w:rPr>
              <w:t>3. Pracodawcy zatrudniający poniżej 100 pracowników mogą przekazać pierwsze sprawozdanie z  luki płacowej, o którym mowa w art. 14, za poprzedni rok kalendarzowy, do organu monitorującego w terminie do dnia 7 czerwca 2031 r.</w:t>
            </w:r>
          </w:p>
        </w:tc>
        <w:tc>
          <w:tcPr>
            <w:tcW w:w="3827" w:type="dxa"/>
            <w:vAlign w:val="center"/>
          </w:tcPr>
          <w:p w14:paraId="44058E04" w14:textId="59D2DC32" w:rsidR="00CC0A6C" w:rsidRPr="00FF58D5" w:rsidRDefault="00CC0A6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 xml:space="preserve">1. Pracodawca zatrudniający co najmniej 150 pracowników przekazuje pierwsze sprawozdanie z luki płacowej, o którym mowa w art. 14, za okres od dnia </w:t>
            </w:r>
            <w:r w:rsidRPr="00FF58D5">
              <w:rPr>
                <w:rFonts w:asciiTheme="minorHAnsi" w:hAnsiTheme="minorHAnsi" w:cstheme="minorHAnsi"/>
                <w:b/>
                <w:sz w:val="22"/>
                <w:szCs w:val="22"/>
                <w:u w:val="single"/>
              </w:rPr>
              <w:t>1 stycznia 2027 r. do 31</w:t>
            </w:r>
            <w:r w:rsidRPr="00FF58D5">
              <w:rPr>
                <w:rFonts w:asciiTheme="minorHAnsi" w:hAnsiTheme="minorHAnsi" w:cstheme="minorHAnsi"/>
                <w:b/>
                <w:sz w:val="22"/>
                <w:szCs w:val="22"/>
              </w:rPr>
              <w:t xml:space="preserve"> </w:t>
            </w:r>
            <w:r w:rsidRPr="00FF58D5">
              <w:rPr>
                <w:rFonts w:asciiTheme="minorHAnsi" w:hAnsiTheme="minorHAnsi" w:cstheme="minorHAnsi"/>
                <w:b/>
                <w:sz w:val="22"/>
                <w:szCs w:val="22"/>
                <w:u w:val="single"/>
              </w:rPr>
              <w:t>grudnia 2027 r.,</w:t>
            </w:r>
            <w:r w:rsidRPr="00FF58D5">
              <w:rPr>
                <w:rFonts w:asciiTheme="minorHAnsi" w:hAnsiTheme="minorHAnsi" w:cstheme="minorHAnsi"/>
                <w:bCs/>
                <w:sz w:val="22"/>
                <w:szCs w:val="22"/>
              </w:rPr>
              <w:t xml:space="preserve"> do organu monitorującego w terminie do dnia 7 czerwca </w:t>
            </w:r>
            <w:r w:rsidRPr="00FF58D5">
              <w:rPr>
                <w:rFonts w:asciiTheme="minorHAnsi" w:hAnsiTheme="minorHAnsi" w:cstheme="minorHAnsi"/>
                <w:b/>
                <w:sz w:val="22"/>
                <w:szCs w:val="22"/>
                <w:u w:val="single"/>
              </w:rPr>
              <w:t>2028 r.</w:t>
            </w:r>
          </w:p>
          <w:p w14:paraId="2426150F" w14:textId="77777777" w:rsidR="00CC0A6C" w:rsidRPr="00FF58D5" w:rsidRDefault="00CC0A6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2. Pracodawca zatrudniający od 100 do 149 pracowników przekazuje pierwsze sprawozdanie z  luki płacowej, o którym </w:t>
            </w:r>
            <w:r w:rsidRPr="00FF58D5">
              <w:rPr>
                <w:rFonts w:asciiTheme="minorHAnsi" w:hAnsiTheme="minorHAnsi" w:cstheme="minorHAnsi"/>
                <w:bCs/>
                <w:sz w:val="22"/>
                <w:szCs w:val="22"/>
              </w:rPr>
              <w:lastRenderedPageBreak/>
              <w:t xml:space="preserve">mowa w art. 14, za okres </w:t>
            </w:r>
            <w:r w:rsidRPr="00FF58D5">
              <w:rPr>
                <w:rFonts w:asciiTheme="minorHAnsi" w:hAnsiTheme="minorHAnsi" w:cstheme="minorHAnsi"/>
                <w:b/>
                <w:sz w:val="22"/>
                <w:szCs w:val="22"/>
                <w:u w:val="single"/>
              </w:rPr>
              <w:t>od dnia 1 stycznia 2027 r. do 31 grudnia 2027 r.,</w:t>
            </w:r>
            <w:r w:rsidRPr="00FF58D5">
              <w:rPr>
                <w:rFonts w:asciiTheme="minorHAnsi" w:hAnsiTheme="minorHAnsi" w:cstheme="minorHAnsi"/>
                <w:bCs/>
                <w:sz w:val="22"/>
                <w:szCs w:val="22"/>
              </w:rPr>
              <w:t xml:space="preserve"> do organu monitorującego w terminie do dnia 7 czerwca </w:t>
            </w:r>
            <w:r w:rsidRPr="00FF58D5">
              <w:rPr>
                <w:rFonts w:asciiTheme="minorHAnsi" w:hAnsiTheme="minorHAnsi" w:cstheme="minorHAnsi"/>
                <w:b/>
                <w:sz w:val="22"/>
                <w:szCs w:val="22"/>
                <w:u w:val="single"/>
              </w:rPr>
              <w:t>2028 r.</w:t>
            </w:r>
          </w:p>
          <w:p w14:paraId="7EF7782C" w14:textId="64029F9D" w:rsidR="00FE38FE" w:rsidRPr="00FF58D5" w:rsidRDefault="00CC0A6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3. Pracodawcy zatrudniający poniżej 100 pracowników mogą przekazać pierwsze sprawozdanie z  luki płacowej, o którym mowa w art. 14, </w:t>
            </w:r>
            <w:r w:rsidRPr="00FF58D5">
              <w:rPr>
                <w:rFonts w:asciiTheme="minorHAnsi" w:hAnsiTheme="minorHAnsi" w:cstheme="minorHAnsi"/>
                <w:b/>
                <w:sz w:val="22"/>
                <w:szCs w:val="22"/>
                <w:u w:val="single"/>
              </w:rPr>
              <w:t>za okres od dnia 1 stycznia 2027 r. do 31 grudnia 2027 r.,</w:t>
            </w:r>
            <w:r w:rsidRPr="00FF58D5">
              <w:rPr>
                <w:rFonts w:asciiTheme="minorHAnsi" w:hAnsiTheme="minorHAnsi" w:cstheme="minorHAnsi"/>
                <w:bCs/>
                <w:sz w:val="22"/>
                <w:szCs w:val="22"/>
              </w:rPr>
              <w:t xml:space="preserve"> do organu monitorującego w terminie  do dnia 7 czerwca </w:t>
            </w:r>
            <w:r w:rsidRPr="00FF58D5">
              <w:rPr>
                <w:rFonts w:asciiTheme="minorHAnsi" w:hAnsiTheme="minorHAnsi" w:cstheme="minorHAnsi"/>
                <w:b/>
                <w:sz w:val="22"/>
                <w:szCs w:val="22"/>
                <w:u w:val="single"/>
              </w:rPr>
              <w:t>2028 r.</w:t>
            </w:r>
          </w:p>
        </w:tc>
        <w:tc>
          <w:tcPr>
            <w:tcW w:w="5387" w:type="dxa"/>
          </w:tcPr>
          <w:p w14:paraId="65321F00" w14:textId="77777777" w:rsidR="00B040AC" w:rsidRPr="00FF58D5" w:rsidRDefault="00B040A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Proponowana zmiana terminów pierwszego sprawozdania z luki płacowej ma na celu zapewnienie realnego okresu przejściowego dla pracodawców na wdrożenie wszystkich obowiązków wynikających z ustawy.</w:t>
            </w:r>
          </w:p>
          <w:p w14:paraId="268EC770" w14:textId="1D914747" w:rsidR="00B040AC" w:rsidRPr="00FF58D5" w:rsidRDefault="00B040A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Jeżeli ustawa wejdzie w życie 7 czerwca 2026 r., pierwotnie przewidziane terminy obejmowałyby częściowo rok, w którym obowiązki dopiero zaczynają obowiązywać, co mogłoby skutkować trudnościami w przygotowaniu rzetelnych sprawozdań.</w:t>
            </w:r>
          </w:p>
          <w:p w14:paraId="7E2D9CCE" w14:textId="1900255D" w:rsidR="00B040AC" w:rsidRPr="00FF58D5" w:rsidRDefault="00B040A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lastRenderedPageBreak/>
              <w:t>Okres przejściowy jest niezbędny również w celu przeprowadzenia konsultacji ze związkami zawodowymi lub przedstawicielami pracowników, przygotowania wspólnych ocen wynagrodzeń oraz wdrożenia ewentualnych działań zaradczych.</w:t>
            </w:r>
          </w:p>
          <w:p w14:paraId="76CA2F36" w14:textId="36E58173" w:rsidR="00FE38FE" w:rsidRPr="00FF58D5" w:rsidRDefault="00B040A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Przesunięcie okresu sprawozdawczego na pełny rok kalendarzowy 2027 r. oraz ustalenie jednolitego terminu 7 czerwca 2028 r. dla wszystkich grup pracodawców zapewnia spójność, przewidywalność i wykonalność obowiązków sprawozdawczych.</w:t>
            </w:r>
          </w:p>
        </w:tc>
      </w:tr>
      <w:tr w:rsidR="009B5605" w:rsidRPr="00FF58D5" w14:paraId="3E491211" w14:textId="77777777" w:rsidTr="00AB5A1A">
        <w:trPr>
          <w:trHeight w:val="1275"/>
        </w:trPr>
        <w:tc>
          <w:tcPr>
            <w:tcW w:w="709" w:type="dxa"/>
            <w:vAlign w:val="center"/>
          </w:tcPr>
          <w:p w14:paraId="3428EC8F"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2108013E" w14:textId="1BEF3C2C" w:rsidR="00FE38FE" w:rsidRPr="00FF58D5" w:rsidRDefault="00000637"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Art. 59 </w:t>
            </w:r>
          </w:p>
        </w:tc>
        <w:tc>
          <w:tcPr>
            <w:tcW w:w="3118" w:type="dxa"/>
            <w:vAlign w:val="center"/>
          </w:tcPr>
          <w:p w14:paraId="4B247274" w14:textId="7CEC544E" w:rsidR="00FE38FE" w:rsidRPr="00FF58D5" w:rsidRDefault="00000637"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Ustawa wchodzi w życie z dniem 7 czerwca 2026 r.</w:t>
            </w:r>
          </w:p>
        </w:tc>
        <w:tc>
          <w:tcPr>
            <w:tcW w:w="3827" w:type="dxa"/>
            <w:vAlign w:val="center"/>
          </w:tcPr>
          <w:p w14:paraId="51825247" w14:textId="77777777" w:rsidR="00FE38FE" w:rsidRPr="00FF58D5" w:rsidRDefault="00000637" w:rsidP="009A348F">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Ustawa wchodzi w życie z dniem 7 czerwca 2026 r. </w:t>
            </w:r>
          </w:p>
          <w:p w14:paraId="50479831" w14:textId="02A2FCAE" w:rsidR="00000637" w:rsidRPr="00FF58D5" w:rsidRDefault="00164097"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Jednocześnie konieczne jest przyznanie pracodawcom </w:t>
            </w:r>
            <w:r w:rsidRPr="00FF58D5">
              <w:rPr>
                <w:rFonts w:asciiTheme="minorHAnsi" w:hAnsiTheme="minorHAnsi" w:cstheme="minorHAnsi"/>
                <w:b/>
                <w:sz w:val="22"/>
                <w:szCs w:val="22"/>
              </w:rPr>
              <w:t xml:space="preserve">okresu </w:t>
            </w:r>
            <w:r w:rsidR="008163C1" w:rsidRPr="00FF58D5">
              <w:rPr>
                <w:rFonts w:asciiTheme="minorHAnsi" w:hAnsiTheme="minorHAnsi" w:cstheme="minorHAnsi"/>
                <w:b/>
                <w:sz w:val="22"/>
                <w:szCs w:val="22"/>
              </w:rPr>
              <w:t>12</w:t>
            </w:r>
            <w:r w:rsidRPr="00FF58D5">
              <w:rPr>
                <w:rFonts w:asciiTheme="minorHAnsi" w:hAnsiTheme="minorHAnsi" w:cstheme="minorHAnsi"/>
                <w:b/>
                <w:sz w:val="22"/>
                <w:szCs w:val="22"/>
              </w:rPr>
              <w:t xml:space="preserve"> miesięcy</w:t>
            </w:r>
            <w:r w:rsidRPr="00FF58D5">
              <w:rPr>
                <w:rFonts w:asciiTheme="minorHAnsi" w:hAnsiTheme="minorHAnsi" w:cstheme="minorHAnsi"/>
                <w:bCs/>
                <w:sz w:val="22"/>
                <w:szCs w:val="22"/>
              </w:rPr>
              <w:t xml:space="preserve"> na </w:t>
            </w:r>
            <w:r w:rsidR="003C1FF6" w:rsidRPr="00FF58D5">
              <w:rPr>
                <w:rFonts w:asciiTheme="minorHAnsi" w:hAnsiTheme="minorHAnsi" w:cstheme="minorHAnsi"/>
                <w:bCs/>
                <w:sz w:val="22"/>
                <w:szCs w:val="22"/>
              </w:rPr>
              <w:t>realizację</w:t>
            </w:r>
            <w:r w:rsidRPr="00FF58D5">
              <w:rPr>
                <w:rFonts w:asciiTheme="minorHAnsi" w:hAnsiTheme="minorHAnsi" w:cstheme="minorHAnsi"/>
                <w:bCs/>
                <w:sz w:val="22"/>
                <w:szCs w:val="22"/>
              </w:rPr>
              <w:t xml:space="preserve"> obowiązków wynikających z ustawy. </w:t>
            </w:r>
          </w:p>
        </w:tc>
        <w:tc>
          <w:tcPr>
            <w:tcW w:w="5387" w:type="dxa"/>
          </w:tcPr>
          <w:p w14:paraId="65A677A6" w14:textId="78779E19" w:rsidR="00FE38FE" w:rsidRPr="00FF58D5" w:rsidRDefault="001027A8"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Ustawa będzie generowała po stornie </w:t>
            </w:r>
            <w:r w:rsidR="00137B48" w:rsidRPr="00FF58D5">
              <w:rPr>
                <w:rFonts w:asciiTheme="minorHAnsi" w:hAnsiTheme="minorHAnsi" w:cstheme="minorHAnsi"/>
                <w:bCs/>
                <w:sz w:val="22"/>
                <w:szCs w:val="22"/>
              </w:rPr>
              <w:t xml:space="preserve">pracodawców ogromne obciążenia administracyjne i finansowe. Ze względu na liczbę oraz złożoność nowych instytucji, konieczne jest przyznanie pracodawcom odpowiedniego czasu na dostosowanie się do nowych obowiązków. </w:t>
            </w:r>
          </w:p>
        </w:tc>
      </w:tr>
      <w:tr w:rsidR="00CD6958" w:rsidRPr="00FF58D5" w14:paraId="1BB66D4B" w14:textId="77777777" w:rsidTr="00150253">
        <w:trPr>
          <w:trHeight w:val="1275"/>
        </w:trPr>
        <w:tc>
          <w:tcPr>
            <w:tcW w:w="709" w:type="dxa"/>
            <w:vAlign w:val="center"/>
          </w:tcPr>
          <w:p w14:paraId="52309843" w14:textId="77777777" w:rsidR="00CD6958" w:rsidRPr="00FF58D5" w:rsidRDefault="00CD6958"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3466" w:type="dxa"/>
            <w:gridSpan w:val="4"/>
            <w:vAlign w:val="center"/>
          </w:tcPr>
          <w:p w14:paraId="3053D8F1" w14:textId="426C18E2" w:rsidR="00CD6958" w:rsidRPr="00FF58D5" w:rsidRDefault="00CD6958"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Ocena skutków regulacji</w:t>
            </w:r>
          </w:p>
        </w:tc>
      </w:tr>
      <w:tr w:rsidR="009B5605" w:rsidRPr="00FF58D5" w14:paraId="468623A0" w14:textId="77777777" w:rsidTr="00AB5A1A">
        <w:trPr>
          <w:trHeight w:val="1275"/>
        </w:trPr>
        <w:tc>
          <w:tcPr>
            <w:tcW w:w="709" w:type="dxa"/>
            <w:vAlign w:val="center"/>
          </w:tcPr>
          <w:p w14:paraId="33D424D6" w14:textId="77777777" w:rsidR="00FE38FE" w:rsidRPr="00FF58D5" w:rsidRDefault="00FE38FE"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6C960280" w14:textId="4AD8B0B7" w:rsidR="00FE38FE" w:rsidRPr="00FF58D5" w:rsidRDefault="00224042"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 xml:space="preserve">Pkt 7 </w:t>
            </w:r>
          </w:p>
        </w:tc>
        <w:tc>
          <w:tcPr>
            <w:tcW w:w="3118" w:type="dxa"/>
            <w:vAlign w:val="center"/>
          </w:tcPr>
          <w:p w14:paraId="51EAE3C2" w14:textId="56FD4F1B" w:rsidR="00FE38FE" w:rsidRPr="00FF58D5" w:rsidRDefault="00224042" w:rsidP="00AB5A1A">
            <w:pPr>
              <w:spacing w:line="276" w:lineRule="auto"/>
              <w:jc w:val="both"/>
              <w:rPr>
                <w:rFonts w:asciiTheme="minorHAnsi" w:hAnsiTheme="minorHAnsi" w:cstheme="minorHAnsi"/>
                <w:b/>
                <w:bCs/>
                <w:sz w:val="22"/>
                <w:szCs w:val="22"/>
              </w:rPr>
            </w:pPr>
            <w:r w:rsidRPr="00FF58D5">
              <w:rPr>
                <w:rFonts w:asciiTheme="minorHAnsi" w:hAnsiTheme="minorHAnsi" w:cstheme="minorHAnsi"/>
                <w:b/>
                <w:bCs/>
                <w:sz w:val="22"/>
                <w:szCs w:val="22"/>
              </w:rPr>
              <w:t>7.</w:t>
            </w:r>
            <w:r w:rsidRPr="00FF58D5">
              <w:rPr>
                <w:rFonts w:asciiTheme="minorHAnsi" w:hAnsiTheme="minorHAnsi" w:cstheme="minorHAnsi"/>
                <w:b/>
                <w:bCs/>
                <w:sz w:val="22"/>
                <w:szCs w:val="22"/>
              </w:rPr>
              <w:tab/>
              <w:t>Wpływ na konkurencyjność gospodarki i przedsiębiorczość, w tym funkcjonowanie przedsiębiorców oraz na rodzinę, obywateli i gospodarstwa domowe</w:t>
            </w:r>
          </w:p>
        </w:tc>
        <w:tc>
          <w:tcPr>
            <w:tcW w:w="3827" w:type="dxa"/>
            <w:vAlign w:val="center"/>
          </w:tcPr>
          <w:p w14:paraId="3B305BAC" w14:textId="188D0892" w:rsidR="00FE38FE" w:rsidRPr="00FF58D5" w:rsidRDefault="00682B6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 xml:space="preserve">Konieczne uzupełnieni opisu skutków. </w:t>
            </w:r>
          </w:p>
        </w:tc>
        <w:tc>
          <w:tcPr>
            <w:tcW w:w="5387" w:type="dxa"/>
          </w:tcPr>
          <w:p w14:paraId="4939B94A" w14:textId="07A0A216" w:rsidR="00FE38FE" w:rsidRPr="00FF58D5" w:rsidRDefault="00682B6C" w:rsidP="00AB5A1A">
            <w:pPr>
              <w:spacing w:line="276" w:lineRule="auto"/>
              <w:jc w:val="both"/>
              <w:rPr>
                <w:rFonts w:asciiTheme="minorHAnsi" w:hAnsiTheme="minorHAnsi" w:cstheme="minorHAnsi"/>
                <w:bCs/>
                <w:sz w:val="22"/>
                <w:szCs w:val="22"/>
              </w:rPr>
            </w:pPr>
            <w:r w:rsidRPr="00FF58D5">
              <w:rPr>
                <w:rFonts w:asciiTheme="minorHAnsi" w:hAnsiTheme="minorHAnsi" w:cstheme="minorHAnsi"/>
                <w:bCs/>
                <w:sz w:val="22"/>
                <w:szCs w:val="22"/>
              </w:rPr>
              <w:t>W Ocenie Skutków Regulacji brakuje oszacowania skutków finansowych wdrożenia nowych rozwiązań po stronie przedsiębiorców. Będą one związane ze zmianami systematów, zatrudnieniem dodatkowych osób do obsługi nowych procesów bądź wsparcia zewnętrznych podmiotów. Zaskakuje, iż również w przypadku podmiotów sektora finansów publicznych nie uwzględnia się kosztów wynikających z konieczności realizacji nowych obowiązków.</w:t>
            </w:r>
          </w:p>
        </w:tc>
      </w:tr>
      <w:tr w:rsidR="00214C48" w:rsidRPr="00FF58D5" w14:paraId="06CA4D83" w14:textId="77777777" w:rsidTr="003762CA">
        <w:trPr>
          <w:trHeight w:val="1275"/>
        </w:trPr>
        <w:tc>
          <w:tcPr>
            <w:tcW w:w="709" w:type="dxa"/>
            <w:vAlign w:val="center"/>
          </w:tcPr>
          <w:p w14:paraId="1C6DE2DC" w14:textId="77777777" w:rsidR="00214C48" w:rsidRPr="00FF58D5" w:rsidRDefault="00214C48"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3EA4DCA0" w14:textId="77777777" w:rsidR="00214C48" w:rsidRPr="00FF58D5" w:rsidRDefault="00214C48" w:rsidP="00AB5A1A">
            <w:pPr>
              <w:spacing w:line="276" w:lineRule="auto"/>
              <w:jc w:val="both"/>
              <w:rPr>
                <w:rFonts w:asciiTheme="minorHAnsi" w:hAnsiTheme="minorHAnsi" w:cstheme="minorHAnsi"/>
                <w:b/>
                <w:sz w:val="22"/>
                <w:szCs w:val="22"/>
              </w:rPr>
            </w:pPr>
          </w:p>
        </w:tc>
        <w:tc>
          <w:tcPr>
            <w:tcW w:w="12332" w:type="dxa"/>
            <w:gridSpan w:val="3"/>
            <w:vAlign w:val="center"/>
          </w:tcPr>
          <w:p w14:paraId="4317E573" w14:textId="0479E183" w:rsidR="00214C48" w:rsidRPr="00FF58D5" w:rsidRDefault="00214C48" w:rsidP="00AB5A1A">
            <w:pPr>
              <w:spacing w:line="276" w:lineRule="auto"/>
              <w:jc w:val="both"/>
              <w:rPr>
                <w:rFonts w:asciiTheme="minorHAnsi" w:hAnsiTheme="minorHAnsi" w:cstheme="minorHAnsi"/>
                <w:b/>
                <w:sz w:val="22"/>
                <w:szCs w:val="22"/>
              </w:rPr>
            </w:pPr>
            <w:r w:rsidRPr="00FF58D5">
              <w:rPr>
                <w:rFonts w:asciiTheme="minorHAnsi" w:hAnsiTheme="minorHAnsi" w:cstheme="minorHAnsi"/>
                <w:b/>
                <w:sz w:val="22"/>
                <w:szCs w:val="22"/>
              </w:rPr>
              <w:t xml:space="preserve">Dodatkowe uwagi </w:t>
            </w:r>
          </w:p>
        </w:tc>
      </w:tr>
      <w:tr w:rsidR="00004867" w:rsidRPr="00AB5A1A" w14:paraId="6A12BB57" w14:textId="77777777" w:rsidTr="00AB5A1A">
        <w:trPr>
          <w:trHeight w:val="1275"/>
        </w:trPr>
        <w:tc>
          <w:tcPr>
            <w:tcW w:w="709" w:type="dxa"/>
            <w:vAlign w:val="center"/>
          </w:tcPr>
          <w:p w14:paraId="0C93081F" w14:textId="77777777" w:rsidR="00C5594B" w:rsidRPr="00FF58D5" w:rsidRDefault="00C5594B" w:rsidP="000F1418">
            <w:pPr>
              <w:pStyle w:val="Akapitzlist"/>
              <w:numPr>
                <w:ilvl w:val="0"/>
                <w:numId w:val="69"/>
              </w:numPr>
              <w:spacing w:line="276" w:lineRule="auto"/>
              <w:contextualSpacing w:val="0"/>
              <w:jc w:val="right"/>
              <w:rPr>
                <w:rFonts w:asciiTheme="minorHAnsi" w:hAnsiTheme="minorHAnsi" w:cstheme="minorHAnsi"/>
                <w:bCs/>
                <w:sz w:val="22"/>
                <w:szCs w:val="22"/>
              </w:rPr>
            </w:pPr>
          </w:p>
        </w:tc>
        <w:tc>
          <w:tcPr>
            <w:tcW w:w="1134" w:type="dxa"/>
            <w:vAlign w:val="center"/>
          </w:tcPr>
          <w:p w14:paraId="7FAB4142" w14:textId="48582FB9" w:rsidR="00C5594B" w:rsidRPr="00FF58D5" w:rsidRDefault="00C5594B" w:rsidP="00AB5A1A">
            <w:pPr>
              <w:spacing w:line="276" w:lineRule="auto"/>
              <w:ind w:left="426"/>
              <w:jc w:val="center"/>
              <w:rPr>
                <w:rFonts w:asciiTheme="minorHAnsi" w:hAnsiTheme="minorHAnsi" w:cstheme="minorHAnsi"/>
                <w:b/>
                <w:bCs/>
                <w:noProof/>
                <w:sz w:val="22"/>
                <w:szCs w:val="22"/>
              </w:rPr>
            </w:pPr>
            <w:r w:rsidRPr="00FF58D5">
              <w:rPr>
                <w:rFonts w:asciiTheme="minorHAnsi" w:hAnsiTheme="minorHAnsi" w:cstheme="minorHAnsi"/>
                <w:b/>
                <w:bCs/>
                <w:noProof/>
                <w:sz w:val="22"/>
                <w:szCs w:val="22"/>
              </w:rPr>
              <w:t xml:space="preserve">Uzasadnienie do </w:t>
            </w:r>
            <w:r w:rsidRPr="00FF58D5">
              <w:rPr>
                <w:rFonts w:asciiTheme="minorHAnsi" w:hAnsiTheme="minorHAnsi" w:cstheme="minorHAnsi"/>
                <w:b/>
                <w:bCs/>
                <w:sz w:val="22"/>
                <w:szCs w:val="22"/>
              </w:rPr>
              <w:t>art. 14 pkt 5</w:t>
            </w:r>
          </w:p>
        </w:tc>
        <w:tc>
          <w:tcPr>
            <w:tcW w:w="12332" w:type="dxa"/>
            <w:gridSpan w:val="3"/>
            <w:vAlign w:val="center"/>
          </w:tcPr>
          <w:p w14:paraId="6398C180" w14:textId="575BE438" w:rsidR="00FF46E4" w:rsidRPr="00FF58D5" w:rsidRDefault="00FF46E4" w:rsidP="00AB5A1A">
            <w:pPr>
              <w:spacing w:line="276" w:lineRule="auto"/>
              <w:rPr>
                <w:rFonts w:asciiTheme="minorHAnsi" w:hAnsiTheme="minorHAnsi" w:cstheme="minorHAnsi"/>
                <w:sz w:val="22"/>
                <w:szCs w:val="22"/>
              </w:rPr>
            </w:pPr>
            <w:r w:rsidRPr="00FF58D5">
              <w:rPr>
                <w:rFonts w:asciiTheme="minorHAnsi" w:hAnsiTheme="minorHAnsi" w:cstheme="minorHAnsi"/>
                <w:sz w:val="22"/>
                <w:szCs w:val="22"/>
              </w:rPr>
              <w:t xml:space="preserve">W uzasadnieniu przedstawiono metodologię liczenia luki płacowej dla celów sprawozdania. </w:t>
            </w:r>
            <w:r w:rsidR="00214C48" w:rsidRPr="00FF58D5">
              <w:rPr>
                <w:rFonts w:asciiTheme="minorHAnsi" w:hAnsiTheme="minorHAnsi" w:cstheme="minorHAnsi"/>
                <w:sz w:val="22"/>
                <w:szCs w:val="22"/>
              </w:rPr>
              <w:t xml:space="preserve">W naszej ocenie </w:t>
            </w:r>
            <w:r w:rsidR="001025B5" w:rsidRPr="00FF58D5">
              <w:rPr>
                <w:rFonts w:asciiTheme="minorHAnsi" w:hAnsiTheme="minorHAnsi" w:cstheme="minorHAnsi"/>
                <w:sz w:val="22"/>
                <w:szCs w:val="22"/>
              </w:rPr>
              <w:t>b</w:t>
            </w:r>
            <w:r w:rsidRPr="00FF58D5">
              <w:rPr>
                <w:rFonts w:asciiTheme="minorHAnsi" w:hAnsiTheme="minorHAnsi" w:cstheme="minorHAnsi"/>
                <w:sz w:val="22"/>
                <w:szCs w:val="22"/>
              </w:rPr>
              <w:t>łędnie wskazano na metodologię liczenia odsetk</w:t>
            </w:r>
            <w:r w:rsidR="009551D7" w:rsidRPr="00FF58D5">
              <w:rPr>
                <w:rFonts w:asciiTheme="minorHAnsi" w:hAnsiTheme="minorHAnsi" w:cstheme="minorHAnsi"/>
                <w:sz w:val="22"/>
                <w:szCs w:val="22"/>
              </w:rPr>
              <w:t>a</w:t>
            </w:r>
            <w:r w:rsidRPr="00FF58D5">
              <w:rPr>
                <w:rFonts w:asciiTheme="minorHAnsi" w:hAnsiTheme="minorHAnsi" w:cstheme="minorHAnsi"/>
                <w:sz w:val="22"/>
                <w:szCs w:val="22"/>
              </w:rPr>
              <w:t xml:space="preserve"> pracowników płci żeńskiej i męskiej otrzymujących składniki uzupełniające lub zmienne</w:t>
            </w:r>
            <w:r w:rsidR="00A73CF5" w:rsidRPr="00FF58D5">
              <w:rPr>
                <w:rFonts w:asciiTheme="minorHAnsi" w:hAnsiTheme="minorHAnsi" w:cstheme="minorHAnsi"/>
                <w:sz w:val="22"/>
                <w:szCs w:val="22"/>
              </w:rPr>
              <w:t>.</w:t>
            </w:r>
          </w:p>
          <w:p w14:paraId="76442689" w14:textId="77777777" w:rsidR="00FF46E4" w:rsidRPr="00FF58D5" w:rsidRDefault="00FF46E4" w:rsidP="00AB5A1A">
            <w:pPr>
              <w:spacing w:line="276" w:lineRule="auto"/>
              <w:rPr>
                <w:rFonts w:asciiTheme="minorHAnsi" w:hAnsiTheme="minorHAnsi" w:cstheme="minorHAnsi"/>
                <w:sz w:val="22"/>
                <w:szCs w:val="22"/>
              </w:rPr>
            </w:pPr>
          </w:p>
          <w:p w14:paraId="2F874A36" w14:textId="48A38C5B" w:rsidR="00FF46E4" w:rsidRPr="00FF58D5" w:rsidRDefault="00FF46E4" w:rsidP="00AB5A1A">
            <w:pPr>
              <w:shd w:val="clear" w:color="auto" w:fill="FFFFFF"/>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 xml:space="preserve">1) Zaproponowana </w:t>
            </w:r>
            <w:r w:rsidR="009551D7" w:rsidRPr="00FF58D5">
              <w:rPr>
                <w:rFonts w:asciiTheme="minorHAnsi" w:hAnsiTheme="minorHAnsi" w:cstheme="minorHAnsi"/>
                <w:color w:val="222222"/>
                <w:sz w:val="22"/>
                <w:szCs w:val="22"/>
              </w:rPr>
              <w:t xml:space="preserve">w uzasadnieniu </w:t>
            </w:r>
            <w:r w:rsidRPr="00FF58D5">
              <w:rPr>
                <w:rFonts w:asciiTheme="minorHAnsi" w:hAnsiTheme="minorHAnsi" w:cstheme="minorHAnsi"/>
                <w:color w:val="222222"/>
                <w:sz w:val="22"/>
                <w:szCs w:val="22"/>
              </w:rPr>
              <w:t>metodologia:</w:t>
            </w:r>
          </w:p>
          <w:tbl>
            <w:tblPr>
              <w:tblW w:w="12255" w:type="dxa"/>
              <w:tblBorders>
                <w:top w:val="nil"/>
                <w:left w:val="nil"/>
                <w:bottom w:val="nil"/>
                <w:right w:val="nil"/>
                <w:insideH w:val="nil"/>
                <w:insideV w:val="nil"/>
              </w:tblBorders>
              <w:tblLayout w:type="fixed"/>
              <w:tblLook w:val="0600" w:firstRow="0" w:lastRow="0" w:firstColumn="0" w:lastColumn="0" w:noHBand="1" w:noVBand="1"/>
            </w:tblPr>
            <w:tblGrid>
              <w:gridCol w:w="1455"/>
              <w:gridCol w:w="2400"/>
              <w:gridCol w:w="3975"/>
              <w:gridCol w:w="4425"/>
            </w:tblGrid>
            <w:tr w:rsidR="00FF46E4" w:rsidRPr="00FF58D5" w14:paraId="6C21C29A" w14:textId="77777777" w:rsidTr="00CF3786">
              <w:trPr>
                <w:trHeight w:val="745"/>
              </w:trPr>
              <w:tc>
                <w:tcPr>
                  <w:tcW w:w="145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7436B794"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 xml:space="preserve">Płeć </w:t>
                  </w:r>
                </w:p>
              </w:tc>
              <w:tc>
                <w:tcPr>
                  <w:tcW w:w="24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722DB148"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Liczba pracowników</w:t>
                  </w:r>
                </w:p>
              </w:tc>
              <w:tc>
                <w:tcPr>
                  <w:tcW w:w="397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5DF7158F"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Liczba osób otrzymujących składniki uzupełniające lub zmienne</w:t>
                  </w:r>
                </w:p>
              </w:tc>
              <w:tc>
                <w:tcPr>
                  <w:tcW w:w="442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6B02F945" w14:textId="0F1DE148" w:rsidR="00FF46E4" w:rsidRPr="00FF58D5" w:rsidRDefault="00FC5D6F"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 xml:space="preserve">Procentowy udział pracowników, którzy otrzymują składniki uzupełniające lub zmienne, w ogólnej liczbie pracowników </w:t>
                  </w:r>
                </w:p>
              </w:tc>
            </w:tr>
            <w:tr w:rsidR="00FF46E4" w:rsidRPr="00FF58D5" w14:paraId="3B9504E5"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66337592"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kobiety</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F3243F8"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6666A72"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20</w:t>
                  </w:r>
                </w:p>
              </w:tc>
              <w:tc>
                <w:tcPr>
                  <w:tcW w:w="442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20E59BA"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20.0%</w:t>
                  </w:r>
                </w:p>
              </w:tc>
            </w:tr>
            <w:tr w:rsidR="00FF46E4" w:rsidRPr="00FF58D5" w14:paraId="06923719"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5EE9943D"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mężczyźni</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1E8DA34"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100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1D07C1E7"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80</w:t>
                  </w:r>
                </w:p>
              </w:tc>
              <w:tc>
                <w:tcPr>
                  <w:tcW w:w="442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DA6798F"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80.0%</w:t>
                  </w:r>
                </w:p>
              </w:tc>
            </w:tr>
            <w:tr w:rsidR="00FF46E4" w:rsidRPr="00FF58D5" w14:paraId="7452B71F"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32586CE2"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Total</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0555F9CA"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120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E5C6C22"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100</w:t>
                  </w:r>
                </w:p>
              </w:tc>
              <w:tc>
                <w:tcPr>
                  <w:tcW w:w="4425" w:type="dxa"/>
                  <w:tcBorders>
                    <w:top w:val="nil"/>
                    <w:left w:val="nil"/>
                    <w:bottom w:val="nil"/>
                    <w:right w:val="nil"/>
                  </w:tcBorders>
                  <w:tcMar>
                    <w:top w:w="20" w:type="dxa"/>
                    <w:left w:w="20" w:type="dxa"/>
                    <w:bottom w:w="100" w:type="dxa"/>
                    <w:right w:w="20" w:type="dxa"/>
                  </w:tcMar>
                  <w:vAlign w:val="bottom"/>
                </w:tcPr>
                <w:p w14:paraId="4AAD4591" w14:textId="77777777" w:rsidR="00FF46E4" w:rsidRPr="00FF58D5" w:rsidRDefault="00FF46E4" w:rsidP="00AB5A1A">
                  <w:pPr>
                    <w:spacing w:line="276" w:lineRule="auto"/>
                    <w:jc w:val="both"/>
                    <w:rPr>
                      <w:rFonts w:asciiTheme="minorHAnsi" w:hAnsiTheme="minorHAnsi" w:cstheme="minorHAnsi"/>
                      <w:color w:val="222222"/>
                      <w:sz w:val="22"/>
                      <w:szCs w:val="22"/>
                    </w:rPr>
                  </w:pPr>
                </w:p>
              </w:tc>
            </w:tr>
          </w:tbl>
          <w:p w14:paraId="24480C3C" w14:textId="77777777" w:rsidR="00FF46E4" w:rsidRPr="00FF58D5" w:rsidRDefault="00FF46E4" w:rsidP="00AB5A1A">
            <w:pPr>
              <w:shd w:val="clear" w:color="auto" w:fill="FFFFFF"/>
              <w:spacing w:line="276" w:lineRule="auto"/>
              <w:jc w:val="both"/>
              <w:rPr>
                <w:rFonts w:asciiTheme="minorHAnsi" w:hAnsiTheme="minorHAnsi" w:cstheme="minorHAnsi"/>
                <w:color w:val="222222"/>
                <w:sz w:val="22"/>
                <w:szCs w:val="22"/>
              </w:rPr>
            </w:pPr>
          </w:p>
          <w:p w14:paraId="7B0A29E4" w14:textId="77777777" w:rsidR="00FF46E4" w:rsidRPr="00FF58D5" w:rsidRDefault="00FF46E4" w:rsidP="00AB5A1A">
            <w:pPr>
              <w:shd w:val="clear" w:color="auto" w:fill="FFFFFF"/>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 Metodologia stosowana powszechnie przez przedsiębiorstwa dla obliczenia luki w dostępności wynagrodzenia zmiennego:</w:t>
            </w:r>
          </w:p>
          <w:tbl>
            <w:tblPr>
              <w:tblW w:w="12255" w:type="dxa"/>
              <w:tblBorders>
                <w:top w:val="nil"/>
                <w:left w:val="nil"/>
                <w:bottom w:val="nil"/>
                <w:right w:val="nil"/>
                <w:insideH w:val="nil"/>
                <w:insideV w:val="nil"/>
              </w:tblBorders>
              <w:tblLayout w:type="fixed"/>
              <w:tblLook w:val="0600" w:firstRow="0" w:lastRow="0" w:firstColumn="0" w:lastColumn="0" w:noHBand="1" w:noVBand="1"/>
            </w:tblPr>
            <w:tblGrid>
              <w:gridCol w:w="1455"/>
              <w:gridCol w:w="2400"/>
              <w:gridCol w:w="3975"/>
              <w:gridCol w:w="4425"/>
            </w:tblGrid>
            <w:tr w:rsidR="00FF46E4" w:rsidRPr="00FF58D5" w14:paraId="7B957D11" w14:textId="77777777" w:rsidTr="00CF3786">
              <w:trPr>
                <w:trHeight w:val="1210"/>
              </w:trPr>
              <w:tc>
                <w:tcPr>
                  <w:tcW w:w="1455"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center"/>
                </w:tcPr>
                <w:p w14:paraId="4FF616B3"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lastRenderedPageBreak/>
                    <w:t xml:space="preserve">Płeć </w:t>
                  </w:r>
                </w:p>
              </w:tc>
              <w:tc>
                <w:tcPr>
                  <w:tcW w:w="2400"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2ED1A912"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Liczba pracowników</w:t>
                  </w:r>
                </w:p>
              </w:tc>
              <w:tc>
                <w:tcPr>
                  <w:tcW w:w="397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3C4FDB6D"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Liczba osób otrzymujących składniki uzupełniające lub zmienne</w:t>
                  </w:r>
                </w:p>
              </w:tc>
              <w:tc>
                <w:tcPr>
                  <w:tcW w:w="442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center"/>
                </w:tcPr>
                <w:p w14:paraId="5EA1ADCD"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 udziału kobiet lub mężczyzn otrzymujących składniki uzupełniające lub zmienne wśród wszystkich kobiet lub mężczyzn</w:t>
                  </w:r>
                </w:p>
              </w:tc>
            </w:tr>
            <w:tr w:rsidR="00FF46E4" w:rsidRPr="00FF58D5" w14:paraId="4BD74F19"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30EBEF16"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kobiety</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663FE6D9"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3C87F417"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20</w:t>
                  </w:r>
                </w:p>
              </w:tc>
              <w:tc>
                <w:tcPr>
                  <w:tcW w:w="442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6ABE75A"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100.0%</w:t>
                  </w:r>
                </w:p>
              </w:tc>
            </w:tr>
            <w:tr w:rsidR="00FF46E4" w:rsidRPr="00FF58D5" w14:paraId="2C2F8AE7"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1E023F09"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mężczyźni</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73904A6"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100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1743FFA"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80</w:t>
                  </w:r>
                </w:p>
              </w:tc>
              <w:tc>
                <w:tcPr>
                  <w:tcW w:w="442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23C73456"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80.0%</w:t>
                  </w:r>
                </w:p>
              </w:tc>
            </w:tr>
            <w:tr w:rsidR="00FF46E4" w:rsidRPr="00FF58D5" w14:paraId="5AC82523" w14:textId="77777777" w:rsidTr="00CF3786">
              <w:trPr>
                <w:trHeight w:val="430"/>
              </w:trPr>
              <w:tc>
                <w:tcPr>
                  <w:tcW w:w="1455"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center"/>
                </w:tcPr>
                <w:p w14:paraId="36F09A95"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Total</w:t>
                  </w:r>
                </w:p>
              </w:tc>
              <w:tc>
                <w:tcPr>
                  <w:tcW w:w="2400"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476717BA"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120</w:t>
                  </w:r>
                </w:p>
              </w:tc>
              <w:tc>
                <w:tcPr>
                  <w:tcW w:w="3975" w:type="dxa"/>
                  <w:tcBorders>
                    <w:top w:val="nil"/>
                    <w:left w:val="nil"/>
                    <w:bottom w:val="single" w:sz="6" w:space="0" w:color="000000"/>
                    <w:right w:val="single" w:sz="6" w:space="0" w:color="000000"/>
                  </w:tcBorders>
                  <w:tcMar>
                    <w:top w:w="20" w:type="dxa"/>
                    <w:left w:w="20" w:type="dxa"/>
                    <w:bottom w:w="100" w:type="dxa"/>
                    <w:right w:w="20" w:type="dxa"/>
                  </w:tcMar>
                  <w:vAlign w:val="center"/>
                </w:tcPr>
                <w:p w14:paraId="59060CFD"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r w:rsidRPr="00FF58D5">
                    <w:rPr>
                      <w:rFonts w:asciiTheme="minorHAnsi" w:hAnsiTheme="minorHAnsi" w:cstheme="minorHAnsi"/>
                      <w:color w:val="222222"/>
                      <w:sz w:val="22"/>
                      <w:szCs w:val="22"/>
                    </w:rPr>
                    <w:t>100</w:t>
                  </w:r>
                </w:p>
              </w:tc>
              <w:tc>
                <w:tcPr>
                  <w:tcW w:w="4425" w:type="dxa"/>
                  <w:tcBorders>
                    <w:top w:val="nil"/>
                    <w:left w:val="nil"/>
                    <w:bottom w:val="nil"/>
                    <w:right w:val="nil"/>
                  </w:tcBorders>
                  <w:tcMar>
                    <w:top w:w="20" w:type="dxa"/>
                    <w:left w:w="20" w:type="dxa"/>
                    <w:bottom w:w="100" w:type="dxa"/>
                    <w:right w:w="20" w:type="dxa"/>
                  </w:tcMar>
                  <w:vAlign w:val="bottom"/>
                </w:tcPr>
                <w:p w14:paraId="582D3E9E" w14:textId="77777777" w:rsidR="00FF46E4" w:rsidRPr="00FF58D5" w:rsidRDefault="00FF46E4" w:rsidP="00AB5A1A">
                  <w:pPr>
                    <w:spacing w:line="276" w:lineRule="auto"/>
                    <w:ind w:firstLine="360"/>
                    <w:jc w:val="both"/>
                    <w:rPr>
                      <w:rFonts w:asciiTheme="minorHAnsi" w:hAnsiTheme="minorHAnsi" w:cstheme="minorHAnsi"/>
                      <w:color w:val="222222"/>
                      <w:sz w:val="22"/>
                      <w:szCs w:val="22"/>
                    </w:rPr>
                  </w:pPr>
                </w:p>
              </w:tc>
            </w:tr>
          </w:tbl>
          <w:p w14:paraId="4B45A594" w14:textId="77777777" w:rsidR="00FF46E4" w:rsidRPr="00FF58D5" w:rsidRDefault="00FF46E4" w:rsidP="00AB5A1A">
            <w:pPr>
              <w:spacing w:line="276" w:lineRule="auto"/>
              <w:ind w:firstLine="360"/>
              <w:jc w:val="both"/>
              <w:rPr>
                <w:rFonts w:asciiTheme="minorHAnsi" w:hAnsiTheme="minorHAnsi" w:cstheme="minorHAnsi"/>
                <w:sz w:val="22"/>
                <w:szCs w:val="22"/>
              </w:rPr>
            </w:pPr>
          </w:p>
          <w:p w14:paraId="49EDEDE4" w14:textId="5311FA4E" w:rsidR="00FF46E4" w:rsidRPr="00AB5A1A" w:rsidRDefault="00FF46E4" w:rsidP="00AB5A1A">
            <w:pPr>
              <w:shd w:val="clear" w:color="auto" w:fill="FFFFFF"/>
              <w:spacing w:line="276" w:lineRule="auto"/>
              <w:jc w:val="both"/>
              <w:rPr>
                <w:rFonts w:asciiTheme="minorHAnsi" w:hAnsiTheme="minorHAnsi" w:cstheme="minorHAnsi"/>
                <w:sz w:val="22"/>
                <w:szCs w:val="22"/>
              </w:rPr>
            </w:pPr>
            <w:r w:rsidRPr="00FF58D5">
              <w:rPr>
                <w:rFonts w:asciiTheme="minorHAnsi" w:hAnsiTheme="minorHAnsi" w:cstheme="minorHAnsi"/>
                <w:sz w:val="22"/>
                <w:szCs w:val="22"/>
              </w:rPr>
              <w:t xml:space="preserve">Jak widać powyżej uzasadnienie do ustawy </w:t>
            </w:r>
            <w:r w:rsidR="00CD6958" w:rsidRPr="00FF58D5">
              <w:rPr>
                <w:rFonts w:asciiTheme="minorHAnsi" w:hAnsiTheme="minorHAnsi" w:cstheme="minorHAnsi"/>
                <w:sz w:val="22"/>
                <w:szCs w:val="22"/>
              </w:rPr>
              <w:t>wydaje się przedstawiać</w:t>
            </w:r>
            <w:r w:rsidRPr="00FF58D5">
              <w:rPr>
                <w:rFonts w:asciiTheme="minorHAnsi" w:hAnsiTheme="minorHAnsi" w:cstheme="minorHAnsi"/>
                <w:sz w:val="22"/>
                <w:szCs w:val="22"/>
              </w:rPr>
              <w:t xml:space="preserve"> błędny sposób obliczenia odsetk</w:t>
            </w:r>
            <w:r w:rsidR="00541D21" w:rsidRPr="00FF58D5">
              <w:rPr>
                <w:rFonts w:asciiTheme="minorHAnsi" w:hAnsiTheme="minorHAnsi" w:cstheme="minorHAnsi"/>
                <w:sz w:val="22"/>
                <w:szCs w:val="22"/>
              </w:rPr>
              <w:t>a</w:t>
            </w:r>
            <w:r w:rsidRPr="00FF58D5">
              <w:rPr>
                <w:rFonts w:asciiTheme="minorHAnsi" w:hAnsiTheme="minorHAnsi" w:cstheme="minorHAnsi"/>
                <w:sz w:val="22"/>
                <w:szCs w:val="22"/>
              </w:rPr>
              <w:t xml:space="preserve"> pracowników płci żeńskiej i męskiej otrzymujących składniki uzupełniające lub zmienne. W obecnej formie wzór z uzasadnienia </w:t>
            </w:r>
            <w:r w:rsidR="00541D21" w:rsidRPr="00FF58D5">
              <w:rPr>
                <w:rFonts w:asciiTheme="minorHAnsi" w:hAnsiTheme="minorHAnsi" w:cstheme="minorHAnsi"/>
                <w:sz w:val="22"/>
                <w:szCs w:val="22"/>
              </w:rPr>
              <w:t xml:space="preserve">bardziej </w:t>
            </w:r>
            <w:r w:rsidRPr="00FF58D5">
              <w:rPr>
                <w:rFonts w:asciiTheme="minorHAnsi" w:hAnsiTheme="minorHAnsi" w:cstheme="minorHAnsi"/>
                <w:sz w:val="22"/>
                <w:szCs w:val="22"/>
              </w:rPr>
              <w:t>odzwierciedla strukturę zatrudnienia, niż dostęp do składników uzupełniających. Zaproponowana metoda nie bada kwestii równości.</w:t>
            </w:r>
            <w:r w:rsidRPr="00AB5A1A">
              <w:rPr>
                <w:rFonts w:asciiTheme="minorHAnsi" w:hAnsiTheme="minorHAnsi" w:cstheme="minorHAnsi"/>
                <w:sz w:val="22"/>
                <w:szCs w:val="22"/>
              </w:rPr>
              <w:t xml:space="preserve"> </w:t>
            </w:r>
          </w:p>
          <w:p w14:paraId="47CC1679" w14:textId="77777777" w:rsidR="00FF46E4" w:rsidRPr="00AB5A1A" w:rsidRDefault="00FF46E4" w:rsidP="00AB5A1A">
            <w:pPr>
              <w:spacing w:line="276" w:lineRule="auto"/>
              <w:rPr>
                <w:rFonts w:asciiTheme="minorHAnsi" w:hAnsiTheme="minorHAnsi" w:cstheme="minorHAnsi"/>
                <w:sz w:val="22"/>
                <w:szCs w:val="22"/>
              </w:rPr>
            </w:pPr>
          </w:p>
          <w:p w14:paraId="2A21B468" w14:textId="1BC5C13D" w:rsidR="00C5594B" w:rsidRPr="00AB5A1A" w:rsidRDefault="00C5594B" w:rsidP="00AB5A1A">
            <w:pPr>
              <w:spacing w:line="276" w:lineRule="auto"/>
              <w:ind w:left="426"/>
              <w:jc w:val="center"/>
              <w:rPr>
                <w:rFonts w:asciiTheme="minorHAnsi" w:hAnsiTheme="minorHAnsi" w:cstheme="minorHAnsi"/>
                <w:b/>
                <w:bCs/>
                <w:noProof/>
                <w:sz w:val="22"/>
                <w:szCs w:val="22"/>
              </w:rPr>
            </w:pPr>
          </w:p>
        </w:tc>
      </w:tr>
    </w:tbl>
    <w:p w14:paraId="475331DF" w14:textId="77777777" w:rsidR="004E1CD7" w:rsidRDefault="004E1CD7" w:rsidP="00AB5A1A">
      <w:pPr>
        <w:pStyle w:val="Nagwek2"/>
        <w:spacing w:line="276" w:lineRule="auto"/>
        <w:rPr>
          <w:rFonts w:asciiTheme="minorHAnsi" w:hAnsiTheme="minorHAnsi" w:cstheme="minorHAnsi"/>
          <w:color w:val="auto"/>
          <w:sz w:val="22"/>
          <w:szCs w:val="22"/>
        </w:rPr>
      </w:pPr>
    </w:p>
    <w:p w14:paraId="4F63206F" w14:textId="77777777" w:rsidR="00E4458B" w:rsidRPr="00E4458B" w:rsidRDefault="00E4458B" w:rsidP="00E4458B">
      <w:pPr>
        <w:rPr>
          <w:lang w:eastAsia="en-US"/>
        </w:rPr>
      </w:pPr>
    </w:p>
    <w:p w14:paraId="4724F4DE" w14:textId="14420334" w:rsidR="006541D3" w:rsidRPr="00E4458B" w:rsidRDefault="003B2315" w:rsidP="00E4458B">
      <w:pPr>
        <w:tabs>
          <w:tab w:val="left" w:pos="3880"/>
        </w:tabs>
        <w:spacing w:line="276" w:lineRule="auto"/>
        <w:ind w:firstLine="851"/>
        <w:rPr>
          <w:rFonts w:asciiTheme="minorHAnsi" w:hAnsiTheme="minorHAnsi" w:cstheme="minorHAnsi"/>
          <w:b/>
          <w:bCs/>
          <w:i/>
          <w:iCs/>
          <w:sz w:val="22"/>
          <w:szCs w:val="22"/>
        </w:rPr>
      </w:pPr>
      <w:r w:rsidRPr="00E4458B">
        <w:rPr>
          <w:rFonts w:asciiTheme="minorHAnsi" w:hAnsiTheme="minorHAnsi" w:cstheme="minorHAnsi"/>
          <w:b/>
          <w:bCs/>
          <w:i/>
          <w:iCs/>
          <w:sz w:val="22"/>
          <w:szCs w:val="22"/>
        </w:rPr>
        <w:t>KL/</w:t>
      </w:r>
      <w:r w:rsidR="00E4458B" w:rsidRPr="00E4458B">
        <w:rPr>
          <w:rFonts w:asciiTheme="minorHAnsi" w:hAnsiTheme="minorHAnsi" w:cstheme="minorHAnsi"/>
          <w:b/>
          <w:bCs/>
          <w:i/>
          <w:iCs/>
          <w:sz w:val="22"/>
          <w:szCs w:val="22"/>
        </w:rPr>
        <w:t>45/12/RL/2026</w:t>
      </w:r>
    </w:p>
    <w:sectPr w:rsidR="006541D3" w:rsidRPr="00E4458B" w:rsidSect="00CF3786">
      <w:headerReference w:type="default" r:id="rId11"/>
      <w:footerReference w:type="default" r:id="rId12"/>
      <w:pgSz w:w="16838" w:h="11906" w:orient="landscape" w:code="9"/>
      <w:pgMar w:top="720" w:right="720" w:bottom="720" w:left="720" w:header="0" w:footer="3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C4F5" w14:textId="77777777" w:rsidR="00F111BC" w:rsidRDefault="00F111BC">
      <w:r>
        <w:separator/>
      </w:r>
    </w:p>
  </w:endnote>
  <w:endnote w:type="continuationSeparator" w:id="0">
    <w:p w14:paraId="50096C6B" w14:textId="77777777" w:rsidR="00F111BC" w:rsidRDefault="00F11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0519" w14:textId="6D3EB3FC" w:rsidR="0060612F" w:rsidRDefault="0004011A" w:rsidP="0060612F">
    <w:pPr>
      <w:pStyle w:val="Stopka"/>
      <w:jc w:val="right"/>
    </w:pPr>
    <w:r>
      <w:rPr>
        <w:rFonts w:ascii="Arial" w:hAnsi="Arial" w:cs="Arial"/>
        <w:noProof/>
        <w:sz w:val="14"/>
        <w:szCs w:val="14"/>
      </w:rPr>
      <w:drawing>
        <wp:inline distT="0" distB="0" distL="0" distR="0" wp14:anchorId="198BB4A6" wp14:editId="1F9DFF93">
          <wp:extent cx="1915678" cy="196553"/>
          <wp:effectExtent l="0" t="0" r="0" b="0"/>
          <wp:docPr id="393006877" name="Obraz 39300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935058" cy="198541"/>
                  </a:xfrm>
                  <a:prstGeom prst="rect">
                    <a:avLst/>
                  </a:prstGeom>
                </pic:spPr>
              </pic:pic>
            </a:graphicData>
          </a:graphic>
        </wp:inline>
      </w:drawing>
    </w:r>
    <w:r w:rsidR="00FF2A24">
      <w:rPr>
        <w:rFonts w:ascii="Arial" w:hAnsi="Arial" w:cs="Arial"/>
        <w:noProof/>
        <w:sz w:val="14"/>
        <w:szCs w:val="14"/>
      </w:rPr>
      <mc:AlternateContent>
        <mc:Choice Requires="wpg">
          <w:drawing>
            <wp:anchor distT="0" distB="0" distL="114300" distR="114300" simplePos="0" relativeHeight="251658240" behindDoc="0" locked="0" layoutInCell="1" allowOverlap="1" wp14:anchorId="5FE15F46" wp14:editId="6680652B">
              <wp:simplePos x="0" y="0"/>
              <wp:positionH relativeFrom="column">
                <wp:posOffset>539436</wp:posOffset>
              </wp:positionH>
              <wp:positionV relativeFrom="paragraph">
                <wp:posOffset>212442</wp:posOffset>
              </wp:positionV>
              <wp:extent cx="280028" cy="430040"/>
              <wp:effectExtent l="0" t="0" r="6350" b="8255"/>
              <wp:wrapNone/>
              <wp:docPr id="9" name="Grupa 9"/>
              <wp:cNvGraphicFramePr/>
              <a:graphic xmlns:a="http://schemas.openxmlformats.org/drawingml/2006/main">
                <a:graphicData uri="http://schemas.microsoft.com/office/word/2010/wordprocessingGroup">
                  <wpg:wgp>
                    <wpg:cNvGrpSpPr/>
                    <wpg:grpSpPr>
                      <a:xfrm>
                        <a:off x="0" y="0"/>
                        <a:ext cx="280028" cy="430040"/>
                        <a:chOff x="0" y="0"/>
                        <a:chExt cx="280028" cy="430040"/>
                      </a:xfrm>
                    </wpg:grpSpPr>
                    <wps:wsp>
                      <wps:cNvPr id="6" name="Prostokąt 6"/>
                      <wps:cNvSpPr/>
                      <wps:spPr>
                        <a:xfrm>
                          <a:off x="140328" y="0"/>
                          <a:ext cx="139700" cy="42989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rostokąt 8"/>
                      <wps:cNvSpPr/>
                      <wps:spPr>
                        <a:xfrm>
                          <a:off x="0" y="0"/>
                          <a:ext cx="140329" cy="430040"/>
                        </a:xfrm>
                        <a:prstGeom prst="rect">
                          <a:avLst/>
                        </a:prstGeom>
                        <a:solidFill>
                          <a:srgbClr val="33CC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07E7F8" id="Grupa 9" o:spid="_x0000_s1026" style="position:absolute;margin-left:42.5pt;margin-top:16.75pt;width:22.05pt;height:33.85pt;z-index:251658240" coordsize="280028,43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">
              <v:rect id="Prostokąt 6" o:spid="_x0000_s1027" style="position:absolute;left:140328;width:139700;height:429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" fillcolor="#002060" stroked="f" strokeweight="1pt"/>
              <v:rect id="Prostokąt 8" o:spid="_x0000_s1028" style="position:absolute;width:140329;height:430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" fillcolor="#3cc" stroked="f" strokeweight="1pt"/>
            </v:group>
          </w:pict>
        </mc:Fallback>
      </mc:AlternateContent>
    </w:r>
    <w:r w:rsidR="00BE60C1">
      <w:rPr>
        <w:rFonts w:ascii="Arial" w:hAnsi="Arial" w:cs="Arial"/>
        <w:noProof/>
        <w:sz w:val="14"/>
        <w:szCs w:val="14"/>
      </w:rPr>
      <w:drawing>
        <wp:inline distT="0" distB="0" distL="0" distR="0" wp14:anchorId="524F968E" wp14:editId="1F13CF6C">
          <wp:extent cx="1162050" cy="200025"/>
          <wp:effectExtent l="0" t="0" r="0" b="9525"/>
          <wp:docPr id="1337087920" name="Obraz 1" desc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200025"/>
                  </a:xfrm>
                  <a:prstGeom prst="rect">
                    <a:avLst/>
                  </a:prstGeom>
                  <a:noFill/>
                  <a:ln>
                    <a:noFill/>
                  </a:ln>
                </pic:spPr>
              </pic:pic>
            </a:graphicData>
          </a:graphic>
        </wp:inline>
      </w:drawing>
    </w:r>
    <w:r w:rsidR="00BE60C1" w:rsidRPr="00435812">
      <w:t xml:space="preserve"> </w:t>
    </w:r>
  </w:p>
  <w:tbl>
    <w:tblPr>
      <w:tblStyle w:val="Tabela-Siatka"/>
      <w:tblW w:w="8221" w:type="dxa"/>
      <w:tblInd w:w="851" w:type="dxa"/>
      <w:tblBorders>
        <w:top w:val="single" w:sz="8" w:space="0" w:color="33CCC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2013"/>
      <w:gridCol w:w="1984"/>
      <w:gridCol w:w="2693"/>
    </w:tblGrid>
    <w:tr w:rsidR="00FF2A24" w:rsidRPr="004712E5" w14:paraId="629EE18A" w14:textId="0DC4BD49" w:rsidTr="00FF2A24">
      <w:tc>
        <w:tcPr>
          <w:tcW w:w="1531" w:type="dxa"/>
        </w:tcPr>
        <w:p w14:paraId="58E0E44D" w14:textId="625A4EAD" w:rsidR="00FF2A24" w:rsidRPr="004712E5" w:rsidRDefault="00FF2A24" w:rsidP="004712E5">
          <w:pPr>
            <w:pStyle w:val="Stopka"/>
            <w:ind w:left="-109"/>
            <w:rPr>
              <w:rFonts w:ascii="Arial" w:hAnsi="Arial" w:cs="Arial"/>
              <w:color w:val="002060"/>
              <w:sz w:val="12"/>
              <w:szCs w:val="12"/>
            </w:rPr>
          </w:pPr>
        </w:p>
      </w:tc>
      <w:tc>
        <w:tcPr>
          <w:tcW w:w="2013" w:type="dxa"/>
        </w:tcPr>
        <w:p w14:paraId="6ADE66D7" w14:textId="69BEED8B" w:rsidR="00FF2A24" w:rsidRPr="00FF2A24" w:rsidRDefault="00FF2A24" w:rsidP="00ED378B">
          <w:pPr>
            <w:pStyle w:val="Stopka"/>
            <w:rPr>
              <w:rFonts w:ascii="Arial" w:hAnsi="Arial" w:cs="Arial"/>
              <w:color w:val="002060"/>
              <w:sz w:val="14"/>
              <w:szCs w:val="14"/>
            </w:rPr>
          </w:pPr>
        </w:p>
        <w:p w14:paraId="42F59872" w14:textId="5715655C" w:rsidR="00FF2A24" w:rsidRPr="00FF2A24" w:rsidRDefault="00FF2A24" w:rsidP="00ED378B">
          <w:pPr>
            <w:pStyle w:val="Stopka"/>
            <w:rPr>
              <w:rFonts w:ascii="Arial" w:hAnsi="Arial" w:cs="Arial"/>
              <w:color w:val="002060"/>
              <w:sz w:val="14"/>
              <w:szCs w:val="14"/>
            </w:rPr>
          </w:pPr>
          <w:r w:rsidRPr="00FF2A24">
            <w:rPr>
              <w:rFonts w:ascii="Arial" w:hAnsi="Arial" w:cs="Arial"/>
              <w:color w:val="002060"/>
              <w:sz w:val="14"/>
              <w:szCs w:val="14"/>
            </w:rPr>
            <w:t>Konfederacja Lewiatan</w:t>
          </w:r>
        </w:p>
        <w:p w14:paraId="775C6AF8" w14:textId="60EDF8D8" w:rsidR="00FF2A24" w:rsidRPr="00FF2A24" w:rsidRDefault="00FF2A24" w:rsidP="00ED378B">
          <w:pPr>
            <w:pStyle w:val="Stopka"/>
            <w:rPr>
              <w:rFonts w:ascii="Arial" w:hAnsi="Arial" w:cs="Arial"/>
              <w:color w:val="002060"/>
              <w:sz w:val="14"/>
              <w:szCs w:val="14"/>
            </w:rPr>
          </w:pPr>
          <w:r w:rsidRPr="00FF2A24">
            <w:rPr>
              <w:rFonts w:ascii="Arial" w:hAnsi="Arial" w:cs="Arial"/>
              <w:color w:val="002060"/>
              <w:sz w:val="14"/>
              <w:szCs w:val="14"/>
            </w:rPr>
            <w:t xml:space="preserve">ul. Zbyszka Cybulskiego </w:t>
          </w:r>
          <w:r w:rsidR="003E6833">
            <w:rPr>
              <w:rFonts w:ascii="Arial" w:hAnsi="Arial" w:cs="Arial"/>
              <w:color w:val="002060"/>
              <w:sz w:val="14"/>
              <w:szCs w:val="14"/>
            </w:rPr>
            <w:t>5</w:t>
          </w:r>
        </w:p>
        <w:p w14:paraId="267AE48F" w14:textId="77777777" w:rsidR="00FF2A24" w:rsidRDefault="00FF2A24" w:rsidP="00ED378B">
          <w:pPr>
            <w:pStyle w:val="Stopka"/>
            <w:rPr>
              <w:rFonts w:ascii="Arial" w:hAnsi="Arial" w:cs="Arial"/>
              <w:color w:val="002060"/>
              <w:sz w:val="14"/>
              <w:szCs w:val="14"/>
            </w:rPr>
          </w:pPr>
          <w:r w:rsidRPr="00FF2A24">
            <w:rPr>
              <w:rFonts w:ascii="Arial" w:hAnsi="Arial" w:cs="Arial"/>
              <w:color w:val="002060"/>
              <w:sz w:val="14"/>
              <w:szCs w:val="14"/>
            </w:rPr>
            <w:t>00-727 Warszawa</w:t>
          </w:r>
        </w:p>
        <w:p w14:paraId="539F0EE6" w14:textId="77777777" w:rsidR="00C760D3" w:rsidRPr="00FF2A24" w:rsidRDefault="00C760D3" w:rsidP="00C760D3">
          <w:pPr>
            <w:pStyle w:val="Stopka"/>
            <w:rPr>
              <w:rFonts w:ascii="Arial" w:hAnsi="Arial" w:cs="Arial"/>
              <w:color w:val="002060"/>
              <w:sz w:val="14"/>
              <w:szCs w:val="14"/>
            </w:rPr>
          </w:pPr>
          <w:r w:rsidRPr="00FF2A24">
            <w:rPr>
              <w:rFonts w:ascii="Arial" w:hAnsi="Arial" w:cs="Arial"/>
              <w:color w:val="002060"/>
              <w:sz w:val="14"/>
              <w:szCs w:val="14"/>
            </w:rPr>
            <w:t>tel. +48 22 55 99 900</w:t>
          </w:r>
        </w:p>
        <w:p w14:paraId="180B7C4D" w14:textId="77777777" w:rsidR="00C760D3" w:rsidRPr="00FF2A24" w:rsidRDefault="00C760D3" w:rsidP="00C760D3">
          <w:pPr>
            <w:pStyle w:val="Stopka"/>
            <w:rPr>
              <w:rFonts w:ascii="Arial" w:hAnsi="Arial" w:cs="Arial"/>
              <w:color w:val="002060"/>
              <w:sz w:val="14"/>
              <w:szCs w:val="14"/>
            </w:rPr>
          </w:pPr>
          <w:hyperlink r:id="rId3" w:history="1">
            <w:r w:rsidRPr="00FF2A24">
              <w:rPr>
                <w:rStyle w:val="Hipercze"/>
                <w:rFonts w:ascii="Arial" w:hAnsi="Arial" w:cs="Arial"/>
                <w:color w:val="002060"/>
                <w:sz w:val="14"/>
                <w:szCs w:val="14"/>
                <w:u w:val="none"/>
              </w:rPr>
              <w:t>lewiatan@lewiatan.org</w:t>
            </w:r>
          </w:hyperlink>
        </w:p>
        <w:p w14:paraId="46A33F28" w14:textId="2576EEB5" w:rsidR="00C760D3" w:rsidRPr="00FF2A24" w:rsidRDefault="00C760D3" w:rsidP="00C760D3">
          <w:pPr>
            <w:pStyle w:val="Stopka"/>
            <w:rPr>
              <w:rFonts w:ascii="Arial" w:hAnsi="Arial" w:cs="Arial"/>
              <w:color w:val="002060"/>
              <w:sz w:val="14"/>
              <w:szCs w:val="14"/>
            </w:rPr>
          </w:pPr>
          <w:r w:rsidRPr="00FF2A24">
            <w:rPr>
              <w:rFonts w:ascii="Arial" w:hAnsi="Arial" w:cs="Arial"/>
              <w:color w:val="002060"/>
              <w:sz w:val="14"/>
              <w:szCs w:val="14"/>
            </w:rPr>
            <w:t>www.lewiatan.org</w:t>
          </w:r>
        </w:p>
      </w:tc>
      <w:tc>
        <w:tcPr>
          <w:tcW w:w="1984" w:type="dxa"/>
        </w:tcPr>
        <w:p w14:paraId="63CDC183" w14:textId="2756F846" w:rsidR="00FF2A24" w:rsidRPr="00FF2A24" w:rsidRDefault="00FF2A24" w:rsidP="00ED378B">
          <w:pPr>
            <w:pStyle w:val="Stopka"/>
            <w:rPr>
              <w:rFonts w:ascii="Arial" w:hAnsi="Arial" w:cs="Arial"/>
              <w:color w:val="002060"/>
              <w:sz w:val="14"/>
              <w:szCs w:val="14"/>
            </w:rPr>
          </w:pPr>
        </w:p>
        <w:p w14:paraId="7FBAAB8F" w14:textId="1F93A50F" w:rsidR="00FF2A24" w:rsidRPr="00FF2A24" w:rsidRDefault="00C760D3" w:rsidP="00ED378B">
          <w:pPr>
            <w:pStyle w:val="Stopka"/>
            <w:rPr>
              <w:rFonts w:ascii="Arial" w:hAnsi="Arial" w:cs="Arial"/>
              <w:color w:val="002060"/>
              <w:sz w:val="14"/>
              <w:szCs w:val="14"/>
            </w:rPr>
          </w:pPr>
          <w:r w:rsidRPr="00357EE1">
            <w:rPr>
              <w:rFonts w:ascii="Arial" w:hAnsi="Arial" w:cs="Arial"/>
              <w:color w:val="002060"/>
              <w:sz w:val="14"/>
              <w:szCs w:val="14"/>
              <w:lang w:val="en-US"/>
            </w:rPr>
            <w:t>Polish Confederation Lewiatan</w:t>
          </w:r>
          <w:r w:rsidRPr="00357EE1">
            <w:rPr>
              <w:rFonts w:ascii="Arial" w:hAnsi="Arial" w:cs="Arial"/>
              <w:color w:val="002060"/>
              <w:sz w:val="14"/>
              <w:szCs w:val="14"/>
              <w:lang w:val="en-US"/>
            </w:rPr>
            <w:br/>
            <w:t>Brussels Office</w:t>
          </w:r>
          <w:r w:rsidRPr="00357EE1">
            <w:rPr>
              <w:rFonts w:ascii="Arial" w:hAnsi="Arial" w:cs="Arial"/>
              <w:color w:val="002060"/>
              <w:sz w:val="14"/>
              <w:szCs w:val="14"/>
              <w:lang w:val="en-US"/>
            </w:rPr>
            <w:br/>
            <w:t xml:space="preserve">Avenue de </w:t>
          </w:r>
          <w:proofErr w:type="spellStart"/>
          <w:r w:rsidRPr="00357EE1">
            <w:rPr>
              <w:rFonts w:ascii="Arial" w:hAnsi="Arial" w:cs="Arial"/>
              <w:color w:val="002060"/>
              <w:sz w:val="14"/>
              <w:szCs w:val="14"/>
              <w:lang w:val="en-US"/>
            </w:rPr>
            <w:t>Cortenbergh</w:t>
          </w:r>
          <w:proofErr w:type="spellEnd"/>
          <w:r w:rsidRPr="00357EE1">
            <w:rPr>
              <w:rFonts w:ascii="Arial" w:hAnsi="Arial" w:cs="Arial"/>
              <w:color w:val="002060"/>
              <w:sz w:val="14"/>
              <w:szCs w:val="14"/>
              <w:lang w:val="en-US"/>
            </w:rPr>
            <w:t xml:space="preserve"> 168</w:t>
          </w:r>
          <w:r w:rsidRPr="00357EE1">
            <w:rPr>
              <w:rFonts w:ascii="Arial" w:hAnsi="Arial" w:cs="Arial"/>
              <w:color w:val="002060"/>
              <w:sz w:val="14"/>
              <w:szCs w:val="14"/>
              <w:lang w:val="en-US"/>
            </w:rPr>
            <w:br/>
            <w:t xml:space="preserve">tel. </w:t>
          </w:r>
          <w:r w:rsidR="000179CA" w:rsidRPr="000179CA">
            <w:rPr>
              <w:rFonts w:ascii="Arial" w:hAnsi="Arial" w:cs="Arial"/>
              <w:color w:val="002060"/>
              <w:sz w:val="14"/>
              <w:szCs w:val="14"/>
            </w:rPr>
            <w:t>+32 2 732 12 10</w:t>
          </w:r>
          <w:r>
            <w:rPr>
              <w:rFonts w:ascii="Arial" w:hAnsi="Arial" w:cs="Arial"/>
              <w:color w:val="002060"/>
              <w:sz w:val="14"/>
              <w:szCs w:val="14"/>
            </w:rPr>
            <w:t xml:space="preserve"> </w:t>
          </w:r>
        </w:p>
      </w:tc>
      <w:tc>
        <w:tcPr>
          <w:tcW w:w="2693" w:type="dxa"/>
        </w:tcPr>
        <w:p w14:paraId="0DFE6590" w14:textId="76FDCBFE" w:rsidR="00FF2A24" w:rsidRPr="00FF2A24" w:rsidRDefault="00FF2A24" w:rsidP="00ED5D7B">
          <w:pPr>
            <w:pStyle w:val="Stopka"/>
            <w:rPr>
              <w:rFonts w:ascii="Arial" w:hAnsi="Arial" w:cs="Arial"/>
              <w:color w:val="002060"/>
              <w:sz w:val="14"/>
              <w:szCs w:val="14"/>
            </w:rPr>
          </w:pPr>
        </w:p>
        <w:p w14:paraId="6FECCE42" w14:textId="02BE5412" w:rsidR="00FF2A24" w:rsidRPr="00FF2A24" w:rsidRDefault="00FF2A24" w:rsidP="00ED5D7B">
          <w:pPr>
            <w:pStyle w:val="Stopka"/>
            <w:rPr>
              <w:rFonts w:ascii="Arial" w:hAnsi="Arial" w:cs="Arial"/>
              <w:color w:val="002060"/>
              <w:sz w:val="14"/>
              <w:szCs w:val="14"/>
            </w:rPr>
          </w:pPr>
          <w:r w:rsidRPr="00FF2A24">
            <w:rPr>
              <w:rFonts w:ascii="Arial" w:hAnsi="Arial" w:cs="Arial"/>
              <w:color w:val="002060"/>
              <w:sz w:val="14"/>
              <w:szCs w:val="14"/>
            </w:rPr>
            <w:t>NIP 5262353400</w:t>
          </w:r>
        </w:p>
        <w:p w14:paraId="6AB1ADBD" w14:textId="77777777" w:rsidR="00FF2A24" w:rsidRPr="00FF2A24" w:rsidRDefault="00FF2A24" w:rsidP="00ED5D7B">
          <w:pPr>
            <w:pStyle w:val="Stopka"/>
            <w:rPr>
              <w:rFonts w:ascii="Arial" w:hAnsi="Arial" w:cs="Arial"/>
              <w:color w:val="002060"/>
              <w:sz w:val="14"/>
              <w:szCs w:val="14"/>
            </w:rPr>
          </w:pPr>
          <w:r w:rsidRPr="00FF2A24">
            <w:rPr>
              <w:rFonts w:ascii="Arial" w:hAnsi="Arial" w:cs="Arial"/>
              <w:color w:val="002060"/>
              <w:sz w:val="14"/>
              <w:szCs w:val="14"/>
            </w:rPr>
            <w:t>KRS 0000053779</w:t>
          </w:r>
        </w:p>
        <w:p w14:paraId="3D631DED" w14:textId="77777777" w:rsidR="00FF2A24" w:rsidRPr="00FF2A24" w:rsidRDefault="00FF2A24" w:rsidP="00ED5D7B">
          <w:pPr>
            <w:pStyle w:val="Stopka"/>
            <w:rPr>
              <w:rFonts w:ascii="Arial" w:hAnsi="Arial" w:cs="Arial"/>
              <w:color w:val="002060"/>
              <w:sz w:val="14"/>
              <w:szCs w:val="14"/>
            </w:rPr>
          </w:pPr>
          <w:r w:rsidRPr="00FF2A24">
            <w:rPr>
              <w:rFonts w:ascii="Arial" w:hAnsi="Arial" w:cs="Arial"/>
              <w:color w:val="002060"/>
              <w:sz w:val="14"/>
              <w:szCs w:val="14"/>
            </w:rPr>
            <w:t>Sąd Rejonowy dla</w:t>
          </w:r>
        </w:p>
        <w:p w14:paraId="3E9E869C" w14:textId="1E7FE704" w:rsidR="00FF2A24" w:rsidRPr="00FF2A24" w:rsidRDefault="00FF2A24" w:rsidP="00ED5D7B">
          <w:pPr>
            <w:pStyle w:val="Stopka"/>
            <w:rPr>
              <w:rFonts w:ascii="Arial" w:hAnsi="Arial" w:cs="Arial"/>
              <w:color w:val="002060"/>
              <w:sz w:val="14"/>
              <w:szCs w:val="14"/>
            </w:rPr>
          </w:pPr>
          <w:r w:rsidRPr="00FF2A24">
            <w:rPr>
              <w:rFonts w:ascii="Arial" w:hAnsi="Arial" w:cs="Arial"/>
              <w:color w:val="002060"/>
              <w:sz w:val="14"/>
              <w:szCs w:val="14"/>
            </w:rPr>
            <w:t>m. st. Warszawy w Warszawie XIII Wydział Gospodarczy</w:t>
          </w:r>
        </w:p>
      </w:tc>
    </w:tr>
  </w:tbl>
  <w:p w14:paraId="215235F3" w14:textId="520302FA" w:rsidR="00ED378B" w:rsidRPr="00ED378B" w:rsidRDefault="00ED378B" w:rsidP="00ED378B">
    <w:pPr>
      <w:pStyle w:val="Stopka"/>
      <w:ind w:left="851"/>
      <w:rPr>
        <w:rFonts w:ascii="Arial" w:hAnsi="Arial" w:cs="Arial"/>
        <w:color w:val="002060"/>
        <w:sz w:val="20"/>
        <w:szCs w:val="20"/>
      </w:rPr>
    </w:pPr>
  </w:p>
  <w:p w14:paraId="200F82CD" w14:textId="6BB7ED1B" w:rsidR="0060612F" w:rsidRPr="00FF2A24" w:rsidRDefault="00BE60C1" w:rsidP="0060612F">
    <w:pPr>
      <w:jc w:val="right"/>
      <w:rPr>
        <w:rFonts w:ascii="Arial" w:hAnsi="Arial" w:cs="Arial"/>
        <w:noProof/>
        <w:sz w:val="20"/>
        <w:szCs w:val="20"/>
      </w:rPr>
    </w:pPr>
    <w:r w:rsidRPr="00FF2A24">
      <w:rPr>
        <w:rFonts w:ascii="Arial" w:hAnsi="Arial" w:cs="Arial"/>
        <w:noProof/>
        <w:sz w:val="20"/>
        <w:szCs w:val="20"/>
      </w:rPr>
      <w:t xml:space="preserve"> </w:t>
    </w:r>
    <w:r w:rsidRPr="00FF2A24">
      <w:rPr>
        <w:rFonts w:ascii="Arial" w:hAnsi="Arial" w:cs="Arial"/>
        <w:sz w:val="20"/>
        <w:szCs w:val="20"/>
      </w:rPr>
      <w:t xml:space="preserve"> - </w:t>
    </w:r>
    <w:r w:rsidRPr="00FF2A24">
      <w:rPr>
        <w:rFonts w:ascii="Arial" w:hAnsi="Arial" w:cs="Arial"/>
        <w:color w:val="002060"/>
        <w:sz w:val="20"/>
        <w:szCs w:val="20"/>
      </w:rPr>
      <w:fldChar w:fldCharType="begin"/>
    </w:r>
    <w:r w:rsidRPr="00FF2A24">
      <w:rPr>
        <w:rFonts w:ascii="Arial" w:hAnsi="Arial" w:cs="Arial"/>
        <w:color w:val="002060"/>
        <w:sz w:val="20"/>
        <w:szCs w:val="20"/>
      </w:rPr>
      <w:instrText xml:space="preserve"> PAGE   \* MERGEFORMAT </w:instrText>
    </w:r>
    <w:r w:rsidRPr="00FF2A24">
      <w:rPr>
        <w:rFonts w:ascii="Arial" w:hAnsi="Arial" w:cs="Arial"/>
        <w:color w:val="002060"/>
        <w:sz w:val="20"/>
        <w:szCs w:val="20"/>
      </w:rPr>
      <w:fldChar w:fldCharType="separate"/>
    </w:r>
    <w:r w:rsidR="004549B1" w:rsidRPr="00FF2A24">
      <w:rPr>
        <w:rFonts w:ascii="Arial" w:hAnsi="Arial" w:cs="Arial"/>
        <w:noProof/>
        <w:color w:val="002060"/>
        <w:sz w:val="20"/>
        <w:szCs w:val="20"/>
      </w:rPr>
      <w:t>3</w:t>
    </w:r>
    <w:r w:rsidRPr="00FF2A24">
      <w:rPr>
        <w:rFonts w:ascii="Arial" w:hAnsi="Arial" w:cs="Arial"/>
        <w:color w:val="002060"/>
        <w:sz w:val="20"/>
        <w:szCs w:val="20"/>
      </w:rPr>
      <w:fldChar w:fldCharType="end"/>
    </w:r>
    <w:r w:rsidRPr="00FF2A24">
      <w:rPr>
        <w:rFonts w:ascii="Arial" w:hAnsi="Arial" w:cs="Arial"/>
        <w:noProof/>
        <w:color w:val="002060"/>
        <w:sz w:val="20"/>
        <w:szCs w:val="20"/>
      </w:rPr>
      <w:t xml:space="preserve"> - </w:t>
    </w:r>
  </w:p>
  <w:p w14:paraId="0E19A98C" w14:textId="77777777" w:rsidR="0060612F" w:rsidRPr="008D5B7E" w:rsidRDefault="0060612F" w:rsidP="0060612F">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CD53" w14:textId="77777777" w:rsidR="00F111BC" w:rsidRDefault="00F111BC">
      <w:r>
        <w:separator/>
      </w:r>
    </w:p>
  </w:footnote>
  <w:footnote w:type="continuationSeparator" w:id="0">
    <w:p w14:paraId="3EF426F4" w14:textId="77777777" w:rsidR="00F111BC" w:rsidRDefault="00F11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3727" w14:textId="77777777" w:rsidR="0060612F" w:rsidRDefault="0060612F" w:rsidP="0060612F">
    <w:pPr>
      <w:pStyle w:val="Nagwek"/>
      <w:tabs>
        <w:tab w:val="clear" w:pos="4536"/>
        <w:tab w:val="clear" w:pos="9072"/>
        <w:tab w:val="right" w:pos="10686"/>
      </w:tabs>
      <w:ind w:right="-140" w:hanging="142"/>
    </w:pPr>
  </w:p>
  <w:p w14:paraId="660CA8F5" w14:textId="77777777" w:rsidR="0060612F" w:rsidRDefault="0060612F" w:rsidP="0060612F">
    <w:pPr>
      <w:pStyle w:val="Nagwek"/>
      <w:tabs>
        <w:tab w:val="clear" w:pos="4536"/>
        <w:tab w:val="clear" w:pos="9072"/>
        <w:tab w:val="right" w:pos="10686"/>
      </w:tabs>
      <w:ind w:right="-140" w:hanging="142"/>
    </w:pPr>
  </w:p>
  <w:tbl>
    <w:tblPr>
      <w:tblW w:w="9639" w:type="dxa"/>
      <w:tblBorders>
        <w:bottom w:val="single" w:sz="8" w:space="0" w:color="00B0F0"/>
      </w:tblBorders>
      <w:tblLook w:val="00A0" w:firstRow="1" w:lastRow="0" w:firstColumn="1" w:lastColumn="0" w:noHBand="0" w:noVBand="0"/>
    </w:tblPr>
    <w:tblGrid>
      <w:gridCol w:w="3618"/>
      <w:gridCol w:w="6021"/>
    </w:tblGrid>
    <w:tr w:rsidR="0060612F" w14:paraId="3A2341B1" w14:textId="77777777" w:rsidTr="0060612F">
      <w:tc>
        <w:tcPr>
          <w:tcW w:w="3618" w:type="dxa"/>
          <w:tcBorders>
            <w:bottom w:val="nil"/>
          </w:tcBorders>
        </w:tcPr>
        <w:p w14:paraId="0EBABE63" w14:textId="605543F9" w:rsidR="009B5605" w:rsidRDefault="009B5605" w:rsidP="009B5605">
          <w:pPr>
            <w:pStyle w:val="Nagwek"/>
            <w:tabs>
              <w:tab w:val="clear" w:pos="4536"/>
              <w:tab w:val="clear" w:pos="9072"/>
              <w:tab w:val="right" w:pos="10686"/>
            </w:tabs>
            <w:ind w:right="-140"/>
          </w:pPr>
        </w:p>
      </w:tc>
      <w:tc>
        <w:tcPr>
          <w:tcW w:w="6021" w:type="dxa"/>
          <w:tcBorders>
            <w:bottom w:val="nil"/>
          </w:tcBorders>
        </w:tcPr>
        <w:p w14:paraId="2D26875A" w14:textId="77777777" w:rsidR="0060612F" w:rsidRDefault="0060612F" w:rsidP="0060612F">
          <w:pPr>
            <w:pStyle w:val="Nagwek"/>
            <w:tabs>
              <w:tab w:val="clear" w:pos="4536"/>
              <w:tab w:val="clear" w:pos="9072"/>
              <w:tab w:val="right" w:pos="10686"/>
            </w:tabs>
            <w:ind w:right="-140"/>
            <w:jc w:val="right"/>
          </w:pPr>
        </w:p>
      </w:tc>
    </w:tr>
  </w:tbl>
  <w:p w14:paraId="759BED67" w14:textId="77777777" w:rsidR="0060612F" w:rsidRPr="00C80C61" w:rsidRDefault="0060612F" w:rsidP="0060612F">
    <w:pPr>
      <w:pStyle w:val="Nagwek"/>
      <w:tabs>
        <w:tab w:val="clear" w:pos="4536"/>
        <w:tab w:val="clear" w:pos="9072"/>
        <w:tab w:val="right" w:pos="10686"/>
      </w:tabs>
      <w:ind w:right="-140"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2978"/>
    <w:multiLevelType w:val="hybridMultilevel"/>
    <w:tmpl w:val="91669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045C81"/>
    <w:multiLevelType w:val="multilevel"/>
    <w:tmpl w:val="15C806D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A690105"/>
    <w:multiLevelType w:val="hybridMultilevel"/>
    <w:tmpl w:val="B114E0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140644"/>
    <w:multiLevelType w:val="hybridMultilevel"/>
    <w:tmpl w:val="D85A99D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C58E58"/>
    <w:multiLevelType w:val="hybridMultilevel"/>
    <w:tmpl w:val="FFFFFFFF"/>
    <w:lvl w:ilvl="0" w:tplc="50CCF0E6">
      <w:start w:val="1"/>
      <w:numFmt w:val="decimal"/>
      <w:lvlText w:val="%1."/>
      <w:lvlJc w:val="left"/>
      <w:pPr>
        <w:ind w:left="1080" w:hanging="360"/>
      </w:pPr>
    </w:lvl>
    <w:lvl w:ilvl="1" w:tplc="277AFA80">
      <w:start w:val="1"/>
      <w:numFmt w:val="lowerLetter"/>
      <w:lvlText w:val="%2."/>
      <w:lvlJc w:val="left"/>
      <w:pPr>
        <w:ind w:left="1800" w:hanging="360"/>
      </w:pPr>
    </w:lvl>
    <w:lvl w:ilvl="2" w:tplc="BBA2CB24">
      <w:start w:val="1"/>
      <w:numFmt w:val="lowerRoman"/>
      <w:lvlText w:val="%3."/>
      <w:lvlJc w:val="right"/>
      <w:pPr>
        <w:ind w:left="2520" w:hanging="180"/>
      </w:pPr>
    </w:lvl>
    <w:lvl w:ilvl="3" w:tplc="9B4C3EB6">
      <w:start w:val="1"/>
      <w:numFmt w:val="decimal"/>
      <w:lvlText w:val="%4."/>
      <w:lvlJc w:val="left"/>
      <w:pPr>
        <w:ind w:left="3240" w:hanging="360"/>
      </w:pPr>
    </w:lvl>
    <w:lvl w:ilvl="4" w:tplc="32B840D6">
      <w:start w:val="1"/>
      <w:numFmt w:val="lowerLetter"/>
      <w:lvlText w:val="%5."/>
      <w:lvlJc w:val="left"/>
      <w:pPr>
        <w:ind w:left="3960" w:hanging="360"/>
      </w:pPr>
    </w:lvl>
    <w:lvl w:ilvl="5" w:tplc="C1E4D4E6">
      <w:start w:val="1"/>
      <w:numFmt w:val="lowerRoman"/>
      <w:lvlText w:val="%6."/>
      <w:lvlJc w:val="right"/>
      <w:pPr>
        <w:ind w:left="4680" w:hanging="180"/>
      </w:pPr>
    </w:lvl>
    <w:lvl w:ilvl="6" w:tplc="08D2C61E">
      <w:start w:val="1"/>
      <w:numFmt w:val="decimal"/>
      <w:lvlText w:val="%7."/>
      <w:lvlJc w:val="left"/>
      <w:pPr>
        <w:ind w:left="5400" w:hanging="360"/>
      </w:pPr>
    </w:lvl>
    <w:lvl w:ilvl="7" w:tplc="EE84D872">
      <w:start w:val="1"/>
      <w:numFmt w:val="lowerLetter"/>
      <w:lvlText w:val="%8."/>
      <w:lvlJc w:val="left"/>
      <w:pPr>
        <w:ind w:left="6120" w:hanging="360"/>
      </w:pPr>
    </w:lvl>
    <w:lvl w:ilvl="8" w:tplc="10E8D0B2">
      <w:start w:val="1"/>
      <w:numFmt w:val="lowerRoman"/>
      <w:lvlText w:val="%9."/>
      <w:lvlJc w:val="right"/>
      <w:pPr>
        <w:ind w:left="6840" w:hanging="180"/>
      </w:pPr>
    </w:lvl>
  </w:abstractNum>
  <w:abstractNum w:abstractNumId="5" w15:restartNumberingAfterBreak="0">
    <w:nsid w:val="0CE25D5F"/>
    <w:multiLevelType w:val="hybridMultilevel"/>
    <w:tmpl w:val="9E8248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E1B5E0A"/>
    <w:multiLevelType w:val="hybridMultilevel"/>
    <w:tmpl w:val="CCBAB330"/>
    <w:lvl w:ilvl="0" w:tplc="CE505868">
      <w:start w:val="1"/>
      <w:numFmt w:val="decimal"/>
      <w:lvlText w:val="%1)"/>
      <w:lvlJc w:val="left"/>
      <w:pPr>
        <w:ind w:left="720" w:hanging="360"/>
      </w:pPr>
    </w:lvl>
    <w:lvl w:ilvl="1" w:tplc="188C2750">
      <w:start w:val="1"/>
      <w:numFmt w:val="decimal"/>
      <w:lvlText w:val="%2)"/>
      <w:lvlJc w:val="left"/>
      <w:pPr>
        <w:ind w:left="720" w:hanging="360"/>
      </w:pPr>
    </w:lvl>
    <w:lvl w:ilvl="2" w:tplc="8C1C93B8">
      <w:start w:val="1"/>
      <w:numFmt w:val="decimal"/>
      <w:lvlText w:val="%3)"/>
      <w:lvlJc w:val="left"/>
      <w:pPr>
        <w:ind w:left="720" w:hanging="360"/>
      </w:pPr>
    </w:lvl>
    <w:lvl w:ilvl="3" w:tplc="7C72871E">
      <w:start w:val="1"/>
      <w:numFmt w:val="decimal"/>
      <w:lvlText w:val="%4)"/>
      <w:lvlJc w:val="left"/>
      <w:pPr>
        <w:ind w:left="720" w:hanging="360"/>
      </w:pPr>
    </w:lvl>
    <w:lvl w:ilvl="4" w:tplc="1412480A">
      <w:start w:val="1"/>
      <w:numFmt w:val="decimal"/>
      <w:lvlText w:val="%5)"/>
      <w:lvlJc w:val="left"/>
      <w:pPr>
        <w:ind w:left="720" w:hanging="360"/>
      </w:pPr>
    </w:lvl>
    <w:lvl w:ilvl="5" w:tplc="1BF04AC4">
      <w:start w:val="1"/>
      <w:numFmt w:val="decimal"/>
      <w:lvlText w:val="%6)"/>
      <w:lvlJc w:val="left"/>
      <w:pPr>
        <w:ind w:left="720" w:hanging="360"/>
      </w:pPr>
    </w:lvl>
    <w:lvl w:ilvl="6" w:tplc="9B92A370">
      <w:start w:val="1"/>
      <w:numFmt w:val="decimal"/>
      <w:lvlText w:val="%7)"/>
      <w:lvlJc w:val="left"/>
      <w:pPr>
        <w:ind w:left="720" w:hanging="360"/>
      </w:pPr>
    </w:lvl>
    <w:lvl w:ilvl="7" w:tplc="7BE0D684">
      <w:start w:val="1"/>
      <w:numFmt w:val="decimal"/>
      <w:lvlText w:val="%8)"/>
      <w:lvlJc w:val="left"/>
      <w:pPr>
        <w:ind w:left="720" w:hanging="360"/>
      </w:pPr>
    </w:lvl>
    <w:lvl w:ilvl="8" w:tplc="0C7C3BB8">
      <w:start w:val="1"/>
      <w:numFmt w:val="decimal"/>
      <w:lvlText w:val="%9)"/>
      <w:lvlJc w:val="left"/>
      <w:pPr>
        <w:ind w:left="720" w:hanging="360"/>
      </w:pPr>
    </w:lvl>
  </w:abstractNum>
  <w:abstractNum w:abstractNumId="7" w15:restartNumberingAfterBreak="0">
    <w:nsid w:val="0E7A04B3"/>
    <w:multiLevelType w:val="hybridMultilevel"/>
    <w:tmpl w:val="C188FFB4"/>
    <w:lvl w:ilvl="0" w:tplc="604E2D72">
      <w:start w:val="4"/>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B46B32"/>
    <w:multiLevelType w:val="hybridMultilevel"/>
    <w:tmpl w:val="6672C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5E1383"/>
    <w:multiLevelType w:val="hybridMultilevel"/>
    <w:tmpl w:val="9CBE9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FC3E7B"/>
    <w:multiLevelType w:val="hybridMultilevel"/>
    <w:tmpl w:val="2E9EAD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D1F60E8"/>
    <w:multiLevelType w:val="hybridMultilevel"/>
    <w:tmpl w:val="0B7C188C"/>
    <w:lvl w:ilvl="0" w:tplc="B846CA30">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2" w15:restartNumberingAfterBreak="0">
    <w:nsid w:val="1DA15A64"/>
    <w:multiLevelType w:val="hybridMultilevel"/>
    <w:tmpl w:val="D3D649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4619D8"/>
    <w:multiLevelType w:val="hybridMultilevel"/>
    <w:tmpl w:val="62B67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FD7D74"/>
    <w:multiLevelType w:val="hybridMultilevel"/>
    <w:tmpl w:val="FFFFFFFF"/>
    <w:lvl w:ilvl="0" w:tplc="DE2CF3E0">
      <w:start w:val="1"/>
      <w:numFmt w:val="decimal"/>
      <w:lvlText w:val="%1."/>
      <w:lvlJc w:val="left"/>
      <w:pPr>
        <w:ind w:left="1080" w:hanging="360"/>
      </w:pPr>
    </w:lvl>
    <w:lvl w:ilvl="1" w:tplc="6F5225AE">
      <w:start w:val="1"/>
      <w:numFmt w:val="lowerLetter"/>
      <w:lvlText w:val="%2."/>
      <w:lvlJc w:val="left"/>
      <w:pPr>
        <w:ind w:left="1800" w:hanging="360"/>
      </w:pPr>
    </w:lvl>
    <w:lvl w:ilvl="2" w:tplc="E57C4A58">
      <w:start w:val="1"/>
      <w:numFmt w:val="lowerRoman"/>
      <w:lvlText w:val="%3."/>
      <w:lvlJc w:val="right"/>
      <w:pPr>
        <w:ind w:left="2520" w:hanging="180"/>
      </w:pPr>
    </w:lvl>
    <w:lvl w:ilvl="3" w:tplc="651EB09A">
      <w:start w:val="1"/>
      <w:numFmt w:val="decimal"/>
      <w:lvlText w:val="%4."/>
      <w:lvlJc w:val="left"/>
      <w:pPr>
        <w:ind w:left="3240" w:hanging="360"/>
      </w:pPr>
    </w:lvl>
    <w:lvl w:ilvl="4" w:tplc="BB3C6074">
      <w:start w:val="1"/>
      <w:numFmt w:val="lowerLetter"/>
      <w:lvlText w:val="%5."/>
      <w:lvlJc w:val="left"/>
      <w:pPr>
        <w:ind w:left="3960" w:hanging="360"/>
      </w:pPr>
    </w:lvl>
    <w:lvl w:ilvl="5" w:tplc="BEC89740">
      <w:start w:val="1"/>
      <w:numFmt w:val="lowerRoman"/>
      <w:lvlText w:val="%6."/>
      <w:lvlJc w:val="right"/>
      <w:pPr>
        <w:ind w:left="4680" w:hanging="180"/>
      </w:pPr>
    </w:lvl>
    <w:lvl w:ilvl="6" w:tplc="EC46E944">
      <w:start w:val="1"/>
      <w:numFmt w:val="decimal"/>
      <w:lvlText w:val="%7."/>
      <w:lvlJc w:val="left"/>
      <w:pPr>
        <w:ind w:left="5400" w:hanging="360"/>
      </w:pPr>
    </w:lvl>
    <w:lvl w:ilvl="7" w:tplc="71262E5E">
      <w:start w:val="1"/>
      <w:numFmt w:val="lowerLetter"/>
      <w:lvlText w:val="%8."/>
      <w:lvlJc w:val="left"/>
      <w:pPr>
        <w:ind w:left="6120" w:hanging="360"/>
      </w:pPr>
    </w:lvl>
    <w:lvl w:ilvl="8" w:tplc="38A816AE">
      <w:start w:val="1"/>
      <w:numFmt w:val="lowerRoman"/>
      <w:lvlText w:val="%9."/>
      <w:lvlJc w:val="right"/>
      <w:pPr>
        <w:ind w:left="6840" w:hanging="180"/>
      </w:pPr>
    </w:lvl>
  </w:abstractNum>
  <w:abstractNum w:abstractNumId="15" w15:restartNumberingAfterBreak="0">
    <w:nsid w:val="22084D25"/>
    <w:multiLevelType w:val="multilevel"/>
    <w:tmpl w:val="76DC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570C5"/>
    <w:multiLevelType w:val="hybridMultilevel"/>
    <w:tmpl w:val="A80442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454357F"/>
    <w:multiLevelType w:val="hybridMultilevel"/>
    <w:tmpl w:val="FFFFFFFF"/>
    <w:lvl w:ilvl="0" w:tplc="262E1728">
      <w:start w:val="1"/>
      <w:numFmt w:val="decimal"/>
      <w:lvlText w:val="%1."/>
      <w:lvlJc w:val="left"/>
      <w:pPr>
        <w:ind w:left="1080" w:hanging="360"/>
      </w:pPr>
    </w:lvl>
    <w:lvl w:ilvl="1" w:tplc="DDCEBDD6">
      <w:start w:val="1"/>
      <w:numFmt w:val="lowerLetter"/>
      <w:lvlText w:val="%2."/>
      <w:lvlJc w:val="left"/>
      <w:pPr>
        <w:ind w:left="1800" w:hanging="360"/>
      </w:pPr>
    </w:lvl>
    <w:lvl w:ilvl="2" w:tplc="2C0639FC">
      <w:start w:val="1"/>
      <w:numFmt w:val="lowerRoman"/>
      <w:lvlText w:val="%3."/>
      <w:lvlJc w:val="right"/>
      <w:pPr>
        <w:ind w:left="2520" w:hanging="180"/>
      </w:pPr>
    </w:lvl>
    <w:lvl w:ilvl="3" w:tplc="E3968F66">
      <w:start w:val="1"/>
      <w:numFmt w:val="decimal"/>
      <w:lvlText w:val="%4."/>
      <w:lvlJc w:val="left"/>
      <w:pPr>
        <w:ind w:left="3240" w:hanging="360"/>
      </w:pPr>
    </w:lvl>
    <w:lvl w:ilvl="4" w:tplc="B9C2E372">
      <w:start w:val="1"/>
      <w:numFmt w:val="lowerLetter"/>
      <w:lvlText w:val="%5."/>
      <w:lvlJc w:val="left"/>
      <w:pPr>
        <w:ind w:left="3960" w:hanging="360"/>
      </w:pPr>
    </w:lvl>
    <w:lvl w:ilvl="5" w:tplc="14EC0840">
      <w:start w:val="1"/>
      <w:numFmt w:val="lowerRoman"/>
      <w:lvlText w:val="%6."/>
      <w:lvlJc w:val="right"/>
      <w:pPr>
        <w:ind w:left="4680" w:hanging="180"/>
      </w:pPr>
    </w:lvl>
    <w:lvl w:ilvl="6" w:tplc="002E4F7A">
      <w:start w:val="1"/>
      <w:numFmt w:val="decimal"/>
      <w:lvlText w:val="%7."/>
      <w:lvlJc w:val="left"/>
      <w:pPr>
        <w:ind w:left="5400" w:hanging="360"/>
      </w:pPr>
    </w:lvl>
    <w:lvl w:ilvl="7" w:tplc="8F02C826">
      <w:start w:val="1"/>
      <w:numFmt w:val="lowerLetter"/>
      <w:lvlText w:val="%8."/>
      <w:lvlJc w:val="left"/>
      <w:pPr>
        <w:ind w:left="6120" w:hanging="360"/>
      </w:pPr>
    </w:lvl>
    <w:lvl w:ilvl="8" w:tplc="EF227A4A">
      <w:start w:val="1"/>
      <w:numFmt w:val="lowerRoman"/>
      <w:lvlText w:val="%9."/>
      <w:lvlJc w:val="right"/>
      <w:pPr>
        <w:ind w:left="6840" w:hanging="180"/>
      </w:pPr>
    </w:lvl>
  </w:abstractNum>
  <w:abstractNum w:abstractNumId="18" w15:restartNumberingAfterBreak="0">
    <w:nsid w:val="251F5400"/>
    <w:multiLevelType w:val="hybridMultilevel"/>
    <w:tmpl w:val="2A00CC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5FC7AB2"/>
    <w:multiLevelType w:val="multilevel"/>
    <w:tmpl w:val="8598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7F9EF4"/>
    <w:multiLevelType w:val="hybridMultilevel"/>
    <w:tmpl w:val="FFFFFFFF"/>
    <w:lvl w:ilvl="0" w:tplc="E14EE962">
      <w:start w:val="1"/>
      <w:numFmt w:val="decimal"/>
      <w:lvlText w:val="%1."/>
      <w:lvlJc w:val="left"/>
      <w:pPr>
        <w:ind w:left="1080" w:hanging="360"/>
      </w:pPr>
    </w:lvl>
    <w:lvl w:ilvl="1" w:tplc="D7883C80">
      <w:start w:val="1"/>
      <w:numFmt w:val="lowerLetter"/>
      <w:lvlText w:val="%2."/>
      <w:lvlJc w:val="left"/>
      <w:pPr>
        <w:ind w:left="1800" w:hanging="360"/>
      </w:pPr>
    </w:lvl>
    <w:lvl w:ilvl="2" w:tplc="493A96A8">
      <w:start w:val="1"/>
      <w:numFmt w:val="lowerRoman"/>
      <w:lvlText w:val="%3."/>
      <w:lvlJc w:val="right"/>
      <w:pPr>
        <w:ind w:left="2520" w:hanging="180"/>
      </w:pPr>
    </w:lvl>
    <w:lvl w:ilvl="3" w:tplc="59905E06">
      <w:start w:val="1"/>
      <w:numFmt w:val="decimal"/>
      <w:lvlText w:val="%4."/>
      <w:lvlJc w:val="left"/>
      <w:pPr>
        <w:ind w:left="3240" w:hanging="360"/>
      </w:pPr>
    </w:lvl>
    <w:lvl w:ilvl="4" w:tplc="8DF6B88C">
      <w:start w:val="1"/>
      <w:numFmt w:val="lowerLetter"/>
      <w:lvlText w:val="%5."/>
      <w:lvlJc w:val="left"/>
      <w:pPr>
        <w:ind w:left="3960" w:hanging="360"/>
      </w:pPr>
    </w:lvl>
    <w:lvl w:ilvl="5" w:tplc="662AB390">
      <w:start w:val="1"/>
      <w:numFmt w:val="lowerRoman"/>
      <w:lvlText w:val="%6."/>
      <w:lvlJc w:val="right"/>
      <w:pPr>
        <w:ind w:left="4680" w:hanging="180"/>
      </w:pPr>
    </w:lvl>
    <w:lvl w:ilvl="6" w:tplc="2B80260C">
      <w:start w:val="1"/>
      <w:numFmt w:val="decimal"/>
      <w:lvlText w:val="%7."/>
      <w:lvlJc w:val="left"/>
      <w:pPr>
        <w:ind w:left="5400" w:hanging="360"/>
      </w:pPr>
    </w:lvl>
    <w:lvl w:ilvl="7" w:tplc="01404EF0">
      <w:start w:val="1"/>
      <w:numFmt w:val="lowerLetter"/>
      <w:lvlText w:val="%8."/>
      <w:lvlJc w:val="left"/>
      <w:pPr>
        <w:ind w:left="6120" w:hanging="360"/>
      </w:pPr>
    </w:lvl>
    <w:lvl w:ilvl="8" w:tplc="CC16256E">
      <w:start w:val="1"/>
      <w:numFmt w:val="lowerRoman"/>
      <w:lvlText w:val="%9."/>
      <w:lvlJc w:val="right"/>
      <w:pPr>
        <w:ind w:left="6840" w:hanging="180"/>
      </w:pPr>
    </w:lvl>
  </w:abstractNum>
  <w:abstractNum w:abstractNumId="21" w15:restartNumberingAfterBreak="0">
    <w:nsid w:val="28724EC5"/>
    <w:multiLevelType w:val="hybridMultilevel"/>
    <w:tmpl w:val="A72A7F22"/>
    <w:lvl w:ilvl="0" w:tplc="EC2C0DCC">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A250B79"/>
    <w:multiLevelType w:val="hybridMultilevel"/>
    <w:tmpl w:val="82A44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4C5A29"/>
    <w:multiLevelType w:val="hybridMultilevel"/>
    <w:tmpl w:val="53821FA2"/>
    <w:lvl w:ilvl="0" w:tplc="0415000D">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4" w15:restartNumberingAfterBreak="0">
    <w:nsid w:val="2BFE7AB4"/>
    <w:multiLevelType w:val="hybridMultilevel"/>
    <w:tmpl w:val="ACAA9E2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8B792E"/>
    <w:multiLevelType w:val="hybridMultilevel"/>
    <w:tmpl w:val="A2460912"/>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6" w15:restartNumberingAfterBreak="0">
    <w:nsid w:val="2FAD4026"/>
    <w:multiLevelType w:val="hybridMultilevel"/>
    <w:tmpl w:val="094C00F0"/>
    <w:lvl w:ilvl="0" w:tplc="0415000F">
      <w:start w:val="1"/>
      <w:numFmt w:val="decimal"/>
      <w:lvlText w:val="%1."/>
      <w:lvlJc w:val="left"/>
      <w:pPr>
        <w:ind w:left="720" w:hanging="360"/>
      </w:p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27" w15:restartNumberingAfterBreak="0">
    <w:nsid w:val="31054C3E"/>
    <w:multiLevelType w:val="hybridMultilevel"/>
    <w:tmpl w:val="4E3266CC"/>
    <w:lvl w:ilvl="0" w:tplc="0415000D">
      <w:start w:val="1"/>
      <w:numFmt w:val="bullet"/>
      <w:lvlText w:val=""/>
      <w:lvlJc w:val="left"/>
      <w:pPr>
        <w:ind w:left="1068" w:hanging="360"/>
      </w:pPr>
      <w:rPr>
        <w:rFonts w:ascii="Wingdings" w:hAnsi="Wingding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8" w15:restartNumberingAfterBreak="0">
    <w:nsid w:val="33113F56"/>
    <w:multiLevelType w:val="hybridMultilevel"/>
    <w:tmpl w:val="09FA10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9D5E90"/>
    <w:multiLevelType w:val="hybridMultilevel"/>
    <w:tmpl w:val="2E284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3FE4301"/>
    <w:multiLevelType w:val="hybridMultilevel"/>
    <w:tmpl w:val="A3A6893C"/>
    <w:lvl w:ilvl="0" w:tplc="9B8491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8E27751"/>
    <w:multiLevelType w:val="hybridMultilevel"/>
    <w:tmpl w:val="590A6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EE2367A"/>
    <w:multiLevelType w:val="hybridMultilevel"/>
    <w:tmpl w:val="5E4E620E"/>
    <w:lvl w:ilvl="0" w:tplc="B1FEE3DE">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AA5E76"/>
    <w:multiLevelType w:val="hybridMultilevel"/>
    <w:tmpl w:val="60CCD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B1545F"/>
    <w:multiLevelType w:val="hybridMultilevel"/>
    <w:tmpl w:val="094C00F0"/>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61C71A7"/>
    <w:multiLevelType w:val="hybridMultilevel"/>
    <w:tmpl w:val="CFC429E6"/>
    <w:lvl w:ilvl="0" w:tplc="BF746A72">
      <w:numFmt w:val="bullet"/>
      <w:lvlText w:val="•"/>
      <w:lvlJc w:val="left"/>
      <w:pPr>
        <w:ind w:left="2856" w:hanging="720"/>
      </w:pPr>
      <w:rPr>
        <w:rFonts w:ascii="Arial" w:eastAsia="Times New Roman" w:hAnsi="Arial" w:cs="Aria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47D31B8A"/>
    <w:multiLevelType w:val="hybridMultilevel"/>
    <w:tmpl w:val="FF145D0A"/>
    <w:lvl w:ilvl="0" w:tplc="0415000F">
      <w:start w:val="2"/>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49BC7412"/>
    <w:multiLevelType w:val="hybridMultilevel"/>
    <w:tmpl w:val="5C14C77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4CF343BC"/>
    <w:multiLevelType w:val="hybridMultilevel"/>
    <w:tmpl w:val="6938E936"/>
    <w:lvl w:ilvl="0" w:tplc="04150001">
      <w:start w:val="1"/>
      <w:numFmt w:val="bullet"/>
      <w:lvlText w:val=""/>
      <w:lvlJc w:val="left"/>
      <w:pPr>
        <w:ind w:left="1472" w:hanging="360"/>
      </w:pPr>
      <w:rPr>
        <w:rFonts w:ascii="Symbol" w:hAnsi="Symbol" w:hint="default"/>
      </w:rPr>
    </w:lvl>
    <w:lvl w:ilvl="1" w:tplc="04150003" w:tentative="1">
      <w:start w:val="1"/>
      <w:numFmt w:val="bullet"/>
      <w:lvlText w:val="o"/>
      <w:lvlJc w:val="left"/>
      <w:pPr>
        <w:ind w:left="2192" w:hanging="360"/>
      </w:pPr>
      <w:rPr>
        <w:rFonts w:ascii="Courier New" w:hAnsi="Courier New" w:cs="Courier New" w:hint="default"/>
      </w:rPr>
    </w:lvl>
    <w:lvl w:ilvl="2" w:tplc="04150005" w:tentative="1">
      <w:start w:val="1"/>
      <w:numFmt w:val="bullet"/>
      <w:lvlText w:val=""/>
      <w:lvlJc w:val="left"/>
      <w:pPr>
        <w:ind w:left="2912" w:hanging="360"/>
      </w:pPr>
      <w:rPr>
        <w:rFonts w:ascii="Wingdings" w:hAnsi="Wingdings" w:hint="default"/>
      </w:rPr>
    </w:lvl>
    <w:lvl w:ilvl="3" w:tplc="04150001" w:tentative="1">
      <w:start w:val="1"/>
      <w:numFmt w:val="bullet"/>
      <w:lvlText w:val=""/>
      <w:lvlJc w:val="left"/>
      <w:pPr>
        <w:ind w:left="3632" w:hanging="360"/>
      </w:pPr>
      <w:rPr>
        <w:rFonts w:ascii="Symbol" w:hAnsi="Symbol" w:hint="default"/>
      </w:rPr>
    </w:lvl>
    <w:lvl w:ilvl="4" w:tplc="04150003" w:tentative="1">
      <w:start w:val="1"/>
      <w:numFmt w:val="bullet"/>
      <w:lvlText w:val="o"/>
      <w:lvlJc w:val="left"/>
      <w:pPr>
        <w:ind w:left="4352" w:hanging="360"/>
      </w:pPr>
      <w:rPr>
        <w:rFonts w:ascii="Courier New" w:hAnsi="Courier New" w:cs="Courier New" w:hint="default"/>
      </w:rPr>
    </w:lvl>
    <w:lvl w:ilvl="5" w:tplc="04150005" w:tentative="1">
      <w:start w:val="1"/>
      <w:numFmt w:val="bullet"/>
      <w:lvlText w:val=""/>
      <w:lvlJc w:val="left"/>
      <w:pPr>
        <w:ind w:left="5072" w:hanging="360"/>
      </w:pPr>
      <w:rPr>
        <w:rFonts w:ascii="Wingdings" w:hAnsi="Wingdings" w:hint="default"/>
      </w:rPr>
    </w:lvl>
    <w:lvl w:ilvl="6" w:tplc="04150001" w:tentative="1">
      <w:start w:val="1"/>
      <w:numFmt w:val="bullet"/>
      <w:lvlText w:val=""/>
      <w:lvlJc w:val="left"/>
      <w:pPr>
        <w:ind w:left="5792" w:hanging="360"/>
      </w:pPr>
      <w:rPr>
        <w:rFonts w:ascii="Symbol" w:hAnsi="Symbol" w:hint="default"/>
      </w:rPr>
    </w:lvl>
    <w:lvl w:ilvl="7" w:tplc="04150003" w:tentative="1">
      <w:start w:val="1"/>
      <w:numFmt w:val="bullet"/>
      <w:lvlText w:val="o"/>
      <w:lvlJc w:val="left"/>
      <w:pPr>
        <w:ind w:left="6512" w:hanging="360"/>
      </w:pPr>
      <w:rPr>
        <w:rFonts w:ascii="Courier New" w:hAnsi="Courier New" w:cs="Courier New" w:hint="default"/>
      </w:rPr>
    </w:lvl>
    <w:lvl w:ilvl="8" w:tplc="04150005" w:tentative="1">
      <w:start w:val="1"/>
      <w:numFmt w:val="bullet"/>
      <w:lvlText w:val=""/>
      <w:lvlJc w:val="left"/>
      <w:pPr>
        <w:ind w:left="7232" w:hanging="360"/>
      </w:pPr>
      <w:rPr>
        <w:rFonts w:ascii="Wingdings" w:hAnsi="Wingdings" w:hint="default"/>
      </w:rPr>
    </w:lvl>
  </w:abstractNum>
  <w:abstractNum w:abstractNumId="39" w15:restartNumberingAfterBreak="0">
    <w:nsid w:val="503F41B1"/>
    <w:multiLevelType w:val="hybridMultilevel"/>
    <w:tmpl w:val="82A449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6D3C60"/>
    <w:multiLevelType w:val="hybridMultilevel"/>
    <w:tmpl w:val="5948A0EC"/>
    <w:lvl w:ilvl="0" w:tplc="8E0AA9DE">
      <w:numFmt w:val="bullet"/>
      <w:lvlText w:val=""/>
      <w:lvlJc w:val="left"/>
      <w:pPr>
        <w:ind w:left="720" w:hanging="360"/>
      </w:pPr>
      <w:rPr>
        <w:rFonts w:ascii="Symbol" w:eastAsia="Times New Roman" w:hAnsi="Symbol" w:cs="Arial" w:hint="default"/>
        <w:color w:val="002060"/>
        <w:sz w:val="24"/>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1726B2"/>
    <w:multiLevelType w:val="hybridMultilevel"/>
    <w:tmpl w:val="91F4C568"/>
    <w:lvl w:ilvl="0" w:tplc="421A68F2">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B404F4"/>
    <w:multiLevelType w:val="hybridMultilevel"/>
    <w:tmpl w:val="7C90FCDC"/>
    <w:lvl w:ilvl="0" w:tplc="0415000F">
      <w:start w:val="1"/>
      <w:numFmt w:val="decimal"/>
      <w:lvlText w:val="%1."/>
      <w:lvlJc w:val="left"/>
      <w:pPr>
        <w:ind w:left="720" w:hanging="360"/>
      </w:pPr>
    </w:lvl>
    <w:lvl w:ilvl="1" w:tplc="BCE29AE4">
      <w:numFmt w:val="decimal"/>
      <w:lvlText w:val=""/>
      <w:lvlJc w:val="left"/>
      <w:pPr>
        <w:ind w:left="1440" w:hanging="360"/>
      </w:pPr>
      <w:rPr>
        <w:rFonts w:ascii="Symbol" w:hAnsi="Symbol"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43" w15:restartNumberingAfterBreak="0">
    <w:nsid w:val="55847A91"/>
    <w:multiLevelType w:val="hybridMultilevel"/>
    <w:tmpl w:val="E3362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036F9E"/>
    <w:multiLevelType w:val="hybridMultilevel"/>
    <w:tmpl w:val="F4D89BDA"/>
    <w:lvl w:ilvl="0" w:tplc="C6E24C1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70367A8"/>
    <w:multiLevelType w:val="hybridMultilevel"/>
    <w:tmpl w:val="69B00188"/>
    <w:lvl w:ilvl="0" w:tplc="04150001">
      <w:start w:val="1"/>
      <w:numFmt w:val="bullet"/>
      <w:lvlText w:val=""/>
      <w:lvlJc w:val="left"/>
      <w:pPr>
        <w:ind w:left="765" w:hanging="360"/>
      </w:pPr>
      <w:rPr>
        <w:rFonts w:ascii="Symbol" w:hAnsi="Symbol" w:hint="default"/>
      </w:rPr>
    </w:lvl>
    <w:lvl w:ilvl="1" w:tplc="FFFFFFFF">
      <w:start w:val="1"/>
      <w:numFmt w:val="bullet"/>
      <w:lvlText w:val="o"/>
      <w:lvlJc w:val="left"/>
      <w:pPr>
        <w:ind w:left="1485" w:hanging="360"/>
      </w:pPr>
      <w:rPr>
        <w:rFonts w:ascii="Courier New" w:hAnsi="Courier New" w:cs="Courier New" w:hint="default"/>
      </w:rPr>
    </w:lvl>
    <w:lvl w:ilvl="2" w:tplc="FFFFFFFF">
      <w:start w:val="1"/>
      <w:numFmt w:val="bullet"/>
      <w:lvlText w:val=""/>
      <w:lvlJc w:val="left"/>
      <w:pPr>
        <w:ind w:left="2205" w:hanging="360"/>
      </w:pPr>
      <w:rPr>
        <w:rFonts w:ascii="Wingdings" w:hAnsi="Wingdings" w:hint="default"/>
      </w:rPr>
    </w:lvl>
    <w:lvl w:ilvl="3" w:tplc="FFFFFFFF">
      <w:start w:val="1"/>
      <w:numFmt w:val="bullet"/>
      <w:lvlText w:val=""/>
      <w:lvlJc w:val="left"/>
      <w:pPr>
        <w:ind w:left="2925" w:hanging="360"/>
      </w:pPr>
      <w:rPr>
        <w:rFonts w:ascii="Symbol" w:hAnsi="Symbol" w:hint="default"/>
      </w:rPr>
    </w:lvl>
    <w:lvl w:ilvl="4" w:tplc="FFFFFFFF">
      <w:start w:val="1"/>
      <w:numFmt w:val="bullet"/>
      <w:lvlText w:val="o"/>
      <w:lvlJc w:val="left"/>
      <w:pPr>
        <w:ind w:left="3645" w:hanging="360"/>
      </w:pPr>
      <w:rPr>
        <w:rFonts w:ascii="Courier New" w:hAnsi="Courier New" w:cs="Courier New" w:hint="default"/>
      </w:rPr>
    </w:lvl>
    <w:lvl w:ilvl="5" w:tplc="FFFFFFFF">
      <w:start w:val="1"/>
      <w:numFmt w:val="bullet"/>
      <w:lvlText w:val=""/>
      <w:lvlJc w:val="left"/>
      <w:pPr>
        <w:ind w:left="4365" w:hanging="360"/>
      </w:pPr>
      <w:rPr>
        <w:rFonts w:ascii="Wingdings" w:hAnsi="Wingdings" w:hint="default"/>
      </w:rPr>
    </w:lvl>
    <w:lvl w:ilvl="6" w:tplc="FFFFFFFF">
      <w:start w:val="1"/>
      <w:numFmt w:val="bullet"/>
      <w:lvlText w:val=""/>
      <w:lvlJc w:val="left"/>
      <w:pPr>
        <w:ind w:left="5085" w:hanging="360"/>
      </w:pPr>
      <w:rPr>
        <w:rFonts w:ascii="Symbol" w:hAnsi="Symbol" w:hint="default"/>
      </w:rPr>
    </w:lvl>
    <w:lvl w:ilvl="7" w:tplc="FFFFFFFF">
      <w:start w:val="1"/>
      <w:numFmt w:val="bullet"/>
      <w:lvlText w:val="o"/>
      <w:lvlJc w:val="left"/>
      <w:pPr>
        <w:ind w:left="5805" w:hanging="360"/>
      </w:pPr>
      <w:rPr>
        <w:rFonts w:ascii="Courier New" w:hAnsi="Courier New" w:cs="Courier New" w:hint="default"/>
      </w:rPr>
    </w:lvl>
    <w:lvl w:ilvl="8" w:tplc="FFFFFFFF">
      <w:start w:val="1"/>
      <w:numFmt w:val="bullet"/>
      <w:lvlText w:val=""/>
      <w:lvlJc w:val="left"/>
      <w:pPr>
        <w:ind w:left="6525" w:hanging="360"/>
      </w:pPr>
      <w:rPr>
        <w:rFonts w:ascii="Wingdings" w:hAnsi="Wingdings" w:hint="default"/>
      </w:rPr>
    </w:lvl>
  </w:abstractNum>
  <w:abstractNum w:abstractNumId="46" w15:restartNumberingAfterBreak="0">
    <w:nsid w:val="5A3D116D"/>
    <w:multiLevelType w:val="hybridMultilevel"/>
    <w:tmpl w:val="62642B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BCB4B0E"/>
    <w:multiLevelType w:val="hybridMultilevel"/>
    <w:tmpl w:val="470627D2"/>
    <w:lvl w:ilvl="0" w:tplc="9B8491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CD3480E"/>
    <w:multiLevelType w:val="hybridMultilevel"/>
    <w:tmpl w:val="FAAC3F1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9" w15:restartNumberingAfterBreak="0">
    <w:nsid w:val="60137B8A"/>
    <w:multiLevelType w:val="hybridMultilevel"/>
    <w:tmpl w:val="405EDE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60AF5AA9"/>
    <w:multiLevelType w:val="hybridMultilevel"/>
    <w:tmpl w:val="B1CC6FD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15:restartNumberingAfterBreak="0">
    <w:nsid w:val="612764CC"/>
    <w:multiLevelType w:val="hybridMultilevel"/>
    <w:tmpl w:val="843A21A4"/>
    <w:lvl w:ilvl="0" w:tplc="0415000F">
      <w:start w:val="1"/>
      <w:numFmt w:val="decimal"/>
      <w:lvlText w:val="%1."/>
      <w:lvlJc w:val="left"/>
      <w:pPr>
        <w:ind w:left="736" w:hanging="360"/>
      </w:pPr>
    </w:lvl>
    <w:lvl w:ilvl="1" w:tplc="04150019" w:tentative="1">
      <w:start w:val="1"/>
      <w:numFmt w:val="lowerLetter"/>
      <w:lvlText w:val="%2."/>
      <w:lvlJc w:val="left"/>
      <w:pPr>
        <w:ind w:left="1456" w:hanging="360"/>
      </w:pPr>
    </w:lvl>
    <w:lvl w:ilvl="2" w:tplc="0415001B" w:tentative="1">
      <w:start w:val="1"/>
      <w:numFmt w:val="lowerRoman"/>
      <w:lvlText w:val="%3."/>
      <w:lvlJc w:val="right"/>
      <w:pPr>
        <w:ind w:left="2176" w:hanging="180"/>
      </w:pPr>
    </w:lvl>
    <w:lvl w:ilvl="3" w:tplc="0415000F" w:tentative="1">
      <w:start w:val="1"/>
      <w:numFmt w:val="decimal"/>
      <w:lvlText w:val="%4."/>
      <w:lvlJc w:val="left"/>
      <w:pPr>
        <w:ind w:left="2896" w:hanging="360"/>
      </w:pPr>
    </w:lvl>
    <w:lvl w:ilvl="4" w:tplc="04150019" w:tentative="1">
      <w:start w:val="1"/>
      <w:numFmt w:val="lowerLetter"/>
      <w:lvlText w:val="%5."/>
      <w:lvlJc w:val="left"/>
      <w:pPr>
        <w:ind w:left="3616" w:hanging="360"/>
      </w:pPr>
    </w:lvl>
    <w:lvl w:ilvl="5" w:tplc="0415001B" w:tentative="1">
      <w:start w:val="1"/>
      <w:numFmt w:val="lowerRoman"/>
      <w:lvlText w:val="%6."/>
      <w:lvlJc w:val="right"/>
      <w:pPr>
        <w:ind w:left="4336" w:hanging="180"/>
      </w:pPr>
    </w:lvl>
    <w:lvl w:ilvl="6" w:tplc="0415000F" w:tentative="1">
      <w:start w:val="1"/>
      <w:numFmt w:val="decimal"/>
      <w:lvlText w:val="%7."/>
      <w:lvlJc w:val="left"/>
      <w:pPr>
        <w:ind w:left="5056" w:hanging="360"/>
      </w:pPr>
    </w:lvl>
    <w:lvl w:ilvl="7" w:tplc="04150019" w:tentative="1">
      <w:start w:val="1"/>
      <w:numFmt w:val="lowerLetter"/>
      <w:lvlText w:val="%8."/>
      <w:lvlJc w:val="left"/>
      <w:pPr>
        <w:ind w:left="5776" w:hanging="360"/>
      </w:pPr>
    </w:lvl>
    <w:lvl w:ilvl="8" w:tplc="0415001B" w:tentative="1">
      <w:start w:val="1"/>
      <w:numFmt w:val="lowerRoman"/>
      <w:lvlText w:val="%9."/>
      <w:lvlJc w:val="right"/>
      <w:pPr>
        <w:ind w:left="6496" w:hanging="180"/>
      </w:pPr>
    </w:lvl>
  </w:abstractNum>
  <w:abstractNum w:abstractNumId="52" w15:restartNumberingAfterBreak="0">
    <w:nsid w:val="62B9A77C"/>
    <w:multiLevelType w:val="hybridMultilevel"/>
    <w:tmpl w:val="FFFFFFFF"/>
    <w:lvl w:ilvl="0" w:tplc="6E1A5582">
      <w:start w:val="1"/>
      <w:numFmt w:val="decimal"/>
      <w:lvlText w:val="%1."/>
      <w:lvlJc w:val="left"/>
      <w:pPr>
        <w:ind w:left="1080" w:hanging="360"/>
      </w:pPr>
    </w:lvl>
    <w:lvl w:ilvl="1" w:tplc="D25A3F1A">
      <w:start w:val="1"/>
      <w:numFmt w:val="lowerLetter"/>
      <w:lvlText w:val="%2."/>
      <w:lvlJc w:val="left"/>
      <w:pPr>
        <w:ind w:left="1800" w:hanging="360"/>
      </w:pPr>
    </w:lvl>
    <w:lvl w:ilvl="2" w:tplc="3EF6C118">
      <w:start w:val="1"/>
      <w:numFmt w:val="lowerRoman"/>
      <w:lvlText w:val="%3."/>
      <w:lvlJc w:val="right"/>
      <w:pPr>
        <w:ind w:left="2520" w:hanging="180"/>
      </w:pPr>
    </w:lvl>
    <w:lvl w:ilvl="3" w:tplc="301AAE56">
      <w:start w:val="1"/>
      <w:numFmt w:val="decimal"/>
      <w:lvlText w:val="%4."/>
      <w:lvlJc w:val="left"/>
      <w:pPr>
        <w:ind w:left="3240" w:hanging="360"/>
      </w:pPr>
    </w:lvl>
    <w:lvl w:ilvl="4" w:tplc="B94C0808">
      <w:start w:val="1"/>
      <w:numFmt w:val="lowerLetter"/>
      <w:lvlText w:val="%5."/>
      <w:lvlJc w:val="left"/>
      <w:pPr>
        <w:ind w:left="3960" w:hanging="360"/>
      </w:pPr>
    </w:lvl>
    <w:lvl w:ilvl="5" w:tplc="9420F3C6">
      <w:start w:val="1"/>
      <w:numFmt w:val="lowerRoman"/>
      <w:lvlText w:val="%6."/>
      <w:lvlJc w:val="right"/>
      <w:pPr>
        <w:ind w:left="4680" w:hanging="180"/>
      </w:pPr>
    </w:lvl>
    <w:lvl w:ilvl="6" w:tplc="B3347090">
      <w:start w:val="1"/>
      <w:numFmt w:val="decimal"/>
      <w:lvlText w:val="%7."/>
      <w:lvlJc w:val="left"/>
      <w:pPr>
        <w:ind w:left="5400" w:hanging="360"/>
      </w:pPr>
    </w:lvl>
    <w:lvl w:ilvl="7" w:tplc="DEB8DB0A">
      <w:start w:val="1"/>
      <w:numFmt w:val="lowerLetter"/>
      <w:lvlText w:val="%8."/>
      <w:lvlJc w:val="left"/>
      <w:pPr>
        <w:ind w:left="6120" w:hanging="360"/>
      </w:pPr>
    </w:lvl>
    <w:lvl w:ilvl="8" w:tplc="A4CEE8AA">
      <w:start w:val="1"/>
      <w:numFmt w:val="lowerRoman"/>
      <w:lvlText w:val="%9."/>
      <w:lvlJc w:val="right"/>
      <w:pPr>
        <w:ind w:left="6840" w:hanging="180"/>
      </w:pPr>
    </w:lvl>
  </w:abstractNum>
  <w:abstractNum w:abstractNumId="53" w15:restartNumberingAfterBreak="0">
    <w:nsid w:val="636D10F7"/>
    <w:multiLevelType w:val="hybridMultilevel"/>
    <w:tmpl w:val="6446278E"/>
    <w:lvl w:ilvl="0" w:tplc="E9DE7942">
      <w:start w:val="1"/>
      <w:numFmt w:val="decimal"/>
      <w:lvlText w:val="%1."/>
      <w:lvlJc w:val="left"/>
      <w:pPr>
        <w:ind w:left="785" w:hanging="360"/>
      </w:pPr>
      <w:rPr>
        <w:b/>
        <w:bCs/>
      </w:rPr>
    </w:lvl>
    <w:lvl w:ilvl="1" w:tplc="BCE29AE4">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637E351E"/>
    <w:multiLevelType w:val="hybridMultilevel"/>
    <w:tmpl w:val="07708D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917713"/>
    <w:multiLevelType w:val="hybridMultilevel"/>
    <w:tmpl w:val="589CAA7E"/>
    <w:lvl w:ilvl="0" w:tplc="0D945F7A">
      <w:start w:val="1"/>
      <w:numFmt w:val="decimal"/>
      <w:lvlText w:val="%1."/>
      <w:lvlJc w:val="left"/>
      <w:pPr>
        <w:ind w:left="785"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FA7E72"/>
    <w:multiLevelType w:val="hybridMultilevel"/>
    <w:tmpl w:val="AE3CA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FEE3B4F"/>
    <w:multiLevelType w:val="hybridMultilevel"/>
    <w:tmpl w:val="ED36C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0346153"/>
    <w:multiLevelType w:val="hybridMultilevel"/>
    <w:tmpl w:val="FFFFFFFF"/>
    <w:lvl w:ilvl="0" w:tplc="29B20CCA">
      <w:start w:val="1"/>
      <w:numFmt w:val="decimal"/>
      <w:lvlText w:val="%1."/>
      <w:lvlJc w:val="left"/>
      <w:pPr>
        <w:ind w:left="1080" w:hanging="360"/>
      </w:pPr>
    </w:lvl>
    <w:lvl w:ilvl="1" w:tplc="FE1C3A4C">
      <w:start w:val="1"/>
      <w:numFmt w:val="lowerLetter"/>
      <w:lvlText w:val="%2."/>
      <w:lvlJc w:val="left"/>
      <w:pPr>
        <w:ind w:left="1800" w:hanging="360"/>
      </w:pPr>
    </w:lvl>
    <w:lvl w:ilvl="2" w:tplc="F9BA1824">
      <w:start w:val="1"/>
      <w:numFmt w:val="lowerRoman"/>
      <w:lvlText w:val="%3."/>
      <w:lvlJc w:val="right"/>
      <w:pPr>
        <w:ind w:left="2520" w:hanging="180"/>
      </w:pPr>
    </w:lvl>
    <w:lvl w:ilvl="3" w:tplc="5E0202B6">
      <w:start w:val="1"/>
      <w:numFmt w:val="decimal"/>
      <w:lvlText w:val="%4."/>
      <w:lvlJc w:val="left"/>
      <w:pPr>
        <w:ind w:left="3240" w:hanging="360"/>
      </w:pPr>
    </w:lvl>
    <w:lvl w:ilvl="4" w:tplc="51F0E9EC">
      <w:start w:val="1"/>
      <w:numFmt w:val="lowerLetter"/>
      <w:lvlText w:val="%5."/>
      <w:lvlJc w:val="left"/>
      <w:pPr>
        <w:ind w:left="3960" w:hanging="360"/>
      </w:pPr>
    </w:lvl>
    <w:lvl w:ilvl="5" w:tplc="BE52CF82">
      <w:start w:val="1"/>
      <w:numFmt w:val="lowerRoman"/>
      <w:lvlText w:val="%6."/>
      <w:lvlJc w:val="right"/>
      <w:pPr>
        <w:ind w:left="4680" w:hanging="180"/>
      </w:pPr>
    </w:lvl>
    <w:lvl w:ilvl="6" w:tplc="50C86E42">
      <w:start w:val="1"/>
      <w:numFmt w:val="decimal"/>
      <w:lvlText w:val="%7."/>
      <w:lvlJc w:val="left"/>
      <w:pPr>
        <w:ind w:left="5400" w:hanging="360"/>
      </w:pPr>
    </w:lvl>
    <w:lvl w:ilvl="7" w:tplc="7BA63026">
      <w:start w:val="1"/>
      <w:numFmt w:val="lowerLetter"/>
      <w:lvlText w:val="%8."/>
      <w:lvlJc w:val="left"/>
      <w:pPr>
        <w:ind w:left="6120" w:hanging="360"/>
      </w:pPr>
    </w:lvl>
    <w:lvl w:ilvl="8" w:tplc="99A83A16">
      <w:start w:val="1"/>
      <w:numFmt w:val="lowerRoman"/>
      <w:lvlText w:val="%9."/>
      <w:lvlJc w:val="right"/>
      <w:pPr>
        <w:ind w:left="6840" w:hanging="180"/>
      </w:pPr>
    </w:lvl>
  </w:abstractNum>
  <w:abstractNum w:abstractNumId="59" w15:restartNumberingAfterBreak="0">
    <w:nsid w:val="74E67804"/>
    <w:multiLevelType w:val="multilevel"/>
    <w:tmpl w:val="E240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562FD0"/>
    <w:multiLevelType w:val="hybridMultilevel"/>
    <w:tmpl w:val="0A141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804708A"/>
    <w:multiLevelType w:val="hybridMultilevel"/>
    <w:tmpl w:val="FFFFFFFF"/>
    <w:lvl w:ilvl="0" w:tplc="F08E0CF0">
      <w:start w:val="1"/>
      <w:numFmt w:val="decimal"/>
      <w:lvlText w:val="%1."/>
      <w:lvlJc w:val="left"/>
      <w:pPr>
        <w:ind w:left="1080" w:hanging="360"/>
      </w:pPr>
    </w:lvl>
    <w:lvl w:ilvl="1" w:tplc="9398B498">
      <w:start w:val="1"/>
      <w:numFmt w:val="lowerLetter"/>
      <w:lvlText w:val="%2."/>
      <w:lvlJc w:val="left"/>
      <w:pPr>
        <w:ind w:left="1800" w:hanging="360"/>
      </w:pPr>
    </w:lvl>
    <w:lvl w:ilvl="2" w:tplc="987E9484">
      <w:start w:val="1"/>
      <w:numFmt w:val="lowerRoman"/>
      <w:lvlText w:val="%3."/>
      <w:lvlJc w:val="right"/>
      <w:pPr>
        <w:ind w:left="2520" w:hanging="180"/>
      </w:pPr>
    </w:lvl>
    <w:lvl w:ilvl="3" w:tplc="28D6FC66">
      <w:start w:val="1"/>
      <w:numFmt w:val="decimal"/>
      <w:lvlText w:val="%4."/>
      <w:lvlJc w:val="left"/>
      <w:pPr>
        <w:ind w:left="3240" w:hanging="360"/>
      </w:pPr>
    </w:lvl>
    <w:lvl w:ilvl="4" w:tplc="77CA252A">
      <w:start w:val="1"/>
      <w:numFmt w:val="lowerLetter"/>
      <w:lvlText w:val="%5."/>
      <w:lvlJc w:val="left"/>
      <w:pPr>
        <w:ind w:left="3960" w:hanging="360"/>
      </w:pPr>
    </w:lvl>
    <w:lvl w:ilvl="5" w:tplc="380CB056">
      <w:start w:val="1"/>
      <w:numFmt w:val="lowerRoman"/>
      <w:lvlText w:val="%6."/>
      <w:lvlJc w:val="right"/>
      <w:pPr>
        <w:ind w:left="4680" w:hanging="180"/>
      </w:pPr>
    </w:lvl>
    <w:lvl w:ilvl="6" w:tplc="8A0E9D70">
      <w:start w:val="1"/>
      <w:numFmt w:val="decimal"/>
      <w:lvlText w:val="%7."/>
      <w:lvlJc w:val="left"/>
      <w:pPr>
        <w:ind w:left="5400" w:hanging="360"/>
      </w:pPr>
    </w:lvl>
    <w:lvl w:ilvl="7" w:tplc="78861F56">
      <w:start w:val="1"/>
      <w:numFmt w:val="lowerLetter"/>
      <w:lvlText w:val="%8."/>
      <w:lvlJc w:val="left"/>
      <w:pPr>
        <w:ind w:left="6120" w:hanging="360"/>
      </w:pPr>
    </w:lvl>
    <w:lvl w:ilvl="8" w:tplc="83B662D0">
      <w:start w:val="1"/>
      <w:numFmt w:val="lowerRoman"/>
      <w:lvlText w:val="%9."/>
      <w:lvlJc w:val="right"/>
      <w:pPr>
        <w:ind w:left="6840" w:hanging="180"/>
      </w:pPr>
    </w:lvl>
  </w:abstractNum>
  <w:abstractNum w:abstractNumId="62" w15:restartNumberingAfterBreak="0">
    <w:nsid w:val="7CCF58D4"/>
    <w:multiLevelType w:val="hybridMultilevel"/>
    <w:tmpl w:val="B1A0E5B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D307F16"/>
    <w:multiLevelType w:val="hybridMultilevel"/>
    <w:tmpl w:val="5D18B8B8"/>
    <w:lvl w:ilvl="0" w:tplc="416EAD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E11162A"/>
    <w:multiLevelType w:val="hybridMultilevel"/>
    <w:tmpl w:val="1602BD68"/>
    <w:lvl w:ilvl="0" w:tplc="BF746A72">
      <w:numFmt w:val="bullet"/>
      <w:lvlText w:val="•"/>
      <w:lvlJc w:val="left"/>
      <w:pPr>
        <w:ind w:left="2136" w:hanging="720"/>
      </w:pPr>
      <w:rPr>
        <w:rFonts w:ascii="Arial" w:eastAsia="Times New Roman" w:hAnsi="Arial" w:cs="Aria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num w:numId="1" w16cid:durableId="1919241449">
    <w:abstractNumId w:val="11"/>
  </w:num>
  <w:num w:numId="2" w16cid:durableId="21451986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9279019">
    <w:abstractNumId w:val="16"/>
  </w:num>
  <w:num w:numId="4" w16cid:durableId="998074168">
    <w:abstractNumId w:val="53"/>
  </w:num>
  <w:num w:numId="5" w16cid:durableId="1353917381">
    <w:abstractNumId w:val="42"/>
  </w:num>
  <w:num w:numId="6" w16cid:durableId="679043330">
    <w:abstractNumId w:val="53"/>
  </w:num>
  <w:num w:numId="7" w16cid:durableId="689063861">
    <w:abstractNumId w:val="40"/>
  </w:num>
  <w:num w:numId="8" w16cid:durableId="264850605">
    <w:abstractNumId w:val="34"/>
    <w:lvlOverride w:ilvl="0">
      <w:startOverride w:val="1"/>
    </w:lvlOverride>
    <w:lvlOverride w:ilvl="1"/>
    <w:lvlOverride w:ilvl="2"/>
    <w:lvlOverride w:ilvl="3"/>
    <w:lvlOverride w:ilvl="4"/>
    <w:lvlOverride w:ilvl="5"/>
    <w:lvlOverride w:ilvl="6"/>
    <w:lvlOverride w:ilvl="7"/>
    <w:lvlOverride w:ilvl="8"/>
  </w:num>
  <w:num w:numId="9" w16cid:durableId="2021084177">
    <w:abstractNumId w:val="26"/>
  </w:num>
  <w:num w:numId="10" w16cid:durableId="121652604">
    <w:abstractNumId w:val="48"/>
  </w:num>
  <w:num w:numId="11" w16cid:durableId="696276798">
    <w:abstractNumId w:val="50"/>
  </w:num>
  <w:num w:numId="12" w16cid:durableId="1752316151">
    <w:abstractNumId w:val="25"/>
  </w:num>
  <w:num w:numId="13" w16cid:durableId="980500443">
    <w:abstractNumId w:val="23"/>
  </w:num>
  <w:num w:numId="14" w16cid:durableId="693460452">
    <w:abstractNumId w:val="45"/>
  </w:num>
  <w:num w:numId="15" w16cid:durableId="573662002">
    <w:abstractNumId w:val="27"/>
  </w:num>
  <w:num w:numId="16" w16cid:durableId="1180463419">
    <w:abstractNumId w:val="21"/>
  </w:num>
  <w:num w:numId="17" w16cid:durableId="1187981394">
    <w:abstractNumId w:val="10"/>
  </w:num>
  <w:num w:numId="18" w16cid:durableId="100761048">
    <w:abstractNumId w:val="33"/>
  </w:num>
  <w:num w:numId="19" w16cid:durableId="699935421">
    <w:abstractNumId w:val="64"/>
  </w:num>
  <w:num w:numId="20" w16cid:durableId="1338539947">
    <w:abstractNumId w:val="35"/>
  </w:num>
  <w:num w:numId="21" w16cid:durableId="1990474215">
    <w:abstractNumId w:val="63"/>
  </w:num>
  <w:num w:numId="22" w16cid:durableId="1251238549">
    <w:abstractNumId w:val="32"/>
  </w:num>
  <w:num w:numId="23" w16cid:durableId="1298334394">
    <w:abstractNumId w:val="44"/>
  </w:num>
  <w:num w:numId="24" w16cid:durableId="483358189">
    <w:abstractNumId w:val="44"/>
  </w:num>
  <w:num w:numId="25" w16cid:durableId="1376387977">
    <w:abstractNumId w:val="44"/>
  </w:num>
  <w:num w:numId="26" w16cid:durableId="1969042432">
    <w:abstractNumId w:val="55"/>
  </w:num>
  <w:num w:numId="27" w16cid:durableId="1410805007">
    <w:abstractNumId w:val="38"/>
  </w:num>
  <w:num w:numId="28" w16cid:durableId="394013412">
    <w:abstractNumId w:val="29"/>
  </w:num>
  <w:num w:numId="29" w16cid:durableId="646472307">
    <w:abstractNumId w:val="9"/>
  </w:num>
  <w:num w:numId="30" w16cid:durableId="1891108086">
    <w:abstractNumId w:val="8"/>
  </w:num>
  <w:num w:numId="31" w16cid:durableId="926572651">
    <w:abstractNumId w:val="28"/>
  </w:num>
  <w:num w:numId="32" w16cid:durableId="648628568">
    <w:abstractNumId w:val="6"/>
  </w:num>
  <w:num w:numId="33" w16cid:durableId="2017687483">
    <w:abstractNumId w:val="58"/>
  </w:num>
  <w:num w:numId="34" w16cid:durableId="1346977233">
    <w:abstractNumId w:val="4"/>
  </w:num>
  <w:num w:numId="35" w16cid:durableId="963121339">
    <w:abstractNumId w:val="52"/>
  </w:num>
  <w:num w:numId="36" w16cid:durableId="2003969795">
    <w:abstractNumId w:val="20"/>
  </w:num>
  <w:num w:numId="37" w16cid:durableId="2097629231">
    <w:abstractNumId w:val="17"/>
  </w:num>
  <w:num w:numId="38" w16cid:durableId="1250382122">
    <w:abstractNumId w:val="61"/>
  </w:num>
  <w:num w:numId="39" w16cid:durableId="1666006654">
    <w:abstractNumId w:val="14"/>
  </w:num>
  <w:num w:numId="40" w16cid:durableId="1861233243">
    <w:abstractNumId w:val="1"/>
  </w:num>
  <w:num w:numId="41" w16cid:durableId="1308169289">
    <w:abstractNumId w:val="60"/>
  </w:num>
  <w:num w:numId="42" w16cid:durableId="1110471783">
    <w:abstractNumId w:val="49"/>
  </w:num>
  <w:num w:numId="43" w16cid:durableId="1238057916">
    <w:abstractNumId w:val="43"/>
  </w:num>
  <w:num w:numId="44" w16cid:durableId="1324506823">
    <w:abstractNumId w:val="31"/>
  </w:num>
  <w:num w:numId="45" w16cid:durableId="1446852724">
    <w:abstractNumId w:val="59"/>
  </w:num>
  <w:num w:numId="46" w16cid:durableId="1671831390">
    <w:abstractNumId w:val="12"/>
  </w:num>
  <w:num w:numId="47" w16cid:durableId="779376788">
    <w:abstractNumId w:val="56"/>
  </w:num>
  <w:num w:numId="48" w16cid:durableId="83259406">
    <w:abstractNumId w:val="15"/>
  </w:num>
  <w:num w:numId="49" w16cid:durableId="1411584382">
    <w:abstractNumId w:val="19"/>
  </w:num>
  <w:num w:numId="50" w16cid:durableId="1510751375">
    <w:abstractNumId w:val="2"/>
  </w:num>
  <w:num w:numId="51" w16cid:durableId="1504127759">
    <w:abstractNumId w:val="22"/>
  </w:num>
  <w:num w:numId="52" w16cid:durableId="1154954682">
    <w:abstractNumId w:val="62"/>
  </w:num>
  <w:num w:numId="53" w16cid:durableId="2080395696">
    <w:abstractNumId w:val="5"/>
  </w:num>
  <w:num w:numId="54" w16cid:durableId="1111705342">
    <w:abstractNumId w:val="54"/>
  </w:num>
  <w:num w:numId="55" w16cid:durableId="2107069091">
    <w:abstractNumId w:val="0"/>
  </w:num>
  <w:num w:numId="56" w16cid:durableId="1499075218">
    <w:abstractNumId w:val="41"/>
  </w:num>
  <w:num w:numId="57" w16cid:durableId="163787535">
    <w:abstractNumId w:val="18"/>
  </w:num>
  <w:num w:numId="58" w16cid:durableId="1294141578">
    <w:abstractNumId w:val="30"/>
  </w:num>
  <w:num w:numId="59" w16cid:durableId="1071581582">
    <w:abstractNumId w:val="13"/>
  </w:num>
  <w:num w:numId="60" w16cid:durableId="1064991511">
    <w:abstractNumId w:val="36"/>
  </w:num>
  <w:num w:numId="61" w16cid:durableId="283731933">
    <w:abstractNumId w:val="47"/>
  </w:num>
  <w:num w:numId="62" w16cid:durableId="1647319379">
    <w:abstractNumId w:val="46"/>
  </w:num>
  <w:num w:numId="63" w16cid:durableId="2091123187">
    <w:abstractNumId w:val="3"/>
  </w:num>
  <w:num w:numId="64" w16cid:durableId="1915360823">
    <w:abstractNumId w:val="51"/>
  </w:num>
  <w:num w:numId="65" w16cid:durableId="173301267">
    <w:abstractNumId w:val="37"/>
  </w:num>
  <w:num w:numId="66" w16cid:durableId="79496481">
    <w:abstractNumId w:val="57"/>
  </w:num>
  <w:num w:numId="67" w16cid:durableId="1982923031">
    <w:abstractNumId w:val="24"/>
  </w:num>
  <w:num w:numId="68" w16cid:durableId="1768311193">
    <w:abstractNumId w:val="39"/>
  </w:num>
  <w:num w:numId="69" w16cid:durableId="1698118226">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C1"/>
    <w:rsid w:val="00000637"/>
    <w:rsid w:val="0000093D"/>
    <w:rsid w:val="00001BA9"/>
    <w:rsid w:val="00002014"/>
    <w:rsid w:val="0000298C"/>
    <w:rsid w:val="000038A5"/>
    <w:rsid w:val="00003EE0"/>
    <w:rsid w:val="00004867"/>
    <w:rsid w:val="00006A23"/>
    <w:rsid w:val="00006D5A"/>
    <w:rsid w:val="000112C5"/>
    <w:rsid w:val="00013450"/>
    <w:rsid w:val="00014022"/>
    <w:rsid w:val="000140B7"/>
    <w:rsid w:val="00015A79"/>
    <w:rsid w:val="00016051"/>
    <w:rsid w:val="00016431"/>
    <w:rsid w:val="00016653"/>
    <w:rsid w:val="000179CA"/>
    <w:rsid w:val="0002044F"/>
    <w:rsid w:val="00022310"/>
    <w:rsid w:val="0002465C"/>
    <w:rsid w:val="00024FE7"/>
    <w:rsid w:val="00025ED1"/>
    <w:rsid w:val="00025FAD"/>
    <w:rsid w:val="000267E8"/>
    <w:rsid w:val="0003089F"/>
    <w:rsid w:val="00032283"/>
    <w:rsid w:val="00033CFC"/>
    <w:rsid w:val="00034674"/>
    <w:rsid w:val="00035648"/>
    <w:rsid w:val="00037BA9"/>
    <w:rsid w:val="0004011A"/>
    <w:rsid w:val="0004036F"/>
    <w:rsid w:val="00043BF9"/>
    <w:rsid w:val="0004417D"/>
    <w:rsid w:val="00044BA2"/>
    <w:rsid w:val="000464BC"/>
    <w:rsid w:val="000475B3"/>
    <w:rsid w:val="000522D5"/>
    <w:rsid w:val="00054588"/>
    <w:rsid w:val="000545F5"/>
    <w:rsid w:val="00054835"/>
    <w:rsid w:val="000553A8"/>
    <w:rsid w:val="00055569"/>
    <w:rsid w:val="00055B45"/>
    <w:rsid w:val="000576D3"/>
    <w:rsid w:val="00060C8B"/>
    <w:rsid w:val="00060F39"/>
    <w:rsid w:val="000614BD"/>
    <w:rsid w:val="00062025"/>
    <w:rsid w:val="000631DF"/>
    <w:rsid w:val="00064074"/>
    <w:rsid w:val="00064B9C"/>
    <w:rsid w:val="0006525F"/>
    <w:rsid w:val="000655AC"/>
    <w:rsid w:val="000655DE"/>
    <w:rsid w:val="000662FD"/>
    <w:rsid w:val="00072051"/>
    <w:rsid w:val="00072702"/>
    <w:rsid w:val="00073FA9"/>
    <w:rsid w:val="00075218"/>
    <w:rsid w:val="0007522E"/>
    <w:rsid w:val="00076EDE"/>
    <w:rsid w:val="00077746"/>
    <w:rsid w:val="00077F38"/>
    <w:rsid w:val="00077F61"/>
    <w:rsid w:val="00080450"/>
    <w:rsid w:val="00080FA0"/>
    <w:rsid w:val="00082386"/>
    <w:rsid w:val="0008392D"/>
    <w:rsid w:val="0008501E"/>
    <w:rsid w:val="000874E5"/>
    <w:rsid w:val="00087697"/>
    <w:rsid w:val="00090BE3"/>
    <w:rsid w:val="000927D2"/>
    <w:rsid w:val="00092E25"/>
    <w:rsid w:val="00093628"/>
    <w:rsid w:val="00094BCF"/>
    <w:rsid w:val="00094CDB"/>
    <w:rsid w:val="00096CFF"/>
    <w:rsid w:val="00097A4D"/>
    <w:rsid w:val="000A0222"/>
    <w:rsid w:val="000A0A10"/>
    <w:rsid w:val="000A3A88"/>
    <w:rsid w:val="000A468E"/>
    <w:rsid w:val="000A6F05"/>
    <w:rsid w:val="000B293A"/>
    <w:rsid w:val="000B418B"/>
    <w:rsid w:val="000B4A70"/>
    <w:rsid w:val="000B4AC8"/>
    <w:rsid w:val="000B4DEB"/>
    <w:rsid w:val="000B50D2"/>
    <w:rsid w:val="000B6945"/>
    <w:rsid w:val="000B75A9"/>
    <w:rsid w:val="000B766E"/>
    <w:rsid w:val="000C1278"/>
    <w:rsid w:val="000C278E"/>
    <w:rsid w:val="000C2ED9"/>
    <w:rsid w:val="000C53AB"/>
    <w:rsid w:val="000C570F"/>
    <w:rsid w:val="000C664E"/>
    <w:rsid w:val="000D004A"/>
    <w:rsid w:val="000D0C2E"/>
    <w:rsid w:val="000D2443"/>
    <w:rsid w:val="000D2621"/>
    <w:rsid w:val="000D2D56"/>
    <w:rsid w:val="000D496A"/>
    <w:rsid w:val="000D4EF4"/>
    <w:rsid w:val="000D5E9A"/>
    <w:rsid w:val="000D6BA3"/>
    <w:rsid w:val="000E0D8E"/>
    <w:rsid w:val="000E1DD1"/>
    <w:rsid w:val="000E1DEC"/>
    <w:rsid w:val="000E217F"/>
    <w:rsid w:val="000E34A6"/>
    <w:rsid w:val="000E41D4"/>
    <w:rsid w:val="000E5C46"/>
    <w:rsid w:val="000E6523"/>
    <w:rsid w:val="000E7059"/>
    <w:rsid w:val="000E7D27"/>
    <w:rsid w:val="000F1418"/>
    <w:rsid w:val="000F1A6A"/>
    <w:rsid w:val="000F29CB"/>
    <w:rsid w:val="000F300D"/>
    <w:rsid w:val="000F34D7"/>
    <w:rsid w:val="000F3690"/>
    <w:rsid w:val="000F385E"/>
    <w:rsid w:val="000F6064"/>
    <w:rsid w:val="00100BA7"/>
    <w:rsid w:val="0010155C"/>
    <w:rsid w:val="001025B5"/>
    <w:rsid w:val="001027A8"/>
    <w:rsid w:val="00102850"/>
    <w:rsid w:val="00104D93"/>
    <w:rsid w:val="001061BC"/>
    <w:rsid w:val="00107C66"/>
    <w:rsid w:val="0011059B"/>
    <w:rsid w:val="0011251E"/>
    <w:rsid w:val="001133EE"/>
    <w:rsid w:val="001133FE"/>
    <w:rsid w:val="00113938"/>
    <w:rsid w:val="00113ECA"/>
    <w:rsid w:val="0011500D"/>
    <w:rsid w:val="001155BC"/>
    <w:rsid w:val="00116EC9"/>
    <w:rsid w:val="00117A08"/>
    <w:rsid w:val="00120AB9"/>
    <w:rsid w:val="00122401"/>
    <w:rsid w:val="001229F0"/>
    <w:rsid w:val="00126B65"/>
    <w:rsid w:val="00130E27"/>
    <w:rsid w:val="00130F66"/>
    <w:rsid w:val="001312D5"/>
    <w:rsid w:val="001315AF"/>
    <w:rsid w:val="001329AF"/>
    <w:rsid w:val="00133559"/>
    <w:rsid w:val="00134FB0"/>
    <w:rsid w:val="00135004"/>
    <w:rsid w:val="001362E4"/>
    <w:rsid w:val="00136802"/>
    <w:rsid w:val="00136A28"/>
    <w:rsid w:val="00137B48"/>
    <w:rsid w:val="00141A0B"/>
    <w:rsid w:val="00142080"/>
    <w:rsid w:val="001439F2"/>
    <w:rsid w:val="00143FE1"/>
    <w:rsid w:val="0014577D"/>
    <w:rsid w:val="001459AC"/>
    <w:rsid w:val="00146F75"/>
    <w:rsid w:val="0014709A"/>
    <w:rsid w:val="001470B2"/>
    <w:rsid w:val="00150128"/>
    <w:rsid w:val="00151626"/>
    <w:rsid w:val="00154437"/>
    <w:rsid w:val="001548A3"/>
    <w:rsid w:val="00154E1C"/>
    <w:rsid w:val="001551F3"/>
    <w:rsid w:val="00156D78"/>
    <w:rsid w:val="00160232"/>
    <w:rsid w:val="00160417"/>
    <w:rsid w:val="00161264"/>
    <w:rsid w:val="00161DEB"/>
    <w:rsid w:val="0016379E"/>
    <w:rsid w:val="00163815"/>
    <w:rsid w:val="00164097"/>
    <w:rsid w:val="00165CC3"/>
    <w:rsid w:val="00165EA3"/>
    <w:rsid w:val="00166FCF"/>
    <w:rsid w:val="0016797B"/>
    <w:rsid w:val="00167CF0"/>
    <w:rsid w:val="001702B7"/>
    <w:rsid w:val="00170E8E"/>
    <w:rsid w:val="001730F6"/>
    <w:rsid w:val="00174028"/>
    <w:rsid w:val="0017445D"/>
    <w:rsid w:val="00175217"/>
    <w:rsid w:val="00175746"/>
    <w:rsid w:val="00176680"/>
    <w:rsid w:val="00182CD7"/>
    <w:rsid w:val="00182CDA"/>
    <w:rsid w:val="00182F73"/>
    <w:rsid w:val="00183681"/>
    <w:rsid w:val="001844F3"/>
    <w:rsid w:val="00185795"/>
    <w:rsid w:val="00187E29"/>
    <w:rsid w:val="00187FE0"/>
    <w:rsid w:val="00190263"/>
    <w:rsid w:val="00190621"/>
    <w:rsid w:val="00190714"/>
    <w:rsid w:val="0019124C"/>
    <w:rsid w:val="00191BFD"/>
    <w:rsid w:val="001921AD"/>
    <w:rsid w:val="001927D1"/>
    <w:rsid w:val="00192C78"/>
    <w:rsid w:val="001943EE"/>
    <w:rsid w:val="00194F4E"/>
    <w:rsid w:val="00195384"/>
    <w:rsid w:val="00195686"/>
    <w:rsid w:val="00195CF9"/>
    <w:rsid w:val="00195E89"/>
    <w:rsid w:val="001A0194"/>
    <w:rsid w:val="001A1A67"/>
    <w:rsid w:val="001A2243"/>
    <w:rsid w:val="001A27EE"/>
    <w:rsid w:val="001A316F"/>
    <w:rsid w:val="001A4501"/>
    <w:rsid w:val="001A66D6"/>
    <w:rsid w:val="001A6D4E"/>
    <w:rsid w:val="001A7CCD"/>
    <w:rsid w:val="001B0341"/>
    <w:rsid w:val="001B14C7"/>
    <w:rsid w:val="001B2063"/>
    <w:rsid w:val="001B27A0"/>
    <w:rsid w:val="001B2E8A"/>
    <w:rsid w:val="001B3ABC"/>
    <w:rsid w:val="001B4EDE"/>
    <w:rsid w:val="001B5831"/>
    <w:rsid w:val="001B5EF8"/>
    <w:rsid w:val="001B625B"/>
    <w:rsid w:val="001B6EFB"/>
    <w:rsid w:val="001B77EE"/>
    <w:rsid w:val="001B7DE8"/>
    <w:rsid w:val="001C11C6"/>
    <w:rsid w:val="001C1D54"/>
    <w:rsid w:val="001C2324"/>
    <w:rsid w:val="001C2376"/>
    <w:rsid w:val="001C295C"/>
    <w:rsid w:val="001C5917"/>
    <w:rsid w:val="001C5993"/>
    <w:rsid w:val="001C66D0"/>
    <w:rsid w:val="001C6E50"/>
    <w:rsid w:val="001C7EA2"/>
    <w:rsid w:val="001D0337"/>
    <w:rsid w:val="001D2EE1"/>
    <w:rsid w:val="001D34E3"/>
    <w:rsid w:val="001D3886"/>
    <w:rsid w:val="001E30B2"/>
    <w:rsid w:val="001E38F9"/>
    <w:rsid w:val="001E57BD"/>
    <w:rsid w:val="001E5CB8"/>
    <w:rsid w:val="001E79BB"/>
    <w:rsid w:val="001F013B"/>
    <w:rsid w:val="001F0763"/>
    <w:rsid w:val="001F2620"/>
    <w:rsid w:val="001F40ED"/>
    <w:rsid w:val="001F478E"/>
    <w:rsid w:val="001F4F8A"/>
    <w:rsid w:val="001F592E"/>
    <w:rsid w:val="001F7105"/>
    <w:rsid w:val="001F7942"/>
    <w:rsid w:val="0020064A"/>
    <w:rsid w:val="002007E1"/>
    <w:rsid w:val="00201E8A"/>
    <w:rsid w:val="00201ED5"/>
    <w:rsid w:val="002027E6"/>
    <w:rsid w:val="00203228"/>
    <w:rsid w:val="002053E5"/>
    <w:rsid w:val="002062D6"/>
    <w:rsid w:val="002069A8"/>
    <w:rsid w:val="00206E89"/>
    <w:rsid w:val="00210622"/>
    <w:rsid w:val="0021143A"/>
    <w:rsid w:val="00214C48"/>
    <w:rsid w:val="00214DEE"/>
    <w:rsid w:val="00215836"/>
    <w:rsid w:val="0021602F"/>
    <w:rsid w:val="0021625C"/>
    <w:rsid w:val="0021756C"/>
    <w:rsid w:val="00217EE8"/>
    <w:rsid w:val="00221CAF"/>
    <w:rsid w:val="002221C9"/>
    <w:rsid w:val="00222354"/>
    <w:rsid w:val="00222443"/>
    <w:rsid w:val="00223F30"/>
    <w:rsid w:val="00224042"/>
    <w:rsid w:val="002240CE"/>
    <w:rsid w:val="00224D9C"/>
    <w:rsid w:val="002257DC"/>
    <w:rsid w:val="00227333"/>
    <w:rsid w:val="00227A64"/>
    <w:rsid w:val="00231E75"/>
    <w:rsid w:val="00233364"/>
    <w:rsid w:val="00233378"/>
    <w:rsid w:val="00233964"/>
    <w:rsid w:val="00233B66"/>
    <w:rsid w:val="00234CBE"/>
    <w:rsid w:val="002359B9"/>
    <w:rsid w:val="00237175"/>
    <w:rsid w:val="00237ACA"/>
    <w:rsid w:val="0024034F"/>
    <w:rsid w:val="00240594"/>
    <w:rsid w:val="00240A3F"/>
    <w:rsid w:val="00241014"/>
    <w:rsid w:val="0024157D"/>
    <w:rsid w:val="00241B8B"/>
    <w:rsid w:val="0024235E"/>
    <w:rsid w:val="002424AD"/>
    <w:rsid w:val="002425DF"/>
    <w:rsid w:val="00242C5A"/>
    <w:rsid w:val="00242FE3"/>
    <w:rsid w:val="00245179"/>
    <w:rsid w:val="002456C9"/>
    <w:rsid w:val="00254273"/>
    <w:rsid w:val="002547DB"/>
    <w:rsid w:val="00254C66"/>
    <w:rsid w:val="00255F31"/>
    <w:rsid w:val="002576FE"/>
    <w:rsid w:val="00264CE6"/>
    <w:rsid w:val="00264DB9"/>
    <w:rsid w:val="00264ED5"/>
    <w:rsid w:val="0026554C"/>
    <w:rsid w:val="002659ED"/>
    <w:rsid w:val="00265E73"/>
    <w:rsid w:val="00267282"/>
    <w:rsid w:val="00267303"/>
    <w:rsid w:val="002719FC"/>
    <w:rsid w:val="002725D2"/>
    <w:rsid w:val="00274AE9"/>
    <w:rsid w:val="002774EA"/>
    <w:rsid w:val="002775C8"/>
    <w:rsid w:val="00280208"/>
    <w:rsid w:val="00280489"/>
    <w:rsid w:val="002810E4"/>
    <w:rsid w:val="00281E39"/>
    <w:rsid w:val="0028239D"/>
    <w:rsid w:val="00282E99"/>
    <w:rsid w:val="00283A6B"/>
    <w:rsid w:val="00283F50"/>
    <w:rsid w:val="0028520D"/>
    <w:rsid w:val="00285A14"/>
    <w:rsid w:val="00291303"/>
    <w:rsid w:val="002917F3"/>
    <w:rsid w:val="00293DE3"/>
    <w:rsid w:val="00295196"/>
    <w:rsid w:val="002963B8"/>
    <w:rsid w:val="00296E73"/>
    <w:rsid w:val="002A023E"/>
    <w:rsid w:val="002A17F8"/>
    <w:rsid w:val="002A2F8D"/>
    <w:rsid w:val="002A3573"/>
    <w:rsid w:val="002A3686"/>
    <w:rsid w:val="002A3C17"/>
    <w:rsid w:val="002A4543"/>
    <w:rsid w:val="002A4637"/>
    <w:rsid w:val="002A47FB"/>
    <w:rsid w:val="002A49F0"/>
    <w:rsid w:val="002A5C03"/>
    <w:rsid w:val="002A5C74"/>
    <w:rsid w:val="002A60FD"/>
    <w:rsid w:val="002B0AC8"/>
    <w:rsid w:val="002B0B2D"/>
    <w:rsid w:val="002B0B9B"/>
    <w:rsid w:val="002B1A6D"/>
    <w:rsid w:val="002B2079"/>
    <w:rsid w:val="002B23BC"/>
    <w:rsid w:val="002B2408"/>
    <w:rsid w:val="002B3BBA"/>
    <w:rsid w:val="002B4405"/>
    <w:rsid w:val="002B4900"/>
    <w:rsid w:val="002B49FE"/>
    <w:rsid w:val="002B4CCB"/>
    <w:rsid w:val="002B71F8"/>
    <w:rsid w:val="002B7423"/>
    <w:rsid w:val="002B78EF"/>
    <w:rsid w:val="002C09B5"/>
    <w:rsid w:val="002C1DA3"/>
    <w:rsid w:val="002C1DED"/>
    <w:rsid w:val="002C1E34"/>
    <w:rsid w:val="002C33C2"/>
    <w:rsid w:val="002C6E36"/>
    <w:rsid w:val="002D0AFC"/>
    <w:rsid w:val="002D237B"/>
    <w:rsid w:val="002D2F46"/>
    <w:rsid w:val="002D3795"/>
    <w:rsid w:val="002D4B21"/>
    <w:rsid w:val="002D4CB9"/>
    <w:rsid w:val="002D4E5F"/>
    <w:rsid w:val="002D59AF"/>
    <w:rsid w:val="002D6BE0"/>
    <w:rsid w:val="002D7247"/>
    <w:rsid w:val="002E3CC7"/>
    <w:rsid w:val="002E4C4B"/>
    <w:rsid w:val="002E4EC5"/>
    <w:rsid w:val="002E53C5"/>
    <w:rsid w:val="002E6769"/>
    <w:rsid w:val="002E698D"/>
    <w:rsid w:val="002E7DE8"/>
    <w:rsid w:val="002F01A2"/>
    <w:rsid w:val="002F1646"/>
    <w:rsid w:val="002F3D9B"/>
    <w:rsid w:val="002F4023"/>
    <w:rsid w:val="002F60F9"/>
    <w:rsid w:val="002F67AD"/>
    <w:rsid w:val="002F77F7"/>
    <w:rsid w:val="00301CC8"/>
    <w:rsid w:val="003026CA"/>
    <w:rsid w:val="003039C5"/>
    <w:rsid w:val="00303D5A"/>
    <w:rsid w:val="0030509F"/>
    <w:rsid w:val="00306B2F"/>
    <w:rsid w:val="00307F9E"/>
    <w:rsid w:val="003150EB"/>
    <w:rsid w:val="00315FB4"/>
    <w:rsid w:val="0031648F"/>
    <w:rsid w:val="00316547"/>
    <w:rsid w:val="003165E8"/>
    <w:rsid w:val="00323CF6"/>
    <w:rsid w:val="00324098"/>
    <w:rsid w:val="003245EE"/>
    <w:rsid w:val="0032492D"/>
    <w:rsid w:val="003314D6"/>
    <w:rsid w:val="00331E06"/>
    <w:rsid w:val="00332E65"/>
    <w:rsid w:val="003338E5"/>
    <w:rsid w:val="00334FF0"/>
    <w:rsid w:val="00335240"/>
    <w:rsid w:val="003370A0"/>
    <w:rsid w:val="003370C1"/>
    <w:rsid w:val="00337825"/>
    <w:rsid w:val="003426A4"/>
    <w:rsid w:val="0034365D"/>
    <w:rsid w:val="00343F2B"/>
    <w:rsid w:val="00344996"/>
    <w:rsid w:val="00345563"/>
    <w:rsid w:val="003470A6"/>
    <w:rsid w:val="0035062B"/>
    <w:rsid w:val="00354544"/>
    <w:rsid w:val="00357EE1"/>
    <w:rsid w:val="00360279"/>
    <w:rsid w:val="00360F0D"/>
    <w:rsid w:val="0036100A"/>
    <w:rsid w:val="00361F1C"/>
    <w:rsid w:val="00362E07"/>
    <w:rsid w:val="00363E5F"/>
    <w:rsid w:val="00364112"/>
    <w:rsid w:val="00364852"/>
    <w:rsid w:val="003648CC"/>
    <w:rsid w:val="00364C55"/>
    <w:rsid w:val="003651E8"/>
    <w:rsid w:val="0036712E"/>
    <w:rsid w:val="00367E9B"/>
    <w:rsid w:val="0037060A"/>
    <w:rsid w:val="0037155E"/>
    <w:rsid w:val="0037255E"/>
    <w:rsid w:val="003730BB"/>
    <w:rsid w:val="00374FEA"/>
    <w:rsid w:val="00376395"/>
    <w:rsid w:val="0037748E"/>
    <w:rsid w:val="00377C1D"/>
    <w:rsid w:val="00383499"/>
    <w:rsid w:val="00384AD8"/>
    <w:rsid w:val="00385B72"/>
    <w:rsid w:val="00385CDE"/>
    <w:rsid w:val="003861A5"/>
    <w:rsid w:val="00390817"/>
    <w:rsid w:val="00390834"/>
    <w:rsid w:val="00390D39"/>
    <w:rsid w:val="0039112E"/>
    <w:rsid w:val="0039332D"/>
    <w:rsid w:val="003933A4"/>
    <w:rsid w:val="00393CFE"/>
    <w:rsid w:val="00393FF7"/>
    <w:rsid w:val="00394691"/>
    <w:rsid w:val="00394EAE"/>
    <w:rsid w:val="003973FC"/>
    <w:rsid w:val="0039755A"/>
    <w:rsid w:val="003A101B"/>
    <w:rsid w:val="003A1F57"/>
    <w:rsid w:val="003A317E"/>
    <w:rsid w:val="003A34F3"/>
    <w:rsid w:val="003A4B68"/>
    <w:rsid w:val="003A5A00"/>
    <w:rsid w:val="003A5F3C"/>
    <w:rsid w:val="003A61B6"/>
    <w:rsid w:val="003A6804"/>
    <w:rsid w:val="003B0341"/>
    <w:rsid w:val="003B049B"/>
    <w:rsid w:val="003B1737"/>
    <w:rsid w:val="003B2315"/>
    <w:rsid w:val="003B2954"/>
    <w:rsid w:val="003B33E5"/>
    <w:rsid w:val="003B3CC2"/>
    <w:rsid w:val="003B61D0"/>
    <w:rsid w:val="003B7780"/>
    <w:rsid w:val="003C0A17"/>
    <w:rsid w:val="003C1FF6"/>
    <w:rsid w:val="003C2088"/>
    <w:rsid w:val="003C4442"/>
    <w:rsid w:val="003C4489"/>
    <w:rsid w:val="003C46CF"/>
    <w:rsid w:val="003C66A2"/>
    <w:rsid w:val="003C684E"/>
    <w:rsid w:val="003C7DDD"/>
    <w:rsid w:val="003D01BA"/>
    <w:rsid w:val="003D0306"/>
    <w:rsid w:val="003D0DE3"/>
    <w:rsid w:val="003D17BA"/>
    <w:rsid w:val="003D201B"/>
    <w:rsid w:val="003D20E4"/>
    <w:rsid w:val="003D2E6C"/>
    <w:rsid w:val="003D6435"/>
    <w:rsid w:val="003D7450"/>
    <w:rsid w:val="003E06A2"/>
    <w:rsid w:val="003E3AC7"/>
    <w:rsid w:val="003E5D29"/>
    <w:rsid w:val="003E6833"/>
    <w:rsid w:val="003E78C7"/>
    <w:rsid w:val="003E7D70"/>
    <w:rsid w:val="003F1E72"/>
    <w:rsid w:val="003F2FCC"/>
    <w:rsid w:val="003F3162"/>
    <w:rsid w:val="003F4961"/>
    <w:rsid w:val="003F502A"/>
    <w:rsid w:val="003F5B7C"/>
    <w:rsid w:val="0040056C"/>
    <w:rsid w:val="00401016"/>
    <w:rsid w:val="00401266"/>
    <w:rsid w:val="00401612"/>
    <w:rsid w:val="004016A1"/>
    <w:rsid w:val="00402725"/>
    <w:rsid w:val="00405762"/>
    <w:rsid w:val="004061B3"/>
    <w:rsid w:val="00406A07"/>
    <w:rsid w:val="004072C6"/>
    <w:rsid w:val="00407FB7"/>
    <w:rsid w:val="004101B8"/>
    <w:rsid w:val="00410C85"/>
    <w:rsid w:val="00410FE5"/>
    <w:rsid w:val="004112ED"/>
    <w:rsid w:val="00412C84"/>
    <w:rsid w:val="00412DD0"/>
    <w:rsid w:val="00413339"/>
    <w:rsid w:val="00413753"/>
    <w:rsid w:val="00413937"/>
    <w:rsid w:val="00413F18"/>
    <w:rsid w:val="00416E52"/>
    <w:rsid w:val="00417EB7"/>
    <w:rsid w:val="00421B4A"/>
    <w:rsid w:val="00423314"/>
    <w:rsid w:val="0042544A"/>
    <w:rsid w:val="00430171"/>
    <w:rsid w:val="00431E8D"/>
    <w:rsid w:val="00431FDC"/>
    <w:rsid w:val="004323FD"/>
    <w:rsid w:val="00432409"/>
    <w:rsid w:val="00433DEC"/>
    <w:rsid w:val="00435DD6"/>
    <w:rsid w:val="00436807"/>
    <w:rsid w:val="00437BB8"/>
    <w:rsid w:val="00441503"/>
    <w:rsid w:val="00441C4C"/>
    <w:rsid w:val="00442451"/>
    <w:rsid w:val="00442A69"/>
    <w:rsid w:val="00443FEA"/>
    <w:rsid w:val="00444DF6"/>
    <w:rsid w:val="00446197"/>
    <w:rsid w:val="0044755D"/>
    <w:rsid w:val="0045049B"/>
    <w:rsid w:val="00450959"/>
    <w:rsid w:val="004511C0"/>
    <w:rsid w:val="004512E8"/>
    <w:rsid w:val="00451BC5"/>
    <w:rsid w:val="0045261B"/>
    <w:rsid w:val="004526F6"/>
    <w:rsid w:val="00453A70"/>
    <w:rsid w:val="004543D7"/>
    <w:rsid w:val="0045483D"/>
    <w:rsid w:val="004549B1"/>
    <w:rsid w:val="00454FEA"/>
    <w:rsid w:val="00455620"/>
    <w:rsid w:val="00455845"/>
    <w:rsid w:val="00455C59"/>
    <w:rsid w:val="00456D57"/>
    <w:rsid w:val="00460857"/>
    <w:rsid w:val="00460CAE"/>
    <w:rsid w:val="00462BC8"/>
    <w:rsid w:val="0046458C"/>
    <w:rsid w:val="004645A7"/>
    <w:rsid w:val="00464F6F"/>
    <w:rsid w:val="00464F72"/>
    <w:rsid w:val="00465E2C"/>
    <w:rsid w:val="00467343"/>
    <w:rsid w:val="00467561"/>
    <w:rsid w:val="00467E17"/>
    <w:rsid w:val="00470A15"/>
    <w:rsid w:val="004712E5"/>
    <w:rsid w:val="004724FB"/>
    <w:rsid w:val="00472F6A"/>
    <w:rsid w:val="00474AC0"/>
    <w:rsid w:val="004822F7"/>
    <w:rsid w:val="00485869"/>
    <w:rsid w:val="00485BAB"/>
    <w:rsid w:val="004864E3"/>
    <w:rsid w:val="004867F5"/>
    <w:rsid w:val="00490501"/>
    <w:rsid w:val="0049271D"/>
    <w:rsid w:val="00493717"/>
    <w:rsid w:val="00494813"/>
    <w:rsid w:val="00497300"/>
    <w:rsid w:val="00497638"/>
    <w:rsid w:val="004A3120"/>
    <w:rsid w:val="004A42F4"/>
    <w:rsid w:val="004A6F6D"/>
    <w:rsid w:val="004B01DE"/>
    <w:rsid w:val="004B102C"/>
    <w:rsid w:val="004B2FDB"/>
    <w:rsid w:val="004B3378"/>
    <w:rsid w:val="004B7384"/>
    <w:rsid w:val="004B7745"/>
    <w:rsid w:val="004C00CA"/>
    <w:rsid w:val="004C16C7"/>
    <w:rsid w:val="004C31CA"/>
    <w:rsid w:val="004C36E5"/>
    <w:rsid w:val="004C431F"/>
    <w:rsid w:val="004C4A99"/>
    <w:rsid w:val="004C6EAD"/>
    <w:rsid w:val="004C7844"/>
    <w:rsid w:val="004C7CC0"/>
    <w:rsid w:val="004C7D22"/>
    <w:rsid w:val="004D05C1"/>
    <w:rsid w:val="004D1378"/>
    <w:rsid w:val="004D2B46"/>
    <w:rsid w:val="004D336D"/>
    <w:rsid w:val="004D3379"/>
    <w:rsid w:val="004D40C2"/>
    <w:rsid w:val="004D54E0"/>
    <w:rsid w:val="004E1CD7"/>
    <w:rsid w:val="004E22C9"/>
    <w:rsid w:val="004E31AD"/>
    <w:rsid w:val="004E3248"/>
    <w:rsid w:val="004E325A"/>
    <w:rsid w:val="004E55E1"/>
    <w:rsid w:val="004E6D6A"/>
    <w:rsid w:val="004E7FFD"/>
    <w:rsid w:val="004F0E52"/>
    <w:rsid w:val="004F1604"/>
    <w:rsid w:val="004F1CDD"/>
    <w:rsid w:val="004F1DAB"/>
    <w:rsid w:val="004F28E4"/>
    <w:rsid w:val="004F3DEC"/>
    <w:rsid w:val="004F7031"/>
    <w:rsid w:val="004F705F"/>
    <w:rsid w:val="004F759E"/>
    <w:rsid w:val="00501E05"/>
    <w:rsid w:val="0050308F"/>
    <w:rsid w:val="00505129"/>
    <w:rsid w:val="0050542F"/>
    <w:rsid w:val="0051010A"/>
    <w:rsid w:val="00510B50"/>
    <w:rsid w:val="00510FDC"/>
    <w:rsid w:val="00512208"/>
    <w:rsid w:val="005141B6"/>
    <w:rsid w:val="00514C3B"/>
    <w:rsid w:val="00517666"/>
    <w:rsid w:val="00517725"/>
    <w:rsid w:val="00517781"/>
    <w:rsid w:val="0051778E"/>
    <w:rsid w:val="00520522"/>
    <w:rsid w:val="00522FE7"/>
    <w:rsid w:val="00524EE0"/>
    <w:rsid w:val="00525936"/>
    <w:rsid w:val="00525B4A"/>
    <w:rsid w:val="005302EB"/>
    <w:rsid w:val="0053063B"/>
    <w:rsid w:val="0053155D"/>
    <w:rsid w:val="00531581"/>
    <w:rsid w:val="005315E4"/>
    <w:rsid w:val="0053237F"/>
    <w:rsid w:val="0053240C"/>
    <w:rsid w:val="00532D88"/>
    <w:rsid w:val="005331D9"/>
    <w:rsid w:val="00533AF4"/>
    <w:rsid w:val="00533C28"/>
    <w:rsid w:val="00534595"/>
    <w:rsid w:val="00536E85"/>
    <w:rsid w:val="00537434"/>
    <w:rsid w:val="00537BFA"/>
    <w:rsid w:val="00541D21"/>
    <w:rsid w:val="0054286F"/>
    <w:rsid w:val="00542C05"/>
    <w:rsid w:val="0054358D"/>
    <w:rsid w:val="005442BD"/>
    <w:rsid w:val="00544CC4"/>
    <w:rsid w:val="005457C2"/>
    <w:rsid w:val="005522B4"/>
    <w:rsid w:val="00552923"/>
    <w:rsid w:val="00552A3B"/>
    <w:rsid w:val="00552BD9"/>
    <w:rsid w:val="00552CCC"/>
    <w:rsid w:val="00552E73"/>
    <w:rsid w:val="00556586"/>
    <w:rsid w:val="0055670C"/>
    <w:rsid w:val="0055685B"/>
    <w:rsid w:val="00557653"/>
    <w:rsid w:val="0056057F"/>
    <w:rsid w:val="00561058"/>
    <w:rsid w:val="005624D9"/>
    <w:rsid w:val="00562CEE"/>
    <w:rsid w:val="00562F3E"/>
    <w:rsid w:val="00563941"/>
    <w:rsid w:val="00565144"/>
    <w:rsid w:val="0056520F"/>
    <w:rsid w:val="00565229"/>
    <w:rsid w:val="0056670B"/>
    <w:rsid w:val="00570F91"/>
    <w:rsid w:val="005713DA"/>
    <w:rsid w:val="00573437"/>
    <w:rsid w:val="00574446"/>
    <w:rsid w:val="00574F05"/>
    <w:rsid w:val="00576660"/>
    <w:rsid w:val="00576958"/>
    <w:rsid w:val="0057771B"/>
    <w:rsid w:val="00580781"/>
    <w:rsid w:val="00581407"/>
    <w:rsid w:val="00583415"/>
    <w:rsid w:val="005835E9"/>
    <w:rsid w:val="00584334"/>
    <w:rsid w:val="00585913"/>
    <w:rsid w:val="00586D02"/>
    <w:rsid w:val="00587A5A"/>
    <w:rsid w:val="005904C7"/>
    <w:rsid w:val="00591B0E"/>
    <w:rsid w:val="00597429"/>
    <w:rsid w:val="005A0A14"/>
    <w:rsid w:val="005A1075"/>
    <w:rsid w:val="005A107C"/>
    <w:rsid w:val="005A113C"/>
    <w:rsid w:val="005A16F5"/>
    <w:rsid w:val="005A1DBD"/>
    <w:rsid w:val="005A4C86"/>
    <w:rsid w:val="005A5830"/>
    <w:rsid w:val="005A6352"/>
    <w:rsid w:val="005B042F"/>
    <w:rsid w:val="005B2565"/>
    <w:rsid w:val="005B2AA0"/>
    <w:rsid w:val="005B5DF7"/>
    <w:rsid w:val="005B71E9"/>
    <w:rsid w:val="005B7ADE"/>
    <w:rsid w:val="005C525D"/>
    <w:rsid w:val="005C5536"/>
    <w:rsid w:val="005C6084"/>
    <w:rsid w:val="005C616E"/>
    <w:rsid w:val="005C7248"/>
    <w:rsid w:val="005D0BB8"/>
    <w:rsid w:val="005D1203"/>
    <w:rsid w:val="005D1620"/>
    <w:rsid w:val="005D2A19"/>
    <w:rsid w:val="005D2CD3"/>
    <w:rsid w:val="005D30DD"/>
    <w:rsid w:val="005D672D"/>
    <w:rsid w:val="005D7712"/>
    <w:rsid w:val="005D7B5D"/>
    <w:rsid w:val="005E1A50"/>
    <w:rsid w:val="005E30C6"/>
    <w:rsid w:val="005E5287"/>
    <w:rsid w:val="005E5324"/>
    <w:rsid w:val="005E67F7"/>
    <w:rsid w:val="005E6D6C"/>
    <w:rsid w:val="005E7DE3"/>
    <w:rsid w:val="005F1869"/>
    <w:rsid w:val="005F254C"/>
    <w:rsid w:val="005F2B88"/>
    <w:rsid w:val="005F2CD4"/>
    <w:rsid w:val="005F2D14"/>
    <w:rsid w:val="005F4524"/>
    <w:rsid w:val="005F4F52"/>
    <w:rsid w:val="005F5BD1"/>
    <w:rsid w:val="005F651A"/>
    <w:rsid w:val="005F6DE7"/>
    <w:rsid w:val="005F6E46"/>
    <w:rsid w:val="0060095D"/>
    <w:rsid w:val="00601DD2"/>
    <w:rsid w:val="00601F47"/>
    <w:rsid w:val="00602087"/>
    <w:rsid w:val="00602449"/>
    <w:rsid w:val="006046E3"/>
    <w:rsid w:val="00605471"/>
    <w:rsid w:val="00605750"/>
    <w:rsid w:val="0060593B"/>
    <w:rsid w:val="0060612F"/>
    <w:rsid w:val="006073F8"/>
    <w:rsid w:val="00607713"/>
    <w:rsid w:val="006106FA"/>
    <w:rsid w:val="00612982"/>
    <w:rsid w:val="00612D0C"/>
    <w:rsid w:val="00614C2C"/>
    <w:rsid w:val="006155EE"/>
    <w:rsid w:val="006170CC"/>
    <w:rsid w:val="006178EE"/>
    <w:rsid w:val="00620239"/>
    <w:rsid w:val="006208CE"/>
    <w:rsid w:val="00620CCB"/>
    <w:rsid w:val="00620DCE"/>
    <w:rsid w:val="00623C4F"/>
    <w:rsid w:val="00624143"/>
    <w:rsid w:val="0062541E"/>
    <w:rsid w:val="00626473"/>
    <w:rsid w:val="00626FAB"/>
    <w:rsid w:val="006279CD"/>
    <w:rsid w:val="0063018F"/>
    <w:rsid w:val="00630A7C"/>
    <w:rsid w:val="00632651"/>
    <w:rsid w:val="00633A08"/>
    <w:rsid w:val="0063460F"/>
    <w:rsid w:val="00636688"/>
    <w:rsid w:val="00636F42"/>
    <w:rsid w:val="00637224"/>
    <w:rsid w:val="00640FFB"/>
    <w:rsid w:val="00641FBC"/>
    <w:rsid w:val="006450AB"/>
    <w:rsid w:val="00645C41"/>
    <w:rsid w:val="00645CF6"/>
    <w:rsid w:val="00646542"/>
    <w:rsid w:val="00646576"/>
    <w:rsid w:val="00646B43"/>
    <w:rsid w:val="00647E0D"/>
    <w:rsid w:val="00651D56"/>
    <w:rsid w:val="00652133"/>
    <w:rsid w:val="00652751"/>
    <w:rsid w:val="006527EC"/>
    <w:rsid w:val="006541D3"/>
    <w:rsid w:val="00654E62"/>
    <w:rsid w:val="006566D2"/>
    <w:rsid w:val="00660641"/>
    <w:rsid w:val="006619F2"/>
    <w:rsid w:val="00661C96"/>
    <w:rsid w:val="00662062"/>
    <w:rsid w:val="00663391"/>
    <w:rsid w:val="006644F5"/>
    <w:rsid w:val="00664694"/>
    <w:rsid w:val="00664D2B"/>
    <w:rsid w:val="00665854"/>
    <w:rsid w:val="00667C1F"/>
    <w:rsid w:val="00671311"/>
    <w:rsid w:val="006724F9"/>
    <w:rsid w:val="006731B1"/>
    <w:rsid w:val="006743A9"/>
    <w:rsid w:val="00674921"/>
    <w:rsid w:val="00676399"/>
    <w:rsid w:val="006776BA"/>
    <w:rsid w:val="0068086E"/>
    <w:rsid w:val="00681E9C"/>
    <w:rsid w:val="00682B6C"/>
    <w:rsid w:val="006836F7"/>
    <w:rsid w:val="006837D0"/>
    <w:rsid w:val="0068390A"/>
    <w:rsid w:val="00683D82"/>
    <w:rsid w:val="00684175"/>
    <w:rsid w:val="006851C3"/>
    <w:rsid w:val="00686C6B"/>
    <w:rsid w:val="00687973"/>
    <w:rsid w:val="00690D2A"/>
    <w:rsid w:val="006910CC"/>
    <w:rsid w:val="00692650"/>
    <w:rsid w:val="00692B31"/>
    <w:rsid w:val="00692C6A"/>
    <w:rsid w:val="00693B38"/>
    <w:rsid w:val="00693BBD"/>
    <w:rsid w:val="00693CDB"/>
    <w:rsid w:val="00694BB4"/>
    <w:rsid w:val="00695638"/>
    <w:rsid w:val="00696139"/>
    <w:rsid w:val="0069637C"/>
    <w:rsid w:val="006A0913"/>
    <w:rsid w:val="006A31E1"/>
    <w:rsid w:val="006A6C00"/>
    <w:rsid w:val="006A7F79"/>
    <w:rsid w:val="006B0F58"/>
    <w:rsid w:val="006B5684"/>
    <w:rsid w:val="006B5BAF"/>
    <w:rsid w:val="006B5F53"/>
    <w:rsid w:val="006B6061"/>
    <w:rsid w:val="006B6844"/>
    <w:rsid w:val="006C0B38"/>
    <w:rsid w:val="006C1C4F"/>
    <w:rsid w:val="006C29B3"/>
    <w:rsid w:val="006C2CE0"/>
    <w:rsid w:val="006C4986"/>
    <w:rsid w:val="006C4A8F"/>
    <w:rsid w:val="006C502D"/>
    <w:rsid w:val="006C5D23"/>
    <w:rsid w:val="006C6A79"/>
    <w:rsid w:val="006C6A87"/>
    <w:rsid w:val="006C6D6C"/>
    <w:rsid w:val="006D0CCE"/>
    <w:rsid w:val="006D29E1"/>
    <w:rsid w:val="006D2A32"/>
    <w:rsid w:val="006D4785"/>
    <w:rsid w:val="006D6BEE"/>
    <w:rsid w:val="006E0DC4"/>
    <w:rsid w:val="006E0F36"/>
    <w:rsid w:val="006E1F74"/>
    <w:rsid w:val="006E301C"/>
    <w:rsid w:val="006E410D"/>
    <w:rsid w:val="006E473D"/>
    <w:rsid w:val="006E4BDD"/>
    <w:rsid w:val="006E4EA4"/>
    <w:rsid w:val="006E57B6"/>
    <w:rsid w:val="006F06BC"/>
    <w:rsid w:val="006F1B16"/>
    <w:rsid w:val="006F1D87"/>
    <w:rsid w:val="006F2C49"/>
    <w:rsid w:val="006F2FD5"/>
    <w:rsid w:val="006F3B03"/>
    <w:rsid w:val="006F5146"/>
    <w:rsid w:val="006F53B5"/>
    <w:rsid w:val="006F6011"/>
    <w:rsid w:val="0070033F"/>
    <w:rsid w:val="0070135C"/>
    <w:rsid w:val="00702810"/>
    <w:rsid w:val="00702E01"/>
    <w:rsid w:val="00703673"/>
    <w:rsid w:val="007038D3"/>
    <w:rsid w:val="007050BA"/>
    <w:rsid w:val="00705C4E"/>
    <w:rsid w:val="007064C7"/>
    <w:rsid w:val="00707AF4"/>
    <w:rsid w:val="00710473"/>
    <w:rsid w:val="007117F8"/>
    <w:rsid w:val="007119B0"/>
    <w:rsid w:val="00712A15"/>
    <w:rsid w:val="00713F05"/>
    <w:rsid w:val="00715A9D"/>
    <w:rsid w:val="00716038"/>
    <w:rsid w:val="00716A31"/>
    <w:rsid w:val="00716DC4"/>
    <w:rsid w:val="00720667"/>
    <w:rsid w:val="00721BAB"/>
    <w:rsid w:val="0072201B"/>
    <w:rsid w:val="007232A8"/>
    <w:rsid w:val="00723537"/>
    <w:rsid w:val="00724628"/>
    <w:rsid w:val="0072675C"/>
    <w:rsid w:val="00726897"/>
    <w:rsid w:val="00726C28"/>
    <w:rsid w:val="00727A39"/>
    <w:rsid w:val="00727CB6"/>
    <w:rsid w:val="0073189C"/>
    <w:rsid w:val="00731909"/>
    <w:rsid w:val="0073265A"/>
    <w:rsid w:val="00732C77"/>
    <w:rsid w:val="007336EB"/>
    <w:rsid w:val="0073405E"/>
    <w:rsid w:val="00735186"/>
    <w:rsid w:val="00735AB8"/>
    <w:rsid w:val="0073647F"/>
    <w:rsid w:val="0073678C"/>
    <w:rsid w:val="007368D3"/>
    <w:rsid w:val="00740701"/>
    <w:rsid w:val="007407BD"/>
    <w:rsid w:val="00740F16"/>
    <w:rsid w:val="007412CC"/>
    <w:rsid w:val="007427C9"/>
    <w:rsid w:val="00743A8E"/>
    <w:rsid w:val="007441D2"/>
    <w:rsid w:val="00745BE7"/>
    <w:rsid w:val="00747157"/>
    <w:rsid w:val="007474C9"/>
    <w:rsid w:val="00750813"/>
    <w:rsid w:val="00750B17"/>
    <w:rsid w:val="00751031"/>
    <w:rsid w:val="00751C6A"/>
    <w:rsid w:val="00752053"/>
    <w:rsid w:val="00752AE7"/>
    <w:rsid w:val="00752C89"/>
    <w:rsid w:val="00752F28"/>
    <w:rsid w:val="00753261"/>
    <w:rsid w:val="00753E5D"/>
    <w:rsid w:val="007543D4"/>
    <w:rsid w:val="0075656E"/>
    <w:rsid w:val="007600C6"/>
    <w:rsid w:val="0076194B"/>
    <w:rsid w:val="00763176"/>
    <w:rsid w:val="007648D0"/>
    <w:rsid w:val="0076498C"/>
    <w:rsid w:val="00770C44"/>
    <w:rsid w:val="00772C24"/>
    <w:rsid w:val="00773B74"/>
    <w:rsid w:val="00775581"/>
    <w:rsid w:val="00775921"/>
    <w:rsid w:val="00776AAE"/>
    <w:rsid w:val="00782F9D"/>
    <w:rsid w:val="00783CCF"/>
    <w:rsid w:val="007842ED"/>
    <w:rsid w:val="00785C96"/>
    <w:rsid w:val="00787B74"/>
    <w:rsid w:val="00791712"/>
    <w:rsid w:val="0079206A"/>
    <w:rsid w:val="0079397F"/>
    <w:rsid w:val="0079522C"/>
    <w:rsid w:val="0079791A"/>
    <w:rsid w:val="00797B03"/>
    <w:rsid w:val="00797F69"/>
    <w:rsid w:val="007A07C1"/>
    <w:rsid w:val="007A0B89"/>
    <w:rsid w:val="007A19A9"/>
    <w:rsid w:val="007A26CC"/>
    <w:rsid w:val="007A2B95"/>
    <w:rsid w:val="007A5F45"/>
    <w:rsid w:val="007A71AA"/>
    <w:rsid w:val="007B0124"/>
    <w:rsid w:val="007B0524"/>
    <w:rsid w:val="007B414F"/>
    <w:rsid w:val="007B5809"/>
    <w:rsid w:val="007B5CDC"/>
    <w:rsid w:val="007B668D"/>
    <w:rsid w:val="007B69BC"/>
    <w:rsid w:val="007C103F"/>
    <w:rsid w:val="007C1533"/>
    <w:rsid w:val="007C16F5"/>
    <w:rsid w:val="007C384C"/>
    <w:rsid w:val="007C4620"/>
    <w:rsid w:val="007C73A8"/>
    <w:rsid w:val="007D0800"/>
    <w:rsid w:val="007D210C"/>
    <w:rsid w:val="007D2ACD"/>
    <w:rsid w:val="007D4EAC"/>
    <w:rsid w:val="007D4ED5"/>
    <w:rsid w:val="007D6D4C"/>
    <w:rsid w:val="007D755F"/>
    <w:rsid w:val="007E0420"/>
    <w:rsid w:val="007E07BD"/>
    <w:rsid w:val="007E2248"/>
    <w:rsid w:val="007E28A9"/>
    <w:rsid w:val="007E2903"/>
    <w:rsid w:val="007E3661"/>
    <w:rsid w:val="007E5168"/>
    <w:rsid w:val="007E53E8"/>
    <w:rsid w:val="007E6EA6"/>
    <w:rsid w:val="007F0A91"/>
    <w:rsid w:val="007F47C4"/>
    <w:rsid w:val="007F4A0B"/>
    <w:rsid w:val="007F621C"/>
    <w:rsid w:val="008000A3"/>
    <w:rsid w:val="00802255"/>
    <w:rsid w:val="00802DEB"/>
    <w:rsid w:val="0080335B"/>
    <w:rsid w:val="0080485D"/>
    <w:rsid w:val="00804B66"/>
    <w:rsid w:val="00804E30"/>
    <w:rsid w:val="00806F67"/>
    <w:rsid w:val="00807480"/>
    <w:rsid w:val="008077FD"/>
    <w:rsid w:val="00810239"/>
    <w:rsid w:val="00812BEB"/>
    <w:rsid w:val="008150D4"/>
    <w:rsid w:val="00815364"/>
    <w:rsid w:val="008163C1"/>
    <w:rsid w:val="00816476"/>
    <w:rsid w:val="00820515"/>
    <w:rsid w:val="008216AF"/>
    <w:rsid w:val="00821AC6"/>
    <w:rsid w:val="00822184"/>
    <w:rsid w:val="008227BC"/>
    <w:rsid w:val="00823038"/>
    <w:rsid w:val="00824C0C"/>
    <w:rsid w:val="008253F9"/>
    <w:rsid w:val="00826DE9"/>
    <w:rsid w:val="00830A4C"/>
    <w:rsid w:val="00830ECD"/>
    <w:rsid w:val="00831913"/>
    <w:rsid w:val="00831B19"/>
    <w:rsid w:val="0083252A"/>
    <w:rsid w:val="00833837"/>
    <w:rsid w:val="00834298"/>
    <w:rsid w:val="008342EA"/>
    <w:rsid w:val="0083490C"/>
    <w:rsid w:val="00834947"/>
    <w:rsid w:val="00836073"/>
    <w:rsid w:val="00836945"/>
    <w:rsid w:val="0083725E"/>
    <w:rsid w:val="00837E41"/>
    <w:rsid w:val="00840125"/>
    <w:rsid w:val="00842170"/>
    <w:rsid w:val="008428D6"/>
    <w:rsid w:val="00842C13"/>
    <w:rsid w:val="00842E67"/>
    <w:rsid w:val="00845B91"/>
    <w:rsid w:val="0085051C"/>
    <w:rsid w:val="008519D8"/>
    <w:rsid w:val="0085370C"/>
    <w:rsid w:val="00857227"/>
    <w:rsid w:val="008576A0"/>
    <w:rsid w:val="008577C0"/>
    <w:rsid w:val="00857A86"/>
    <w:rsid w:val="008616F4"/>
    <w:rsid w:val="00861962"/>
    <w:rsid w:val="008627C5"/>
    <w:rsid w:val="00862B4A"/>
    <w:rsid w:val="00863181"/>
    <w:rsid w:val="008634F7"/>
    <w:rsid w:val="008637B7"/>
    <w:rsid w:val="0086423A"/>
    <w:rsid w:val="00864716"/>
    <w:rsid w:val="00864DD7"/>
    <w:rsid w:val="008671BE"/>
    <w:rsid w:val="00867337"/>
    <w:rsid w:val="00867509"/>
    <w:rsid w:val="00870F7C"/>
    <w:rsid w:val="00871FA9"/>
    <w:rsid w:val="008724C4"/>
    <w:rsid w:val="00873B71"/>
    <w:rsid w:val="00874932"/>
    <w:rsid w:val="00874BA2"/>
    <w:rsid w:val="00874C61"/>
    <w:rsid w:val="00875638"/>
    <w:rsid w:val="00876F6D"/>
    <w:rsid w:val="00880E15"/>
    <w:rsid w:val="0088173E"/>
    <w:rsid w:val="00881FC1"/>
    <w:rsid w:val="008825A7"/>
    <w:rsid w:val="00883DF4"/>
    <w:rsid w:val="008855FB"/>
    <w:rsid w:val="00886885"/>
    <w:rsid w:val="00886B02"/>
    <w:rsid w:val="00887731"/>
    <w:rsid w:val="00887BE1"/>
    <w:rsid w:val="00890A0A"/>
    <w:rsid w:val="0089119E"/>
    <w:rsid w:val="008917B7"/>
    <w:rsid w:val="008939AA"/>
    <w:rsid w:val="008966EB"/>
    <w:rsid w:val="008A1F4A"/>
    <w:rsid w:val="008A2BED"/>
    <w:rsid w:val="008A365A"/>
    <w:rsid w:val="008A53FE"/>
    <w:rsid w:val="008A5FC8"/>
    <w:rsid w:val="008A6584"/>
    <w:rsid w:val="008A6818"/>
    <w:rsid w:val="008B1E48"/>
    <w:rsid w:val="008B2380"/>
    <w:rsid w:val="008B26FF"/>
    <w:rsid w:val="008B2D19"/>
    <w:rsid w:val="008B3080"/>
    <w:rsid w:val="008B37A0"/>
    <w:rsid w:val="008B52DB"/>
    <w:rsid w:val="008C03BA"/>
    <w:rsid w:val="008C0DE5"/>
    <w:rsid w:val="008C199D"/>
    <w:rsid w:val="008C1CD1"/>
    <w:rsid w:val="008C2105"/>
    <w:rsid w:val="008C356B"/>
    <w:rsid w:val="008C480D"/>
    <w:rsid w:val="008C4876"/>
    <w:rsid w:val="008C7088"/>
    <w:rsid w:val="008D0102"/>
    <w:rsid w:val="008D34A0"/>
    <w:rsid w:val="008D3BAC"/>
    <w:rsid w:val="008D3F16"/>
    <w:rsid w:val="008D3FCC"/>
    <w:rsid w:val="008D49BD"/>
    <w:rsid w:val="008D51EB"/>
    <w:rsid w:val="008D5FFF"/>
    <w:rsid w:val="008D6AF0"/>
    <w:rsid w:val="008D6FC6"/>
    <w:rsid w:val="008E0BFC"/>
    <w:rsid w:val="008E179D"/>
    <w:rsid w:val="008E1DF3"/>
    <w:rsid w:val="008E42C9"/>
    <w:rsid w:val="008E4354"/>
    <w:rsid w:val="008E5766"/>
    <w:rsid w:val="008E6BE8"/>
    <w:rsid w:val="008F07DC"/>
    <w:rsid w:val="008F0FF5"/>
    <w:rsid w:val="008F10DF"/>
    <w:rsid w:val="008F180D"/>
    <w:rsid w:val="008F3D60"/>
    <w:rsid w:val="008F3D9E"/>
    <w:rsid w:val="008F4051"/>
    <w:rsid w:val="008F427D"/>
    <w:rsid w:val="008F4317"/>
    <w:rsid w:val="008F7692"/>
    <w:rsid w:val="009000FE"/>
    <w:rsid w:val="0090080F"/>
    <w:rsid w:val="00901D4C"/>
    <w:rsid w:val="0090250F"/>
    <w:rsid w:val="0090299E"/>
    <w:rsid w:val="00904FC4"/>
    <w:rsid w:val="00905329"/>
    <w:rsid w:val="00905917"/>
    <w:rsid w:val="0090591A"/>
    <w:rsid w:val="009063C6"/>
    <w:rsid w:val="00907FD5"/>
    <w:rsid w:val="00910AC1"/>
    <w:rsid w:val="00910B40"/>
    <w:rsid w:val="009121AC"/>
    <w:rsid w:val="009129CE"/>
    <w:rsid w:val="00913369"/>
    <w:rsid w:val="00913DB3"/>
    <w:rsid w:val="00921707"/>
    <w:rsid w:val="00922269"/>
    <w:rsid w:val="00923D8D"/>
    <w:rsid w:val="009252E1"/>
    <w:rsid w:val="009262E8"/>
    <w:rsid w:val="00927D9E"/>
    <w:rsid w:val="00931308"/>
    <w:rsid w:val="00931734"/>
    <w:rsid w:val="00931A1C"/>
    <w:rsid w:val="00932017"/>
    <w:rsid w:val="00933636"/>
    <w:rsid w:val="00933BC4"/>
    <w:rsid w:val="00933BD4"/>
    <w:rsid w:val="00934AA5"/>
    <w:rsid w:val="00935866"/>
    <w:rsid w:val="00935D02"/>
    <w:rsid w:val="009368D1"/>
    <w:rsid w:val="00937C8A"/>
    <w:rsid w:val="00937F58"/>
    <w:rsid w:val="0094004C"/>
    <w:rsid w:val="00940283"/>
    <w:rsid w:val="0094071C"/>
    <w:rsid w:val="00941C9F"/>
    <w:rsid w:val="00942B0B"/>
    <w:rsid w:val="00942F2C"/>
    <w:rsid w:val="0094329C"/>
    <w:rsid w:val="00952A9C"/>
    <w:rsid w:val="00952C0B"/>
    <w:rsid w:val="00952F47"/>
    <w:rsid w:val="0095354B"/>
    <w:rsid w:val="00953861"/>
    <w:rsid w:val="009551D7"/>
    <w:rsid w:val="009554D5"/>
    <w:rsid w:val="00955BC7"/>
    <w:rsid w:val="0095658D"/>
    <w:rsid w:val="009570CA"/>
    <w:rsid w:val="00960E28"/>
    <w:rsid w:val="00961FBB"/>
    <w:rsid w:val="00962C6F"/>
    <w:rsid w:val="00962EFF"/>
    <w:rsid w:val="00963640"/>
    <w:rsid w:val="00964D40"/>
    <w:rsid w:val="00966CC8"/>
    <w:rsid w:val="00966CDE"/>
    <w:rsid w:val="009674E3"/>
    <w:rsid w:val="009703B2"/>
    <w:rsid w:val="009739AE"/>
    <w:rsid w:val="00974BE2"/>
    <w:rsid w:val="009750AC"/>
    <w:rsid w:val="00975BFB"/>
    <w:rsid w:val="00976BF1"/>
    <w:rsid w:val="00976CEC"/>
    <w:rsid w:val="0097751C"/>
    <w:rsid w:val="00980A0F"/>
    <w:rsid w:val="00981F15"/>
    <w:rsid w:val="0098309B"/>
    <w:rsid w:val="00983A71"/>
    <w:rsid w:val="00983B2C"/>
    <w:rsid w:val="0098606A"/>
    <w:rsid w:val="009866D6"/>
    <w:rsid w:val="00987799"/>
    <w:rsid w:val="00987877"/>
    <w:rsid w:val="0099056C"/>
    <w:rsid w:val="009919AA"/>
    <w:rsid w:val="0099398D"/>
    <w:rsid w:val="00993FE0"/>
    <w:rsid w:val="00995388"/>
    <w:rsid w:val="009953FD"/>
    <w:rsid w:val="00995AB5"/>
    <w:rsid w:val="00995AF0"/>
    <w:rsid w:val="00995C4C"/>
    <w:rsid w:val="0099632F"/>
    <w:rsid w:val="00997EDE"/>
    <w:rsid w:val="009A017D"/>
    <w:rsid w:val="009A117D"/>
    <w:rsid w:val="009A22D5"/>
    <w:rsid w:val="009A3438"/>
    <w:rsid w:val="009A348F"/>
    <w:rsid w:val="009A42C8"/>
    <w:rsid w:val="009A4B31"/>
    <w:rsid w:val="009A4CB4"/>
    <w:rsid w:val="009A5384"/>
    <w:rsid w:val="009A6725"/>
    <w:rsid w:val="009A7777"/>
    <w:rsid w:val="009B008C"/>
    <w:rsid w:val="009B014B"/>
    <w:rsid w:val="009B051B"/>
    <w:rsid w:val="009B1793"/>
    <w:rsid w:val="009B1A40"/>
    <w:rsid w:val="009B367A"/>
    <w:rsid w:val="009B4469"/>
    <w:rsid w:val="009B53A2"/>
    <w:rsid w:val="009B53C2"/>
    <w:rsid w:val="009B5605"/>
    <w:rsid w:val="009B5835"/>
    <w:rsid w:val="009B7021"/>
    <w:rsid w:val="009B72C2"/>
    <w:rsid w:val="009B765C"/>
    <w:rsid w:val="009C0458"/>
    <w:rsid w:val="009C1928"/>
    <w:rsid w:val="009C19BF"/>
    <w:rsid w:val="009C26F1"/>
    <w:rsid w:val="009C2A7C"/>
    <w:rsid w:val="009C2E37"/>
    <w:rsid w:val="009C3495"/>
    <w:rsid w:val="009C34B2"/>
    <w:rsid w:val="009C5DCA"/>
    <w:rsid w:val="009C66D3"/>
    <w:rsid w:val="009C7FFE"/>
    <w:rsid w:val="009D017B"/>
    <w:rsid w:val="009D2185"/>
    <w:rsid w:val="009D2C8A"/>
    <w:rsid w:val="009E028C"/>
    <w:rsid w:val="009E0A19"/>
    <w:rsid w:val="009E0C09"/>
    <w:rsid w:val="009E2AC9"/>
    <w:rsid w:val="009E2E7A"/>
    <w:rsid w:val="009E572E"/>
    <w:rsid w:val="009E5766"/>
    <w:rsid w:val="009E5B8A"/>
    <w:rsid w:val="009E6A97"/>
    <w:rsid w:val="009E7ABA"/>
    <w:rsid w:val="009E7BD4"/>
    <w:rsid w:val="009E7E3A"/>
    <w:rsid w:val="009F00A7"/>
    <w:rsid w:val="009F0705"/>
    <w:rsid w:val="009F17DA"/>
    <w:rsid w:val="009F5186"/>
    <w:rsid w:val="009F5F04"/>
    <w:rsid w:val="009F666A"/>
    <w:rsid w:val="009F6FA8"/>
    <w:rsid w:val="00A006E3"/>
    <w:rsid w:val="00A00C99"/>
    <w:rsid w:val="00A023C3"/>
    <w:rsid w:val="00A02741"/>
    <w:rsid w:val="00A043B0"/>
    <w:rsid w:val="00A05327"/>
    <w:rsid w:val="00A056E3"/>
    <w:rsid w:val="00A058EA"/>
    <w:rsid w:val="00A05F21"/>
    <w:rsid w:val="00A07035"/>
    <w:rsid w:val="00A0791F"/>
    <w:rsid w:val="00A07C27"/>
    <w:rsid w:val="00A11A29"/>
    <w:rsid w:val="00A12155"/>
    <w:rsid w:val="00A12996"/>
    <w:rsid w:val="00A14EAE"/>
    <w:rsid w:val="00A1515F"/>
    <w:rsid w:val="00A16E8B"/>
    <w:rsid w:val="00A171D8"/>
    <w:rsid w:val="00A1766D"/>
    <w:rsid w:val="00A17881"/>
    <w:rsid w:val="00A22BF6"/>
    <w:rsid w:val="00A24C31"/>
    <w:rsid w:val="00A275B8"/>
    <w:rsid w:val="00A278E0"/>
    <w:rsid w:val="00A27B88"/>
    <w:rsid w:val="00A30125"/>
    <w:rsid w:val="00A30868"/>
    <w:rsid w:val="00A337E6"/>
    <w:rsid w:val="00A33D7D"/>
    <w:rsid w:val="00A348D0"/>
    <w:rsid w:val="00A35425"/>
    <w:rsid w:val="00A362F8"/>
    <w:rsid w:val="00A3732B"/>
    <w:rsid w:val="00A37FFD"/>
    <w:rsid w:val="00A40029"/>
    <w:rsid w:val="00A40143"/>
    <w:rsid w:val="00A403B8"/>
    <w:rsid w:val="00A40A75"/>
    <w:rsid w:val="00A42BDF"/>
    <w:rsid w:val="00A42E03"/>
    <w:rsid w:val="00A43798"/>
    <w:rsid w:val="00A448A5"/>
    <w:rsid w:val="00A44937"/>
    <w:rsid w:val="00A44E3B"/>
    <w:rsid w:val="00A45DFD"/>
    <w:rsid w:val="00A46A3A"/>
    <w:rsid w:val="00A47634"/>
    <w:rsid w:val="00A500FF"/>
    <w:rsid w:val="00A5253E"/>
    <w:rsid w:val="00A5417C"/>
    <w:rsid w:val="00A55A45"/>
    <w:rsid w:val="00A5711C"/>
    <w:rsid w:val="00A57E58"/>
    <w:rsid w:val="00A6055D"/>
    <w:rsid w:val="00A60DD0"/>
    <w:rsid w:val="00A625CA"/>
    <w:rsid w:val="00A6379C"/>
    <w:rsid w:val="00A6453B"/>
    <w:rsid w:val="00A653BF"/>
    <w:rsid w:val="00A653EC"/>
    <w:rsid w:val="00A65B7B"/>
    <w:rsid w:val="00A66959"/>
    <w:rsid w:val="00A678DE"/>
    <w:rsid w:val="00A67B56"/>
    <w:rsid w:val="00A700BE"/>
    <w:rsid w:val="00A70B20"/>
    <w:rsid w:val="00A70CE3"/>
    <w:rsid w:val="00A71B91"/>
    <w:rsid w:val="00A72DB7"/>
    <w:rsid w:val="00A7371C"/>
    <w:rsid w:val="00A73CF5"/>
    <w:rsid w:val="00A74AAE"/>
    <w:rsid w:val="00A74BD3"/>
    <w:rsid w:val="00A74FDB"/>
    <w:rsid w:val="00A76171"/>
    <w:rsid w:val="00A76745"/>
    <w:rsid w:val="00A76F4F"/>
    <w:rsid w:val="00A77ABA"/>
    <w:rsid w:val="00A77B79"/>
    <w:rsid w:val="00A77DE7"/>
    <w:rsid w:val="00A82569"/>
    <w:rsid w:val="00A82690"/>
    <w:rsid w:val="00A828C7"/>
    <w:rsid w:val="00A831AF"/>
    <w:rsid w:val="00A835D2"/>
    <w:rsid w:val="00A83963"/>
    <w:rsid w:val="00A83D6B"/>
    <w:rsid w:val="00A859B8"/>
    <w:rsid w:val="00A85AFB"/>
    <w:rsid w:val="00A85D90"/>
    <w:rsid w:val="00A91B23"/>
    <w:rsid w:val="00A92206"/>
    <w:rsid w:val="00A92A29"/>
    <w:rsid w:val="00A96838"/>
    <w:rsid w:val="00A972CE"/>
    <w:rsid w:val="00A972D4"/>
    <w:rsid w:val="00A97DAD"/>
    <w:rsid w:val="00AA0D6D"/>
    <w:rsid w:val="00AA10E7"/>
    <w:rsid w:val="00AA178B"/>
    <w:rsid w:val="00AA2CFE"/>
    <w:rsid w:val="00AA2D37"/>
    <w:rsid w:val="00AA3921"/>
    <w:rsid w:val="00AA5D9D"/>
    <w:rsid w:val="00AA639C"/>
    <w:rsid w:val="00AA6745"/>
    <w:rsid w:val="00AA78ED"/>
    <w:rsid w:val="00AA796A"/>
    <w:rsid w:val="00AB0113"/>
    <w:rsid w:val="00AB29F1"/>
    <w:rsid w:val="00AB31F7"/>
    <w:rsid w:val="00AB44FD"/>
    <w:rsid w:val="00AB45A1"/>
    <w:rsid w:val="00AB5A1A"/>
    <w:rsid w:val="00AB6ECE"/>
    <w:rsid w:val="00AB71EA"/>
    <w:rsid w:val="00AB71F9"/>
    <w:rsid w:val="00AC040B"/>
    <w:rsid w:val="00AC04FE"/>
    <w:rsid w:val="00AC0A2C"/>
    <w:rsid w:val="00AC2277"/>
    <w:rsid w:val="00AC3168"/>
    <w:rsid w:val="00AC3F00"/>
    <w:rsid w:val="00AC42FE"/>
    <w:rsid w:val="00AD00BD"/>
    <w:rsid w:val="00AD0A41"/>
    <w:rsid w:val="00AD1A30"/>
    <w:rsid w:val="00AD52BC"/>
    <w:rsid w:val="00AD61D6"/>
    <w:rsid w:val="00AD6522"/>
    <w:rsid w:val="00AD67EE"/>
    <w:rsid w:val="00AE1F02"/>
    <w:rsid w:val="00AE2262"/>
    <w:rsid w:val="00AE2770"/>
    <w:rsid w:val="00AE298D"/>
    <w:rsid w:val="00AE35C9"/>
    <w:rsid w:val="00AE40B9"/>
    <w:rsid w:val="00AE44B1"/>
    <w:rsid w:val="00AE56FC"/>
    <w:rsid w:val="00AF2F5A"/>
    <w:rsid w:val="00AF4020"/>
    <w:rsid w:val="00AF47B3"/>
    <w:rsid w:val="00AF4FCA"/>
    <w:rsid w:val="00AF620F"/>
    <w:rsid w:val="00AF73C4"/>
    <w:rsid w:val="00B0041E"/>
    <w:rsid w:val="00B01A2E"/>
    <w:rsid w:val="00B02E61"/>
    <w:rsid w:val="00B040AC"/>
    <w:rsid w:val="00B04B36"/>
    <w:rsid w:val="00B04BED"/>
    <w:rsid w:val="00B04E68"/>
    <w:rsid w:val="00B07B9E"/>
    <w:rsid w:val="00B07C68"/>
    <w:rsid w:val="00B1194B"/>
    <w:rsid w:val="00B13225"/>
    <w:rsid w:val="00B134B1"/>
    <w:rsid w:val="00B144AC"/>
    <w:rsid w:val="00B155BC"/>
    <w:rsid w:val="00B15ED1"/>
    <w:rsid w:val="00B15F19"/>
    <w:rsid w:val="00B16ECB"/>
    <w:rsid w:val="00B17030"/>
    <w:rsid w:val="00B1759A"/>
    <w:rsid w:val="00B17BD7"/>
    <w:rsid w:val="00B20126"/>
    <w:rsid w:val="00B218AA"/>
    <w:rsid w:val="00B240B8"/>
    <w:rsid w:val="00B2502A"/>
    <w:rsid w:val="00B254EA"/>
    <w:rsid w:val="00B261A1"/>
    <w:rsid w:val="00B261C5"/>
    <w:rsid w:val="00B265C9"/>
    <w:rsid w:val="00B3050C"/>
    <w:rsid w:val="00B3122C"/>
    <w:rsid w:val="00B319F2"/>
    <w:rsid w:val="00B32187"/>
    <w:rsid w:val="00B34CBD"/>
    <w:rsid w:val="00B3586C"/>
    <w:rsid w:val="00B35A84"/>
    <w:rsid w:val="00B35E7D"/>
    <w:rsid w:val="00B3646F"/>
    <w:rsid w:val="00B4211C"/>
    <w:rsid w:val="00B4233B"/>
    <w:rsid w:val="00B43197"/>
    <w:rsid w:val="00B43C06"/>
    <w:rsid w:val="00B43CA1"/>
    <w:rsid w:val="00B44026"/>
    <w:rsid w:val="00B440DC"/>
    <w:rsid w:val="00B4585B"/>
    <w:rsid w:val="00B45AC9"/>
    <w:rsid w:val="00B47376"/>
    <w:rsid w:val="00B50035"/>
    <w:rsid w:val="00B50633"/>
    <w:rsid w:val="00B52364"/>
    <w:rsid w:val="00B525C5"/>
    <w:rsid w:val="00B5293C"/>
    <w:rsid w:val="00B53142"/>
    <w:rsid w:val="00B53CBB"/>
    <w:rsid w:val="00B54C11"/>
    <w:rsid w:val="00B55342"/>
    <w:rsid w:val="00B5645C"/>
    <w:rsid w:val="00B5689A"/>
    <w:rsid w:val="00B57459"/>
    <w:rsid w:val="00B577C5"/>
    <w:rsid w:val="00B626FC"/>
    <w:rsid w:val="00B62BA5"/>
    <w:rsid w:val="00B639C3"/>
    <w:rsid w:val="00B64997"/>
    <w:rsid w:val="00B65180"/>
    <w:rsid w:val="00B653AB"/>
    <w:rsid w:val="00B65C3C"/>
    <w:rsid w:val="00B66886"/>
    <w:rsid w:val="00B66A97"/>
    <w:rsid w:val="00B66FA1"/>
    <w:rsid w:val="00B677D6"/>
    <w:rsid w:val="00B679F6"/>
    <w:rsid w:val="00B67B9C"/>
    <w:rsid w:val="00B67BF1"/>
    <w:rsid w:val="00B67C2F"/>
    <w:rsid w:val="00B701AA"/>
    <w:rsid w:val="00B703A2"/>
    <w:rsid w:val="00B70BA9"/>
    <w:rsid w:val="00B70FDE"/>
    <w:rsid w:val="00B7138F"/>
    <w:rsid w:val="00B71AC4"/>
    <w:rsid w:val="00B71D84"/>
    <w:rsid w:val="00B7323E"/>
    <w:rsid w:val="00B73501"/>
    <w:rsid w:val="00B73BCE"/>
    <w:rsid w:val="00B73DFD"/>
    <w:rsid w:val="00B757BA"/>
    <w:rsid w:val="00B77A90"/>
    <w:rsid w:val="00B77E8B"/>
    <w:rsid w:val="00B8072C"/>
    <w:rsid w:val="00B80D7E"/>
    <w:rsid w:val="00B8102F"/>
    <w:rsid w:val="00B83858"/>
    <w:rsid w:val="00B84E9F"/>
    <w:rsid w:val="00B86C1B"/>
    <w:rsid w:val="00B86F04"/>
    <w:rsid w:val="00B87555"/>
    <w:rsid w:val="00B91051"/>
    <w:rsid w:val="00B91625"/>
    <w:rsid w:val="00B929C7"/>
    <w:rsid w:val="00B92E2A"/>
    <w:rsid w:val="00B9309D"/>
    <w:rsid w:val="00B9331D"/>
    <w:rsid w:val="00B941A1"/>
    <w:rsid w:val="00B9485F"/>
    <w:rsid w:val="00B97DAD"/>
    <w:rsid w:val="00BA5C0C"/>
    <w:rsid w:val="00BA6445"/>
    <w:rsid w:val="00BA6959"/>
    <w:rsid w:val="00BA7053"/>
    <w:rsid w:val="00BA764C"/>
    <w:rsid w:val="00BA7736"/>
    <w:rsid w:val="00BB19F1"/>
    <w:rsid w:val="00BB1B19"/>
    <w:rsid w:val="00BB2E5F"/>
    <w:rsid w:val="00BB3A1E"/>
    <w:rsid w:val="00BB5CCC"/>
    <w:rsid w:val="00BB76CA"/>
    <w:rsid w:val="00BC0069"/>
    <w:rsid w:val="00BC07F0"/>
    <w:rsid w:val="00BC2507"/>
    <w:rsid w:val="00BC31F1"/>
    <w:rsid w:val="00BC38C7"/>
    <w:rsid w:val="00BC3FE2"/>
    <w:rsid w:val="00BC464C"/>
    <w:rsid w:val="00BC4A1D"/>
    <w:rsid w:val="00BC4A51"/>
    <w:rsid w:val="00BC4DCB"/>
    <w:rsid w:val="00BC5FB4"/>
    <w:rsid w:val="00BC77DB"/>
    <w:rsid w:val="00BD2080"/>
    <w:rsid w:val="00BD212A"/>
    <w:rsid w:val="00BD2A87"/>
    <w:rsid w:val="00BD33A8"/>
    <w:rsid w:val="00BD52F1"/>
    <w:rsid w:val="00BD64F2"/>
    <w:rsid w:val="00BD7E63"/>
    <w:rsid w:val="00BE053E"/>
    <w:rsid w:val="00BE0D14"/>
    <w:rsid w:val="00BE0D34"/>
    <w:rsid w:val="00BE0DBC"/>
    <w:rsid w:val="00BE1E2D"/>
    <w:rsid w:val="00BE2A0E"/>
    <w:rsid w:val="00BE3994"/>
    <w:rsid w:val="00BE3A30"/>
    <w:rsid w:val="00BE5517"/>
    <w:rsid w:val="00BE60C1"/>
    <w:rsid w:val="00BE6E7E"/>
    <w:rsid w:val="00BF076C"/>
    <w:rsid w:val="00BF4363"/>
    <w:rsid w:val="00BF5709"/>
    <w:rsid w:val="00BF5980"/>
    <w:rsid w:val="00C01901"/>
    <w:rsid w:val="00C02B85"/>
    <w:rsid w:val="00C03406"/>
    <w:rsid w:val="00C03C20"/>
    <w:rsid w:val="00C03C88"/>
    <w:rsid w:val="00C0505E"/>
    <w:rsid w:val="00C059E9"/>
    <w:rsid w:val="00C06233"/>
    <w:rsid w:val="00C107BA"/>
    <w:rsid w:val="00C10B8D"/>
    <w:rsid w:val="00C13F67"/>
    <w:rsid w:val="00C15759"/>
    <w:rsid w:val="00C15C9C"/>
    <w:rsid w:val="00C15F04"/>
    <w:rsid w:val="00C16332"/>
    <w:rsid w:val="00C166BC"/>
    <w:rsid w:val="00C167F2"/>
    <w:rsid w:val="00C20FB8"/>
    <w:rsid w:val="00C20FF9"/>
    <w:rsid w:val="00C20FFF"/>
    <w:rsid w:val="00C216C3"/>
    <w:rsid w:val="00C217D4"/>
    <w:rsid w:val="00C229C5"/>
    <w:rsid w:val="00C2354A"/>
    <w:rsid w:val="00C2434E"/>
    <w:rsid w:val="00C27F03"/>
    <w:rsid w:val="00C3023F"/>
    <w:rsid w:val="00C32C50"/>
    <w:rsid w:val="00C332C6"/>
    <w:rsid w:val="00C33C46"/>
    <w:rsid w:val="00C34224"/>
    <w:rsid w:val="00C34FEB"/>
    <w:rsid w:val="00C35CA2"/>
    <w:rsid w:val="00C35E30"/>
    <w:rsid w:val="00C3676A"/>
    <w:rsid w:val="00C3758F"/>
    <w:rsid w:val="00C378E1"/>
    <w:rsid w:val="00C37FE6"/>
    <w:rsid w:val="00C404BF"/>
    <w:rsid w:val="00C4181D"/>
    <w:rsid w:val="00C41906"/>
    <w:rsid w:val="00C45261"/>
    <w:rsid w:val="00C45E7F"/>
    <w:rsid w:val="00C46189"/>
    <w:rsid w:val="00C4713C"/>
    <w:rsid w:val="00C4766B"/>
    <w:rsid w:val="00C47B19"/>
    <w:rsid w:val="00C512D2"/>
    <w:rsid w:val="00C51AC4"/>
    <w:rsid w:val="00C51BE0"/>
    <w:rsid w:val="00C52EE1"/>
    <w:rsid w:val="00C5340F"/>
    <w:rsid w:val="00C5412D"/>
    <w:rsid w:val="00C557AB"/>
    <w:rsid w:val="00C5594B"/>
    <w:rsid w:val="00C55FB6"/>
    <w:rsid w:val="00C569A8"/>
    <w:rsid w:val="00C56E38"/>
    <w:rsid w:val="00C574D6"/>
    <w:rsid w:val="00C5777E"/>
    <w:rsid w:val="00C57A3A"/>
    <w:rsid w:val="00C60726"/>
    <w:rsid w:val="00C616C7"/>
    <w:rsid w:val="00C618C5"/>
    <w:rsid w:val="00C62666"/>
    <w:rsid w:val="00C63224"/>
    <w:rsid w:val="00C63F70"/>
    <w:rsid w:val="00C645CD"/>
    <w:rsid w:val="00C65812"/>
    <w:rsid w:val="00C658BA"/>
    <w:rsid w:val="00C65CD1"/>
    <w:rsid w:val="00C6666C"/>
    <w:rsid w:val="00C6673A"/>
    <w:rsid w:val="00C67911"/>
    <w:rsid w:val="00C72726"/>
    <w:rsid w:val="00C72836"/>
    <w:rsid w:val="00C74D70"/>
    <w:rsid w:val="00C751F7"/>
    <w:rsid w:val="00C75ECE"/>
    <w:rsid w:val="00C760D3"/>
    <w:rsid w:val="00C77224"/>
    <w:rsid w:val="00C77342"/>
    <w:rsid w:val="00C77370"/>
    <w:rsid w:val="00C80604"/>
    <w:rsid w:val="00C80897"/>
    <w:rsid w:val="00C81071"/>
    <w:rsid w:val="00C812C5"/>
    <w:rsid w:val="00C82641"/>
    <w:rsid w:val="00C8289E"/>
    <w:rsid w:val="00C8378D"/>
    <w:rsid w:val="00C84F74"/>
    <w:rsid w:val="00C85A1F"/>
    <w:rsid w:val="00C862E3"/>
    <w:rsid w:val="00C86B75"/>
    <w:rsid w:val="00C929AE"/>
    <w:rsid w:val="00C950EF"/>
    <w:rsid w:val="00C96261"/>
    <w:rsid w:val="00C97817"/>
    <w:rsid w:val="00C97DA1"/>
    <w:rsid w:val="00C97F3D"/>
    <w:rsid w:val="00CA0C7A"/>
    <w:rsid w:val="00CA0D24"/>
    <w:rsid w:val="00CA0D84"/>
    <w:rsid w:val="00CA12D5"/>
    <w:rsid w:val="00CA2D5D"/>
    <w:rsid w:val="00CA2E02"/>
    <w:rsid w:val="00CA4BD7"/>
    <w:rsid w:val="00CA54E4"/>
    <w:rsid w:val="00CA5971"/>
    <w:rsid w:val="00CA70BC"/>
    <w:rsid w:val="00CA71E0"/>
    <w:rsid w:val="00CA7CCD"/>
    <w:rsid w:val="00CB0703"/>
    <w:rsid w:val="00CB1D46"/>
    <w:rsid w:val="00CB4696"/>
    <w:rsid w:val="00CB47F5"/>
    <w:rsid w:val="00CB5191"/>
    <w:rsid w:val="00CC0A6C"/>
    <w:rsid w:val="00CC0F93"/>
    <w:rsid w:val="00CC101F"/>
    <w:rsid w:val="00CC1A02"/>
    <w:rsid w:val="00CC36E8"/>
    <w:rsid w:val="00CC50DA"/>
    <w:rsid w:val="00CC5F2F"/>
    <w:rsid w:val="00CC63DB"/>
    <w:rsid w:val="00CC6CC3"/>
    <w:rsid w:val="00CC6FD2"/>
    <w:rsid w:val="00CD0796"/>
    <w:rsid w:val="00CD08AB"/>
    <w:rsid w:val="00CD09FB"/>
    <w:rsid w:val="00CD0A83"/>
    <w:rsid w:val="00CD3026"/>
    <w:rsid w:val="00CD34D7"/>
    <w:rsid w:val="00CD460B"/>
    <w:rsid w:val="00CD5098"/>
    <w:rsid w:val="00CD5EF3"/>
    <w:rsid w:val="00CD6958"/>
    <w:rsid w:val="00CD7732"/>
    <w:rsid w:val="00CD7E16"/>
    <w:rsid w:val="00CE165B"/>
    <w:rsid w:val="00CE4252"/>
    <w:rsid w:val="00CE49A2"/>
    <w:rsid w:val="00CE4D49"/>
    <w:rsid w:val="00CE4E69"/>
    <w:rsid w:val="00CE5116"/>
    <w:rsid w:val="00CE55FE"/>
    <w:rsid w:val="00CE6325"/>
    <w:rsid w:val="00CE6E8F"/>
    <w:rsid w:val="00CF0060"/>
    <w:rsid w:val="00CF09FC"/>
    <w:rsid w:val="00CF0C07"/>
    <w:rsid w:val="00CF1B5B"/>
    <w:rsid w:val="00CF1CF4"/>
    <w:rsid w:val="00CF1E0B"/>
    <w:rsid w:val="00CF3786"/>
    <w:rsid w:val="00CF4354"/>
    <w:rsid w:val="00CF4A80"/>
    <w:rsid w:val="00CF56A8"/>
    <w:rsid w:val="00CF56B9"/>
    <w:rsid w:val="00CF6732"/>
    <w:rsid w:val="00CF7A86"/>
    <w:rsid w:val="00D00260"/>
    <w:rsid w:val="00D014D0"/>
    <w:rsid w:val="00D01B7C"/>
    <w:rsid w:val="00D0304A"/>
    <w:rsid w:val="00D05483"/>
    <w:rsid w:val="00D0591B"/>
    <w:rsid w:val="00D05C48"/>
    <w:rsid w:val="00D0644F"/>
    <w:rsid w:val="00D06C44"/>
    <w:rsid w:val="00D10A05"/>
    <w:rsid w:val="00D10F8D"/>
    <w:rsid w:val="00D12D88"/>
    <w:rsid w:val="00D14105"/>
    <w:rsid w:val="00D17B19"/>
    <w:rsid w:val="00D207CB"/>
    <w:rsid w:val="00D208C7"/>
    <w:rsid w:val="00D20C3B"/>
    <w:rsid w:val="00D24716"/>
    <w:rsid w:val="00D24C8A"/>
    <w:rsid w:val="00D25B6E"/>
    <w:rsid w:val="00D25B88"/>
    <w:rsid w:val="00D25D94"/>
    <w:rsid w:val="00D265C6"/>
    <w:rsid w:val="00D26C95"/>
    <w:rsid w:val="00D27B06"/>
    <w:rsid w:val="00D27C67"/>
    <w:rsid w:val="00D30F7C"/>
    <w:rsid w:val="00D3155A"/>
    <w:rsid w:val="00D320D6"/>
    <w:rsid w:val="00D327D1"/>
    <w:rsid w:val="00D33358"/>
    <w:rsid w:val="00D34C0B"/>
    <w:rsid w:val="00D35AF7"/>
    <w:rsid w:val="00D35C2A"/>
    <w:rsid w:val="00D3602F"/>
    <w:rsid w:val="00D403B6"/>
    <w:rsid w:val="00D4072E"/>
    <w:rsid w:val="00D41538"/>
    <w:rsid w:val="00D430F1"/>
    <w:rsid w:val="00D437FA"/>
    <w:rsid w:val="00D441A8"/>
    <w:rsid w:val="00D44955"/>
    <w:rsid w:val="00D45A1F"/>
    <w:rsid w:val="00D47037"/>
    <w:rsid w:val="00D47280"/>
    <w:rsid w:val="00D473C5"/>
    <w:rsid w:val="00D50638"/>
    <w:rsid w:val="00D510C7"/>
    <w:rsid w:val="00D51241"/>
    <w:rsid w:val="00D57E9F"/>
    <w:rsid w:val="00D6059A"/>
    <w:rsid w:val="00D62200"/>
    <w:rsid w:val="00D62211"/>
    <w:rsid w:val="00D62A33"/>
    <w:rsid w:val="00D63410"/>
    <w:rsid w:val="00D64C9B"/>
    <w:rsid w:val="00D66B7F"/>
    <w:rsid w:val="00D66F1E"/>
    <w:rsid w:val="00D67F43"/>
    <w:rsid w:val="00D7137E"/>
    <w:rsid w:val="00D71F1E"/>
    <w:rsid w:val="00D723F4"/>
    <w:rsid w:val="00D75E8C"/>
    <w:rsid w:val="00D76765"/>
    <w:rsid w:val="00D77A1F"/>
    <w:rsid w:val="00D77EC6"/>
    <w:rsid w:val="00D77EC8"/>
    <w:rsid w:val="00D806DD"/>
    <w:rsid w:val="00D81CE0"/>
    <w:rsid w:val="00D821DE"/>
    <w:rsid w:val="00D82F42"/>
    <w:rsid w:val="00D85AB9"/>
    <w:rsid w:val="00D860A8"/>
    <w:rsid w:val="00D866B1"/>
    <w:rsid w:val="00D86921"/>
    <w:rsid w:val="00D86C71"/>
    <w:rsid w:val="00D86D09"/>
    <w:rsid w:val="00D937F5"/>
    <w:rsid w:val="00D95A18"/>
    <w:rsid w:val="00D95C37"/>
    <w:rsid w:val="00D95D9E"/>
    <w:rsid w:val="00DA213E"/>
    <w:rsid w:val="00DA289A"/>
    <w:rsid w:val="00DA3259"/>
    <w:rsid w:val="00DA3CF3"/>
    <w:rsid w:val="00DA4062"/>
    <w:rsid w:val="00DA5A11"/>
    <w:rsid w:val="00DA74B1"/>
    <w:rsid w:val="00DA79C5"/>
    <w:rsid w:val="00DB10C0"/>
    <w:rsid w:val="00DB1339"/>
    <w:rsid w:val="00DB4D78"/>
    <w:rsid w:val="00DB4F42"/>
    <w:rsid w:val="00DB5F00"/>
    <w:rsid w:val="00DC005D"/>
    <w:rsid w:val="00DC2A16"/>
    <w:rsid w:val="00DC2F27"/>
    <w:rsid w:val="00DC4EDE"/>
    <w:rsid w:val="00DC6AAA"/>
    <w:rsid w:val="00DC70B5"/>
    <w:rsid w:val="00DD190E"/>
    <w:rsid w:val="00DD30D9"/>
    <w:rsid w:val="00DD362B"/>
    <w:rsid w:val="00DD55A8"/>
    <w:rsid w:val="00DD5C8C"/>
    <w:rsid w:val="00DD5F2C"/>
    <w:rsid w:val="00DD76B3"/>
    <w:rsid w:val="00DD788A"/>
    <w:rsid w:val="00DD7ACD"/>
    <w:rsid w:val="00DE1D71"/>
    <w:rsid w:val="00DE249C"/>
    <w:rsid w:val="00DE316B"/>
    <w:rsid w:val="00DE53FE"/>
    <w:rsid w:val="00DE57FF"/>
    <w:rsid w:val="00DE6D00"/>
    <w:rsid w:val="00DF04B9"/>
    <w:rsid w:val="00DF1DAB"/>
    <w:rsid w:val="00DF29DE"/>
    <w:rsid w:val="00DF2F3D"/>
    <w:rsid w:val="00DF3016"/>
    <w:rsid w:val="00DF3675"/>
    <w:rsid w:val="00DF3872"/>
    <w:rsid w:val="00DF42CD"/>
    <w:rsid w:val="00DF5951"/>
    <w:rsid w:val="00DF6CCD"/>
    <w:rsid w:val="00DF6EF8"/>
    <w:rsid w:val="00DF6F9B"/>
    <w:rsid w:val="00DF7B09"/>
    <w:rsid w:val="00DF7E21"/>
    <w:rsid w:val="00E05047"/>
    <w:rsid w:val="00E0750A"/>
    <w:rsid w:val="00E102CA"/>
    <w:rsid w:val="00E11F96"/>
    <w:rsid w:val="00E136D6"/>
    <w:rsid w:val="00E1426B"/>
    <w:rsid w:val="00E146B8"/>
    <w:rsid w:val="00E146D6"/>
    <w:rsid w:val="00E155CD"/>
    <w:rsid w:val="00E15678"/>
    <w:rsid w:val="00E15C0E"/>
    <w:rsid w:val="00E16B28"/>
    <w:rsid w:val="00E16C67"/>
    <w:rsid w:val="00E17214"/>
    <w:rsid w:val="00E17691"/>
    <w:rsid w:val="00E203DE"/>
    <w:rsid w:val="00E20BAB"/>
    <w:rsid w:val="00E222BC"/>
    <w:rsid w:val="00E22442"/>
    <w:rsid w:val="00E229BF"/>
    <w:rsid w:val="00E23711"/>
    <w:rsid w:val="00E23857"/>
    <w:rsid w:val="00E24C16"/>
    <w:rsid w:val="00E25C39"/>
    <w:rsid w:val="00E30C8F"/>
    <w:rsid w:val="00E32172"/>
    <w:rsid w:val="00E322C5"/>
    <w:rsid w:val="00E32E87"/>
    <w:rsid w:val="00E345F4"/>
    <w:rsid w:val="00E35461"/>
    <w:rsid w:val="00E35E57"/>
    <w:rsid w:val="00E3604B"/>
    <w:rsid w:val="00E36229"/>
    <w:rsid w:val="00E36DC8"/>
    <w:rsid w:val="00E37089"/>
    <w:rsid w:val="00E37BA1"/>
    <w:rsid w:val="00E4007B"/>
    <w:rsid w:val="00E40405"/>
    <w:rsid w:val="00E407C0"/>
    <w:rsid w:val="00E41604"/>
    <w:rsid w:val="00E420C4"/>
    <w:rsid w:val="00E422B4"/>
    <w:rsid w:val="00E42DF6"/>
    <w:rsid w:val="00E42F6C"/>
    <w:rsid w:val="00E434F7"/>
    <w:rsid w:val="00E438A1"/>
    <w:rsid w:val="00E4458B"/>
    <w:rsid w:val="00E44920"/>
    <w:rsid w:val="00E4564C"/>
    <w:rsid w:val="00E4584F"/>
    <w:rsid w:val="00E46FEC"/>
    <w:rsid w:val="00E472F9"/>
    <w:rsid w:val="00E51B00"/>
    <w:rsid w:val="00E52C56"/>
    <w:rsid w:val="00E53316"/>
    <w:rsid w:val="00E54CCE"/>
    <w:rsid w:val="00E55F8E"/>
    <w:rsid w:val="00E60FB1"/>
    <w:rsid w:val="00E62B63"/>
    <w:rsid w:val="00E63702"/>
    <w:rsid w:val="00E63994"/>
    <w:rsid w:val="00E643A6"/>
    <w:rsid w:val="00E64A28"/>
    <w:rsid w:val="00E6637B"/>
    <w:rsid w:val="00E70BDE"/>
    <w:rsid w:val="00E70D71"/>
    <w:rsid w:val="00E717EA"/>
    <w:rsid w:val="00E7280A"/>
    <w:rsid w:val="00E73316"/>
    <w:rsid w:val="00E74351"/>
    <w:rsid w:val="00E75910"/>
    <w:rsid w:val="00E7622F"/>
    <w:rsid w:val="00E77353"/>
    <w:rsid w:val="00E77548"/>
    <w:rsid w:val="00E77CF5"/>
    <w:rsid w:val="00E80922"/>
    <w:rsid w:val="00E81112"/>
    <w:rsid w:val="00E81C83"/>
    <w:rsid w:val="00E82DFC"/>
    <w:rsid w:val="00E86FFD"/>
    <w:rsid w:val="00E9400E"/>
    <w:rsid w:val="00E94535"/>
    <w:rsid w:val="00E94956"/>
    <w:rsid w:val="00E94B19"/>
    <w:rsid w:val="00E97060"/>
    <w:rsid w:val="00E97558"/>
    <w:rsid w:val="00EA1620"/>
    <w:rsid w:val="00EA1E44"/>
    <w:rsid w:val="00EA2283"/>
    <w:rsid w:val="00EA3840"/>
    <w:rsid w:val="00EA655A"/>
    <w:rsid w:val="00EA6CFB"/>
    <w:rsid w:val="00EA7544"/>
    <w:rsid w:val="00EB01CA"/>
    <w:rsid w:val="00EB06EC"/>
    <w:rsid w:val="00EB0864"/>
    <w:rsid w:val="00EB0A06"/>
    <w:rsid w:val="00EB17F5"/>
    <w:rsid w:val="00EB23FD"/>
    <w:rsid w:val="00EB2963"/>
    <w:rsid w:val="00EB29B6"/>
    <w:rsid w:val="00EB3267"/>
    <w:rsid w:val="00EB3895"/>
    <w:rsid w:val="00EB38B4"/>
    <w:rsid w:val="00EB519C"/>
    <w:rsid w:val="00EB55DE"/>
    <w:rsid w:val="00EB5FCD"/>
    <w:rsid w:val="00EB6A0D"/>
    <w:rsid w:val="00EB7356"/>
    <w:rsid w:val="00EC2220"/>
    <w:rsid w:val="00EC5A15"/>
    <w:rsid w:val="00ED378B"/>
    <w:rsid w:val="00ED3AE2"/>
    <w:rsid w:val="00ED5D7B"/>
    <w:rsid w:val="00ED7240"/>
    <w:rsid w:val="00ED7DD7"/>
    <w:rsid w:val="00EE0997"/>
    <w:rsid w:val="00EE148F"/>
    <w:rsid w:val="00EE3B88"/>
    <w:rsid w:val="00EE4882"/>
    <w:rsid w:val="00EE5000"/>
    <w:rsid w:val="00EE5340"/>
    <w:rsid w:val="00EE604F"/>
    <w:rsid w:val="00EE725C"/>
    <w:rsid w:val="00EF03F5"/>
    <w:rsid w:val="00EF0D47"/>
    <w:rsid w:val="00EF21C1"/>
    <w:rsid w:val="00EF41E8"/>
    <w:rsid w:val="00EF5E8B"/>
    <w:rsid w:val="00EF6174"/>
    <w:rsid w:val="00EF66D2"/>
    <w:rsid w:val="00EF7412"/>
    <w:rsid w:val="00EF77D9"/>
    <w:rsid w:val="00EF797F"/>
    <w:rsid w:val="00EF7E68"/>
    <w:rsid w:val="00F000FD"/>
    <w:rsid w:val="00F011E3"/>
    <w:rsid w:val="00F015DA"/>
    <w:rsid w:val="00F03ED5"/>
    <w:rsid w:val="00F04300"/>
    <w:rsid w:val="00F044BC"/>
    <w:rsid w:val="00F04E80"/>
    <w:rsid w:val="00F05AD3"/>
    <w:rsid w:val="00F07C01"/>
    <w:rsid w:val="00F10C24"/>
    <w:rsid w:val="00F111BC"/>
    <w:rsid w:val="00F13B12"/>
    <w:rsid w:val="00F16D18"/>
    <w:rsid w:val="00F22B3F"/>
    <w:rsid w:val="00F23C50"/>
    <w:rsid w:val="00F25552"/>
    <w:rsid w:val="00F2565C"/>
    <w:rsid w:val="00F274C7"/>
    <w:rsid w:val="00F329E6"/>
    <w:rsid w:val="00F33880"/>
    <w:rsid w:val="00F369C1"/>
    <w:rsid w:val="00F3740C"/>
    <w:rsid w:val="00F4003B"/>
    <w:rsid w:val="00F4078C"/>
    <w:rsid w:val="00F40C46"/>
    <w:rsid w:val="00F41426"/>
    <w:rsid w:val="00F418DD"/>
    <w:rsid w:val="00F41BA8"/>
    <w:rsid w:val="00F43A28"/>
    <w:rsid w:val="00F441B8"/>
    <w:rsid w:val="00F44CC0"/>
    <w:rsid w:val="00F45876"/>
    <w:rsid w:val="00F46D56"/>
    <w:rsid w:val="00F473F6"/>
    <w:rsid w:val="00F4787B"/>
    <w:rsid w:val="00F47F15"/>
    <w:rsid w:val="00F47FFE"/>
    <w:rsid w:val="00F53FE3"/>
    <w:rsid w:val="00F561F3"/>
    <w:rsid w:val="00F56258"/>
    <w:rsid w:val="00F6011A"/>
    <w:rsid w:val="00F60252"/>
    <w:rsid w:val="00F60824"/>
    <w:rsid w:val="00F60A84"/>
    <w:rsid w:val="00F6251C"/>
    <w:rsid w:val="00F63368"/>
    <w:rsid w:val="00F63C99"/>
    <w:rsid w:val="00F66235"/>
    <w:rsid w:val="00F66F85"/>
    <w:rsid w:val="00F7064F"/>
    <w:rsid w:val="00F71EE5"/>
    <w:rsid w:val="00F739BD"/>
    <w:rsid w:val="00F73F1C"/>
    <w:rsid w:val="00F75BD8"/>
    <w:rsid w:val="00F764E8"/>
    <w:rsid w:val="00F76595"/>
    <w:rsid w:val="00F768AE"/>
    <w:rsid w:val="00F76A94"/>
    <w:rsid w:val="00F76D1F"/>
    <w:rsid w:val="00F771B2"/>
    <w:rsid w:val="00F77272"/>
    <w:rsid w:val="00F77B97"/>
    <w:rsid w:val="00F81167"/>
    <w:rsid w:val="00F81363"/>
    <w:rsid w:val="00F81A54"/>
    <w:rsid w:val="00F828A2"/>
    <w:rsid w:val="00F82ED0"/>
    <w:rsid w:val="00F83328"/>
    <w:rsid w:val="00F85082"/>
    <w:rsid w:val="00F85BB1"/>
    <w:rsid w:val="00F87F86"/>
    <w:rsid w:val="00F90C80"/>
    <w:rsid w:val="00F937BD"/>
    <w:rsid w:val="00F9517F"/>
    <w:rsid w:val="00F95903"/>
    <w:rsid w:val="00F95E06"/>
    <w:rsid w:val="00F96B28"/>
    <w:rsid w:val="00FA0323"/>
    <w:rsid w:val="00FA0CA8"/>
    <w:rsid w:val="00FA1204"/>
    <w:rsid w:val="00FA14BC"/>
    <w:rsid w:val="00FA2281"/>
    <w:rsid w:val="00FA3265"/>
    <w:rsid w:val="00FA4E11"/>
    <w:rsid w:val="00FA5216"/>
    <w:rsid w:val="00FA590B"/>
    <w:rsid w:val="00FA5C34"/>
    <w:rsid w:val="00FA60DA"/>
    <w:rsid w:val="00FA6705"/>
    <w:rsid w:val="00FA7611"/>
    <w:rsid w:val="00FB01EC"/>
    <w:rsid w:val="00FB0947"/>
    <w:rsid w:val="00FB1F11"/>
    <w:rsid w:val="00FB1FC2"/>
    <w:rsid w:val="00FB4815"/>
    <w:rsid w:val="00FB4F56"/>
    <w:rsid w:val="00FB5DEF"/>
    <w:rsid w:val="00FB6DC3"/>
    <w:rsid w:val="00FC0920"/>
    <w:rsid w:val="00FC0B4D"/>
    <w:rsid w:val="00FC20CE"/>
    <w:rsid w:val="00FC2B71"/>
    <w:rsid w:val="00FC3C44"/>
    <w:rsid w:val="00FC44C6"/>
    <w:rsid w:val="00FC5D6F"/>
    <w:rsid w:val="00FC5E20"/>
    <w:rsid w:val="00FC73F0"/>
    <w:rsid w:val="00FC7577"/>
    <w:rsid w:val="00FC79EC"/>
    <w:rsid w:val="00FD0242"/>
    <w:rsid w:val="00FD17CC"/>
    <w:rsid w:val="00FD2122"/>
    <w:rsid w:val="00FD21BD"/>
    <w:rsid w:val="00FD5380"/>
    <w:rsid w:val="00FD5E3E"/>
    <w:rsid w:val="00FD6891"/>
    <w:rsid w:val="00FD6CB9"/>
    <w:rsid w:val="00FE00F7"/>
    <w:rsid w:val="00FE0147"/>
    <w:rsid w:val="00FE16FC"/>
    <w:rsid w:val="00FE1854"/>
    <w:rsid w:val="00FE18D8"/>
    <w:rsid w:val="00FE3719"/>
    <w:rsid w:val="00FE38FE"/>
    <w:rsid w:val="00FF1885"/>
    <w:rsid w:val="00FF2A24"/>
    <w:rsid w:val="00FF3E51"/>
    <w:rsid w:val="00FF469D"/>
    <w:rsid w:val="00FF46D7"/>
    <w:rsid w:val="00FF46E4"/>
    <w:rsid w:val="00FF58D5"/>
    <w:rsid w:val="00FF63AF"/>
    <w:rsid w:val="00FF65CA"/>
    <w:rsid w:val="00FF7197"/>
    <w:rsid w:val="00FF785D"/>
    <w:rsid w:val="0C9B593C"/>
    <w:rsid w:val="62B0106B"/>
    <w:rsid w:val="7840534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CF7B4"/>
  <w15:chartTrackingRefBased/>
  <w15:docId w15:val="{7D67B43D-672D-48F6-AB49-06AF2FC0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0F7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933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1CD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Nagwek3">
    <w:name w:val="heading 3"/>
    <w:basedOn w:val="Normalny"/>
    <w:next w:val="Normalny"/>
    <w:link w:val="Nagwek3Znak"/>
    <w:uiPriority w:val="9"/>
    <w:semiHidden/>
    <w:unhideWhenUsed/>
    <w:qFormat/>
    <w:rsid w:val="008D5FFF"/>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E60C1"/>
    <w:pPr>
      <w:tabs>
        <w:tab w:val="center" w:pos="4536"/>
        <w:tab w:val="right" w:pos="9072"/>
      </w:tabs>
    </w:pPr>
  </w:style>
  <w:style w:type="character" w:customStyle="1" w:styleId="NagwekZnak">
    <w:name w:val="Nagłówek Znak"/>
    <w:basedOn w:val="Domylnaczcionkaakapitu"/>
    <w:link w:val="Nagwek"/>
    <w:uiPriority w:val="99"/>
    <w:rsid w:val="00BE60C1"/>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BE60C1"/>
    <w:pPr>
      <w:tabs>
        <w:tab w:val="center" w:pos="4536"/>
        <w:tab w:val="right" w:pos="9072"/>
      </w:tabs>
    </w:pPr>
  </w:style>
  <w:style w:type="character" w:customStyle="1" w:styleId="StopkaZnak">
    <w:name w:val="Stopka Znak"/>
    <w:basedOn w:val="Domylnaczcionkaakapitu"/>
    <w:link w:val="Stopka"/>
    <w:uiPriority w:val="99"/>
    <w:rsid w:val="00BE60C1"/>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BE60C1"/>
    <w:pPr>
      <w:ind w:left="720"/>
      <w:contextualSpacing/>
    </w:pPr>
  </w:style>
  <w:style w:type="character" w:customStyle="1" w:styleId="AkapitzlistZnak">
    <w:name w:val="Akapit z listą Znak"/>
    <w:link w:val="Akapitzlist"/>
    <w:uiPriority w:val="34"/>
    <w:qFormat/>
    <w:locked/>
    <w:rsid w:val="00BE60C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BE60C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60C1"/>
    <w:rPr>
      <w:rFonts w:ascii="Segoe UI" w:eastAsia="Times New Roman" w:hAnsi="Segoe UI" w:cs="Segoe UI"/>
      <w:sz w:val="18"/>
      <w:szCs w:val="18"/>
      <w:lang w:eastAsia="pl-PL"/>
    </w:rPr>
  </w:style>
  <w:style w:type="character" w:customStyle="1" w:styleId="css-901oao">
    <w:name w:val="css-901oao"/>
    <w:basedOn w:val="Domylnaczcionkaakapitu"/>
    <w:rsid w:val="002E698D"/>
  </w:style>
  <w:style w:type="paragraph" w:styleId="NormalnyWeb">
    <w:name w:val="Normal (Web)"/>
    <w:basedOn w:val="Normalny"/>
    <w:uiPriority w:val="99"/>
    <w:unhideWhenUsed/>
    <w:qFormat/>
    <w:rsid w:val="009D2185"/>
    <w:pPr>
      <w:spacing w:before="100" w:beforeAutospacing="1" w:after="100" w:afterAutospacing="1"/>
    </w:pPr>
  </w:style>
  <w:style w:type="character" w:customStyle="1" w:styleId="apple-tab-span">
    <w:name w:val="apple-tab-span"/>
    <w:basedOn w:val="Domylnaczcionkaakapitu"/>
    <w:rsid w:val="001E30B2"/>
  </w:style>
  <w:style w:type="paragraph" w:customStyle="1" w:styleId="Tre">
    <w:name w:val="Treść"/>
    <w:rsid w:val="005F254C"/>
    <w:pPr>
      <w:pBdr>
        <w:top w:val="nil"/>
        <w:left w:val="nil"/>
        <w:bottom w:val="nil"/>
        <w:right w:val="nil"/>
        <w:between w:val="nil"/>
        <w:bar w:val="nil"/>
      </w:pBdr>
      <w:suppressAutoHyphens/>
      <w:spacing w:after="0" w:line="320" w:lineRule="atLeast"/>
    </w:pPr>
    <w:rPr>
      <w:rFonts w:ascii="Tahoma" w:eastAsia="Tahoma" w:hAnsi="Tahoma" w:cs="Tahoma"/>
      <w:color w:val="000000"/>
      <w:sz w:val="20"/>
      <w:szCs w:val="20"/>
      <w:u w:color="000000"/>
      <w:bdr w:val="nil"/>
      <w:lang w:val="en-US"/>
      <w14:textOutline w14:w="0" w14:cap="flat" w14:cmpd="sng" w14:algn="ctr">
        <w14:noFill/>
        <w14:prstDash w14:val="solid"/>
        <w14:bevel/>
      </w14:textOutline>
    </w:rPr>
  </w:style>
  <w:style w:type="character" w:customStyle="1" w:styleId="BrakA">
    <w:name w:val="Brak A"/>
    <w:rsid w:val="005F254C"/>
    <w:rPr>
      <w:lang w:val="it-IT"/>
    </w:rPr>
  </w:style>
  <w:style w:type="character" w:styleId="Hipercze">
    <w:name w:val="Hyperlink"/>
    <w:basedOn w:val="Domylnaczcionkaakapitu"/>
    <w:uiPriority w:val="99"/>
    <w:unhideWhenUsed/>
    <w:rsid w:val="001B6EFB"/>
    <w:rPr>
      <w:color w:val="0563C1" w:themeColor="hyperlink"/>
      <w:u w:val="single"/>
    </w:rPr>
  </w:style>
  <w:style w:type="character" w:customStyle="1" w:styleId="Nierozpoznanawzmianka1">
    <w:name w:val="Nierozpoznana wzmianka1"/>
    <w:basedOn w:val="Domylnaczcionkaakapitu"/>
    <w:uiPriority w:val="99"/>
    <w:semiHidden/>
    <w:unhideWhenUsed/>
    <w:rsid w:val="001B6EFB"/>
    <w:rPr>
      <w:color w:val="605E5C"/>
      <w:shd w:val="clear" w:color="auto" w:fill="E1DFDD"/>
    </w:rPr>
  </w:style>
  <w:style w:type="character" w:styleId="UyteHipercze">
    <w:name w:val="FollowedHyperlink"/>
    <w:basedOn w:val="Domylnaczcionkaakapitu"/>
    <w:uiPriority w:val="99"/>
    <w:semiHidden/>
    <w:unhideWhenUsed/>
    <w:rsid w:val="001B6EFB"/>
    <w:rPr>
      <w:color w:val="954F72" w:themeColor="followedHyperlink"/>
      <w:u w:val="single"/>
    </w:rPr>
  </w:style>
  <w:style w:type="character" w:styleId="Pogrubienie">
    <w:name w:val="Strong"/>
    <w:basedOn w:val="Domylnaczcionkaakapitu"/>
    <w:uiPriority w:val="22"/>
    <w:qFormat/>
    <w:rsid w:val="00A46A3A"/>
    <w:rPr>
      <w:b/>
      <w:bCs/>
    </w:rPr>
  </w:style>
  <w:style w:type="paragraph" w:styleId="Tekstkomentarza">
    <w:name w:val="annotation text"/>
    <w:basedOn w:val="Normalny"/>
    <w:link w:val="TekstkomentarzaZnak"/>
    <w:uiPriority w:val="99"/>
    <w:unhideWhenUsed/>
    <w:rsid w:val="005F2D14"/>
    <w:rPr>
      <w:sz w:val="20"/>
      <w:szCs w:val="20"/>
    </w:rPr>
  </w:style>
  <w:style w:type="character" w:customStyle="1" w:styleId="TekstkomentarzaZnak">
    <w:name w:val="Tekst komentarza Znak"/>
    <w:basedOn w:val="Domylnaczcionkaakapitu"/>
    <w:link w:val="Tekstkomentarza"/>
    <w:uiPriority w:val="99"/>
    <w:rsid w:val="005F2D14"/>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5F2D14"/>
    <w:rPr>
      <w:sz w:val="16"/>
      <w:szCs w:val="16"/>
    </w:rPr>
  </w:style>
  <w:style w:type="paragraph" w:customStyle="1" w:styleId="paragraph">
    <w:name w:val="paragraph"/>
    <w:basedOn w:val="Normalny"/>
    <w:rsid w:val="00401266"/>
    <w:pPr>
      <w:spacing w:before="100" w:beforeAutospacing="1" w:after="100" w:afterAutospacing="1"/>
    </w:pPr>
  </w:style>
  <w:style w:type="character" w:customStyle="1" w:styleId="normaltextrun">
    <w:name w:val="normaltextrun"/>
    <w:basedOn w:val="Domylnaczcionkaakapitu"/>
    <w:rsid w:val="00401266"/>
  </w:style>
  <w:style w:type="character" w:customStyle="1" w:styleId="spellingerror">
    <w:name w:val="spellingerror"/>
    <w:basedOn w:val="Domylnaczcionkaakapitu"/>
    <w:rsid w:val="00401266"/>
  </w:style>
  <w:style w:type="character" w:customStyle="1" w:styleId="eop">
    <w:name w:val="eop"/>
    <w:basedOn w:val="Domylnaczcionkaakapitu"/>
    <w:rsid w:val="00401266"/>
  </w:style>
  <w:style w:type="paragraph" w:styleId="Tematkomentarza">
    <w:name w:val="annotation subject"/>
    <w:basedOn w:val="Tekstkomentarza"/>
    <w:next w:val="Tekstkomentarza"/>
    <w:link w:val="TematkomentarzaZnak"/>
    <w:uiPriority w:val="99"/>
    <w:semiHidden/>
    <w:unhideWhenUsed/>
    <w:rsid w:val="003B049B"/>
    <w:rPr>
      <w:b/>
      <w:bCs/>
    </w:rPr>
  </w:style>
  <w:style w:type="character" w:customStyle="1" w:styleId="TematkomentarzaZnak">
    <w:name w:val="Temat komentarza Znak"/>
    <w:basedOn w:val="TekstkomentarzaZnak"/>
    <w:link w:val="Tematkomentarza"/>
    <w:uiPriority w:val="99"/>
    <w:semiHidden/>
    <w:rsid w:val="003B049B"/>
    <w:rPr>
      <w:rFonts w:ascii="Times New Roman" w:eastAsia="Times New Roman" w:hAnsi="Times New Roman" w:cs="Times New Roman"/>
      <w:b/>
      <w:bCs/>
      <w:sz w:val="20"/>
      <w:szCs w:val="20"/>
      <w:lang w:eastAsia="pl-PL"/>
    </w:rPr>
  </w:style>
  <w:style w:type="paragraph" w:customStyle="1" w:styleId="article-lead">
    <w:name w:val="article-lead"/>
    <w:basedOn w:val="Normalny"/>
    <w:rsid w:val="004C7844"/>
    <w:pPr>
      <w:spacing w:before="100" w:beforeAutospacing="1" w:after="100" w:afterAutospacing="1"/>
    </w:pPr>
  </w:style>
  <w:style w:type="character" w:customStyle="1" w:styleId="lead">
    <w:name w:val="lead"/>
    <w:basedOn w:val="Domylnaczcionkaakapitu"/>
    <w:rsid w:val="00465E2C"/>
  </w:style>
  <w:style w:type="paragraph" w:styleId="Zwykytekst">
    <w:name w:val="Plain Text"/>
    <w:basedOn w:val="Normalny"/>
    <w:link w:val="ZwykytekstZnak"/>
    <w:uiPriority w:val="99"/>
    <w:semiHidden/>
    <w:unhideWhenUsed/>
    <w:rsid w:val="00E42DF6"/>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E42DF6"/>
    <w:rPr>
      <w:rFonts w:ascii="Calibri" w:hAnsi="Calibri"/>
      <w:szCs w:val="21"/>
    </w:rPr>
  </w:style>
  <w:style w:type="paragraph" w:customStyle="1" w:styleId="ManualConsidrant">
    <w:name w:val="Manual Considérant"/>
    <w:basedOn w:val="Normalny"/>
    <w:rsid w:val="00FA5C34"/>
    <w:pPr>
      <w:spacing w:before="120" w:after="120"/>
      <w:ind w:left="709" w:hanging="709"/>
      <w:jc w:val="both"/>
    </w:pPr>
    <w:rPr>
      <w:rFonts w:eastAsiaTheme="minorHAnsi"/>
      <w:szCs w:val="22"/>
      <w:lang w:eastAsia="en-US"/>
    </w:rPr>
  </w:style>
  <w:style w:type="character" w:customStyle="1" w:styleId="Nagwek1Znak">
    <w:name w:val="Nagłówek 1 Znak"/>
    <w:basedOn w:val="Domylnaczcionkaakapitu"/>
    <w:link w:val="Nagwek1"/>
    <w:uiPriority w:val="9"/>
    <w:rsid w:val="00B9331D"/>
    <w:rPr>
      <w:rFonts w:asciiTheme="majorHAnsi" w:eastAsiaTheme="majorEastAsia" w:hAnsiTheme="majorHAnsi" w:cstheme="majorBidi"/>
      <w:color w:val="2F5496" w:themeColor="accent1" w:themeShade="BF"/>
      <w:sz w:val="32"/>
      <w:szCs w:val="32"/>
      <w:lang w:eastAsia="pl-PL"/>
    </w:rPr>
  </w:style>
  <w:style w:type="paragraph" w:customStyle="1" w:styleId="articlebodyblock">
    <w:name w:val="articlebodyblock"/>
    <w:basedOn w:val="Normalny"/>
    <w:rsid w:val="001329AF"/>
    <w:pPr>
      <w:spacing w:before="100" w:beforeAutospacing="1" w:after="100" w:afterAutospacing="1"/>
    </w:pPr>
  </w:style>
  <w:style w:type="table" w:styleId="Tabela-Siatka">
    <w:name w:val="Table Grid"/>
    <w:basedOn w:val="Standardowy"/>
    <w:uiPriority w:val="39"/>
    <w:rsid w:val="00471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ED5D7B"/>
    <w:rPr>
      <w:color w:val="605E5C"/>
      <w:shd w:val="clear" w:color="auto" w:fill="E1DFDD"/>
    </w:rPr>
  </w:style>
  <w:style w:type="character" w:customStyle="1" w:styleId="Nagwek2Znak">
    <w:name w:val="Nagłówek 2 Znak"/>
    <w:basedOn w:val="Domylnaczcionkaakapitu"/>
    <w:link w:val="Nagwek2"/>
    <w:uiPriority w:val="9"/>
    <w:rsid w:val="004E1CD7"/>
    <w:rPr>
      <w:rFonts w:asciiTheme="majorHAnsi" w:eastAsiaTheme="majorEastAsia" w:hAnsiTheme="majorHAnsi" w:cstheme="majorBidi"/>
      <w:color w:val="2F5496" w:themeColor="accent1" w:themeShade="BF"/>
      <w:sz w:val="32"/>
      <w:szCs w:val="32"/>
    </w:rPr>
  </w:style>
  <w:style w:type="paragraph" w:customStyle="1" w:styleId="USTustnpkodeksu">
    <w:name w:val="UST(§) – ust. (§ np. kodeksu)"/>
    <w:basedOn w:val="Normalny"/>
    <w:uiPriority w:val="12"/>
    <w:qFormat/>
    <w:rsid w:val="00087697"/>
    <w:pPr>
      <w:suppressAutoHyphens/>
      <w:autoSpaceDE w:val="0"/>
      <w:autoSpaceDN w:val="0"/>
      <w:adjustRightInd w:val="0"/>
      <w:spacing w:line="360" w:lineRule="auto"/>
      <w:ind w:firstLine="510"/>
      <w:jc w:val="both"/>
    </w:pPr>
    <w:rPr>
      <w:rFonts w:ascii="Times" w:eastAsiaTheme="minorEastAsia" w:hAnsi="Times" w:cs="Arial"/>
      <w:bCs/>
      <w:szCs w:val="20"/>
    </w:rPr>
  </w:style>
  <w:style w:type="character" w:customStyle="1" w:styleId="IGindeksgrny">
    <w:name w:val="_IG_ – indeks górny"/>
    <w:basedOn w:val="Domylnaczcionkaakapitu"/>
    <w:uiPriority w:val="2"/>
    <w:qFormat/>
    <w:rsid w:val="00087697"/>
    <w:rPr>
      <w:b w:val="0"/>
      <w:i w:val="0"/>
      <w:vanish w:val="0"/>
      <w:spacing w:val="0"/>
      <w:vertAlign w:val="superscript"/>
    </w:rPr>
  </w:style>
  <w:style w:type="character" w:customStyle="1" w:styleId="Nagwek3Znak">
    <w:name w:val="Nagłówek 3 Znak"/>
    <w:basedOn w:val="Domylnaczcionkaakapitu"/>
    <w:link w:val="Nagwek3"/>
    <w:uiPriority w:val="9"/>
    <w:semiHidden/>
    <w:rsid w:val="008D5FFF"/>
    <w:rPr>
      <w:rFonts w:asciiTheme="majorHAnsi" w:eastAsiaTheme="majorEastAsia" w:hAnsiTheme="majorHAnsi" w:cstheme="majorBidi"/>
      <w:color w:val="1F3763" w:themeColor="accent1" w:themeShade="7F"/>
      <w:sz w:val="24"/>
      <w:szCs w:val="24"/>
      <w:lang w:eastAsia="pl-PL"/>
    </w:rPr>
  </w:style>
  <w:style w:type="paragraph" w:styleId="Poprawka">
    <w:name w:val="Revision"/>
    <w:hidden/>
    <w:uiPriority w:val="99"/>
    <w:semiHidden/>
    <w:rsid w:val="00156D78"/>
    <w:pPr>
      <w:spacing w:after="0" w:line="240" w:lineRule="auto"/>
    </w:pPr>
    <w:rPr>
      <w:rFonts w:ascii="Times New Roman" w:eastAsia="Times New Roman" w:hAnsi="Times New Roman" w:cs="Times New Roman"/>
      <w:sz w:val="24"/>
      <w:szCs w:val="24"/>
      <w:lang w:eastAsia="pl-PL"/>
    </w:rPr>
  </w:style>
  <w:style w:type="paragraph" w:customStyle="1" w:styleId="pf0">
    <w:name w:val="pf0"/>
    <w:basedOn w:val="Normalny"/>
    <w:rsid w:val="00A058EA"/>
    <w:pPr>
      <w:spacing w:before="100" w:beforeAutospacing="1" w:after="100" w:afterAutospacing="1"/>
    </w:pPr>
  </w:style>
  <w:style w:type="character" w:customStyle="1" w:styleId="cf01">
    <w:name w:val="cf01"/>
    <w:basedOn w:val="Domylnaczcionkaakapitu"/>
    <w:rsid w:val="00A058EA"/>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BE6E7E"/>
    <w:rPr>
      <w:sz w:val="20"/>
      <w:szCs w:val="20"/>
    </w:rPr>
  </w:style>
  <w:style w:type="character" w:customStyle="1" w:styleId="TekstprzypisukocowegoZnak">
    <w:name w:val="Tekst przypisu końcowego Znak"/>
    <w:basedOn w:val="Domylnaczcionkaakapitu"/>
    <w:link w:val="Tekstprzypisukocowego"/>
    <w:uiPriority w:val="99"/>
    <w:semiHidden/>
    <w:rsid w:val="00BE6E7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E6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301">
      <w:bodyDiv w:val="1"/>
      <w:marLeft w:val="0"/>
      <w:marRight w:val="0"/>
      <w:marTop w:val="0"/>
      <w:marBottom w:val="0"/>
      <w:divBdr>
        <w:top w:val="none" w:sz="0" w:space="0" w:color="auto"/>
        <w:left w:val="none" w:sz="0" w:space="0" w:color="auto"/>
        <w:bottom w:val="none" w:sz="0" w:space="0" w:color="auto"/>
        <w:right w:val="none" w:sz="0" w:space="0" w:color="auto"/>
      </w:divBdr>
    </w:div>
    <w:div w:id="23992220">
      <w:bodyDiv w:val="1"/>
      <w:marLeft w:val="0"/>
      <w:marRight w:val="0"/>
      <w:marTop w:val="0"/>
      <w:marBottom w:val="0"/>
      <w:divBdr>
        <w:top w:val="none" w:sz="0" w:space="0" w:color="auto"/>
        <w:left w:val="none" w:sz="0" w:space="0" w:color="auto"/>
        <w:bottom w:val="none" w:sz="0" w:space="0" w:color="auto"/>
        <w:right w:val="none" w:sz="0" w:space="0" w:color="auto"/>
      </w:divBdr>
    </w:div>
    <w:div w:id="34240963">
      <w:bodyDiv w:val="1"/>
      <w:marLeft w:val="0"/>
      <w:marRight w:val="0"/>
      <w:marTop w:val="0"/>
      <w:marBottom w:val="0"/>
      <w:divBdr>
        <w:top w:val="none" w:sz="0" w:space="0" w:color="auto"/>
        <w:left w:val="none" w:sz="0" w:space="0" w:color="auto"/>
        <w:bottom w:val="none" w:sz="0" w:space="0" w:color="auto"/>
        <w:right w:val="none" w:sz="0" w:space="0" w:color="auto"/>
      </w:divBdr>
    </w:div>
    <w:div w:id="44329423">
      <w:bodyDiv w:val="1"/>
      <w:marLeft w:val="0"/>
      <w:marRight w:val="0"/>
      <w:marTop w:val="0"/>
      <w:marBottom w:val="0"/>
      <w:divBdr>
        <w:top w:val="none" w:sz="0" w:space="0" w:color="auto"/>
        <w:left w:val="none" w:sz="0" w:space="0" w:color="auto"/>
        <w:bottom w:val="none" w:sz="0" w:space="0" w:color="auto"/>
        <w:right w:val="none" w:sz="0" w:space="0" w:color="auto"/>
      </w:divBdr>
    </w:div>
    <w:div w:id="74330503">
      <w:bodyDiv w:val="1"/>
      <w:marLeft w:val="0"/>
      <w:marRight w:val="0"/>
      <w:marTop w:val="0"/>
      <w:marBottom w:val="0"/>
      <w:divBdr>
        <w:top w:val="none" w:sz="0" w:space="0" w:color="auto"/>
        <w:left w:val="none" w:sz="0" w:space="0" w:color="auto"/>
        <w:bottom w:val="none" w:sz="0" w:space="0" w:color="auto"/>
        <w:right w:val="none" w:sz="0" w:space="0" w:color="auto"/>
      </w:divBdr>
    </w:div>
    <w:div w:id="117340304">
      <w:bodyDiv w:val="1"/>
      <w:marLeft w:val="0"/>
      <w:marRight w:val="0"/>
      <w:marTop w:val="0"/>
      <w:marBottom w:val="0"/>
      <w:divBdr>
        <w:top w:val="none" w:sz="0" w:space="0" w:color="auto"/>
        <w:left w:val="none" w:sz="0" w:space="0" w:color="auto"/>
        <w:bottom w:val="none" w:sz="0" w:space="0" w:color="auto"/>
        <w:right w:val="none" w:sz="0" w:space="0" w:color="auto"/>
      </w:divBdr>
    </w:div>
    <w:div w:id="118844719">
      <w:bodyDiv w:val="1"/>
      <w:marLeft w:val="0"/>
      <w:marRight w:val="0"/>
      <w:marTop w:val="0"/>
      <w:marBottom w:val="0"/>
      <w:divBdr>
        <w:top w:val="none" w:sz="0" w:space="0" w:color="auto"/>
        <w:left w:val="none" w:sz="0" w:space="0" w:color="auto"/>
        <w:bottom w:val="none" w:sz="0" w:space="0" w:color="auto"/>
        <w:right w:val="none" w:sz="0" w:space="0" w:color="auto"/>
      </w:divBdr>
    </w:div>
    <w:div w:id="144202446">
      <w:bodyDiv w:val="1"/>
      <w:marLeft w:val="0"/>
      <w:marRight w:val="0"/>
      <w:marTop w:val="0"/>
      <w:marBottom w:val="0"/>
      <w:divBdr>
        <w:top w:val="none" w:sz="0" w:space="0" w:color="auto"/>
        <w:left w:val="none" w:sz="0" w:space="0" w:color="auto"/>
        <w:bottom w:val="none" w:sz="0" w:space="0" w:color="auto"/>
        <w:right w:val="none" w:sz="0" w:space="0" w:color="auto"/>
      </w:divBdr>
    </w:div>
    <w:div w:id="155809837">
      <w:bodyDiv w:val="1"/>
      <w:marLeft w:val="0"/>
      <w:marRight w:val="0"/>
      <w:marTop w:val="0"/>
      <w:marBottom w:val="0"/>
      <w:divBdr>
        <w:top w:val="none" w:sz="0" w:space="0" w:color="auto"/>
        <w:left w:val="none" w:sz="0" w:space="0" w:color="auto"/>
        <w:bottom w:val="none" w:sz="0" w:space="0" w:color="auto"/>
        <w:right w:val="none" w:sz="0" w:space="0" w:color="auto"/>
      </w:divBdr>
    </w:div>
    <w:div w:id="216209139">
      <w:bodyDiv w:val="1"/>
      <w:marLeft w:val="0"/>
      <w:marRight w:val="0"/>
      <w:marTop w:val="0"/>
      <w:marBottom w:val="0"/>
      <w:divBdr>
        <w:top w:val="none" w:sz="0" w:space="0" w:color="auto"/>
        <w:left w:val="none" w:sz="0" w:space="0" w:color="auto"/>
        <w:bottom w:val="none" w:sz="0" w:space="0" w:color="auto"/>
        <w:right w:val="none" w:sz="0" w:space="0" w:color="auto"/>
      </w:divBdr>
    </w:div>
    <w:div w:id="263927267">
      <w:bodyDiv w:val="1"/>
      <w:marLeft w:val="0"/>
      <w:marRight w:val="0"/>
      <w:marTop w:val="0"/>
      <w:marBottom w:val="0"/>
      <w:divBdr>
        <w:top w:val="none" w:sz="0" w:space="0" w:color="auto"/>
        <w:left w:val="none" w:sz="0" w:space="0" w:color="auto"/>
        <w:bottom w:val="none" w:sz="0" w:space="0" w:color="auto"/>
        <w:right w:val="none" w:sz="0" w:space="0" w:color="auto"/>
      </w:divBdr>
    </w:div>
    <w:div w:id="268513917">
      <w:bodyDiv w:val="1"/>
      <w:marLeft w:val="0"/>
      <w:marRight w:val="0"/>
      <w:marTop w:val="0"/>
      <w:marBottom w:val="0"/>
      <w:divBdr>
        <w:top w:val="none" w:sz="0" w:space="0" w:color="auto"/>
        <w:left w:val="none" w:sz="0" w:space="0" w:color="auto"/>
        <w:bottom w:val="none" w:sz="0" w:space="0" w:color="auto"/>
        <w:right w:val="none" w:sz="0" w:space="0" w:color="auto"/>
      </w:divBdr>
    </w:div>
    <w:div w:id="268703294">
      <w:bodyDiv w:val="1"/>
      <w:marLeft w:val="0"/>
      <w:marRight w:val="0"/>
      <w:marTop w:val="0"/>
      <w:marBottom w:val="0"/>
      <w:divBdr>
        <w:top w:val="none" w:sz="0" w:space="0" w:color="auto"/>
        <w:left w:val="none" w:sz="0" w:space="0" w:color="auto"/>
        <w:bottom w:val="none" w:sz="0" w:space="0" w:color="auto"/>
        <w:right w:val="none" w:sz="0" w:space="0" w:color="auto"/>
      </w:divBdr>
    </w:div>
    <w:div w:id="290593982">
      <w:bodyDiv w:val="1"/>
      <w:marLeft w:val="0"/>
      <w:marRight w:val="0"/>
      <w:marTop w:val="0"/>
      <w:marBottom w:val="0"/>
      <w:divBdr>
        <w:top w:val="none" w:sz="0" w:space="0" w:color="auto"/>
        <w:left w:val="none" w:sz="0" w:space="0" w:color="auto"/>
        <w:bottom w:val="none" w:sz="0" w:space="0" w:color="auto"/>
        <w:right w:val="none" w:sz="0" w:space="0" w:color="auto"/>
      </w:divBdr>
    </w:div>
    <w:div w:id="294917773">
      <w:bodyDiv w:val="1"/>
      <w:marLeft w:val="0"/>
      <w:marRight w:val="0"/>
      <w:marTop w:val="0"/>
      <w:marBottom w:val="0"/>
      <w:divBdr>
        <w:top w:val="none" w:sz="0" w:space="0" w:color="auto"/>
        <w:left w:val="none" w:sz="0" w:space="0" w:color="auto"/>
        <w:bottom w:val="none" w:sz="0" w:space="0" w:color="auto"/>
        <w:right w:val="none" w:sz="0" w:space="0" w:color="auto"/>
      </w:divBdr>
    </w:div>
    <w:div w:id="339040774">
      <w:bodyDiv w:val="1"/>
      <w:marLeft w:val="0"/>
      <w:marRight w:val="0"/>
      <w:marTop w:val="0"/>
      <w:marBottom w:val="0"/>
      <w:divBdr>
        <w:top w:val="none" w:sz="0" w:space="0" w:color="auto"/>
        <w:left w:val="none" w:sz="0" w:space="0" w:color="auto"/>
        <w:bottom w:val="none" w:sz="0" w:space="0" w:color="auto"/>
        <w:right w:val="none" w:sz="0" w:space="0" w:color="auto"/>
      </w:divBdr>
    </w:div>
    <w:div w:id="350834982">
      <w:bodyDiv w:val="1"/>
      <w:marLeft w:val="0"/>
      <w:marRight w:val="0"/>
      <w:marTop w:val="0"/>
      <w:marBottom w:val="0"/>
      <w:divBdr>
        <w:top w:val="none" w:sz="0" w:space="0" w:color="auto"/>
        <w:left w:val="none" w:sz="0" w:space="0" w:color="auto"/>
        <w:bottom w:val="none" w:sz="0" w:space="0" w:color="auto"/>
        <w:right w:val="none" w:sz="0" w:space="0" w:color="auto"/>
      </w:divBdr>
    </w:div>
    <w:div w:id="364061672">
      <w:bodyDiv w:val="1"/>
      <w:marLeft w:val="0"/>
      <w:marRight w:val="0"/>
      <w:marTop w:val="0"/>
      <w:marBottom w:val="0"/>
      <w:divBdr>
        <w:top w:val="none" w:sz="0" w:space="0" w:color="auto"/>
        <w:left w:val="none" w:sz="0" w:space="0" w:color="auto"/>
        <w:bottom w:val="none" w:sz="0" w:space="0" w:color="auto"/>
        <w:right w:val="none" w:sz="0" w:space="0" w:color="auto"/>
      </w:divBdr>
    </w:div>
    <w:div w:id="368265643">
      <w:bodyDiv w:val="1"/>
      <w:marLeft w:val="0"/>
      <w:marRight w:val="0"/>
      <w:marTop w:val="0"/>
      <w:marBottom w:val="0"/>
      <w:divBdr>
        <w:top w:val="none" w:sz="0" w:space="0" w:color="auto"/>
        <w:left w:val="none" w:sz="0" w:space="0" w:color="auto"/>
        <w:bottom w:val="none" w:sz="0" w:space="0" w:color="auto"/>
        <w:right w:val="none" w:sz="0" w:space="0" w:color="auto"/>
      </w:divBdr>
    </w:div>
    <w:div w:id="389503361">
      <w:bodyDiv w:val="1"/>
      <w:marLeft w:val="0"/>
      <w:marRight w:val="0"/>
      <w:marTop w:val="0"/>
      <w:marBottom w:val="0"/>
      <w:divBdr>
        <w:top w:val="none" w:sz="0" w:space="0" w:color="auto"/>
        <w:left w:val="none" w:sz="0" w:space="0" w:color="auto"/>
        <w:bottom w:val="none" w:sz="0" w:space="0" w:color="auto"/>
        <w:right w:val="none" w:sz="0" w:space="0" w:color="auto"/>
      </w:divBdr>
    </w:div>
    <w:div w:id="404958708">
      <w:bodyDiv w:val="1"/>
      <w:marLeft w:val="0"/>
      <w:marRight w:val="0"/>
      <w:marTop w:val="0"/>
      <w:marBottom w:val="0"/>
      <w:divBdr>
        <w:top w:val="none" w:sz="0" w:space="0" w:color="auto"/>
        <w:left w:val="none" w:sz="0" w:space="0" w:color="auto"/>
        <w:bottom w:val="none" w:sz="0" w:space="0" w:color="auto"/>
        <w:right w:val="none" w:sz="0" w:space="0" w:color="auto"/>
      </w:divBdr>
    </w:div>
    <w:div w:id="414983553">
      <w:bodyDiv w:val="1"/>
      <w:marLeft w:val="0"/>
      <w:marRight w:val="0"/>
      <w:marTop w:val="0"/>
      <w:marBottom w:val="0"/>
      <w:divBdr>
        <w:top w:val="none" w:sz="0" w:space="0" w:color="auto"/>
        <w:left w:val="none" w:sz="0" w:space="0" w:color="auto"/>
        <w:bottom w:val="none" w:sz="0" w:space="0" w:color="auto"/>
        <w:right w:val="none" w:sz="0" w:space="0" w:color="auto"/>
      </w:divBdr>
    </w:div>
    <w:div w:id="466318916">
      <w:bodyDiv w:val="1"/>
      <w:marLeft w:val="0"/>
      <w:marRight w:val="0"/>
      <w:marTop w:val="0"/>
      <w:marBottom w:val="0"/>
      <w:divBdr>
        <w:top w:val="none" w:sz="0" w:space="0" w:color="auto"/>
        <w:left w:val="none" w:sz="0" w:space="0" w:color="auto"/>
        <w:bottom w:val="none" w:sz="0" w:space="0" w:color="auto"/>
        <w:right w:val="none" w:sz="0" w:space="0" w:color="auto"/>
      </w:divBdr>
    </w:div>
    <w:div w:id="495151568">
      <w:bodyDiv w:val="1"/>
      <w:marLeft w:val="0"/>
      <w:marRight w:val="0"/>
      <w:marTop w:val="0"/>
      <w:marBottom w:val="0"/>
      <w:divBdr>
        <w:top w:val="none" w:sz="0" w:space="0" w:color="auto"/>
        <w:left w:val="none" w:sz="0" w:space="0" w:color="auto"/>
        <w:bottom w:val="none" w:sz="0" w:space="0" w:color="auto"/>
        <w:right w:val="none" w:sz="0" w:space="0" w:color="auto"/>
      </w:divBdr>
    </w:div>
    <w:div w:id="510098342">
      <w:bodyDiv w:val="1"/>
      <w:marLeft w:val="0"/>
      <w:marRight w:val="0"/>
      <w:marTop w:val="0"/>
      <w:marBottom w:val="0"/>
      <w:divBdr>
        <w:top w:val="none" w:sz="0" w:space="0" w:color="auto"/>
        <w:left w:val="none" w:sz="0" w:space="0" w:color="auto"/>
        <w:bottom w:val="none" w:sz="0" w:space="0" w:color="auto"/>
        <w:right w:val="none" w:sz="0" w:space="0" w:color="auto"/>
      </w:divBdr>
    </w:div>
    <w:div w:id="510797822">
      <w:bodyDiv w:val="1"/>
      <w:marLeft w:val="0"/>
      <w:marRight w:val="0"/>
      <w:marTop w:val="0"/>
      <w:marBottom w:val="0"/>
      <w:divBdr>
        <w:top w:val="none" w:sz="0" w:space="0" w:color="auto"/>
        <w:left w:val="none" w:sz="0" w:space="0" w:color="auto"/>
        <w:bottom w:val="none" w:sz="0" w:space="0" w:color="auto"/>
        <w:right w:val="none" w:sz="0" w:space="0" w:color="auto"/>
      </w:divBdr>
    </w:div>
    <w:div w:id="521476707">
      <w:bodyDiv w:val="1"/>
      <w:marLeft w:val="0"/>
      <w:marRight w:val="0"/>
      <w:marTop w:val="0"/>
      <w:marBottom w:val="0"/>
      <w:divBdr>
        <w:top w:val="none" w:sz="0" w:space="0" w:color="auto"/>
        <w:left w:val="none" w:sz="0" w:space="0" w:color="auto"/>
        <w:bottom w:val="none" w:sz="0" w:space="0" w:color="auto"/>
        <w:right w:val="none" w:sz="0" w:space="0" w:color="auto"/>
      </w:divBdr>
    </w:div>
    <w:div w:id="525289706">
      <w:bodyDiv w:val="1"/>
      <w:marLeft w:val="0"/>
      <w:marRight w:val="0"/>
      <w:marTop w:val="0"/>
      <w:marBottom w:val="0"/>
      <w:divBdr>
        <w:top w:val="none" w:sz="0" w:space="0" w:color="auto"/>
        <w:left w:val="none" w:sz="0" w:space="0" w:color="auto"/>
        <w:bottom w:val="none" w:sz="0" w:space="0" w:color="auto"/>
        <w:right w:val="none" w:sz="0" w:space="0" w:color="auto"/>
      </w:divBdr>
    </w:div>
    <w:div w:id="567956985">
      <w:bodyDiv w:val="1"/>
      <w:marLeft w:val="0"/>
      <w:marRight w:val="0"/>
      <w:marTop w:val="0"/>
      <w:marBottom w:val="0"/>
      <w:divBdr>
        <w:top w:val="none" w:sz="0" w:space="0" w:color="auto"/>
        <w:left w:val="none" w:sz="0" w:space="0" w:color="auto"/>
        <w:bottom w:val="none" w:sz="0" w:space="0" w:color="auto"/>
        <w:right w:val="none" w:sz="0" w:space="0" w:color="auto"/>
      </w:divBdr>
    </w:div>
    <w:div w:id="570434231">
      <w:bodyDiv w:val="1"/>
      <w:marLeft w:val="0"/>
      <w:marRight w:val="0"/>
      <w:marTop w:val="0"/>
      <w:marBottom w:val="0"/>
      <w:divBdr>
        <w:top w:val="none" w:sz="0" w:space="0" w:color="auto"/>
        <w:left w:val="none" w:sz="0" w:space="0" w:color="auto"/>
        <w:bottom w:val="none" w:sz="0" w:space="0" w:color="auto"/>
        <w:right w:val="none" w:sz="0" w:space="0" w:color="auto"/>
      </w:divBdr>
    </w:div>
    <w:div w:id="602299105">
      <w:bodyDiv w:val="1"/>
      <w:marLeft w:val="0"/>
      <w:marRight w:val="0"/>
      <w:marTop w:val="0"/>
      <w:marBottom w:val="0"/>
      <w:divBdr>
        <w:top w:val="none" w:sz="0" w:space="0" w:color="auto"/>
        <w:left w:val="none" w:sz="0" w:space="0" w:color="auto"/>
        <w:bottom w:val="none" w:sz="0" w:space="0" w:color="auto"/>
        <w:right w:val="none" w:sz="0" w:space="0" w:color="auto"/>
      </w:divBdr>
    </w:div>
    <w:div w:id="624117009">
      <w:bodyDiv w:val="1"/>
      <w:marLeft w:val="0"/>
      <w:marRight w:val="0"/>
      <w:marTop w:val="0"/>
      <w:marBottom w:val="0"/>
      <w:divBdr>
        <w:top w:val="none" w:sz="0" w:space="0" w:color="auto"/>
        <w:left w:val="none" w:sz="0" w:space="0" w:color="auto"/>
        <w:bottom w:val="none" w:sz="0" w:space="0" w:color="auto"/>
        <w:right w:val="none" w:sz="0" w:space="0" w:color="auto"/>
      </w:divBdr>
    </w:div>
    <w:div w:id="628052529">
      <w:bodyDiv w:val="1"/>
      <w:marLeft w:val="0"/>
      <w:marRight w:val="0"/>
      <w:marTop w:val="0"/>
      <w:marBottom w:val="0"/>
      <w:divBdr>
        <w:top w:val="none" w:sz="0" w:space="0" w:color="auto"/>
        <w:left w:val="none" w:sz="0" w:space="0" w:color="auto"/>
        <w:bottom w:val="none" w:sz="0" w:space="0" w:color="auto"/>
        <w:right w:val="none" w:sz="0" w:space="0" w:color="auto"/>
      </w:divBdr>
    </w:div>
    <w:div w:id="641156687">
      <w:bodyDiv w:val="1"/>
      <w:marLeft w:val="0"/>
      <w:marRight w:val="0"/>
      <w:marTop w:val="0"/>
      <w:marBottom w:val="0"/>
      <w:divBdr>
        <w:top w:val="none" w:sz="0" w:space="0" w:color="auto"/>
        <w:left w:val="none" w:sz="0" w:space="0" w:color="auto"/>
        <w:bottom w:val="none" w:sz="0" w:space="0" w:color="auto"/>
        <w:right w:val="none" w:sz="0" w:space="0" w:color="auto"/>
      </w:divBdr>
    </w:div>
    <w:div w:id="646321023">
      <w:bodyDiv w:val="1"/>
      <w:marLeft w:val="0"/>
      <w:marRight w:val="0"/>
      <w:marTop w:val="0"/>
      <w:marBottom w:val="0"/>
      <w:divBdr>
        <w:top w:val="none" w:sz="0" w:space="0" w:color="auto"/>
        <w:left w:val="none" w:sz="0" w:space="0" w:color="auto"/>
        <w:bottom w:val="none" w:sz="0" w:space="0" w:color="auto"/>
        <w:right w:val="none" w:sz="0" w:space="0" w:color="auto"/>
      </w:divBdr>
    </w:div>
    <w:div w:id="655843057">
      <w:bodyDiv w:val="1"/>
      <w:marLeft w:val="0"/>
      <w:marRight w:val="0"/>
      <w:marTop w:val="0"/>
      <w:marBottom w:val="0"/>
      <w:divBdr>
        <w:top w:val="none" w:sz="0" w:space="0" w:color="auto"/>
        <w:left w:val="none" w:sz="0" w:space="0" w:color="auto"/>
        <w:bottom w:val="none" w:sz="0" w:space="0" w:color="auto"/>
        <w:right w:val="none" w:sz="0" w:space="0" w:color="auto"/>
      </w:divBdr>
    </w:div>
    <w:div w:id="660550626">
      <w:bodyDiv w:val="1"/>
      <w:marLeft w:val="0"/>
      <w:marRight w:val="0"/>
      <w:marTop w:val="0"/>
      <w:marBottom w:val="0"/>
      <w:divBdr>
        <w:top w:val="none" w:sz="0" w:space="0" w:color="auto"/>
        <w:left w:val="none" w:sz="0" w:space="0" w:color="auto"/>
        <w:bottom w:val="none" w:sz="0" w:space="0" w:color="auto"/>
        <w:right w:val="none" w:sz="0" w:space="0" w:color="auto"/>
      </w:divBdr>
    </w:div>
    <w:div w:id="662468923">
      <w:bodyDiv w:val="1"/>
      <w:marLeft w:val="0"/>
      <w:marRight w:val="0"/>
      <w:marTop w:val="0"/>
      <w:marBottom w:val="0"/>
      <w:divBdr>
        <w:top w:val="none" w:sz="0" w:space="0" w:color="auto"/>
        <w:left w:val="none" w:sz="0" w:space="0" w:color="auto"/>
        <w:bottom w:val="none" w:sz="0" w:space="0" w:color="auto"/>
        <w:right w:val="none" w:sz="0" w:space="0" w:color="auto"/>
      </w:divBdr>
    </w:div>
    <w:div w:id="724064268">
      <w:bodyDiv w:val="1"/>
      <w:marLeft w:val="0"/>
      <w:marRight w:val="0"/>
      <w:marTop w:val="0"/>
      <w:marBottom w:val="0"/>
      <w:divBdr>
        <w:top w:val="none" w:sz="0" w:space="0" w:color="auto"/>
        <w:left w:val="none" w:sz="0" w:space="0" w:color="auto"/>
        <w:bottom w:val="none" w:sz="0" w:space="0" w:color="auto"/>
        <w:right w:val="none" w:sz="0" w:space="0" w:color="auto"/>
      </w:divBdr>
    </w:div>
    <w:div w:id="731854481">
      <w:bodyDiv w:val="1"/>
      <w:marLeft w:val="0"/>
      <w:marRight w:val="0"/>
      <w:marTop w:val="0"/>
      <w:marBottom w:val="0"/>
      <w:divBdr>
        <w:top w:val="none" w:sz="0" w:space="0" w:color="auto"/>
        <w:left w:val="none" w:sz="0" w:space="0" w:color="auto"/>
        <w:bottom w:val="none" w:sz="0" w:space="0" w:color="auto"/>
        <w:right w:val="none" w:sz="0" w:space="0" w:color="auto"/>
      </w:divBdr>
    </w:div>
    <w:div w:id="761684618">
      <w:bodyDiv w:val="1"/>
      <w:marLeft w:val="0"/>
      <w:marRight w:val="0"/>
      <w:marTop w:val="0"/>
      <w:marBottom w:val="0"/>
      <w:divBdr>
        <w:top w:val="none" w:sz="0" w:space="0" w:color="auto"/>
        <w:left w:val="none" w:sz="0" w:space="0" w:color="auto"/>
        <w:bottom w:val="none" w:sz="0" w:space="0" w:color="auto"/>
        <w:right w:val="none" w:sz="0" w:space="0" w:color="auto"/>
      </w:divBdr>
    </w:div>
    <w:div w:id="762646053">
      <w:bodyDiv w:val="1"/>
      <w:marLeft w:val="0"/>
      <w:marRight w:val="0"/>
      <w:marTop w:val="0"/>
      <w:marBottom w:val="0"/>
      <w:divBdr>
        <w:top w:val="none" w:sz="0" w:space="0" w:color="auto"/>
        <w:left w:val="none" w:sz="0" w:space="0" w:color="auto"/>
        <w:bottom w:val="none" w:sz="0" w:space="0" w:color="auto"/>
        <w:right w:val="none" w:sz="0" w:space="0" w:color="auto"/>
      </w:divBdr>
    </w:div>
    <w:div w:id="766733825">
      <w:bodyDiv w:val="1"/>
      <w:marLeft w:val="0"/>
      <w:marRight w:val="0"/>
      <w:marTop w:val="0"/>
      <w:marBottom w:val="0"/>
      <w:divBdr>
        <w:top w:val="none" w:sz="0" w:space="0" w:color="auto"/>
        <w:left w:val="none" w:sz="0" w:space="0" w:color="auto"/>
        <w:bottom w:val="none" w:sz="0" w:space="0" w:color="auto"/>
        <w:right w:val="none" w:sz="0" w:space="0" w:color="auto"/>
      </w:divBdr>
    </w:div>
    <w:div w:id="784235641">
      <w:bodyDiv w:val="1"/>
      <w:marLeft w:val="0"/>
      <w:marRight w:val="0"/>
      <w:marTop w:val="0"/>
      <w:marBottom w:val="0"/>
      <w:divBdr>
        <w:top w:val="none" w:sz="0" w:space="0" w:color="auto"/>
        <w:left w:val="none" w:sz="0" w:space="0" w:color="auto"/>
        <w:bottom w:val="none" w:sz="0" w:space="0" w:color="auto"/>
        <w:right w:val="none" w:sz="0" w:space="0" w:color="auto"/>
      </w:divBdr>
    </w:div>
    <w:div w:id="786507112">
      <w:bodyDiv w:val="1"/>
      <w:marLeft w:val="0"/>
      <w:marRight w:val="0"/>
      <w:marTop w:val="0"/>
      <w:marBottom w:val="0"/>
      <w:divBdr>
        <w:top w:val="none" w:sz="0" w:space="0" w:color="auto"/>
        <w:left w:val="none" w:sz="0" w:space="0" w:color="auto"/>
        <w:bottom w:val="none" w:sz="0" w:space="0" w:color="auto"/>
        <w:right w:val="none" w:sz="0" w:space="0" w:color="auto"/>
      </w:divBdr>
    </w:div>
    <w:div w:id="812411948">
      <w:bodyDiv w:val="1"/>
      <w:marLeft w:val="0"/>
      <w:marRight w:val="0"/>
      <w:marTop w:val="0"/>
      <w:marBottom w:val="0"/>
      <w:divBdr>
        <w:top w:val="none" w:sz="0" w:space="0" w:color="auto"/>
        <w:left w:val="none" w:sz="0" w:space="0" w:color="auto"/>
        <w:bottom w:val="none" w:sz="0" w:space="0" w:color="auto"/>
        <w:right w:val="none" w:sz="0" w:space="0" w:color="auto"/>
      </w:divBdr>
    </w:div>
    <w:div w:id="827132598">
      <w:bodyDiv w:val="1"/>
      <w:marLeft w:val="0"/>
      <w:marRight w:val="0"/>
      <w:marTop w:val="0"/>
      <w:marBottom w:val="0"/>
      <w:divBdr>
        <w:top w:val="none" w:sz="0" w:space="0" w:color="auto"/>
        <w:left w:val="none" w:sz="0" w:space="0" w:color="auto"/>
        <w:bottom w:val="none" w:sz="0" w:space="0" w:color="auto"/>
        <w:right w:val="none" w:sz="0" w:space="0" w:color="auto"/>
      </w:divBdr>
    </w:div>
    <w:div w:id="827985514">
      <w:bodyDiv w:val="1"/>
      <w:marLeft w:val="0"/>
      <w:marRight w:val="0"/>
      <w:marTop w:val="0"/>
      <w:marBottom w:val="0"/>
      <w:divBdr>
        <w:top w:val="none" w:sz="0" w:space="0" w:color="auto"/>
        <w:left w:val="none" w:sz="0" w:space="0" w:color="auto"/>
        <w:bottom w:val="none" w:sz="0" w:space="0" w:color="auto"/>
        <w:right w:val="none" w:sz="0" w:space="0" w:color="auto"/>
      </w:divBdr>
    </w:div>
    <w:div w:id="835606715">
      <w:bodyDiv w:val="1"/>
      <w:marLeft w:val="0"/>
      <w:marRight w:val="0"/>
      <w:marTop w:val="0"/>
      <w:marBottom w:val="0"/>
      <w:divBdr>
        <w:top w:val="none" w:sz="0" w:space="0" w:color="auto"/>
        <w:left w:val="none" w:sz="0" w:space="0" w:color="auto"/>
        <w:bottom w:val="none" w:sz="0" w:space="0" w:color="auto"/>
        <w:right w:val="none" w:sz="0" w:space="0" w:color="auto"/>
      </w:divBdr>
    </w:div>
    <w:div w:id="868757831">
      <w:bodyDiv w:val="1"/>
      <w:marLeft w:val="0"/>
      <w:marRight w:val="0"/>
      <w:marTop w:val="0"/>
      <w:marBottom w:val="0"/>
      <w:divBdr>
        <w:top w:val="none" w:sz="0" w:space="0" w:color="auto"/>
        <w:left w:val="none" w:sz="0" w:space="0" w:color="auto"/>
        <w:bottom w:val="none" w:sz="0" w:space="0" w:color="auto"/>
        <w:right w:val="none" w:sz="0" w:space="0" w:color="auto"/>
      </w:divBdr>
    </w:div>
    <w:div w:id="878394357">
      <w:bodyDiv w:val="1"/>
      <w:marLeft w:val="0"/>
      <w:marRight w:val="0"/>
      <w:marTop w:val="0"/>
      <w:marBottom w:val="0"/>
      <w:divBdr>
        <w:top w:val="none" w:sz="0" w:space="0" w:color="auto"/>
        <w:left w:val="none" w:sz="0" w:space="0" w:color="auto"/>
        <w:bottom w:val="none" w:sz="0" w:space="0" w:color="auto"/>
        <w:right w:val="none" w:sz="0" w:space="0" w:color="auto"/>
      </w:divBdr>
    </w:div>
    <w:div w:id="898175193">
      <w:bodyDiv w:val="1"/>
      <w:marLeft w:val="0"/>
      <w:marRight w:val="0"/>
      <w:marTop w:val="0"/>
      <w:marBottom w:val="0"/>
      <w:divBdr>
        <w:top w:val="none" w:sz="0" w:space="0" w:color="auto"/>
        <w:left w:val="none" w:sz="0" w:space="0" w:color="auto"/>
        <w:bottom w:val="none" w:sz="0" w:space="0" w:color="auto"/>
        <w:right w:val="none" w:sz="0" w:space="0" w:color="auto"/>
      </w:divBdr>
    </w:div>
    <w:div w:id="900479614">
      <w:bodyDiv w:val="1"/>
      <w:marLeft w:val="0"/>
      <w:marRight w:val="0"/>
      <w:marTop w:val="0"/>
      <w:marBottom w:val="0"/>
      <w:divBdr>
        <w:top w:val="none" w:sz="0" w:space="0" w:color="auto"/>
        <w:left w:val="none" w:sz="0" w:space="0" w:color="auto"/>
        <w:bottom w:val="none" w:sz="0" w:space="0" w:color="auto"/>
        <w:right w:val="none" w:sz="0" w:space="0" w:color="auto"/>
      </w:divBdr>
    </w:div>
    <w:div w:id="925310523">
      <w:bodyDiv w:val="1"/>
      <w:marLeft w:val="0"/>
      <w:marRight w:val="0"/>
      <w:marTop w:val="0"/>
      <w:marBottom w:val="0"/>
      <w:divBdr>
        <w:top w:val="none" w:sz="0" w:space="0" w:color="auto"/>
        <w:left w:val="none" w:sz="0" w:space="0" w:color="auto"/>
        <w:bottom w:val="none" w:sz="0" w:space="0" w:color="auto"/>
        <w:right w:val="none" w:sz="0" w:space="0" w:color="auto"/>
      </w:divBdr>
    </w:div>
    <w:div w:id="952858349">
      <w:bodyDiv w:val="1"/>
      <w:marLeft w:val="0"/>
      <w:marRight w:val="0"/>
      <w:marTop w:val="0"/>
      <w:marBottom w:val="0"/>
      <w:divBdr>
        <w:top w:val="none" w:sz="0" w:space="0" w:color="auto"/>
        <w:left w:val="none" w:sz="0" w:space="0" w:color="auto"/>
        <w:bottom w:val="none" w:sz="0" w:space="0" w:color="auto"/>
        <w:right w:val="none" w:sz="0" w:space="0" w:color="auto"/>
      </w:divBdr>
    </w:div>
    <w:div w:id="959383825">
      <w:bodyDiv w:val="1"/>
      <w:marLeft w:val="0"/>
      <w:marRight w:val="0"/>
      <w:marTop w:val="0"/>
      <w:marBottom w:val="0"/>
      <w:divBdr>
        <w:top w:val="none" w:sz="0" w:space="0" w:color="auto"/>
        <w:left w:val="none" w:sz="0" w:space="0" w:color="auto"/>
        <w:bottom w:val="none" w:sz="0" w:space="0" w:color="auto"/>
        <w:right w:val="none" w:sz="0" w:space="0" w:color="auto"/>
      </w:divBdr>
    </w:div>
    <w:div w:id="979577015">
      <w:bodyDiv w:val="1"/>
      <w:marLeft w:val="0"/>
      <w:marRight w:val="0"/>
      <w:marTop w:val="0"/>
      <w:marBottom w:val="0"/>
      <w:divBdr>
        <w:top w:val="none" w:sz="0" w:space="0" w:color="auto"/>
        <w:left w:val="none" w:sz="0" w:space="0" w:color="auto"/>
        <w:bottom w:val="none" w:sz="0" w:space="0" w:color="auto"/>
        <w:right w:val="none" w:sz="0" w:space="0" w:color="auto"/>
      </w:divBdr>
    </w:div>
    <w:div w:id="983239979">
      <w:bodyDiv w:val="1"/>
      <w:marLeft w:val="0"/>
      <w:marRight w:val="0"/>
      <w:marTop w:val="0"/>
      <w:marBottom w:val="0"/>
      <w:divBdr>
        <w:top w:val="none" w:sz="0" w:space="0" w:color="auto"/>
        <w:left w:val="none" w:sz="0" w:space="0" w:color="auto"/>
        <w:bottom w:val="none" w:sz="0" w:space="0" w:color="auto"/>
        <w:right w:val="none" w:sz="0" w:space="0" w:color="auto"/>
      </w:divBdr>
    </w:div>
    <w:div w:id="1004631381">
      <w:bodyDiv w:val="1"/>
      <w:marLeft w:val="0"/>
      <w:marRight w:val="0"/>
      <w:marTop w:val="0"/>
      <w:marBottom w:val="0"/>
      <w:divBdr>
        <w:top w:val="none" w:sz="0" w:space="0" w:color="auto"/>
        <w:left w:val="none" w:sz="0" w:space="0" w:color="auto"/>
        <w:bottom w:val="none" w:sz="0" w:space="0" w:color="auto"/>
        <w:right w:val="none" w:sz="0" w:space="0" w:color="auto"/>
      </w:divBdr>
    </w:div>
    <w:div w:id="1007486891">
      <w:bodyDiv w:val="1"/>
      <w:marLeft w:val="0"/>
      <w:marRight w:val="0"/>
      <w:marTop w:val="0"/>
      <w:marBottom w:val="0"/>
      <w:divBdr>
        <w:top w:val="none" w:sz="0" w:space="0" w:color="auto"/>
        <w:left w:val="none" w:sz="0" w:space="0" w:color="auto"/>
        <w:bottom w:val="none" w:sz="0" w:space="0" w:color="auto"/>
        <w:right w:val="none" w:sz="0" w:space="0" w:color="auto"/>
      </w:divBdr>
    </w:div>
    <w:div w:id="1007753198">
      <w:bodyDiv w:val="1"/>
      <w:marLeft w:val="0"/>
      <w:marRight w:val="0"/>
      <w:marTop w:val="0"/>
      <w:marBottom w:val="0"/>
      <w:divBdr>
        <w:top w:val="none" w:sz="0" w:space="0" w:color="auto"/>
        <w:left w:val="none" w:sz="0" w:space="0" w:color="auto"/>
        <w:bottom w:val="none" w:sz="0" w:space="0" w:color="auto"/>
        <w:right w:val="none" w:sz="0" w:space="0" w:color="auto"/>
      </w:divBdr>
    </w:div>
    <w:div w:id="1008558538">
      <w:bodyDiv w:val="1"/>
      <w:marLeft w:val="0"/>
      <w:marRight w:val="0"/>
      <w:marTop w:val="0"/>
      <w:marBottom w:val="0"/>
      <w:divBdr>
        <w:top w:val="none" w:sz="0" w:space="0" w:color="auto"/>
        <w:left w:val="none" w:sz="0" w:space="0" w:color="auto"/>
        <w:bottom w:val="none" w:sz="0" w:space="0" w:color="auto"/>
        <w:right w:val="none" w:sz="0" w:space="0" w:color="auto"/>
      </w:divBdr>
    </w:div>
    <w:div w:id="1009454425">
      <w:bodyDiv w:val="1"/>
      <w:marLeft w:val="0"/>
      <w:marRight w:val="0"/>
      <w:marTop w:val="0"/>
      <w:marBottom w:val="0"/>
      <w:divBdr>
        <w:top w:val="none" w:sz="0" w:space="0" w:color="auto"/>
        <w:left w:val="none" w:sz="0" w:space="0" w:color="auto"/>
        <w:bottom w:val="none" w:sz="0" w:space="0" w:color="auto"/>
        <w:right w:val="none" w:sz="0" w:space="0" w:color="auto"/>
      </w:divBdr>
    </w:div>
    <w:div w:id="1023824063">
      <w:bodyDiv w:val="1"/>
      <w:marLeft w:val="0"/>
      <w:marRight w:val="0"/>
      <w:marTop w:val="0"/>
      <w:marBottom w:val="0"/>
      <w:divBdr>
        <w:top w:val="none" w:sz="0" w:space="0" w:color="auto"/>
        <w:left w:val="none" w:sz="0" w:space="0" w:color="auto"/>
        <w:bottom w:val="none" w:sz="0" w:space="0" w:color="auto"/>
        <w:right w:val="none" w:sz="0" w:space="0" w:color="auto"/>
      </w:divBdr>
    </w:div>
    <w:div w:id="1025134194">
      <w:bodyDiv w:val="1"/>
      <w:marLeft w:val="0"/>
      <w:marRight w:val="0"/>
      <w:marTop w:val="0"/>
      <w:marBottom w:val="0"/>
      <w:divBdr>
        <w:top w:val="none" w:sz="0" w:space="0" w:color="auto"/>
        <w:left w:val="none" w:sz="0" w:space="0" w:color="auto"/>
        <w:bottom w:val="none" w:sz="0" w:space="0" w:color="auto"/>
        <w:right w:val="none" w:sz="0" w:space="0" w:color="auto"/>
      </w:divBdr>
    </w:div>
    <w:div w:id="1040672259">
      <w:bodyDiv w:val="1"/>
      <w:marLeft w:val="0"/>
      <w:marRight w:val="0"/>
      <w:marTop w:val="0"/>
      <w:marBottom w:val="0"/>
      <w:divBdr>
        <w:top w:val="none" w:sz="0" w:space="0" w:color="auto"/>
        <w:left w:val="none" w:sz="0" w:space="0" w:color="auto"/>
        <w:bottom w:val="none" w:sz="0" w:space="0" w:color="auto"/>
        <w:right w:val="none" w:sz="0" w:space="0" w:color="auto"/>
      </w:divBdr>
    </w:div>
    <w:div w:id="1049308610">
      <w:bodyDiv w:val="1"/>
      <w:marLeft w:val="0"/>
      <w:marRight w:val="0"/>
      <w:marTop w:val="0"/>
      <w:marBottom w:val="0"/>
      <w:divBdr>
        <w:top w:val="none" w:sz="0" w:space="0" w:color="auto"/>
        <w:left w:val="none" w:sz="0" w:space="0" w:color="auto"/>
        <w:bottom w:val="none" w:sz="0" w:space="0" w:color="auto"/>
        <w:right w:val="none" w:sz="0" w:space="0" w:color="auto"/>
      </w:divBdr>
    </w:div>
    <w:div w:id="1054887260">
      <w:bodyDiv w:val="1"/>
      <w:marLeft w:val="0"/>
      <w:marRight w:val="0"/>
      <w:marTop w:val="0"/>
      <w:marBottom w:val="0"/>
      <w:divBdr>
        <w:top w:val="none" w:sz="0" w:space="0" w:color="auto"/>
        <w:left w:val="none" w:sz="0" w:space="0" w:color="auto"/>
        <w:bottom w:val="none" w:sz="0" w:space="0" w:color="auto"/>
        <w:right w:val="none" w:sz="0" w:space="0" w:color="auto"/>
      </w:divBdr>
    </w:div>
    <w:div w:id="1058015115">
      <w:bodyDiv w:val="1"/>
      <w:marLeft w:val="0"/>
      <w:marRight w:val="0"/>
      <w:marTop w:val="0"/>
      <w:marBottom w:val="0"/>
      <w:divBdr>
        <w:top w:val="none" w:sz="0" w:space="0" w:color="auto"/>
        <w:left w:val="none" w:sz="0" w:space="0" w:color="auto"/>
        <w:bottom w:val="none" w:sz="0" w:space="0" w:color="auto"/>
        <w:right w:val="none" w:sz="0" w:space="0" w:color="auto"/>
      </w:divBdr>
    </w:div>
    <w:div w:id="1071930111">
      <w:bodyDiv w:val="1"/>
      <w:marLeft w:val="0"/>
      <w:marRight w:val="0"/>
      <w:marTop w:val="0"/>
      <w:marBottom w:val="0"/>
      <w:divBdr>
        <w:top w:val="none" w:sz="0" w:space="0" w:color="auto"/>
        <w:left w:val="none" w:sz="0" w:space="0" w:color="auto"/>
        <w:bottom w:val="none" w:sz="0" w:space="0" w:color="auto"/>
        <w:right w:val="none" w:sz="0" w:space="0" w:color="auto"/>
      </w:divBdr>
    </w:div>
    <w:div w:id="1075589368">
      <w:bodyDiv w:val="1"/>
      <w:marLeft w:val="0"/>
      <w:marRight w:val="0"/>
      <w:marTop w:val="0"/>
      <w:marBottom w:val="0"/>
      <w:divBdr>
        <w:top w:val="none" w:sz="0" w:space="0" w:color="auto"/>
        <w:left w:val="none" w:sz="0" w:space="0" w:color="auto"/>
        <w:bottom w:val="none" w:sz="0" w:space="0" w:color="auto"/>
        <w:right w:val="none" w:sz="0" w:space="0" w:color="auto"/>
      </w:divBdr>
    </w:div>
    <w:div w:id="1078819653">
      <w:bodyDiv w:val="1"/>
      <w:marLeft w:val="0"/>
      <w:marRight w:val="0"/>
      <w:marTop w:val="0"/>
      <w:marBottom w:val="0"/>
      <w:divBdr>
        <w:top w:val="none" w:sz="0" w:space="0" w:color="auto"/>
        <w:left w:val="none" w:sz="0" w:space="0" w:color="auto"/>
        <w:bottom w:val="none" w:sz="0" w:space="0" w:color="auto"/>
        <w:right w:val="none" w:sz="0" w:space="0" w:color="auto"/>
      </w:divBdr>
    </w:div>
    <w:div w:id="1081758388">
      <w:bodyDiv w:val="1"/>
      <w:marLeft w:val="0"/>
      <w:marRight w:val="0"/>
      <w:marTop w:val="0"/>
      <w:marBottom w:val="0"/>
      <w:divBdr>
        <w:top w:val="none" w:sz="0" w:space="0" w:color="auto"/>
        <w:left w:val="none" w:sz="0" w:space="0" w:color="auto"/>
        <w:bottom w:val="none" w:sz="0" w:space="0" w:color="auto"/>
        <w:right w:val="none" w:sz="0" w:space="0" w:color="auto"/>
      </w:divBdr>
    </w:div>
    <w:div w:id="1088842995">
      <w:bodyDiv w:val="1"/>
      <w:marLeft w:val="0"/>
      <w:marRight w:val="0"/>
      <w:marTop w:val="0"/>
      <w:marBottom w:val="0"/>
      <w:divBdr>
        <w:top w:val="none" w:sz="0" w:space="0" w:color="auto"/>
        <w:left w:val="none" w:sz="0" w:space="0" w:color="auto"/>
        <w:bottom w:val="none" w:sz="0" w:space="0" w:color="auto"/>
        <w:right w:val="none" w:sz="0" w:space="0" w:color="auto"/>
      </w:divBdr>
    </w:div>
    <w:div w:id="1094784390">
      <w:bodyDiv w:val="1"/>
      <w:marLeft w:val="0"/>
      <w:marRight w:val="0"/>
      <w:marTop w:val="0"/>
      <w:marBottom w:val="0"/>
      <w:divBdr>
        <w:top w:val="none" w:sz="0" w:space="0" w:color="auto"/>
        <w:left w:val="none" w:sz="0" w:space="0" w:color="auto"/>
        <w:bottom w:val="none" w:sz="0" w:space="0" w:color="auto"/>
        <w:right w:val="none" w:sz="0" w:space="0" w:color="auto"/>
      </w:divBdr>
    </w:div>
    <w:div w:id="1119841827">
      <w:bodyDiv w:val="1"/>
      <w:marLeft w:val="0"/>
      <w:marRight w:val="0"/>
      <w:marTop w:val="0"/>
      <w:marBottom w:val="0"/>
      <w:divBdr>
        <w:top w:val="none" w:sz="0" w:space="0" w:color="auto"/>
        <w:left w:val="none" w:sz="0" w:space="0" w:color="auto"/>
        <w:bottom w:val="none" w:sz="0" w:space="0" w:color="auto"/>
        <w:right w:val="none" w:sz="0" w:space="0" w:color="auto"/>
      </w:divBdr>
    </w:div>
    <w:div w:id="1126772730">
      <w:bodyDiv w:val="1"/>
      <w:marLeft w:val="0"/>
      <w:marRight w:val="0"/>
      <w:marTop w:val="0"/>
      <w:marBottom w:val="0"/>
      <w:divBdr>
        <w:top w:val="none" w:sz="0" w:space="0" w:color="auto"/>
        <w:left w:val="none" w:sz="0" w:space="0" w:color="auto"/>
        <w:bottom w:val="none" w:sz="0" w:space="0" w:color="auto"/>
        <w:right w:val="none" w:sz="0" w:space="0" w:color="auto"/>
      </w:divBdr>
    </w:div>
    <w:div w:id="1148985043">
      <w:bodyDiv w:val="1"/>
      <w:marLeft w:val="0"/>
      <w:marRight w:val="0"/>
      <w:marTop w:val="0"/>
      <w:marBottom w:val="0"/>
      <w:divBdr>
        <w:top w:val="none" w:sz="0" w:space="0" w:color="auto"/>
        <w:left w:val="none" w:sz="0" w:space="0" w:color="auto"/>
        <w:bottom w:val="none" w:sz="0" w:space="0" w:color="auto"/>
        <w:right w:val="none" w:sz="0" w:space="0" w:color="auto"/>
      </w:divBdr>
    </w:div>
    <w:div w:id="1150832226">
      <w:bodyDiv w:val="1"/>
      <w:marLeft w:val="0"/>
      <w:marRight w:val="0"/>
      <w:marTop w:val="0"/>
      <w:marBottom w:val="0"/>
      <w:divBdr>
        <w:top w:val="none" w:sz="0" w:space="0" w:color="auto"/>
        <w:left w:val="none" w:sz="0" w:space="0" w:color="auto"/>
        <w:bottom w:val="none" w:sz="0" w:space="0" w:color="auto"/>
        <w:right w:val="none" w:sz="0" w:space="0" w:color="auto"/>
      </w:divBdr>
    </w:div>
    <w:div w:id="1155681433">
      <w:bodyDiv w:val="1"/>
      <w:marLeft w:val="0"/>
      <w:marRight w:val="0"/>
      <w:marTop w:val="0"/>
      <w:marBottom w:val="0"/>
      <w:divBdr>
        <w:top w:val="none" w:sz="0" w:space="0" w:color="auto"/>
        <w:left w:val="none" w:sz="0" w:space="0" w:color="auto"/>
        <w:bottom w:val="none" w:sz="0" w:space="0" w:color="auto"/>
        <w:right w:val="none" w:sz="0" w:space="0" w:color="auto"/>
      </w:divBdr>
    </w:div>
    <w:div w:id="1160661816">
      <w:bodyDiv w:val="1"/>
      <w:marLeft w:val="0"/>
      <w:marRight w:val="0"/>
      <w:marTop w:val="0"/>
      <w:marBottom w:val="0"/>
      <w:divBdr>
        <w:top w:val="none" w:sz="0" w:space="0" w:color="auto"/>
        <w:left w:val="none" w:sz="0" w:space="0" w:color="auto"/>
        <w:bottom w:val="none" w:sz="0" w:space="0" w:color="auto"/>
        <w:right w:val="none" w:sz="0" w:space="0" w:color="auto"/>
      </w:divBdr>
    </w:div>
    <w:div w:id="1166748333">
      <w:bodyDiv w:val="1"/>
      <w:marLeft w:val="0"/>
      <w:marRight w:val="0"/>
      <w:marTop w:val="0"/>
      <w:marBottom w:val="0"/>
      <w:divBdr>
        <w:top w:val="none" w:sz="0" w:space="0" w:color="auto"/>
        <w:left w:val="none" w:sz="0" w:space="0" w:color="auto"/>
        <w:bottom w:val="none" w:sz="0" w:space="0" w:color="auto"/>
        <w:right w:val="none" w:sz="0" w:space="0" w:color="auto"/>
      </w:divBdr>
    </w:div>
    <w:div w:id="1186597728">
      <w:bodyDiv w:val="1"/>
      <w:marLeft w:val="0"/>
      <w:marRight w:val="0"/>
      <w:marTop w:val="0"/>
      <w:marBottom w:val="0"/>
      <w:divBdr>
        <w:top w:val="none" w:sz="0" w:space="0" w:color="auto"/>
        <w:left w:val="none" w:sz="0" w:space="0" w:color="auto"/>
        <w:bottom w:val="none" w:sz="0" w:space="0" w:color="auto"/>
        <w:right w:val="none" w:sz="0" w:space="0" w:color="auto"/>
      </w:divBdr>
    </w:div>
    <w:div w:id="1195770214">
      <w:bodyDiv w:val="1"/>
      <w:marLeft w:val="0"/>
      <w:marRight w:val="0"/>
      <w:marTop w:val="0"/>
      <w:marBottom w:val="0"/>
      <w:divBdr>
        <w:top w:val="none" w:sz="0" w:space="0" w:color="auto"/>
        <w:left w:val="none" w:sz="0" w:space="0" w:color="auto"/>
        <w:bottom w:val="none" w:sz="0" w:space="0" w:color="auto"/>
        <w:right w:val="none" w:sz="0" w:space="0" w:color="auto"/>
      </w:divBdr>
    </w:div>
    <w:div w:id="1230308111">
      <w:bodyDiv w:val="1"/>
      <w:marLeft w:val="0"/>
      <w:marRight w:val="0"/>
      <w:marTop w:val="0"/>
      <w:marBottom w:val="0"/>
      <w:divBdr>
        <w:top w:val="none" w:sz="0" w:space="0" w:color="auto"/>
        <w:left w:val="none" w:sz="0" w:space="0" w:color="auto"/>
        <w:bottom w:val="none" w:sz="0" w:space="0" w:color="auto"/>
        <w:right w:val="none" w:sz="0" w:space="0" w:color="auto"/>
      </w:divBdr>
    </w:div>
    <w:div w:id="1246888631">
      <w:bodyDiv w:val="1"/>
      <w:marLeft w:val="0"/>
      <w:marRight w:val="0"/>
      <w:marTop w:val="0"/>
      <w:marBottom w:val="0"/>
      <w:divBdr>
        <w:top w:val="none" w:sz="0" w:space="0" w:color="auto"/>
        <w:left w:val="none" w:sz="0" w:space="0" w:color="auto"/>
        <w:bottom w:val="none" w:sz="0" w:space="0" w:color="auto"/>
        <w:right w:val="none" w:sz="0" w:space="0" w:color="auto"/>
      </w:divBdr>
    </w:div>
    <w:div w:id="1259018867">
      <w:bodyDiv w:val="1"/>
      <w:marLeft w:val="0"/>
      <w:marRight w:val="0"/>
      <w:marTop w:val="0"/>
      <w:marBottom w:val="0"/>
      <w:divBdr>
        <w:top w:val="none" w:sz="0" w:space="0" w:color="auto"/>
        <w:left w:val="none" w:sz="0" w:space="0" w:color="auto"/>
        <w:bottom w:val="none" w:sz="0" w:space="0" w:color="auto"/>
        <w:right w:val="none" w:sz="0" w:space="0" w:color="auto"/>
      </w:divBdr>
    </w:div>
    <w:div w:id="1270359336">
      <w:bodyDiv w:val="1"/>
      <w:marLeft w:val="0"/>
      <w:marRight w:val="0"/>
      <w:marTop w:val="0"/>
      <w:marBottom w:val="0"/>
      <w:divBdr>
        <w:top w:val="none" w:sz="0" w:space="0" w:color="auto"/>
        <w:left w:val="none" w:sz="0" w:space="0" w:color="auto"/>
        <w:bottom w:val="none" w:sz="0" w:space="0" w:color="auto"/>
        <w:right w:val="none" w:sz="0" w:space="0" w:color="auto"/>
      </w:divBdr>
    </w:div>
    <w:div w:id="1270773000">
      <w:bodyDiv w:val="1"/>
      <w:marLeft w:val="0"/>
      <w:marRight w:val="0"/>
      <w:marTop w:val="0"/>
      <w:marBottom w:val="0"/>
      <w:divBdr>
        <w:top w:val="none" w:sz="0" w:space="0" w:color="auto"/>
        <w:left w:val="none" w:sz="0" w:space="0" w:color="auto"/>
        <w:bottom w:val="none" w:sz="0" w:space="0" w:color="auto"/>
        <w:right w:val="none" w:sz="0" w:space="0" w:color="auto"/>
      </w:divBdr>
    </w:div>
    <w:div w:id="1280800056">
      <w:bodyDiv w:val="1"/>
      <w:marLeft w:val="0"/>
      <w:marRight w:val="0"/>
      <w:marTop w:val="0"/>
      <w:marBottom w:val="0"/>
      <w:divBdr>
        <w:top w:val="none" w:sz="0" w:space="0" w:color="auto"/>
        <w:left w:val="none" w:sz="0" w:space="0" w:color="auto"/>
        <w:bottom w:val="none" w:sz="0" w:space="0" w:color="auto"/>
        <w:right w:val="none" w:sz="0" w:space="0" w:color="auto"/>
      </w:divBdr>
      <w:divsChild>
        <w:div w:id="289677129">
          <w:marLeft w:val="0"/>
          <w:marRight w:val="0"/>
          <w:marTop w:val="0"/>
          <w:marBottom w:val="0"/>
          <w:divBdr>
            <w:top w:val="none" w:sz="0" w:space="0" w:color="auto"/>
            <w:left w:val="none" w:sz="0" w:space="0" w:color="auto"/>
            <w:bottom w:val="none" w:sz="0" w:space="0" w:color="auto"/>
            <w:right w:val="none" w:sz="0" w:space="0" w:color="auto"/>
          </w:divBdr>
        </w:div>
        <w:div w:id="339938772">
          <w:marLeft w:val="0"/>
          <w:marRight w:val="0"/>
          <w:marTop w:val="0"/>
          <w:marBottom w:val="0"/>
          <w:divBdr>
            <w:top w:val="none" w:sz="0" w:space="0" w:color="auto"/>
            <w:left w:val="none" w:sz="0" w:space="0" w:color="auto"/>
            <w:bottom w:val="none" w:sz="0" w:space="0" w:color="auto"/>
            <w:right w:val="none" w:sz="0" w:space="0" w:color="auto"/>
          </w:divBdr>
        </w:div>
        <w:div w:id="342899291">
          <w:marLeft w:val="0"/>
          <w:marRight w:val="0"/>
          <w:marTop w:val="0"/>
          <w:marBottom w:val="0"/>
          <w:divBdr>
            <w:top w:val="none" w:sz="0" w:space="0" w:color="auto"/>
            <w:left w:val="none" w:sz="0" w:space="0" w:color="auto"/>
            <w:bottom w:val="none" w:sz="0" w:space="0" w:color="auto"/>
            <w:right w:val="none" w:sz="0" w:space="0" w:color="auto"/>
          </w:divBdr>
        </w:div>
        <w:div w:id="1270164810">
          <w:marLeft w:val="0"/>
          <w:marRight w:val="0"/>
          <w:marTop w:val="0"/>
          <w:marBottom w:val="0"/>
          <w:divBdr>
            <w:top w:val="none" w:sz="0" w:space="0" w:color="auto"/>
            <w:left w:val="none" w:sz="0" w:space="0" w:color="auto"/>
            <w:bottom w:val="none" w:sz="0" w:space="0" w:color="auto"/>
            <w:right w:val="none" w:sz="0" w:space="0" w:color="auto"/>
          </w:divBdr>
        </w:div>
      </w:divsChild>
    </w:div>
    <w:div w:id="1282153449">
      <w:bodyDiv w:val="1"/>
      <w:marLeft w:val="0"/>
      <w:marRight w:val="0"/>
      <w:marTop w:val="0"/>
      <w:marBottom w:val="0"/>
      <w:divBdr>
        <w:top w:val="none" w:sz="0" w:space="0" w:color="auto"/>
        <w:left w:val="none" w:sz="0" w:space="0" w:color="auto"/>
        <w:bottom w:val="none" w:sz="0" w:space="0" w:color="auto"/>
        <w:right w:val="none" w:sz="0" w:space="0" w:color="auto"/>
      </w:divBdr>
    </w:div>
    <w:div w:id="1295789766">
      <w:bodyDiv w:val="1"/>
      <w:marLeft w:val="0"/>
      <w:marRight w:val="0"/>
      <w:marTop w:val="0"/>
      <w:marBottom w:val="0"/>
      <w:divBdr>
        <w:top w:val="none" w:sz="0" w:space="0" w:color="auto"/>
        <w:left w:val="none" w:sz="0" w:space="0" w:color="auto"/>
        <w:bottom w:val="none" w:sz="0" w:space="0" w:color="auto"/>
        <w:right w:val="none" w:sz="0" w:space="0" w:color="auto"/>
      </w:divBdr>
    </w:div>
    <w:div w:id="1324431723">
      <w:bodyDiv w:val="1"/>
      <w:marLeft w:val="0"/>
      <w:marRight w:val="0"/>
      <w:marTop w:val="0"/>
      <w:marBottom w:val="0"/>
      <w:divBdr>
        <w:top w:val="none" w:sz="0" w:space="0" w:color="auto"/>
        <w:left w:val="none" w:sz="0" w:space="0" w:color="auto"/>
        <w:bottom w:val="none" w:sz="0" w:space="0" w:color="auto"/>
        <w:right w:val="none" w:sz="0" w:space="0" w:color="auto"/>
      </w:divBdr>
    </w:div>
    <w:div w:id="1334378738">
      <w:bodyDiv w:val="1"/>
      <w:marLeft w:val="0"/>
      <w:marRight w:val="0"/>
      <w:marTop w:val="0"/>
      <w:marBottom w:val="0"/>
      <w:divBdr>
        <w:top w:val="none" w:sz="0" w:space="0" w:color="auto"/>
        <w:left w:val="none" w:sz="0" w:space="0" w:color="auto"/>
        <w:bottom w:val="none" w:sz="0" w:space="0" w:color="auto"/>
        <w:right w:val="none" w:sz="0" w:space="0" w:color="auto"/>
      </w:divBdr>
    </w:div>
    <w:div w:id="1342656868">
      <w:bodyDiv w:val="1"/>
      <w:marLeft w:val="0"/>
      <w:marRight w:val="0"/>
      <w:marTop w:val="0"/>
      <w:marBottom w:val="0"/>
      <w:divBdr>
        <w:top w:val="none" w:sz="0" w:space="0" w:color="auto"/>
        <w:left w:val="none" w:sz="0" w:space="0" w:color="auto"/>
        <w:bottom w:val="none" w:sz="0" w:space="0" w:color="auto"/>
        <w:right w:val="none" w:sz="0" w:space="0" w:color="auto"/>
      </w:divBdr>
    </w:div>
    <w:div w:id="1351368432">
      <w:bodyDiv w:val="1"/>
      <w:marLeft w:val="0"/>
      <w:marRight w:val="0"/>
      <w:marTop w:val="0"/>
      <w:marBottom w:val="0"/>
      <w:divBdr>
        <w:top w:val="none" w:sz="0" w:space="0" w:color="auto"/>
        <w:left w:val="none" w:sz="0" w:space="0" w:color="auto"/>
        <w:bottom w:val="none" w:sz="0" w:space="0" w:color="auto"/>
        <w:right w:val="none" w:sz="0" w:space="0" w:color="auto"/>
      </w:divBdr>
    </w:div>
    <w:div w:id="1354845299">
      <w:bodyDiv w:val="1"/>
      <w:marLeft w:val="0"/>
      <w:marRight w:val="0"/>
      <w:marTop w:val="0"/>
      <w:marBottom w:val="0"/>
      <w:divBdr>
        <w:top w:val="none" w:sz="0" w:space="0" w:color="auto"/>
        <w:left w:val="none" w:sz="0" w:space="0" w:color="auto"/>
        <w:bottom w:val="none" w:sz="0" w:space="0" w:color="auto"/>
        <w:right w:val="none" w:sz="0" w:space="0" w:color="auto"/>
      </w:divBdr>
    </w:div>
    <w:div w:id="1364356852">
      <w:bodyDiv w:val="1"/>
      <w:marLeft w:val="0"/>
      <w:marRight w:val="0"/>
      <w:marTop w:val="0"/>
      <w:marBottom w:val="0"/>
      <w:divBdr>
        <w:top w:val="none" w:sz="0" w:space="0" w:color="auto"/>
        <w:left w:val="none" w:sz="0" w:space="0" w:color="auto"/>
        <w:bottom w:val="none" w:sz="0" w:space="0" w:color="auto"/>
        <w:right w:val="none" w:sz="0" w:space="0" w:color="auto"/>
      </w:divBdr>
    </w:div>
    <w:div w:id="1393231910">
      <w:bodyDiv w:val="1"/>
      <w:marLeft w:val="0"/>
      <w:marRight w:val="0"/>
      <w:marTop w:val="0"/>
      <w:marBottom w:val="0"/>
      <w:divBdr>
        <w:top w:val="none" w:sz="0" w:space="0" w:color="auto"/>
        <w:left w:val="none" w:sz="0" w:space="0" w:color="auto"/>
        <w:bottom w:val="none" w:sz="0" w:space="0" w:color="auto"/>
        <w:right w:val="none" w:sz="0" w:space="0" w:color="auto"/>
      </w:divBdr>
    </w:div>
    <w:div w:id="1418480314">
      <w:bodyDiv w:val="1"/>
      <w:marLeft w:val="0"/>
      <w:marRight w:val="0"/>
      <w:marTop w:val="0"/>
      <w:marBottom w:val="0"/>
      <w:divBdr>
        <w:top w:val="none" w:sz="0" w:space="0" w:color="auto"/>
        <w:left w:val="none" w:sz="0" w:space="0" w:color="auto"/>
        <w:bottom w:val="none" w:sz="0" w:space="0" w:color="auto"/>
        <w:right w:val="none" w:sz="0" w:space="0" w:color="auto"/>
      </w:divBdr>
    </w:div>
    <w:div w:id="1424841342">
      <w:bodyDiv w:val="1"/>
      <w:marLeft w:val="0"/>
      <w:marRight w:val="0"/>
      <w:marTop w:val="0"/>
      <w:marBottom w:val="0"/>
      <w:divBdr>
        <w:top w:val="none" w:sz="0" w:space="0" w:color="auto"/>
        <w:left w:val="none" w:sz="0" w:space="0" w:color="auto"/>
        <w:bottom w:val="none" w:sz="0" w:space="0" w:color="auto"/>
        <w:right w:val="none" w:sz="0" w:space="0" w:color="auto"/>
      </w:divBdr>
    </w:div>
    <w:div w:id="1442915669">
      <w:bodyDiv w:val="1"/>
      <w:marLeft w:val="0"/>
      <w:marRight w:val="0"/>
      <w:marTop w:val="0"/>
      <w:marBottom w:val="0"/>
      <w:divBdr>
        <w:top w:val="none" w:sz="0" w:space="0" w:color="auto"/>
        <w:left w:val="none" w:sz="0" w:space="0" w:color="auto"/>
        <w:bottom w:val="none" w:sz="0" w:space="0" w:color="auto"/>
        <w:right w:val="none" w:sz="0" w:space="0" w:color="auto"/>
      </w:divBdr>
    </w:div>
    <w:div w:id="1451320013">
      <w:bodyDiv w:val="1"/>
      <w:marLeft w:val="0"/>
      <w:marRight w:val="0"/>
      <w:marTop w:val="0"/>
      <w:marBottom w:val="0"/>
      <w:divBdr>
        <w:top w:val="none" w:sz="0" w:space="0" w:color="auto"/>
        <w:left w:val="none" w:sz="0" w:space="0" w:color="auto"/>
        <w:bottom w:val="none" w:sz="0" w:space="0" w:color="auto"/>
        <w:right w:val="none" w:sz="0" w:space="0" w:color="auto"/>
      </w:divBdr>
    </w:div>
    <w:div w:id="1455296535">
      <w:bodyDiv w:val="1"/>
      <w:marLeft w:val="0"/>
      <w:marRight w:val="0"/>
      <w:marTop w:val="0"/>
      <w:marBottom w:val="0"/>
      <w:divBdr>
        <w:top w:val="none" w:sz="0" w:space="0" w:color="auto"/>
        <w:left w:val="none" w:sz="0" w:space="0" w:color="auto"/>
        <w:bottom w:val="none" w:sz="0" w:space="0" w:color="auto"/>
        <w:right w:val="none" w:sz="0" w:space="0" w:color="auto"/>
      </w:divBdr>
    </w:div>
    <w:div w:id="1507936862">
      <w:bodyDiv w:val="1"/>
      <w:marLeft w:val="0"/>
      <w:marRight w:val="0"/>
      <w:marTop w:val="0"/>
      <w:marBottom w:val="0"/>
      <w:divBdr>
        <w:top w:val="none" w:sz="0" w:space="0" w:color="auto"/>
        <w:left w:val="none" w:sz="0" w:space="0" w:color="auto"/>
        <w:bottom w:val="none" w:sz="0" w:space="0" w:color="auto"/>
        <w:right w:val="none" w:sz="0" w:space="0" w:color="auto"/>
      </w:divBdr>
    </w:div>
    <w:div w:id="1543203289">
      <w:bodyDiv w:val="1"/>
      <w:marLeft w:val="0"/>
      <w:marRight w:val="0"/>
      <w:marTop w:val="0"/>
      <w:marBottom w:val="0"/>
      <w:divBdr>
        <w:top w:val="none" w:sz="0" w:space="0" w:color="auto"/>
        <w:left w:val="none" w:sz="0" w:space="0" w:color="auto"/>
        <w:bottom w:val="none" w:sz="0" w:space="0" w:color="auto"/>
        <w:right w:val="none" w:sz="0" w:space="0" w:color="auto"/>
      </w:divBdr>
    </w:div>
    <w:div w:id="1544516236">
      <w:bodyDiv w:val="1"/>
      <w:marLeft w:val="0"/>
      <w:marRight w:val="0"/>
      <w:marTop w:val="0"/>
      <w:marBottom w:val="0"/>
      <w:divBdr>
        <w:top w:val="none" w:sz="0" w:space="0" w:color="auto"/>
        <w:left w:val="none" w:sz="0" w:space="0" w:color="auto"/>
        <w:bottom w:val="none" w:sz="0" w:space="0" w:color="auto"/>
        <w:right w:val="none" w:sz="0" w:space="0" w:color="auto"/>
      </w:divBdr>
    </w:div>
    <w:div w:id="1555576671">
      <w:bodyDiv w:val="1"/>
      <w:marLeft w:val="0"/>
      <w:marRight w:val="0"/>
      <w:marTop w:val="0"/>
      <w:marBottom w:val="0"/>
      <w:divBdr>
        <w:top w:val="none" w:sz="0" w:space="0" w:color="auto"/>
        <w:left w:val="none" w:sz="0" w:space="0" w:color="auto"/>
        <w:bottom w:val="none" w:sz="0" w:space="0" w:color="auto"/>
        <w:right w:val="none" w:sz="0" w:space="0" w:color="auto"/>
      </w:divBdr>
    </w:div>
    <w:div w:id="1559632619">
      <w:bodyDiv w:val="1"/>
      <w:marLeft w:val="0"/>
      <w:marRight w:val="0"/>
      <w:marTop w:val="0"/>
      <w:marBottom w:val="0"/>
      <w:divBdr>
        <w:top w:val="none" w:sz="0" w:space="0" w:color="auto"/>
        <w:left w:val="none" w:sz="0" w:space="0" w:color="auto"/>
        <w:bottom w:val="none" w:sz="0" w:space="0" w:color="auto"/>
        <w:right w:val="none" w:sz="0" w:space="0" w:color="auto"/>
      </w:divBdr>
    </w:div>
    <w:div w:id="1569194301">
      <w:bodyDiv w:val="1"/>
      <w:marLeft w:val="0"/>
      <w:marRight w:val="0"/>
      <w:marTop w:val="0"/>
      <w:marBottom w:val="0"/>
      <w:divBdr>
        <w:top w:val="none" w:sz="0" w:space="0" w:color="auto"/>
        <w:left w:val="none" w:sz="0" w:space="0" w:color="auto"/>
        <w:bottom w:val="none" w:sz="0" w:space="0" w:color="auto"/>
        <w:right w:val="none" w:sz="0" w:space="0" w:color="auto"/>
      </w:divBdr>
    </w:div>
    <w:div w:id="1570573020">
      <w:bodyDiv w:val="1"/>
      <w:marLeft w:val="0"/>
      <w:marRight w:val="0"/>
      <w:marTop w:val="0"/>
      <w:marBottom w:val="0"/>
      <w:divBdr>
        <w:top w:val="none" w:sz="0" w:space="0" w:color="auto"/>
        <w:left w:val="none" w:sz="0" w:space="0" w:color="auto"/>
        <w:bottom w:val="none" w:sz="0" w:space="0" w:color="auto"/>
        <w:right w:val="none" w:sz="0" w:space="0" w:color="auto"/>
      </w:divBdr>
    </w:div>
    <w:div w:id="1575701995">
      <w:bodyDiv w:val="1"/>
      <w:marLeft w:val="0"/>
      <w:marRight w:val="0"/>
      <w:marTop w:val="0"/>
      <w:marBottom w:val="0"/>
      <w:divBdr>
        <w:top w:val="none" w:sz="0" w:space="0" w:color="auto"/>
        <w:left w:val="none" w:sz="0" w:space="0" w:color="auto"/>
        <w:bottom w:val="none" w:sz="0" w:space="0" w:color="auto"/>
        <w:right w:val="none" w:sz="0" w:space="0" w:color="auto"/>
      </w:divBdr>
    </w:div>
    <w:div w:id="1577203351">
      <w:bodyDiv w:val="1"/>
      <w:marLeft w:val="0"/>
      <w:marRight w:val="0"/>
      <w:marTop w:val="0"/>
      <w:marBottom w:val="0"/>
      <w:divBdr>
        <w:top w:val="none" w:sz="0" w:space="0" w:color="auto"/>
        <w:left w:val="none" w:sz="0" w:space="0" w:color="auto"/>
        <w:bottom w:val="none" w:sz="0" w:space="0" w:color="auto"/>
        <w:right w:val="none" w:sz="0" w:space="0" w:color="auto"/>
      </w:divBdr>
    </w:div>
    <w:div w:id="1579174285">
      <w:bodyDiv w:val="1"/>
      <w:marLeft w:val="0"/>
      <w:marRight w:val="0"/>
      <w:marTop w:val="0"/>
      <w:marBottom w:val="0"/>
      <w:divBdr>
        <w:top w:val="none" w:sz="0" w:space="0" w:color="auto"/>
        <w:left w:val="none" w:sz="0" w:space="0" w:color="auto"/>
        <w:bottom w:val="none" w:sz="0" w:space="0" w:color="auto"/>
        <w:right w:val="none" w:sz="0" w:space="0" w:color="auto"/>
      </w:divBdr>
    </w:div>
    <w:div w:id="1604651106">
      <w:bodyDiv w:val="1"/>
      <w:marLeft w:val="0"/>
      <w:marRight w:val="0"/>
      <w:marTop w:val="0"/>
      <w:marBottom w:val="0"/>
      <w:divBdr>
        <w:top w:val="none" w:sz="0" w:space="0" w:color="auto"/>
        <w:left w:val="none" w:sz="0" w:space="0" w:color="auto"/>
        <w:bottom w:val="none" w:sz="0" w:space="0" w:color="auto"/>
        <w:right w:val="none" w:sz="0" w:space="0" w:color="auto"/>
      </w:divBdr>
    </w:div>
    <w:div w:id="1643150518">
      <w:bodyDiv w:val="1"/>
      <w:marLeft w:val="0"/>
      <w:marRight w:val="0"/>
      <w:marTop w:val="0"/>
      <w:marBottom w:val="0"/>
      <w:divBdr>
        <w:top w:val="none" w:sz="0" w:space="0" w:color="auto"/>
        <w:left w:val="none" w:sz="0" w:space="0" w:color="auto"/>
        <w:bottom w:val="none" w:sz="0" w:space="0" w:color="auto"/>
        <w:right w:val="none" w:sz="0" w:space="0" w:color="auto"/>
      </w:divBdr>
    </w:div>
    <w:div w:id="1644384737">
      <w:bodyDiv w:val="1"/>
      <w:marLeft w:val="0"/>
      <w:marRight w:val="0"/>
      <w:marTop w:val="0"/>
      <w:marBottom w:val="0"/>
      <w:divBdr>
        <w:top w:val="none" w:sz="0" w:space="0" w:color="auto"/>
        <w:left w:val="none" w:sz="0" w:space="0" w:color="auto"/>
        <w:bottom w:val="none" w:sz="0" w:space="0" w:color="auto"/>
        <w:right w:val="none" w:sz="0" w:space="0" w:color="auto"/>
      </w:divBdr>
    </w:div>
    <w:div w:id="1651444262">
      <w:bodyDiv w:val="1"/>
      <w:marLeft w:val="0"/>
      <w:marRight w:val="0"/>
      <w:marTop w:val="0"/>
      <w:marBottom w:val="0"/>
      <w:divBdr>
        <w:top w:val="none" w:sz="0" w:space="0" w:color="auto"/>
        <w:left w:val="none" w:sz="0" w:space="0" w:color="auto"/>
        <w:bottom w:val="none" w:sz="0" w:space="0" w:color="auto"/>
        <w:right w:val="none" w:sz="0" w:space="0" w:color="auto"/>
      </w:divBdr>
    </w:div>
    <w:div w:id="1671179381">
      <w:bodyDiv w:val="1"/>
      <w:marLeft w:val="0"/>
      <w:marRight w:val="0"/>
      <w:marTop w:val="0"/>
      <w:marBottom w:val="0"/>
      <w:divBdr>
        <w:top w:val="none" w:sz="0" w:space="0" w:color="auto"/>
        <w:left w:val="none" w:sz="0" w:space="0" w:color="auto"/>
        <w:bottom w:val="none" w:sz="0" w:space="0" w:color="auto"/>
        <w:right w:val="none" w:sz="0" w:space="0" w:color="auto"/>
      </w:divBdr>
    </w:div>
    <w:div w:id="1677927157">
      <w:bodyDiv w:val="1"/>
      <w:marLeft w:val="0"/>
      <w:marRight w:val="0"/>
      <w:marTop w:val="0"/>
      <w:marBottom w:val="0"/>
      <w:divBdr>
        <w:top w:val="none" w:sz="0" w:space="0" w:color="auto"/>
        <w:left w:val="none" w:sz="0" w:space="0" w:color="auto"/>
        <w:bottom w:val="none" w:sz="0" w:space="0" w:color="auto"/>
        <w:right w:val="none" w:sz="0" w:space="0" w:color="auto"/>
      </w:divBdr>
    </w:div>
    <w:div w:id="1691683958">
      <w:bodyDiv w:val="1"/>
      <w:marLeft w:val="0"/>
      <w:marRight w:val="0"/>
      <w:marTop w:val="0"/>
      <w:marBottom w:val="0"/>
      <w:divBdr>
        <w:top w:val="none" w:sz="0" w:space="0" w:color="auto"/>
        <w:left w:val="none" w:sz="0" w:space="0" w:color="auto"/>
        <w:bottom w:val="none" w:sz="0" w:space="0" w:color="auto"/>
        <w:right w:val="none" w:sz="0" w:space="0" w:color="auto"/>
      </w:divBdr>
    </w:div>
    <w:div w:id="1691954058">
      <w:bodyDiv w:val="1"/>
      <w:marLeft w:val="0"/>
      <w:marRight w:val="0"/>
      <w:marTop w:val="0"/>
      <w:marBottom w:val="0"/>
      <w:divBdr>
        <w:top w:val="none" w:sz="0" w:space="0" w:color="auto"/>
        <w:left w:val="none" w:sz="0" w:space="0" w:color="auto"/>
        <w:bottom w:val="none" w:sz="0" w:space="0" w:color="auto"/>
        <w:right w:val="none" w:sz="0" w:space="0" w:color="auto"/>
      </w:divBdr>
    </w:div>
    <w:div w:id="1714842897">
      <w:bodyDiv w:val="1"/>
      <w:marLeft w:val="0"/>
      <w:marRight w:val="0"/>
      <w:marTop w:val="0"/>
      <w:marBottom w:val="0"/>
      <w:divBdr>
        <w:top w:val="none" w:sz="0" w:space="0" w:color="auto"/>
        <w:left w:val="none" w:sz="0" w:space="0" w:color="auto"/>
        <w:bottom w:val="none" w:sz="0" w:space="0" w:color="auto"/>
        <w:right w:val="none" w:sz="0" w:space="0" w:color="auto"/>
      </w:divBdr>
    </w:div>
    <w:div w:id="1715694674">
      <w:bodyDiv w:val="1"/>
      <w:marLeft w:val="0"/>
      <w:marRight w:val="0"/>
      <w:marTop w:val="0"/>
      <w:marBottom w:val="0"/>
      <w:divBdr>
        <w:top w:val="none" w:sz="0" w:space="0" w:color="auto"/>
        <w:left w:val="none" w:sz="0" w:space="0" w:color="auto"/>
        <w:bottom w:val="none" w:sz="0" w:space="0" w:color="auto"/>
        <w:right w:val="none" w:sz="0" w:space="0" w:color="auto"/>
      </w:divBdr>
    </w:div>
    <w:div w:id="1717125360">
      <w:bodyDiv w:val="1"/>
      <w:marLeft w:val="0"/>
      <w:marRight w:val="0"/>
      <w:marTop w:val="0"/>
      <w:marBottom w:val="0"/>
      <w:divBdr>
        <w:top w:val="none" w:sz="0" w:space="0" w:color="auto"/>
        <w:left w:val="none" w:sz="0" w:space="0" w:color="auto"/>
        <w:bottom w:val="none" w:sz="0" w:space="0" w:color="auto"/>
        <w:right w:val="none" w:sz="0" w:space="0" w:color="auto"/>
      </w:divBdr>
    </w:div>
    <w:div w:id="1719276486">
      <w:bodyDiv w:val="1"/>
      <w:marLeft w:val="0"/>
      <w:marRight w:val="0"/>
      <w:marTop w:val="0"/>
      <w:marBottom w:val="0"/>
      <w:divBdr>
        <w:top w:val="none" w:sz="0" w:space="0" w:color="auto"/>
        <w:left w:val="none" w:sz="0" w:space="0" w:color="auto"/>
        <w:bottom w:val="none" w:sz="0" w:space="0" w:color="auto"/>
        <w:right w:val="none" w:sz="0" w:space="0" w:color="auto"/>
      </w:divBdr>
    </w:div>
    <w:div w:id="1724405935">
      <w:bodyDiv w:val="1"/>
      <w:marLeft w:val="0"/>
      <w:marRight w:val="0"/>
      <w:marTop w:val="0"/>
      <w:marBottom w:val="0"/>
      <w:divBdr>
        <w:top w:val="none" w:sz="0" w:space="0" w:color="auto"/>
        <w:left w:val="none" w:sz="0" w:space="0" w:color="auto"/>
        <w:bottom w:val="none" w:sz="0" w:space="0" w:color="auto"/>
        <w:right w:val="none" w:sz="0" w:space="0" w:color="auto"/>
      </w:divBdr>
    </w:div>
    <w:div w:id="1729574183">
      <w:bodyDiv w:val="1"/>
      <w:marLeft w:val="0"/>
      <w:marRight w:val="0"/>
      <w:marTop w:val="0"/>
      <w:marBottom w:val="0"/>
      <w:divBdr>
        <w:top w:val="none" w:sz="0" w:space="0" w:color="auto"/>
        <w:left w:val="none" w:sz="0" w:space="0" w:color="auto"/>
        <w:bottom w:val="none" w:sz="0" w:space="0" w:color="auto"/>
        <w:right w:val="none" w:sz="0" w:space="0" w:color="auto"/>
      </w:divBdr>
    </w:div>
    <w:div w:id="1738168824">
      <w:bodyDiv w:val="1"/>
      <w:marLeft w:val="0"/>
      <w:marRight w:val="0"/>
      <w:marTop w:val="0"/>
      <w:marBottom w:val="0"/>
      <w:divBdr>
        <w:top w:val="none" w:sz="0" w:space="0" w:color="auto"/>
        <w:left w:val="none" w:sz="0" w:space="0" w:color="auto"/>
        <w:bottom w:val="none" w:sz="0" w:space="0" w:color="auto"/>
        <w:right w:val="none" w:sz="0" w:space="0" w:color="auto"/>
      </w:divBdr>
    </w:div>
    <w:div w:id="1742214202">
      <w:bodyDiv w:val="1"/>
      <w:marLeft w:val="0"/>
      <w:marRight w:val="0"/>
      <w:marTop w:val="0"/>
      <w:marBottom w:val="0"/>
      <w:divBdr>
        <w:top w:val="none" w:sz="0" w:space="0" w:color="auto"/>
        <w:left w:val="none" w:sz="0" w:space="0" w:color="auto"/>
        <w:bottom w:val="none" w:sz="0" w:space="0" w:color="auto"/>
        <w:right w:val="none" w:sz="0" w:space="0" w:color="auto"/>
      </w:divBdr>
    </w:div>
    <w:div w:id="1748458576">
      <w:bodyDiv w:val="1"/>
      <w:marLeft w:val="0"/>
      <w:marRight w:val="0"/>
      <w:marTop w:val="0"/>
      <w:marBottom w:val="0"/>
      <w:divBdr>
        <w:top w:val="none" w:sz="0" w:space="0" w:color="auto"/>
        <w:left w:val="none" w:sz="0" w:space="0" w:color="auto"/>
        <w:bottom w:val="none" w:sz="0" w:space="0" w:color="auto"/>
        <w:right w:val="none" w:sz="0" w:space="0" w:color="auto"/>
      </w:divBdr>
    </w:div>
    <w:div w:id="1757744259">
      <w:bodyDiv w:val="1"/>
      <w:marLeft w:val="0"/>
      <w:marRight w:val="0"/>
      <w:marTop w:val="0"/>
      <w:marBottom w:val="0"/>
      <w:divBdr>
        <w:top w:val="none" w:sz="0" w:space="0" w:color="auto"/>
        <w:left w:val="none" w:sz="0" w:space="0" w:color="auto"/>
        <w:bottom w:val="none" w:sz="0" w:space="0" w:color="auto"/>
        <w:right w:val="none" w:sz="0" w:space="0" w:color="auto"/>
      </w:divBdr>
    </w:div>
    <w:div w:id="1761826657">
      <w:bodyDiv w:val="1"/>
      <w:marLeft w:val="0"/>
      <w:marRight w:val="0"/>
      <w:marTop w:val="0"/>
      <w:marBottom w:val="0"/>
      <w:divBdr>
        <w:top w:val="none" w:sz="0" w:space="0" w:color="auto"/>
        <w:left w:val="none" w:sz="0" w:space="0" w:color="auto"/>
        <w:bottom w:val="none" w:sz="0" w:space="0" w:color="auto"/>
        <w:right w:val="none" w:sz="0" w:space="0" w:color="auto"/>
      </w:divBdr>
    </w:div>
    <w:div w:id="1795981189">
      <w:bodyDiv w:val="1"/>
      <w:marLeft w:val="0"/>
      <w:marRight w:val="0"/>
      <w:marTop w:val="0"/>
      <w:marBottom w:val="0"/>
      <w:divBdr>
        <w:top w:val="none" w:sz="0" w:space="0" w:color="auto"/>
        <w:left w:val="none" w:sz="0" w:space="0" w:color="auto"/>
        <w:bottom w:val="none" w:sz="0" w:space="0" w:color="auto"/>
        <w:right w:val="none" w:sz="0" w:space="0" w:color="auto"/>
      </w:divBdr>
    </w:div>
    <w:div w:id="1802573716">
      <w:bodyDiv w:val="1"/>
      <w:marLeft w:val="0"/>
      <w:marRight w:val="0"/>
      <w:marTop w:val="0"/>
      <w:marBottom w:val="0"/>
      <w:divBdr>
        <w:top w:val="none" w:sz="0" w:space="0" w:color="auto"/>
        <w:left w:val="none" w:sz="0" w:space="0" w:color="auto"/>
        <w:bottom w:val="none" w:sz="0" w:space="0" w:color="auto"/>
        <w:right w:val="none" w:sz="0" w:space="0" w:color="auto"/>
      </w:divBdr>
    </w:div>
    <w:div w:id="1869759716">
      <w:bodyDiv w:val="1"/>
      <w:marLeft w:val="0"/>
      <w:marRight w:val="0"/>
      <w:marTop w:val="0"/>
      <w:marBottom w:val="0"/>
      <w:divBdr>
        <w:top w:val="none" w:sz="0" w:space="0" w:color="auto"/>
        <w:left w:val="none" w:sz="0" w:space="0" w:color="auto"/>
        <w:bottom w:val="none" w:sz="0" w:space="0" w:color="auto"/>
        <w:right w:val="none" w:sz="0" w:space="0" w:color="auto"/>
      </w:divBdr>
    </w:div>
    <w:div w:id="1872762697">
      <w:bodyDiv w:val="1"/>
      <w:marLeft w:val="0"/>
      <w:marRight w:val="0"/>
      <w:marTop w:val="0"/>
      <w:marBottom w:val="0"/>
      <w:divBdr>
        <w:top w:val="none" w:sz="0" w:space="0" w:color="auto"/>
        <w:left w:val="none" w:sz="0" w:space="0" w:color="auto"/>
        <w:bottom w:val="none" w:sz="0" w:space="0" w:color="auto"/>
        <w:right w:val="none" w:sz="0" w:space="0" w:color="auto"/>
      </w:divBdr>
    </w:div>
    <w:div w:id="1888377314">
      <w:bodyDiv w:val="1"/>
      <w:marLeft w:val="0"/>
      <w:marRight w:val="0"/>
      <w:marTop w:val="0"/>
      <w:marBottom w:val="0"/>
      <w:divBdr>
        <w:top w:val="none" w:sz="0" w:space="0" w:color="auto"/>
        <w:left w:val="none" w:sz="0" w:space="0" w:color="auto"/>
        <w:bottom w:val="none" w:sz="0" w:space="0" w:color="auto"/>
        <w:right w:val="none" w:sz="0" w:space="0" w:color="auto"/>
      </w:divBdr>
    </w:div>
    <w:div w:id="1894929587">
      <w:bodyDiv w:val="1"/>
      <w:marLeft w:val="0"/>
      <w:marRight w:val="0"/>
      <w:marTop w:val="0"/>
      <w:marBottom w:val="0"/>
      <w:divBdr>
        <w:top w:val="none" w:sz="0" w:space="0" w:color="auto"/>
        <w:left w:val="none" w:sz="0" w:space="0" w:color="auto"/>
        <w:bottom w:val="none" w:sz="0" w:space="0" w:color="auto"/>
        <w:right w:val="none" w:sz="0" w:space="0" w:color="auto"/>
      </w:divBdr>
    </w:div>
    <w:div w:id="1898935127">
      <w:bodyDiv w:val="1"/>
      <w:marLeft w:val="0"/>
      <w:marRight w:val="0"/>
      <w:marTop w:val="0"/>
      <w:marBottom w:val="0"/>
      <w:divBdr>
        <w:top w:val="none" w:sz="0" w:space="0" w:color="auto"/>
        <w:left w:val="none" w:sz="0" w:space="0" w:color="auto"/>
        <w:bottom w:val="none" w:sz="0" w:space="0" w:color="auto"/>
        <w:right w:val="none" w:sz="0" w:space="0" w:color="auto"/>
      </w:divBdr>
    </w:div>
    <w:div w:id="1911118016">
      <w:bodyDiv w:val="1"/>
      <w:marLeft w:val="0"/>
      <w:marRight w:val="0"/>
      <w:marTop w:val="0"/>
      <w:marBottom w:val="0"/>
      <w:divBdr>
        <w:top w:val="none" w:sz="0" w:space="0" w:color="auto"/>
        <w:left w:val="none" w:sz="0" w:space="0" w:color="auto"/>
        <w:bottom w:val="none" w:sz="0" w:space="0" w:color="auto"/>
        <w:right w:val="none" w:sz="0" w:space="0" w:color="auto"/>
      </w:divBdr>
    </w:div>
    <w:div w:id="1914197865">
      <w:bodyDiv w:val="1"/>
      <w:marLeft w:val="0"/>
      <w:marRight w:val="0"/>
      <w:marTop w:val="0"/>
      <w:marBottom w:val="0"/>
      <w:divBdr>
        <w:top w:val="none" w:sz="0" w:space="0" w:color="auto"/>
        <w:left w:val="none" w:sz="0" w:space="0" w:color="auto"/>
        <w:bottom w:val="none" w:sz="0" w:space="0" w:color="auto"/>
        <w:right w:val="none" w:sz="0" w:space="0" w:color="auto"/>
      </w:divBdr>
    </w:div>
    <w:div w:id="1915965522">
      <w:bodyDiv w:val="1"/>
      <w:marLeft w:val="0"/>
      <w:marRight w:val="0"/>
      <w:marTop w:val="0"/>
      <w:marBottom w:val="0"/>
      <w:divBdr>
        <w:top w:val="none" w:sz="0" w:space="0" w:color="auto"/>
        <w:left w:val="none" w:sz="0" w:space="0" w:color="auto"/>
        <w:bottom w:val="none" w:sz="0" w:space="0" w:color="auto"/>
        <w:right w:val="none" w:sz="0" w:space="0" w:color="auto"/>
      </w:divBdr>
    </w:div>
    <w:div w:id="1925065292">
      <w:bodyDiv w:val="1"/>
      <w:marLeft w:val="0"/>
      <w:marRight w:val="0"/>
      <w:marTop w:val="0"/>
      <w:marBottom w:val="0"/>
      <w:divBdr>
        <w:top w:val="none" w:sz="0" w:space="0" w:color="auto"/>
        <w:left w:val="none" w:sz="0" w:space="0" w:color="auto"/>
        <w:bottom w:val="none" w:sz="0" w:space="0" w:color="auto"/>
        <w:right w:val="none" w:sz="0" w:space="0" w:color="auto"/>
      </w:divBdr>
    </w:div>
    <w:div w:id="1930963267">
      <w:bodyDiv w:val="1"/>
      <w:marLeft w:val="0"/>
      <w:marRight w:val="0"/>
      <w:marTop w:val="0"/>
      <w:marBottom w:val="0"/>
      <w:divBdr>
        <w:top w:val="none" w:sz="0" w:space="0" w:color="auto"/>
        <w:left w:val="none" w:sz="0" w:space="0" w:color="auto"/>
        <w:bottom w:val="none" w:sz="0" w:space="0" w:color="auto"/>
        <w:right w:val="none" w:sz="0" w:space="0" w:color="auto"/>
      </w:divBdr>
    </w:div>
    <w:div w:id="1966082751">
      <w:bodyDiv w:val="1"/>
      <w:marLeft w:val="0"/>
      <w:marRight w:val="0"/>
      <w:marTop w:val="0"/>
      <w:marBottom w:val="0"/>
      <w:divBdr>
        <w:top w:val="none" w:sz="0" w:space="0" w:color="auto"/>
        <w:left w:val="none" w:sz="0" w:space="0" w:color="auto"/>
        <w:bottom w:val="none" w:sz="0" w:space="0" w:color="auto"/>
        <w:right w:val="none" w:sz="0" w:space="0" w:color="auto"/>
      </w:divBdr>
    </w:div>
    <w:div w:id="1974868359">
      <w:bodyDiv w:val="1"/>
      <w:marLeft w:val="0"/>
      <w:marRight w:val="0"/>
      <w:marTop w:val="0"/>
      <w:marBottom w:val="0"/>
      <w:divBdr>
        <w:top w:val="none" w:sz="0" w:space="0" w:color="auto"/>
        <w:left w:val="none" w:sz="0" w:space="0" w:color="auto"/>
        <w:bottom w:val="none" w:sz="0" w:space="0" w:color="auto"/>
        <w:right w:val="none" w:sz="0" w:space="0" w:color="auto"/>
      </w:divBdr>
    </w:div>
    <w:div w:id="2003462624">
      <w:bodyDiv w:val="1"/>
      <w:marLeft w:val="0"/>
      <w:marRight w:val="0"/>
      <w:marTop w:val="0"/>
      <w:marBottom w:val="0"/>
      <w:divBdr>
        <w:top w:val="none" w:sz="0" w:space="0" w:color="auto"/>
        <w:left w:val="none" w:sz="0" w:space="0" w:color="auto"/>
        <w:bottom w:val="none" w:sz="0" w:space="0" w:color="auto"/>
        <w:right w:val="none" w:sz="0" w:space="0" w:color="auto"/>
      </w:divBdr>
    </w:div>
    <w:div w:id="2016958578">
      <w:bodyDiv w:val="1"/>
      <w:marLeft w:val="0"/>
      <w:marRight w:val="0"/>
      <w:marTop w:val="0"/>
      <w:marBottom w:val="0"/>
      <w:divBdr>
        <w:top w:val="none" w:sz="0" w:space="0" w:color="auto"/>
        <w:left w:val="none" w:sz="0" w:space="0" w:color="auto"/>
        <w:bottom w:val="none" w:sz="0" w:space="0" w:color="auto"/>
        <w:right w:val="none" w:sz="0" w:space="0" w:color="auto"/>
      </w:divBdr>
    </w:div>
    <w:div w:id="2025473288">
      <w:bodyDiv w:val="1"/>
      <w:marLeft w:val="0"/>
      <w:marRight w:val="0"/>
      <w:marTop w:val="0"/>
      <w:marBottom w:val="0"/>
      <w:divBdr>
        <w:top w:val="none" w:sz="0" w:space="0" w:color="auto"/>
        <w:left w:val="none" w:sz="0" w:space="0" w:color="auto"/>
        <w:bottom w:val="none" w:sz="0" w:space="0" w:color="auto"/>
        <w:right w:val="none" w:sz="0" w:space="0" w:color="auto"/>
      </w:divBdr>
    </w:div>
    <w:div w:id="2041396707">
      <w:bodyDiv w:val="1"/>
      <w:marLeft w:val="0"/>
      <w:marRight w:val="0"/>
      <w:marTop w:val="0"/>
      <w:marBottom w:val="0"/>
      <w:divBdr>
        <w:top w:val="none" w:sz="0" w:space="0" w:color="auto"/>
        <w:left w:val="none" w:sz="0" w:space="0" w:color="auto"/>
        <w:bottom w:val="none" w:sz="0" w:space="0" w:color="auto"/>
        <w:right w:val="none" w:sz="0" w:space="0" w:color="auto"/>
      </w:divBdr>
    </w:div>
    <w:div w:id="2052683310">
      <w:bodyDiv w:val="1"/>
      <w:marLeft w:val="0"/>
      <w:marRight w:val="0"/>
      <w:marTop w:val="0"/>
      <w:marBottom w:val="0"/>
      <w:divBdr>
        <w:top w:val="none" w:sz="0" w:space="0" w:color="auto"/>
        <w:left w:val="none" w:sz="0" w:space="0" w:color="auto"/>
        <w:bottom w:val="none" w:sz="0" w:space="0" w:color="auto"/>
        <w:right w:val="none" w:sz="0" w:space="0" w:color="auto"/>
      </w:divBdr>
    </w:div>
    <w:div w:id="2078629370">
      <w:bodyDiv w:val="1"/>
      <w:marLeft w:val="0"/>
      <w:marRight w:val="0"/>
      <w:marTop w:val="0"/>
      <w:marBottom w:val="0"/>
      <w:divBdr>
        <w:top w:val="none" w:sz="0" w:space="0" w:color="auto"/>
        <w:left w:val="none" w:sz="0" w:space="0" w:color="auto"/>
        <w:bottom w:val="none" w:sz="0" w:space="0" w:color="auto"/>
        <w:right w:val="none" w:sz="0" w:space="0" w:color="auto"/>
      </w:divBdr>
    </w:div>
    <w:div w:id="2094544012">
      <w:bodyDiv w:val="1"/>
      <w:marLeft w:val="0"/>
      <w:marRight w:val="0"/>
      <w:marTop w:val="0"/>
      <w:marBottom w:val="0"/>
      <w:divBdr>
        <w:top w:val="none" w:sz="0" w:space="0" w:color="auto"/>
        <w:left w:val="none" w:sz="0" w:space="0" w:color="auto"/>
        <w:bottom w:val="none" w:sz="0" w:space="0" w:color="auto"/>
        <w:right w:val="none" w:sz="0" w:space="0" w:color="auto"/>
      </w:divBdr>
    </w:div>
    <w:div w:id="2115322438">
      <w:bodyDiv w:val="1"/>
      <w:marLeft w:val="0"/>
      <w:marRight w:val="0"/>
      <w:marTop w:val="0"/>
      <w:marBottom w:val="0"/>
      <w:divBdr>
        <w:top w:val="none" w:sz="0" w:space="0" w:color="auto"/>
        <w:left w:val="none" w:sz="0" w:space="0" w:color="auto"/>
        <w:bottom w:val="none" w:sz="0" w:space="0" w:color="auto"/>
        <w:right w:val="none" w:sz="0" w:space="0" w:color="auto"/>
      </w:divBdr>
    </w:div>
    <w:div w:id="2144688680">
      <w:bodyDiv w:val="1"/>
      <w:marLeft w:val="0"/>
      <w:marRight w:val="0"/>
      <w:marTop w:val="0"/>
      <w:marBottom w:val="0"/>
      <w:divBdr>
        <w:top w:val="none" w:sz="0" w:space="0" w:color="auto"/>
        <w:left w:val="none" w:sz="0" w:space="0" w:color="auto"/>
        <w:bottom w:val="none" w:sz="0" w:space="0" w:color="auto"/>
        <w:right w:val="none" w:sz="0" w:space="0" w:color="auto"/>
      </w:divBdr>
    </w:div>
    <w:div w:id="2145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lewiatan@lewiatan.org"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6ccdf1-fe65-4603-bcd3-58344b4e2136" xsi:nil="true"/>
    <lcf76f155ced4ddcb4097134ff3c332f xmlns="a92496c6-bfb7-4328-bf52-1c7ac50ed2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AE342B615AB744E879D425527CA74B0" ma:contentTypeVersion="11" ma:contentTypeDescription="Utwórz nowy dokument." ma:contentTypeScope="" ma:versionID="ac2b6b4f3b75b11d1ce8ac2a2780298f">
  <xsd:schema xmlns:xsd="http://www.w3.org/2001/XMLSchema" xmlns:xs="http://www.w3.org/2001/XMLSchema" xmlns:p="http://schemas.microsoft.com/office/2006/metadata/properties" xmlns:ns2="a92496c6-bfb7-4328-bf52-1c7ac50ed296" xmlns:ns3="496ccdf1-fe65-4603-bcd3-58344b4e2136" targetNamespace="http://schemas.microsoft.com/office/2006/metadata/properties" ma:root="true" ma:fieldsID="bc13ebc8c13a26cb83b7fd0b04843304" ns2:_="" ns3:_="">
    <xsd:import namespace="a92496c6-bfb7-4328-bf52-1c7ac50ed296"/>
    <xsd:import namespace="496ccdf1-fe65-4603-bcd3-58344b4e21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496c6-bfb7-4328-bf52-1c7ac50ed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e004f446-e912-4d43-b150-870578a76ba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6ccdf1-fe65-4603-bcd3-58344b4e213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59c110-badd-4c7f-b88d-954c75db01e3}" ma:internalName="TaxCatchAll" ma:showField="CatchAllData" ma:web="496ccdf1-fe65-4603-bcd3-58344b4e21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00EC5-24AB-44EF-90A5-1C3CAF5D0603}">
  <ds:schemaRefs>
    <ds:schemaRef ds:uri="http://schemas.microsoft.com/office/2006/metadata/properties"/>
    <ds:schemaRef ds:uri="http://schemas.microsoft.com/office/infopath/2007/PartnerControls"/>
    <ds:schemaRef ds:uri="496ccdf1-fe65-4603-bcd3-58344b4e2136"/>
    <ds:schemaRef ds:uri="a92496c6-bfb7-4328-bf52-1c7ac50ed296"/>
  </ds:schemaRefs>
</ds:datastoreItem>
</file>

<file path=customXml/itemProps2.xml><?xml version="1.0" encoding="utf-8"?>
<ds:datastoreItem xmlns:ds="http://schemas.openxmlformats.org/officeDocument/2006/customXml" ds:itemID="{F77F59B4-DEA3-406F-B6FF-3531664A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496c6-bfb7-4328-bf52-1c7ac50ed296"/>
    <ds:schemaRef ds:uri="496ccdf1-fe65-4603-bcd3-58344b4e2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BFB34-EAAF-459F-83D4-5558B6BD2F53}">
  <ds:schemaRefs>
    <ds:schemaRef ds:uri="http://schemas.openxmlformats.org/officeDocument/2006/bibliography"/>
  </ds:schemaRefs>
</ds:datastoreItem>
</file>

<file path=customXml/itemProps4.xml><?xml version="1.0" encoding="utf-8"?>
<ds:datastoreItem xmlns:ds="http://schemas.openxmlformats.org/officeDocument/2006/customXml" ds:itemID="{6016BF69-4AC3-4CC6-B6F6-984F98CAF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14718</Words>
  <Characters>88310</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102823</CharactersWithSpaces>
  <SharedDoc>false</SharedDoc>
  <HLinks>
    <vt:vector size="6" baseType="variant">
      <vt:variant>
        <vt:i4>2555931</vt:i4>
      </vt:variant>
      <vt:variant>
        <vt:i4>0</vt:i4>
      </vt:variant>
      <vt:variant>
        <vt:i4>0</vt:i4>
      </vt:variant>
      <vt:variant>
        <vt:i4>5</vt:i4>
      </vt:variant>
      <vt:variant>
        <vt:lpwstr>mailto:lewiatan@lewiatan.org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Magdalena Widlicka</cp:lastModifiedBy>
  <cp:revision>6</cp:revision>
  <cp:lastPrinted>2023-01-19T08:14:00Z</cp:lastPrinted>
  <dcterms:created xsi:type="dcterms:W3CDTF">2026-01-23T10:44:00Z</dcterms:created>
  <dcterms:modified xsi:type="dcterms:W3CDTF">2026-01-23T14:57:00Z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0x010100FAE342B615AB744E879D425527CA74B0</vt:lpwstr>
  </property>
  <property fmtid="{D5CDD505-2E9C-101B-9397-08002B2CF9AE}" pid="3" name="GrammarlyDocumentId">
    <vt:lpwstr>facdae5a-4438-4d6a-bad4-b03789787a76</vt:lpwstr>
  </property>
</Properties>
</file>