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7F484" w14:textId="77777777" w:rsidR="004E1CD7" w:rsidRPr="004E1CD7" w:rsidRDefault="004E1CD7" w:rsidP="004E1CD7">
      <w:pPr>
        <w:ind w:left="426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4E1CD7">
        <w:rPr>
          <w:rFonts w:asciiTheme="minorHAnsi" w:hAnsiTheme="minorHAnsi" w:cstheme="minorHAnsi"/>
          <w:b/>
          <w:bCs/>
          <w:noProof/>
          <w:sz w:val="36"/>
          <w:szCs w:val="36"/>
        </w:rPr>
        <w:t xml:space="preserve">Uwagi Konfederacji Lewiatan do projektu ustawy </w:t>
      </w:r>
      <w:r w:rsidRPr="004E1CD7">
        <w:rPr>
          <w:rFonts w:asciiTheme="minorHAnsi" w:hAnsiTheme="minorHAnsi" w:cstheme="minorHAnsi"/>
          <w:b/>
          <w:bCs/>
          <w:sz w:val="36"/>
          <w:szCs w:val="36"/>
        </w:rPr>
        <w:t>o wygaszeniu rozwiązań wynikających z ustawy o pomocy obywatelom Ukrainy w związku z konfliktem zbrojnym na terytorium tego państwa oraz o zmianie niektórych innych ustaw (UD345)</w:t>
      </w:r>
    </w:p>
    <w:p w14:paraId="791744A9" w14:textId="77777777" w:rsidR="006541D3" w:rsidRPr="004E1CD7" w:rsidRDefault="006541D3" w:rsidP="006541D3">
      <w:pPr>
        <w:rPr>
          <w:rFonts w:asciiTheme="minorHAnsi" w:hAnsiTheme="minorHAnsi" w:cstheme="minorHAnsi"/>
          <w:sz w:val="22"/>
          <w:szCs w:val="22"/>
        </w:rPr>
      </w:pPr>
    </w:p>
    <w:p w14:paraId="22DAA15A" w14:textId="77777777" w:rsidR="006541D3" w:rsidRPr="004E1CD7" w:rsidRDefault="006541D3" w:rsidP="006541D3">
      <w:pPr>
        <w:rPr>
          <w:rFonts w:asciiTheme="minorHAnsi" w:hAnsiTheme="minorHAnsi" w:cstheme="minorHAnsi"/>
          <w:sz w:val="22"/>
          <w:szCs w:val="22"/>
        </w:rPr>
      </w:pPr>
    </w:p>
    <w:p w14:paraId="3DE88F63" w14:textId="77777777" w:rsidR="006541D3" w:rsidRPr="004E1CD7" w:rsidRDefault="006541D3" w:rsidP="006541D3">
      <w:pPr>
        <w:rPr>
          <w:rFonts w:asciiTheme="minorHAnsi" w:hAnsiTheme="minorHAnsi" w:cstheme="minorHAnsi"/>
          <w:sz w:val="22"/>
          <w:szCs w:val="22"/>
        </w:rPr>
      </w:pPr>
    </w:p>
    <w:p w14:paraId="0E45ABAD" w14:textId="77777777" w:rsidR="006541D3" w:rsidRPr="004E1CD7" w:rsidRDefault="006541D3" w:rsidP="006541D3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14914" w:type="dxa"/>
        <w:tblInd w:w="-88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6"/>
        <w:gridCol w:w="1460"/>
        <w:gridCol w:w="3835"/>
        <w:gridCol w:w="2714"/>
        <w:gridCol w:w="6279"/>
      </w:tblGrid>
      <w:tr w:rsidR="004E1CD7" w:rsidRPr="004E1CD7" w14:paraId="04E991EA" w14:textId="77777777" w:rsidTr="003338E5">
        <w:trPr>
          <w:trHeight w:val="1275"/>
        </w:trPr>
        <w:tc>
          <w:tcPr>
            <w:tcW w:w="626" w:type="dxa"/>
            <w:vAlign w:val="center"/>
          </w:tcPr>
          <w:p w14:paraId="5052EFD1" w14:textId="77777777" w:rsidR="004E1CD7" w:rsidRPr="004E1CD7" w:rsidRDefault="004E1CD7" w:rsidP="00075400">
            <w:pPr>
              <w:spacing w:before="100" w:beforeAutospacing="1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E1CD7">
              <w:rPr>
                <w:rFonts w:asciiTheme="minorHAnsi" w:hAnsiTheme="minorHAnsi" w:cstheme="minorHAnsi"/>
                <w:b/>
                <w:sz w:val="28"/>
                <w:szCs w:val="28"/>
              </w:rPr>
              <w:t>L.P.</w:t>
            </w:r>
          </w:p>
        </w:tc>
        <w:tc>
          <w:tcPr>
            <w:tcW w:w="1460" w:type="dxa"/>
            <w:vAlign w:val="center"/>
          </w:tcPr>
          <w:p w14:paraId="18C6F613" w14:textId="77777777" w:rsidR="004E1CD7" w:rsidRPr="004E1CD7" w:rsidRDefault="004E1CD7" w:rsidP="00075400">
            <w:pPr>
              <w:spacing w:line="259" w:lineRule="auto"/>
              <w:jc w:val="center"/>
              <w:rPr>
                <w:rFonts w:asciiTheme="minorHAnsi" w:eastAsia="Calibri" w:hAnsiTheme="minorHAnsi" w:cstheme="minorHAnsi"/>
                <w:sz w:val="28"/>
                <w:szCs w:val="28"/>
              </w:rPr>
            </w:pPr>
            <w:r w:rsidRPr="004E1CD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Jednostka redakcyjna, której uwaga dotyczy</w:t>
            </w:r>
          </w:p>
        </w:tc>
        <w:tc>
          <w:tcPr>
            <w:tcW w:w="3835" w:type="dxa"/>
            <w:vAlign w:val="center"/>
          </w:tcPr>
          <w:p w14:paraId="23DB05E1" w14:textId="77777777" w:rsidR="004E1CD7" w:rsidRPr="004E1CD7" w:rsidRDefault="004E1CD7" w:rsidP="00075400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4E1CD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Treść przepisu</w:t>
            </w:r>
          </w:p>
        </w:tc>
        <w:tc>
          <w:tcPr>
            <w:tcW w:w="2714" w:type="dxa"/>
            <w:vAlign w:val="center"/>
          </w:tcPr>
          <w:p w14:paraId="247D4D73" w14:textId="77777777" w:rsidR="004E1CD7" w:rsidRPr="004E1CD7" w:rsidRDefault="004E1CD7" w:rsidP="00075400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4E1CD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Propozycja zmiany</w:t>
            </w:r>
          </w:p>
        </w:tc>
        <w:tc>
          <w:tcPr>
            <w:tcW w:w="6279" w:type="dxa"/>
            <w:vAlign w:val="center"/>
          </w:tcPr>
          <w:p w14:paraId="7610FDE8" w14:textId="77777777" w:rsidR="004E1CD7" w:rsidRPr="004E1CD7" w:rsidRDefault="004E1CD7" w:rsidP="00075400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4E1CD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Uzasadnienie/Uwagi</w:t>
            </w:r>
          </w:p>
        </w:tc>
      </w:tr>
      <w:tr w:rsidR="004E1CD7" w:rsidRPr="004E1CD7" w14:paraId="4620FF3A" w14:textId="77777777" w:rsidTr="003338E5">
        <w:trPr>
          <w:trHeight w:val="1275"/>
        </w:trPr>
        <w:tc>
          <w:tcPr>
            <w:tcW w:w="626" w:type="dxa"/>
            <w:vAlign w:val="center"/>
          </w:tcPr>
          <w:p w14:paraId="0F8F6F64" w14:textId="77777777" w:rsidR="004E1CD7" w:rsidRPr="004E1CD7" w:rsidRDefault="004E1CD7" w:rsidP="004E1CD7">
            <w:pPr>
              <w:pStyle w:val="Akapitzlist"/>
              <w:numPr>
                <w:ilvl w:val="0"/>
                <w:numId w:val="26"/>
              </w:numPr>
              <w:spacing w:before="100" w:beforeAutospacing="1"/>
              <w:contextualSpacing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60" w:type="dxa"/>
            <w:vAlign w:val="center"/>
          </w:tcPr>
          <w:p w14:paraId="0CB0F758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E1CD7">
              <w:rPr>
                <w:rFonts w:asciiTheme="minorHAnsi" w:hAnsiTheme="minorHAnsi" w:cstheme="minorHAnsi"/>
                <w:b/>
                <w:bCs/>
              </w:rPr>
              <w:t>Art. 2 pkt 11</w:t>
            </w:r>
          </w:p>
          <w:p w14:paraId="7C0D9E4B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317E8D59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E1CD7">
              <w:rPr>
                <w:rFonts w:asciiTheme="minorHAnsi" w:hAnsiTheme="minorHAnsi" w:cstheme="minorHAnsi"/>
                <w:b/>
                <w:bCs/>
              </w:rPr>
              <w:t>Art. 9 pkt 11</w:t>
            </w:r>
          </w:p>
        </w:tc>
        <w:tc>
          <w:tcPr>
            <w:tcW w:w="3835" w:type="dxa"/>
            <w:vAlign w:val="center"/>
          </w:tcPr>
          <w:p w14:paraId="5F014A99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</w:rPr>
            </w:pPr>
            <w:r w:rsidRPr="004E1CD7">
              <w:rPr>
                <w:rFonts w:asciiTheme="minorHAnsi" w:hAnsiTheme="minorHAnsi" w:cstheme="minorHAnsi"/>
              </w:rPr>
              <w:t>Art. 2. W ustawie z dnia 13 czerwca 2003 r. o udzielaniu cudzoziemcom ochrony na terytorium Rzeczypospolitej Polskiej (Dz. U. z 2025 r. poz. 223, 389, 619, 621 i 1794) wprowadza się następujące zmiany:</w:t>
            </w:r>
          </w:p>
          <w:p w14:paraId="4F97C36C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4E1CD7">
              <w:rPr>
                <w:rFonts w:asciiTheme="minorHAnsi" w:hAnsiTheme="minorHAnsi" w:cstheme="minorHAnsi"/>
                <w:bCs/>
              </w:rPr>
              <w:t>(...)</w:t>
            </w:r>
          </w:p>
          <w:p w14:paraId="0C30D909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</w:rPr>
            </w:pPr>
            <w:r w:rsidRPr="004E1CD7">
              <w:rPr>
                <w:rFonts w:asciiTheme="minorHAnsi" w:hAnsiTheme="minorHAnsi" w:cstheme="minorHAnsi"/>
              </w:rPr>
              <w:t>11)</w:t>
            </w:r>
            <w:r w:rsidRPr="004E1CD7">
              <w:rPr>
                <w:rFonts w:asciiTheme="minorHAnsi" w:hAnsiTheme="minorHAnsi" w:cstheme="minorHAnsi"/>
              </w:rPr>
              <w:tab/>
              <w:t>art. 116 otrzymuje brzmienie:</w:t>
            </w:r>
          </w:p>
          <w:p w14:paraId="4902D6BB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</w:rPr>
            </w:pPr>
            <w:r w:rsidRPr="004E1CD7">
              <w:rPr>
                <w:rFonts w:asciiTheme="minorHAnsi" w:hAnsiTheme="minorHAnsi" w:cstheme="minorHAnsi"/>
              </w:rPr>
              <w:t xml:space="preserve">„Art. 116. 1. Beneficjent ochrony czasowej na zasadach uregulowanych </w:t>
            </w:r>
            <w:r w:rsidRPr="004E1CD7">
              <w:rPr>
                <w:rFonts w:asciiTheme="minorHAnsi" w:hAnsiTheme="minorHAnsi" w:cstheme="minorHAnsi"/>
              </w:rPr>
              <w:lastRenderedPageBreak/>
              <w:t>w ustawie z dnia 20 marca 2025 r. o warunkach dopuszczalności powierzania pracy cudzoziemcom na terytorium Rzeczypospolitej Polskiej, może wykonywać pracę bez konieczności uzyskania zezwolenia na pracę, o ile podmiot powierzający pracę cudzoziemcowi powiadomi, w terminie 7 dni od dnia podjęcia pracy przez cudzoziemca, powiatowy urząd pracy właściwy ze względu na siedzibę lub miejsce zamieszkania podmiotu o powierzeniu pracy temu obywatelowi.</w:t>
            </w:r>
          </w:p>
          <w:p w14:paraId="0CF4A113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</w:rPr>
            </w:pPr>
          </w:p>
          <w:p w14:paraId="1FD400EA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</w:rPr>
            </w:pPr>
            <w:r w:rsidRPr="004E1CD7">
              <w:rPr>
                <w:rFonts w:asciiTheme="minorHAnsi" w:hAnsiTheme="minorHAnsi" w:cstheme="minorHAnsi"/>
              </w:rPr>
              <w:t>Art. 9. W ustawie z dnia 12 marca 2022 r. o pomocy obywatelom Ukrainy w związku z konfliktem zbrojnym na terytorium tego państwa (Dz. U. z 2025 r. poz. 337, 620, 621, 1301 i 1794) wprowadza się następujące zmiany:</w:t>
            </w:r>
          </w:p>
          <w:p w14:paraId="2333CE87" w14:textId="77777777" w:rsidR="004E1CD7" w:rsidRPr="004E1CD7" w:rsidRDefault="004E1CD7" w:rsidP="00075400">
            <w:pPr>
              <w:spacing w:line="360" w:lineRule="auto"/>
              <w:ind w:left="510" w:hanging="510"/>
              <w:jc w:val="both"/>
              <w:rPr>
                <w:rFonts w:asciiTheme="minorHAnsi" w:hAnsiTheme="minorHAnsi" w:cstheme="minorHAnsi"/>
                <w:bCs/>
              </w:rPr>
            </w:pPr>
            <w:r w:rsidRPr="004E1CD7">
              <w:rPr>
                <w:rFonts w:asciiTheme="minorHAnsi" w:hAnsiTheme="minorHAnsi" w:cstheme="minorHAnsi"/>
                <w:bCs/>
              </w:rPr>
              <w:t>11)</w:t>
            </w:r>
            <w:r w:rsidRPr="004E1CD7">
              <w:rPr>
                <w:rFonts w:asciiTheme="minorHAnsi" w:hAnsiTheme="minorHAnsi" w:cstheme="minorHAnsi"/>
                <w:bCs/>
              </w:rPr>
              <w:tab/>
              <w:t>uchyla się art. 21g–22</w:t>
            </w:r>
            <w:r w:rsidRPr="004E1CD7">
              <w:rPr>
                <w:rFonts w:asciiTheme="minorHAnsi" w:hAnsiTheme="minorHAnsi" w:cstheme="minorHAnsi"/>
                <w:bCs/>
                <w:vertAlign w:val="superscript"/>
              </w:rPr>
              <w:t>1</w:t>
            </w:r>
            <w:r w:rsidRPr="004E1CD7">
              <w:rPr>
                <w:rFonts w:asciiTheme="minorHAnsi" w:hAnsiTheme="minorHAnsi" w:cstheme="minorHAnsi"/>
                <w:bCs/>
              </w:rPr>
              <w:t>;</w:t>
            </w:r>
          </w:p>
          <w:p w14:paraId="1586C964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714" w:type="dxa"/>
            <w:vAlign w:val="center"/>
          </w:tcPr>
          <w:p w14:paraId="6EE8CB94" w14:textId="2311BAC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>R</w:t>
            </w:r>
            <w:r w:rsidRPr="004E1CD7">
              <w:rPr>
                <w:rFonts w:asciiTheme="minorHAnsi" w:hAnsiTheme="minorHAnsi" w:cstheme="minorHAnsi"/>
                <w:bCs/>
              </w:rPr>
              <w:t xml:space="preserve">ekomendujemy zmodyfikować przepis art. 116 ust. 1 ustawy o udzielaniu ochrony tak, żeby prawo do pracy na podstawie powiadomienia przysługiwało nie tylko beneficjentom ochrony czasowej, ale </w:t>
            </w:r>
            <w:r>
              <w:rPr>
                <w:rFonts w:asciiTheme="minorHAnsi" w:hAnsiTheme="minorHAnsi" w:cstheme="minorHAnsi"/>
                <w:bCs/>
              </w:rPr>
              <w:t xml:space="preserve">wszystkim obywatelom Ukrainy </w:t>
            </w:r>
            <w:r>
              <w:rPr>
                <w:rFonts w:asciiTheme="minorHAnsi" w:hAnsiTheme="minorHAnsi" w:cstheme="minorHAnsi"/>
                <w:bCs/>
              </w:rPr>
              <w:lastRenderedPageBreak/>
              <w:t>przebywającym legalnie w Polsce.</w:t>
            </w:r>
          </w:p>
          <w:p w14:paraId="73D6ED31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</w:rPr>
            </w:pPr>
          </w:p>
          <w:p w14:paraId="17565788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</w:rPr>
            </w:pPr>
            <w:r w:rsidRPr="004E1CD7">
              <w:rPr>
                <w:rFonts w:asciiTheme="minorHAnsi" w:hAnsiTheme="minorHAnsi" w:cstheme="minorHAnsi"/>
              </w:rPr>
              <w:t xml:space="preserve">2. Rekomendujemy rozbudować i doprecyzować art. 116 ust. 1, żeby doprecyzować tryb składania powiadomienia i określić, na jakich warunkach dopuszczalna jest praca na podstawie powiadomienia. </w:t>
            </w:r>
          </w:p>
          <w:p w14:paraId="6668B114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</w:rPr>
            </w:pPr>
          </w:p>
          <w:p w14:paraId="595E40B4" w14:textId="5A8115E0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</w:rPr>
            </w:pPr>
            <w:r w:rsidRPr="004E1CD7">
              <w:rPr>
                <w:rFonts w:asciiTheme="minorHAnsi" w:hAnsiTheme="minorHAnsi" w:cstheme="minorHAnsi"/>
              </w:rPr>
              <w:t xml:space="preserve">3. Rekomendujemy przekonstruować przepis art. 116 tak, żeby był spójny z ustawą </w:t>
            </w:r>
            <w:r w:rsidR="003338E5" w:rsidRPr="003338E5">
              <w:rPr>
                <w:rFonts w:asciiTheme="minorHAnsi" w:hAnsiTheme="minorHAnsi" w:cstheme="minorHAnsi"/>
              </w:rPr>
              <w:t>z dnia 20 marca 2025 r. o warunkach</w:t>
            </w:r>
            <w:r w:rsidR="003338E5">
              <w:rPr>
                <w:rFonts w:asciiTheme="minorHAnsi" w:hAnsiTheme="minorHAnsi" w:cstheme="minorHAnsi"/>
              </w:rPr>
              <w:t xml:space="preserve"> </w:t>
            </w:r>
            <w:r w:rsidR="003338E5" w:rsidRPr="003338E5">
              <w:rPr>
                <w:rFonts w:asciiTheme="minorHAnsi" w:hAnsiTheme="minorHAnsi" w:cstheme="minorHAnsi"/>
              </w:rPr>
              <w:t>dopuszczalności powierzania pracy cudzoziemcom na terytorium Rzeczypospolitej Polskie</w:t>
            </w:r>
            <w:r w:rsidR="00A82569">
              <w:rPr>
                <w:rFonts w:asciiTheme="minorHAnsi" w:hAnsiTheme="minorHAnsi" w:cstheme="minorHAnsi"/>
              </w:rPr>
              <w:t>j.</w:t>
            </w:r>
          </w:p>
          <w:p w14:paraId="0FE51D93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279" w:type="dxa"/>
          </w:tcPr>
          <w:p w14:paraId="0170EFBD" w14:textId="77777777" w:rsidR="004E1CD7" w:rsidRPr="004E1CD7" w:rsidRDefault="004E1CD7" w:rsidP="003338E5">
            <w:pPr>
              <w:ind w:right="451"/>
              <w:jc w:val="both"/>
              <w:rPr>
                <w:rFonts w:asciiTheme="minorHAnsi" w:hAnsiTheme="minorHAnsi" w:cstheme="minorHAnsi"/>
                <w:bCs/>
              </w:rPr>
            </w:pPr>
            <w:r w:rsidRPr="004E1CD7">
              <w:rPr>
                <w:rFonts w:asciiTheme="minorHAnsi" w:hAnsiTheme="minorHAnsi" w:cstheme="minorHAnsi"/>
                <w:bCs/>
              </w:rPr>
              <w:lastRenderedPageBreak/>
              <w:t>Obecne brzmienie specustawy ukraińskiej (art. 22) przyznaje prawo do pracy na podstawie powiadomienia wszystkim obywatelom Ukrainy legalnie przebywającym w Polsce, w tym:</w:t>
            </w:r>
          </w:p>
          <w:p w14:paraId="64A9D7C9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</w:p>
          <w:p w14:paraId="62C827B7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4E1CD7">
              <w:rPr>
                <w:rFonts w:asciiTheme="minorHAnsi" w:hAnsiTheme="minorHAnsi" w:cstheme="minorHAnsi"/>
                <w:bCs/>
              </w:rPr>
              <w:t>a) beneficjentom ochrony czasowej (czyli posiadaczom statusu UKR) i</w:t>
            </w:r>
          </w:p>
          <w:p w14:paraId="33A879CA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</w:p>
          <w:p w14:paraId="6154F9D8" w14:textId="336BFD09" w:rsid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4E1CD7">
              <w:rPr>
                <w:rFonts w:asciiTheme="minorHAnsi" w:hAnsiTheme="minorHAnsi" w:cstheme="minorHAnsi"/>
                <w:bCs/>
              </w:rPr>
              <w:t xml:space="preserve">b) osobom korzystającym z przedłużeń prawa pobytu na podst. art. 42 ust. 5a, ust. 8 i ust. 11 specustawy (czyli np. osobom, </w:t>
            </w:r>
            <w:r w:rsidRPr="004E1CD7">
              <w:rPr>
                <w:rFonts w:asciiTheme="minorHAnsi" w:hAnsiTheme="minorHAnsi" w:cstheme="minorHAnsi"/>
                <w:bCs/>
              </w:rPr>
              <w:lastRenderedPageBreak/>
              <w:t>które przyjechały do Polski przed 24 lutego 2022 r., ale po 23 lutego 2022 r. wygasła im w Polsce wiza, karta pobytu, czy skończył się ruch bezwizowy)</w:t>
            </w:r>
            <w:r w:rsidR="00A82569">
              <w:rPr>
                <w:rFonts w:asciiTheme="minorHAnsi" w:hAnsiTheme="minorHAnsi" w:cstheme="minorHAnsi"/>
                <w:bCs/>
              </w:rPr>
              <w:t>;</w:t>
            </w:r>
          </w:p>
          <w:p w14:paraId="63535E66" w14:textId="77777777" w:rsidR="00A82569" w:rsidRDefault="00A82569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</w:p>
          <w:p w14:paraId="5019DF27" w14:textId="1AC355EE" w:rsidR="00A82569" w:rsidRPr="004E1CD7" w:rsidRDefault="00A82569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c) obywatelom Ukrainy przebywającym w Polsce legalnie na innej podstawie.</w:t>
            </w:r>
          </w:p>
          <w:p w14:paraId="1401CDE8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</w:p>
          <w:p w14:paraId="2444E91E" w14:textId="121FDE43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4E1CD7">
              <w:rPr>
                <w:rFonts w:asciiTheme="minorHAnsi" w:hAnsiTheme="minorHAnsi" w:cstheme="minorHAnsi"/>
                <w:bCs/>
              </w:rPr>
              <w:t>Projektowana ustawa uchyla art. 22 specustawy ukraińskiej, a projektowane brzmienie art. 116 ustawy o udzielaniu ochrony przyznaje prawo do pracy na podstawie powiadomienia wyłącznie beneficjentom ochrony czasowej (czyli tylko kategorii a) powyżej – wynika to z definicji beneficjenta ochrony czasowej w projektowanym art. 2 pkt 1a ustawy o udzielaniu ochrony), zaś odbiera jej osobom z kategorii b)</w:t>
            </w:r>
            <w:r w:rsidR="00A82569">
              <w:rPr>
                <w:rFonts w:asciiTheme="minorHAnsi" w:hAnsiTheme="minorHAnsi" w:cstheme="minorHAnsi"/>
                <w:bCs/>
              </w:rPr>
              <w:t xml:space="preserve"> i c)</w:t>
            </w:r>
            <w:r w:rsidRPr="004E1CD7">
              <w:rPr>
                <w:rFonts w:asciiTheme="minorHAnsi" w:hAnsiTheme="minorHAnsi" w:cstheme="minorHAnsi"/>
                <w:bCs/>
              </w:rPr>
              <w:t xml:space="preserve"> powyżej.</w:t>
            </w:r>
          </w:p>
          <w:p w14:paraId="02AFE158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</w:p>
          <w:p w14:paraId="30649E59" w14:textId="683DAB01" w:rsidR="004E1CD7" w:rsidRDefault="00A82569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Postulujemy utrzymanie możliwości powierzenia pracy na podstawie powiadomienia dla wszystkich obywateli Ukrainy bez względu na podstawę pobytu</w:t>
            </w:r>
            <w:r w:rsidR="004E1CD7" w:rsidRPr="004E1CD7">
              <w:rPr>
                <w:rFonts w:asciiTheme="minorHAnsi" w:hAnsiTheme="minorHAnsi" w:cstheme="minorHAnsi"/>
                <w:bCs/>
              </w:rPr>
              <w:t>.</w:t>
            </w:r>
          </w:p>
          <w:p w14:paraId="72EA4642" w14:textId="5593CEBA" w:rsidR="00EB29B6" w:rsidRPr="004E1CD7" w:rsidRDefault="00EB29B6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Ponadto w przypadku zachowania ww. ograniczenia konieczne jest wprowadzenie przepisów przejściowych. Od </w:t>
            </w:r>
            <w:r w:rsidRPr="00EB29B6">
              <w:rPr>
                <w:rFonts w:asciiTheme="minorHAnsi" w:hAnsiTheme="minorHAnsi" w:cstheme="minorHAnsi"/>
                <w:bCs/>
              </w:rPr>
              <w:t xml:space="preserve">2022 roku wszystkie decyzje </w:t>
            </w:r>
            <w:r>
              <w:rPr>
                <w:rFonts w:asciiTheme="minorHAnsi" w:hAnsiTheme="minorHAnsi" w:cstheme="minorHAnsi"/>
                <w:bCs/>
              </w:rPr>
              <w:t xml:space="preserve">o udzieleniu zezwolenia </w:t>
            </w:r>
            <w:r w:rsidRPr="00EB29B6">
              <w:rPr>
                <w:rFonts w:asciiTheme="minorHAnsi" w:hAnsiTheme="minorHAnsi" w:cstheme="minorHAnsi"/>
                <w:bCs/>
              </w:rPr>
              <w:t>na pobyt czasowy i pracę dla ob</w:t>
            </w:r>
            <w:r>
              <w:rPr>
                <w:rFonts w:asciiTheme="minorHAnsi" w:hAnsiTheme="minorHAnsi" w:cstheme="minorHAnsi"/>
                <w:bCs/>
              </w:rPr>
              <w:t>ywateli</w:t>
            </w:r>
            <w:r w:rsidRPr="00EB29B6">
              <w:rPr>
                <w:rFonts w:asciiTheme="minorHAnsi" w:hAnsiTheme="minorHAnsi" w:cstheme="minorHAnsi"/>
                <w:bCs/>
              </w:rPr>
              <w:t xml:space="preserve"> Ukrainy są wydawane z powołaniem art. 22 ustawy o pomocy ob</w:t>
            </w:r>
            <w:r>
              <w:rPr>
                <w:rFonts w:asciiTheme="minorHAnsi" w:hAnsiTheme="minorHAnsi" w:cstheme="minorHAnsi"/>
                <w:bCs/>
              </w:rPr>
              <w:t xml:space="preserve">ywateli </w:t>
            </w:r>
            <w:r w:rsidRPr="00EB29B6">
              <w:rPr>
                <w:rFonts w:asciiTheme="minorHAnsi" w:hAnsiTheme="minorHAnsi" w:cstheme="minorHAnsi"/>
                <w:bCs/>
              </w:rPr>
              <w:t>Ukrainy, bez imiennego wskazania pracodawcy. Proponowane brzmienie</w:t>
            </w:r>
            <w:r>
              <w:rPr>
                <w:rFonts w:asciiTheme="minorHAnsi" w:hAnsiTheme="minorHAnsi" w:cstheme="minorHAnsi"/>
                <w:bCs/>
              </w:rPr>
              <w:t xml:space="preserve"> przepisu</w:t>
            </w:r>
            <w:r w:rsidRPr="00EB29B6">
              <w:rPr>
                <w:rFonts w:asciiTheme="minorHAnsi" w:hAnsiTheme="minorHAnsi" w:cstheme="minorHAnsi"/>
                <w:bCs/>
              </w:rPr>
              <w:t xml:space="preserve"> pomija te osoby </w:t>
            </w:r>
            <w:r w:rsidRPr="00EB29B6">
              <w:rPr>
                <w:rFonts w:asciiTheme="minorHAnsi" w:hAnsiTheme="minorHAnsi" w:cstheme="minorHAnsi"/>
                <w:bCs/>
              </w:rPr>
              <w:lastRenderedPageBreak/>
              <w:t>i w praktyce pozostawia duże niebezpieczeństwo zarówno dla pracodawców, jak i osób na owych statusach pobytowych.</w:t>
            </w:r>
            <w:r>
              <w:rPr>
                <w:rFonts w:asciiTheme="minorHAnsi" w:hAnsiTheme="minorHAnsi" w:cstheme="minorHAnsi"/>
                <w:bCs/>
              </w:rPr>
              <w:t xml:space="preserve"> Przepisy projektowanej ustawy nie odnoszą się również do sytuacji osób wykonujących już pracę na podstawie powiadomienia. Konieczne jest</w:t>
            </w:r>
            <w:r w:rsidRPr="00EB29B6">
              <w:rPr>
                <w:rFonts w:asciiTheme="minorHAnsi" w:hAnsiTheme="minorHAnsi" w:cstheme="minorHAnsi"/>
                <w:bCs/>
              </w:rPr>
              <w:t xml:space="preserve"> objęci</w:t>
            </w:r>
            <w:r>
              <w:rPr>
                <w:rFonts w:asciiTheme="minorHAnsi" w:hAnsiTheme="minorHAnsi" w:cstheme="minorHAnsi"/>
                <w:bCs/>
              </w:rPr>
              <w:t>e</w:t>
            </w:r>
            <w:r w:rsidRPr="00EB29B6">
              <w:rPr>
                <w:rFonts w:asciiTheme="minorHAnsi" w:hAnsiTheme="minorHAnsi" w:cstheme="minorHAnsi"/>
                <w:bCs/>
              </w:rPr>
              <w:t xml:space="preserve"> tych osób </w:t>
            </w:r>
            <w:r>
              <w:rPr>
                <w:rFonts w:asciiTheme="minorHAnsi" w:hAnsiTheme="minorHAnsi" w:cstheme="minorHAnsi"/>
                <w:bCs/>
              </w:rPr>
              <w:t xml:space="preserve">przepisem przejściowym umożliwiającym </w:t>
            </w:r>
            <w:r w:rsidRPr="00EB29B6">
              <w:rPr>
                <w:rFonts w:asciiTheme="minorHAnsi" w:hAnsiTheme="minorHAnsi" w:cstheme="minorHAnsi"/>
                <w:bCs/>
              </w:rPr>
              <w:t>dalsze zatrudnieni</w:t>
            </w:r>
            <w:r>
              <w:rPr>
                <w:rFonts w:asciiTheme="minorHAnsi" w:hAnsiTheme="minorHAnsi" w:cstheme="minorHAnsi"/>
                <w:bCs/>
              </w:rPr>
              <w:t>e</w:t>
            </w:r>
            <w:r w:rsidRPr="00EB29B6">
              <w:rPr>
                <w:rFonts w:asciiTheme="minorHAnsi" w:hAnsiTheme="minorHAnsi" w:cstheme="minorHAnsi"/>
                <w:bCs/>
              </w:rPr>
              <w:t xml:space="preserve"> na podstawie powiadomień.</w:t>
            </w:r>
          </w:p>
          <w:p w14:paraId="1F1B8AB6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</w:p>
          <w:p w14:paraId="7EA53271" w14:textId="5AC9349B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4E1CD7">
              <w:rPr>
                <w:rFonts w:asciiTheme="minorHAnsi" w:hAnsiTheme="minorHAnsi" w:cstheme="minorHAnsi"/>
                <w:bCs/>
              </w:rPr>
              <w:t>2. Projektowany przepis art. 116 ust. 1 jest bardzo lakoniczny i nie zawiera żadnych regulacji co do treści powiadomienia do urzędu pracy, ew. konieczności ponawiania go w określonych sytuacjach (np. w razie zmiany stanowiska), czy tego, na jakich warunkach pozwala ono pracować (czy np. pozwala na zmianę stanowiska, zmianę rodzaju umowy, zmianę wynagrodzenia itp.). Kwestie te są</w:t>
            </w:r>
            <w:r w:rsidR="00A82569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="00A82569">
              <w:rPr>
                <w:rFonts w:asciiTheme="minorHAnsi" w:hAnsiTheme="minorHAnsi" w:cstheme="minorHAnsi"/>
                <w:bCs/>
              </w:rPr>
              <w:t>częściwo</w:t>
            </w:r>
            <w:proofErr w:type="spellEnd"/>
            <w:r w:rsidRPr="004E1CD7">
              <w:rPr>
                <w:rFonts w:asciiTheme="minorHAnsi" w:hAnsiTheme="minorHAnsi" w:cstheme="minorHAnsi"/>
                <w:bCs/>
              </w:rPr>
              <w:t xml:space="preserve"> uregulowane w obecnie obowiązującym art. 22 specustawy ukraińskiej. Rekomendujemy uregulowanie ich także w ustawie o udzielaniu ochrony.</w:t>
            </w:r>
          </w:p>
          <w:p w14:paraId="228D2073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</w:p>
          <w:p w14:paraId="1B2297F3" w14:textId="0E9D78FF" w:rsidR="004E1CD7" w:rsidRPr="00A82569" w:rsidRDefault="004E1CD7" w:rsidP="00075400">
            <w:pPr>
              <w:jc w:val="both"/>
              <w:rPr>
                <w:rFonts w:asciiTheme="minorHAnsi" w:hAnsiTheme="minorHAnsi" w:cstheme="minorHAnsi"/>
              </w:rPr>
            </w:pPr>
            <w:r w:rsidRPr="004E1CD7">
              <w:rPr>
                <w:rFonts w:asciiTheme="minorHAnsi" w:hAnsiTheme="minorHAnsi" w:cstheme="minorHAnsi"/>
                <w:bCs/>
              </w:rPr>
              <w:t>3. Projektowany przepis art. 116 ust. 1 jest niespójny z ustawą o</w:t>
            </w:r>
            <w:r w:rsidR="00A82569" w:rsidRPr="003338E5">
              <w:rPr>
                <w:rFonts w:asciiTheme="minorHAnsi" w:hAnsiTheme="minorHAnsi" w:cstheme="minorHAnsi"/>
              </w:rPr>
              <w:t xml:space="preserve"> warunkach</w:t>
            </w:r>
            <w:r w:rsidR="00A82569">
              <w:rPr>
                <w:rFonts w:asciiTheme="minorHAnsi" w:hAnsiTheme="minorHAnsi" w:cstheme="minorHAnsi"/>
              </w:rPr>
              <w:t xml:space="preserve"> </w:t>
            </w:r>
            <w:r w:rsidR="00A82569" w:rsidRPr="003338E5">
              <w:rPr>
                <w:rFonts w:asciiTheme="minorHAnsi" w:hAnsiTheme="minorHAnsi" w:cstheme="minorHAnsi"/>
              </w:rPr>
              <w:t>dopuszczalności powierzania pracy cudzoziemcom na terytorium Rzeczypospolitej Polskie</w:t>
            </w:r>
            <w:r w:rsidR="00A82569">
              <w:rPr>
                <w:rFonts w:asciiTheme="minorHAnsi" w:hAnsiTheme="minorHAnsi" w:cstheme="minorHAnsi"/>
              </w:rPr>
              <w:t xml:space="preserve">j </w:t>
            </w:r>
            <w:r w:rsidRPr="004E1CD7">
              <w:rPr>
                <w:rFonts w:asciiTheme="minorHAnsi" w:hAnsiTheme="minorHAnsi" w:cstheme="minorHAnsi"/>
                <w:bCs/>
              </w:rPr>
              <w:t>– nie wiadomo, co to znaczy „</w:t>
            </w:r>
            <w:r w:rsidRPr="004E1CD7">
              <w:rPr>
                <w:rFonts w:asciiTheme="minorHAnsi" w:hAnsiTheme="minorHAnsi" w:cstheme="minorHAnsi"/>
              </w:rPr>
              <w:t>na zasadach uregulowanych w ustawie z dnia 20 marca 2025 r. o warunkach dopuszczalności</w:t>
            </w:r>
            <w:r w:rsidRPr="004E1CD7">
              <w:rPr>
                <w:rFonts w:asciiTheme="minorHAnsi" w:hAnsiTheme="minorHAnsi" w:cstheme="minorHAnsi"/>
                <w:bCs/>
              </w:rPr>
              <w:t xml:space="preserve">”. O możliwości </w:t>
            </w:r>
            <w:r w:rsidRPr="004E1CD7">
              <w:rPr>
                <w:rFonts w:asciiTheme="minorHAnsi" w:hAnsiTheme="minorHAnsi" w:cstheme="minorHAnsi"/>
                <w:bCs/>
              </w:rPr>
              <w:lastRenderedPageBreak/>
              <w:t xml:space="preserve">wykonywania pracy </w:t>
            </w:r>
            <w:r w:rsidRPr="004E1CD7">
              <w:rPr>
                <w:rFonts w:asciiTheme="minorHAnsi" w:hAnsiTheme="minorHAnsi" w:cstheme="minorHAnsi"/>
              </w:rPr>
              <w:t>bez konieczności uzyskania zezwolenia na pracę stanowi art. 3 ust. 5 ustawy o dopuszczalności, ale przepis ten odnosi się do cudzoziemców posiadających tytuły pobytu wskazane w art. 3 ust. 3. Czy oznacza to, że beneficjenci ochrony czasowej muszą uzyskać jeden z tytułu prawa pobytu wskazanych w art. 3 ust. 3, aby móc pracować na podstawie powiadomienia? Zdaje się to sprzeczne z intencją ustawodawcy. Rekomendujemy doprecyzowanie.</w:t>
            </w:r>
          </w:p>
          <w:p w14:paraId="192BF349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4E1CD7" w:rsidRPr="004E1CD7" w14:paraId="15C36B2E" w14:textId="77777777" w:rsidTr="003338E5">
        <w:trPr>
          <w:trHeight w:val="1275"/>
        </w:trPr>
        <w:tc>
          <w:tcPr>
            <w:tcW w:w="626" w:type="dxa"/>
            <w:vAlign w:val="center"/>
          </w:tcPr>
          <w:p w14:paraId="7AEC2763" w14:textId="77777777" w:rsidR="004E1CD7" w:rsidRPr="004E1CD7" w:rsidRDefault="004E1CD7" w:rsidP="004E1CD7">
            <w:pPr>
              <w:pStyle w:val="Akapitzlist"/>
              <w:numPr>
                <w:ilvl w:val="0"/>
                <w:numId w:val="26"/>
              </w:numPr>
              <w:spacing w:before="100" w:beforeAutospacing="1"/>
              <w:contextualSpacing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60" w:type="dxa"/>
            <w:vAlign w:val="center"/>
          </w:tcPr>
          <w:p w14:paraId="50B00091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E1CD7">
              <w:rPr>
                <w:rFonts w:asciiTheme="minorHAnsi" w:hAnsiTheme="minorHAnsi" w:cstheme="minorHAnsi"/>
                <w:b/>
                <w:bCs/>
              </w:rPr>
              <w:t>Art. 2 pkt 2</w:t>
            </w:r>
          </w:p>
        </w:tc>
        <w:tc>
          <w:tcPr>
            <w:tcW w:w="3835" w:type="dxa"/>
            <w:vAlign w:val="center"/>
          </w:tcPr>
          <w:p w14:paraId="0B12A168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</w:rPr>
            </w:pPr>
            <w:r w:rsidRPr="004E1CD7">
              <w:rPr>
                <w:rFonts w:asciiTheme="minorHAnsi" w:hAnsiTheme="minorHAnsi" w:cstheme="minorHAnsi"/>
              </w:rPr>
              <w:t>Art. 2. W ustawie z dnia 13 czerwca 2003 r. o udzielaniu cudzoziemcom ochrony na terytorium Rzeczypospolitej Polskiej (Dz. U. z 2025 r. poz. 223, 389, 619, 621 i 1794) wprowadza się następujące zmiany:</w:t>
            </w:r>
          </w:p>
          <w:p w14:paraId="64C6C761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</w:rPr>
            </w:pPr>
            <w:r w:rsidRPr="004E1CD7">
              <w:rPr>
                <w:rFonts w:asciiTheme="minorHAnsi" w:hAnsiTheme="minorHAnsi" w:cstheme="minorHAnsi"/>
              </w:rPr>
              <w:t>(...)</w:t>
            </w:r>
          </w:p>
          <w:p w14:paraId="38DBC1B6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</w:rPr>
            </w:pPr>
            <w:r w:rsidRPr="004E1CD7">
              <w:rPr>
                <w:rFonts w:asciiTheme="minorHAnsi" w:hAnsiTheme="minorHAnsi" w:cstheme="minorHAnsi"/>
              </w:rPr>
              <w:t>2) art. 106 i 107 otrzymują brzmienie:</w:t>
            </w:r>
          </w:p>
          <w:p w14:paraId="61A3250D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</w:rPr>
            </w:pPr>
            <w:r w:rsidRPr="004E1CD7">
              <w:rPr>
                <w:rFonts w:asciiTheme="minorHAnsi" w:hAnsiTheme="minorHAnsi" w:cstheme="minorHAnsi"/>
              </w:rPr>
              <w:t xml:space="preserve">„Art. 106. 1. Pobyt beneficjenta ochrony czasowej, który przybył legalnie na terytorium Rzeczypospolitej Polskiej w okresie obowiązywania decyzji Rady Unii Europejskiej stwierdzającej istnienie masowego napływu cudzoziemców i w </w:t>
            </w:r>
            <w:r w:rsidRPr="004E1CD7">
              <w:rPr>
                <w:rFonts w:asciiTheme="minorHAnsi" w:hAnsiTheme="minorHAnsi" w:cstheme="minorHAnsi"/>
              </w:rPr>
              <w:lastRenderedPageBreak/>
              <w:t>celu korzystania z ochrony czasowej, uznaje się za legalny od dnia wjazdu na terytorium Rzeczypospolitej Polskiej do dnia, w którym ta decyzja zachowuje moc obowiązującą, chyba że ustawa stanowi inaczej.</w:t>
            </w:r>
          </w:p>
        </w:tc>
        <w:tc>
          <w:tcPr>
            <w:tcW w:w="2714" w:type="dxa"/>
            <w:vAlign w:val="center"/>
          </w:tcPr>
          <w:p w14:paraId="4AD15DEE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</w:rPr>
            </w:pPr>
            <w:r w:rsidRPr="004E1CD7">
              <w:rPr>
                <w:rFonts w:asciiTheme="minorHAnsi" w:hAnsiTheme="minorHAnsi" w:cstheme="minorHAnsi"/>
              </w:rPr>
              <w:lastRenderedPageBreak/>
              <w:t>Art. 2. W ustawie z dnia 13 czerwca 2003 r. o udzielaniu cudzoziemcom ochrony na terytorium Rzeczypospolitej Polskiej (Dz. U. z 2025 r. poz. 223, 389, 619, 621 i 1794) wprowadza się następujące zmiany:</w:t>
            </w:r>
          </w:p>
          <w:p w14:paraId="5D0D571D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</w:rPr>
            </w:pPr>
            <w:r w:rsidRPr="004E1CD7">
              <w:rPr>
                <w:rFonts w:asciiTheme="minorHAnsi" w:hAnsiTheme="minorHAnsi" w:cstheme="minorHAnsi"/>
              </w:rPr>
              <w:t>(...)</w:t>
            </w:r>
          </w:p>
          <w:p w14:paraId="63D3E3B3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</w:rPr>
            </w:pPr>
            <w:r w:rsidRPr="004E1CD7">
              <w:rPr>
                <w:rFonts w:asciiTheme="minorHAnsi" w:hAnsiTheme="minorHAnsi" w:cstheme="minorHAnsi"/>
              </w:rPr>
              <w:t>2) art. 106 i 107 otrzymują brzmienie:</w:t>
            </w:r>
          </w:p>
          <w:p w14:paraId="52D34702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</w:rPr>
            </w:pPr>
            <w:r w:rsidRPr="004E1CD7">
              <w:rPr>
                <w:rFonts w:asciiTheme="minorHAnsi" w:hAnsiTheme="minorHAnsi" w:cstheme="minorHAnsi"/>
              </w:rPr>
              <w:t xml:space="preserve">„Art. 106. 1. Pobyt beneficjenta ochrony czasowej, który przybył </w:t>
            </w:r>
            <w:r w:rsidRPr="004E1CD7">
              <w:rPr>
                <w:rFonts w:asciiTheme="minorHAnsi" w:hAnsiTheme="minorHAnsi" w:cstheme="minorHAnsi"/>
              </w:rPr>
              <w:lastRenderedPageBreak/>
              <w:t>legalnie na terytorium Rzeczypospolitej Polskiej w okresie</w:t>
            </w:r>
            <w:r w:rsidRPr="00A8256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A82569">
              <w:rPr>
                <w:rFonts w:asciiTheme="minorHAnsi" w:hAnsiTheme="minorHAnsi" w:cstheme="minorHAnsi"/>
                <w:b/>
                <w:bCs/>
                <w:strike/>
              </w:rPr>
              <w:t>obowiązywania decyzji</w:t>
            </w:r>
            <w:r w:rsidRPr="00A82569">
              <w:rPr>
                <w:rFonts w:asciiTheme="minorHAnsi" w:hAnsiTheme="minorHAnsi" w:cstheme="minorHAnsi"/>
                <w:b/>
                <w:bCs/>
              </w:rPr>
              <w:t xml:space="preserve">, w którym ma do niego zastosowanie obowiązująca decyzja </w:t>
            </w:r>
            <w:r w:rsidRPr="004E1CD7">
              <w:rPr>
                <w:rFonts w:asciiTheme="minorHAnsi" w:hAnsiTheme="minorHAnsi" w:cstheme="minorHAnsi"/>
              </w:rPr>
              <w:t>Rady Unii Europejskiej stwierdzającej istnienie masowego napływu cudzoziemców i w celu korzystania z ochrony czasowej, uznaje się za legalny od dnia wjazdu na terytorium Rzeczypospolitej Polskiej do dnia, w którym ta decyzja zachowuje moc obowiązującą, chyba że ustawa stanowi inaczej.</w:t>
            </w:r>
          </w:p>
          <w:p w14:paraId="0E57F0AB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279" w:type="dxa"/>
            <w:vAlign w:val="center"/>
          </w:tcPr>
          <w:p w14:paraId="5EB89AE6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</w:rPr>
            </w:pPr>
            <w:r w:rsidRPr="004E1CD7">
              <w:rPr>
                <w:rFonts w:asciiTheme="minorHAnsi" w:hAnsiTheme="minorHAnsi" w:cstheme="minorHAnsi"/>
              </w:rPr>
              <w:lastRenderedPageBreak/>
              <w:t>Formalnie rzecz biorąc, Decyzja wykonawcza Rady (UE) 2022/382 z dnia 4 marca 2022 r. Rady UE obowiązuje dopiero od jej ogłoszenia w dzienniku urzędowym, czyli od 4 marca 2022 r. (por. art. 4 Decyzji)</w:t>
            </w:r>
          </w:p>
          <w:p w14:paraId="6B1B4E08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</w:rPr>
            </w:pPr>
          </w:p>
          <w:p w14:paraId="118D7901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</w:rPr>
            </w:pPr>
            <w:r w:rsidRPr="004E1CD7">
              <w:rPr>
                <w:rFonts w:asciiTheme="minorHAnsi" w:hAnsiTheme="minorHAnsi" w:cstheme="minorHAnsi"/>
              </w:rPr>
              <w:t>Obecnie projektowane brzmienie przepisu pozbawia prawa legalnego pobytu tych beneficjentów ochrony czasowej, którzy przybyli legalnie do Polski między 24 lutego 2022 r. a 3 marca 2022 r.</w:t>
            </w:r>
          </w:p>
          <w:p w14:paraId="7B67C4A5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</w:rPr>
            </w:pPr>
          </w:p>
          <w:p w14:paraId="56EFF15D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</w:rPr>
            </w:pPr>
            <w:r w:rsidRPr="004E1CD7">
              <w:rPr>
                <w:rFonts w:asciiTheme="minorHAnsi" w:hAnsiTheme="minorHAnsi" w:cstheme="minorHAnsi"/>
              </w:rPr>
              <w:t>Zgodnie z art. 2 ust. 1 Decyzji, w swoim okresie obowiązywania ma ona zastosowanie do wysiedleńców, którzy musieli opuścić Ukrainę począwszy od dnia 24 lutego 2022 r.</w:t>
            </w:r>
          </w:p>
          <w:p w14:paraId="4E0B6DB4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</w:rPr>
            </w:pPr>
          </w:p>
          <w:p w14:paraId="277C61F7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</w:rPr>
            </w:pPr>
            <w:r w:rsidRPr="004E1CD7">
              <w:rPr>
                <w:rFonts w:asciiTheme="minorHAnsi" w:hAnsiTheme="minorHAnsi" w:cstheme="minorHAnsi"/>
              </w:rPr>
              <w:lastRenderedPageBreak/>
              <w:t>Dlatego rekomendujemy powiązać prawo pobytu przyznane przez polską ustawę z okresem, w jakim Decyzja ma zastosowanie do objętych nią wysiedleńców, a nie z okresem obowiązywania Decyzji. </w:t>
            </w:r>
          </w:p>
          <w:p w14:paraId="69C716D2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4E1CD7" w:rsidRPr="004E1CD7" w14:paraId="5129B009" w14:textId="77777777" w:rsidTr="003338E5">
        <w:trPr>
          <w:trHeight w:val="1275"/>
        </w:trPr>
        <w:tc>
          <w:tcPr>
            <w:tcW w:w="626" w:type="dxa"/>
            <w:vAlign w:val="center"/>
          </w:tcPr>
          <w:p w14:paraId="04F384FA" w14:textId="77777777" w:rsidR="004E1CD7" w:rsidRPr="004E1CD7" w:rsidRDefault="004E1CD7" w:rsidP="004E1CD7">
            <w:pPr>
              <w:pStyle w:val="Akapitzlist"/>
              <w:numPr>
                <w:ilvl w:val="0"/>
                <w:numId w:val="26"/>
              </w:numPr>
              <w:spacing w:before="100" w:beforeAutospacing="1"/>
              <w:contextualSpacing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60" w:type="dxa"/>
            <w:vAlign w:val="center"/>
          </w:tcPr>
          <w:p w14:paraId="0D412651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E1CD7">
              <w:rPr>
                <w:rFonts w:asciiTheme="minorHAnsi" w:hAnsiTheme="minorHAnsi" w:cstheme="minorHAnsi"/>
                <w:b/>
                <w:bCs/>
              </w:rPr>
              <w:t>Art. 2 pkt 4 i 6</w:t>
            </w:r>
          </w:p>
          <w:p w14:paraId="1767AD72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7F75B4D8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E1CD7">
              <w:rPr>
                <w:rFonts w:asciiTheme="minorHAnsi" w:hAnsiTheme="minorHAnsi" w:cstheme="minorHAnsi"/>
                <w:b/>
                <w:bCs/>
              </w:rPr>
              <w:t>Art. 3 pkt 3</w:t>
            </w:r>
          </w:p>
          <w:p w14:paraId="61A7B8C7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35" w:type="dxa"/>
            <w:vAlign w:val="center"/>
          </w:tcPr>
          <w:p w14:paraId="7A68A34D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</w:rPr>
            </w:pPr>
            <w:r w:rsidRPr="004E1CD7">
              <w:rPr>
                <w:rFonts w:asciiTheme="minorHAnsi" w:hAnsiTheme="minorHAnsi" w:cstheme="minorHAnsi"/>
              </w:rPr>
              <w:t xml:space="preserve">Art. 2. W ustawie z dnia 13 czerwca 2003 r. o udzielaniu cudzoziemcom ochrony na terytorium Rzeczypospolitej Polskiej (Dz. U. z </w:t>
            </w:r>
            <w:r w:rsidRPr="004E1CD7">
              <w:rPr>
                <w:rFonts w:asciiTheme="minorHAnsi" w:hAnsiTheme="minorHAnsi" w:cstheme="minorHAnsi"/>
              </w:rPr>
              <w:lastRenderedPageBreak/>
              <w:t>2025 r. poz. 223, 389, 619, 621 i 1794) wprowadza się następujące zmiany:</w:t>
            </w:r>
          </w:p>
          <w:p w14:paraId="1B4DA83A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4E1CD7">
              <w:rPr>
                <w:rFonts w:asciiTheme="minorHAnsi" w:hAnsiTheme="minorHAnsi" w:cstheme="minorHAnsi"/>
                <w:bCs/>
              </w:rPr>
              <w:t>(...)</w:t>
            </w:r>
          </w:p>
          <w:p w14:paraId="0D3B783D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4E1CD7">
              <w:rPr>
                <w:rFonts w:asciiTheme="minorHAnsi" w:hAnsiTheme="minorHAnsi" w:cstheme="minorHAnsi"/>
                <w:bCs/>
              </w:rPr>
              <w:t>4) po art. 109 dodaje się art. 109a i 109b w brzmieniu:</w:t>
            </w:r>
          </w:p>
          <w:p w14:paraId="3D80745B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4E1CD7">
              <w:rPr>
                <w:rFonts w:asciiTheme="minorHAnsi" w:hAnsiTheme="minorHAnsi" w:cstheme="minorHAnsi"/>
                <w:bCs/>
              </w:rPr>
              <w:t>„(...)</w:t>
            </w:r>
          </w:p>
          <w:p w14:paraId="03FCA9BE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4E1CD7">
              <w:rPr>
                <w:rFonts w:asciiTheme="minorHAnsi" w:hAnsiTheme="minorHAnsi" w:cstheme="minorHAnsi"/>
                <w:bCs/>
              </w:rPr>
              <w:t xml:space="preserve">Art. 109b. 1. Ochrona czasowa wygasa, w </w:t>
            </w:r>
            <w:proofErr w:type="gramStart"/>
            <w:r w:rsidRPr="004E1CD7">
              <w:rPr>
                <w:rFonts w:asciiTheme="minorHAnsi" w:hAnsiTheme="minorHAnsi" w:cstheme="minorHAnsi"/>
                <w:bCs/>
              </w:rPr>
              <w:t>przypadku</w:t>
            </w:r>
            <w:proofErr w:type="gramEnd"/>
            <w:r w:rsidRPr="004E1CD7">
              <w:rPr>
                <w:rFonts w:asciiTheme="minorHAnsi" w:hAnsiTheme="minorHAnsi" w:cstheme="minorHAnsi"/>
                <w:bCs/>
              </w:rPr>
              <w:t xml:space="preserve"> gdy: </w:t>
            </w:r>
          </w:p>
          <w:p w14:paraId="0F0899F8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4E1CD7">
              <w:rPr>
                <w:rFonts w:asciiTheme="minorHAnsi" w:hAnsiTheme="minorHAnsi" w:cstheme="minorHAnsi"/>
                <w:bCs/>
              </w:rPr>
              <w:t>1)</w:t>
            </w:r>
            <w:r w:rsidRPr="004E1CD7">
              <w:rPr>
                <w:rFonts w:asciiTheme="minorHAnsi" w:hAnsiTheme="minorHAnsi" w:cstheme="minorHAnsi"/>
                <w:bCs/>
              </w:rPr>
              <w:tab/>
              <w:t>cudzoziemiec nie złożył wniosku, o którym mowa w art. 110a ust. 1, w terminie określonym w art. 110a ust. 2;”</w:t>
            </w:r>
          </w:p>
          <w:p w14:paraId="58077E8F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4E1CD7">
              <w:rPr>
                <w:rFonts w:asciiTheme="minorHAnsi" w:hAnsiTheme="minorHAnsi" w:cstheme="minorHAnsi"/>
                <w:bCs/>
              </w:rPr>
              <w:t>(...)</w:t>
            </w:r>
          </w:p>
          <w:p w14:paraId="328F0805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4E1CD7">
              <w:rPr>
                <w:rFonts w:asciiTheme="minorHAnsi" w:hAnsiTheme="minorHAnsi" w:cstheme="minorHAnsi"/>
                <w:bCs/>
              </w:rPr>
              <w:t>6) po art. 110 dodaje się art. 110a–110f w brzmieniu:</w:t>
            </w:r>
          </w:p>
          <w:p w14:paraId="34337A04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4E1CD7">
              <w:rPr>
                <w:rFonts w:asciiTheme="minorHAnsi" w:hAnsiTheme="minorHAnsi" w:cstheme="minorHAnsi"/>
                <w:bCs/>
              </w:rPr>
              <w:t xml:space="preserve">„Art. 110a. 1. Beneficjentowi ochrony czasowej na wniosek złożony w dowolnym organie gminy na terytorium Rzeczypospolitej Polskiej, nadaje się numer PESEL, o którym mowa w art. 15 ustawy z dnia 24 września 2010 r. o ewidencji ludności (Dz. U. z 2025 r. poz. 274, z </w:t>
            </w:r>
            <w:proofErr w:type="spellStart"/>
            <w:r w:rsidRPr="004E1CD7">
              <w:rPr>
                <w:rFonts w:asciiTheme="minorHAnsi" w:hAnsiTheme="minorHAnsi" w:cstheme="minorHAnsi"/>
                <w:bCs/>
              </w:rPr>
              <w:t>późn</w:t>
            </w:r>
            <w:proofErr w:type="spellEnd"/>
            <w:r w:rsidRPr="004E1CD7">
              <w:rPr>
                <w:rFonts w:asciiTheme="minorHAnsi" w:hAnsiTheme="minorHAnsi" w:cstheme="minorHAnsi"/>
                <w:bCs/>
              </w:rPr>
              <w:t xml:space="preserve">. </w:t>
            </w:r>
            <w:proofErr w:type="gramStart"/>
            <w:r w:rsidRPr="004E1CD7">
              <w:rPr>
                <w:rFonts w:asciiTheme="minorHAnsi" w:hAnsiTheme="minorHAnsi" w:cstheme="minorHAnsi"/>
                <w:bCs/>
              </w:rPr>
              <w:t>zm. )</w:t>
            </w:r>
            <w:proofErr w:type="gramEnd"/>
            <w:r w:rsidRPr="004E1CD7">
              <w:rPr>
                <w:rFonts w:asciiTheme="minorHAnsi" w:hAnsiTheme="minorHAnsi" w:cstheme="minorHAnsi"/>
                <w:bCs/>
              </w:rPr>
              <w:t xml:space="preserve">) ze statusem UKR, o którym mowa w </w:t>
            </w:r>
            <w:r w:rsidRPr="004E1CD7">
              <w:rPr>
                <w:rFonts w:asciiTheme="minorHAnsi" w:hAnsiTheme="minorHAnsi" w:cstheme="minorHAnsi"/>
                <w:bCs/>
              </w:rPr>
              <w:lastRenderedPageBreak/>
              <w:t>art. 8 pkt 24a lit. d ustawy z dnia 24 września 2010 r. o ewidencji ludności.</w:t>
            </w:r>
          </w:p>
          <w:p w14:paraId="35DCA8E5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4E1CD7">
              <w:rPr>
                <w:rFonts w:asciiTheme="minorHAnsi" w:hAnsiTheme="minorHAnsi" w:cstheme="minorHAnsi"/>
                <w:bCs/>
              </w:rPr>
              <w:t>2. Wniosek, o którym mowa w ust. 1, składa się w terminie 14 dni od dnia przekroczenia granicy Rzeczypospolitej Polskiej. (...)”</w:t>
            </w:r>
          </w:p>
          <w:p w14:paraId="6D4830EE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</w:p>
          <w:p w14:paraId="058A0F34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4E1CD7">
              <w:rPr>
                <w:rFonts w:asciiTheme="minorHAnsi" w:hAnsiTheme="minorHAnsi" w:cstheme="minorHAnsi"/>
                <w:bCs/>
              </w:rPr>
              <w:t>Art. 3. W ustawie z dnia 24 września 2010 r. o ewidencji ludności (Dz. U. z 2025 r. poz. 274, 1006, 1216, 1176, 1191 i 1301) wprowadza się następujące zmiany:</w:t>
            </w:r>
          </w:p>
          <w:p w14:paraId="1C75F15E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4E1CD7">
              <w:rPr>
                <w:rFonts w:asciiTheme="minorHAnsi" w:hAnsiTheme="minorHAnsi" w:cstheme="minorHAnsi"/>
                <w:bCs/>
              </w:rPr>
              <w:t>(...)</w:t>
            </w:r>
          </w:p>
          <w:p w14:paraId="73B974D1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4E1CD7">
              <w:rPr>
                <w:rFonts w:asciiTheme="minorHAnsi" w:hAnsiTheme="minorHAnsi" w:cstheme="minorHAnsi"/>
                <w:bCs/>
              </w:rPr>
              <w:t>3) po rozdziale 5 dodaje się rozdział 5a w brzmieniu:</w:t>
            </w:r>
          </w:p>
          <w:p w14:paraId="2CC375AE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4E1CD7">
              <w:rPr>
                <w:rFonts w:asciiTheme="minorHAnsi" w:hAnsiTheme="minorHAnsi" w:cstheme="minorHAnsi"/>
                <w:bCs/>
              </w:rPr>
              <w:t>(...)</w:t>
            </w:r>
          </w:p>
          <w:p w14:paraId="61866282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4E1CD7">
              <w:rPr>
                <w:rFonts w:asciiTheme="minorHAnsi" w:hAnsiTheme="minorHAnsi" w:cstheme="minorHAnsi"/>
                <w:bCs/>
              </w:rPr>
              <w:t xml:space="preserve">Art. 44a. 1. Beneficjentowi ochrony czasowej w rozumieniu art. 2 pkt 1a ustawy z dnia 13 czerwca 2003 r. o udzielaniu cudzoziemcom ochrony na terytorium Rzeczypospolitej </w:t>
            </w:r>
            <w:proofErr w:type="gramStart"/>
            <w:r w:rsidRPr="004E1CD7">
              <w:rPr>
                <w:rFonts w:asciiTheme="minorHAnsi" w:hAnsiTheme="minorHAnsi" w:cstheme="minorHAnsi"/>
                <w:bCs/>
              </w:rPr>
              <w:t>Polskiej  nadaje</w:t>
            </w:r>
            <w:proofErr w:type="gramEnd"/>
            <w:r w:rsidRPr="004E1CD7">
              <w:rPr>
                <w:rFonts w:asciiTheme="minorHAnsi" w:hAnsiTheme="minorHAnsi" w:cstheme="minorHAnsi"/>
                <w:bCs/>
              </w:rPr>
              <w:t xml:space="preserve"> się numer PESEL na wniosek, o którym mowa art. 110a ust. 1 tej ustawy.</w:t>
            </w:r>
          </w:p>
          <w:p w14:paraId="7B7E0E4F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4E1CD7">
              <w:rPr>
                <w:rFonts w:asciiTheme="minorHAnsi" w:hAnsiTheme="minorHAnsi" w:cstheme="minorHAnsi"/>
                <w:bCs/>
              </w:rPr>
              <w:lastRenderedPageBreak/>
              <w:t>(...)</w:t>
            </w:r>
          </w:p>
          <w:p w14:paraId="2DF7DAEC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4E1CD7">
              <w:rPr>
                <w:rFonts w:asciiTheme="minorHAnsi" w:hAnsiTheme="minorHAnsi" w:cstheme="minorHAnsi"/>
                <w:bCs/>
              </w:rPr>
              <w:t>Art. 44b. 1. Status UKR może zostać ponownie nadany na skutek ponownego złożenia wniosku, o którym mowa w art. 44a ust. 1. Danych beneficjenta ochrony czasowej nie wprowadza się ponownie do rejestru, o którym mowa w art. 44c ust. 1, z wyjątkiem odcisków palców, jeżeli nie pobrano ich przy nadaniu numeru PESEL, oraz fotografii, jeżeli wizerunek osoby uległ zmianie w sposób utrudniający ustalenie jej tożsamości. Datą ponownego nadania statusu UKR jest data ponownego wjazdu na terytorium Rzeczypospolitej Polskiej.</w:t>
            </w:r>
          </w:p>
          <w:p w14:paraId="18964AB5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714" w:type="dxa"/>
            <w:vAlign w:val="center"/>
          </w:tcPr>
          <w:p w14:paraId="58BCB35B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4E1CD7">
              <w:rPr>
                <w:rFonts w:asciiTheme="minorHAnsi" w:hAnsiTheme="minorHAnsi" w:cstheme="minorHAnsi"/>
                <w:bCs/>
              </w:rPr>
              <w:lastRenderedPageBreak/>
              <w:t xml:space="preserve">Rekomendujemy doprecyzowanie przypadków, w których beneficjent ochrony </w:t>
            </w:r>
            <w:r w:rsidRPr="004E1CD7">
              <w:rPr>
                <w:rFonts w:asciiTheme="minorHAnsi" w:hAnsiTheme="minorHAnsi" w:cstheme="minorHAnsi"/>
                <w:bCs/>
              </w:rPr>
              <w:lastRenderedPageBreak/>
              <w:t>czasowej po przekroczeniu polskiej granicy ma obowiązek złożyć do organu gminy wniosek, o którym mowa w art. 110a ust. 1 ustawy o udzielaniu ochrony.</w:t>
            </w:r>
          </w:p>
        </w:tc>
        <w:tc>
          <w:tcPr>
            <w:tcW w:w="6279" w:type="dxa"/>
          </w:tcPr>
          <w:p w14:paraId="6CF00FEE" w14:textId="17008778" w:rsidR="004E1CD7" w:rsidRDefault="00A82569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>P</w:t>
            </w:r>
            <w:r w:rsidR="004E1CD7" w:rsidRPr="004E1CD7">
              <w:rPr>
                <w:rFonts w:asciiTheme="minorHAnsi" w:hAnsiTheme="minorHAnsi" w:cstheme="minorHAnsi"/>
                <w:bCs/>
              </w:rPr>
              <w:t xml:space="preserve">rojektowane przepisy tworzą niepewność prawną co do tego, w jakich sytuacjach istnieje obowiązek złożenia do organu gminy wniosku, o którym mowa w art. 110a ust. 1 ustawy o </w:t>
            </w:r>
            <w:r w:rsidR="004E1CD7" w:rsidRPr="004E1CD7">
              <w:rPr>
                <w:rFonts w:asciiTheme="minorHAnsi" w:hAnsiTheme="minorHAnsi" w:cstheme="minorHAnsi"/>
                <w:bCs/>
              </w:rPr>
              <w:lastRenderedPageBreak/>
              <w:t>udzielaniu ochrony, w terminie 14 dni od przekroczenia granicy, pod rygorem wygaśnięcia ochrony czasowej</w:t>
            </w:r>
            <w:r>
              <w:rPr>
                <w:rFonts w:asciiTheme="minorHAnsi" w:hAnsiTheme="minorHAnsi" w:cstheme="minorHAnsi"/>
                <w:bCs/>
              </w:rPr>
              <w:t xml:space="preserve">. </w:t>
            </w:r>
          </w:p>
          <w:p w14:paraId="300A6D4A" w14:textId="77777777" w:rsidR="00A82569" w:rsidRPr="004E1CD7" w:rsidRDefault="00A82569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</w:p>
          <w:p w14:paraId="50A008AF" w14:textId="52FAA313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4E1CD7">
              <w:rPr>
                <w:rFonts w:asciiTheme="minorHAnsi" w:hAnsiTheme="minorHAnsi" w:cstheme="minorHAnsi"/>
                <w:bCs/>
              </w:rPr>
              <w:t xml:space="preserve">A) Czy </w:t>
            </w:r>
            <w:r w:rsidR="00A82569">
              <w:rPr>
                <w:rFonts w:asciiTheme="minorHAnsi" w:hAnsiTheme="minorHAnsi" w:cstheme="minorHAnsi"/>
                <w:bCs/>
              </w:rPr>
              <w:t xml:space="preserve">obowiązek powstaje </w:t>
            </w:r>
            <w:r w:rsidRPr="004E1CD7">
              <w:rPr>
                <w:rFonts w:asciiTheme="minorHAnsi" w:hAnsiTheme="minorHAnsi" w:cstheme="minorHAnsi"/>
                <w:bCs/>
              </w:rPr>
              <w:t>tylko gdy beneficjent ochrony czasowej nie ma jeszcze numeru PESEL? Projektowany art. 44b ustawy o ewidencji ludności wskazuje, że także cudzoziemcy już posiadający numer PESEL powinni złożyć wniosek, o którym mowa w art. 44a ust. 1 ewidencji ludności (który z kolei odsyła do art. 110 ust. ustawy o udzielaniu ochrony), jeżeli chcą odzyskać status UKR po jego uprzedniej utracie.</w:t>
            </w:r>
          </w:p>
          <w:p w14:paraId="2679F8B8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</w:p>
          <w:p w14:paraId="304767D6" w14:textId="59888A9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4E1CD7">
              <w:rPr>
                <w:rFonts w:asciiTheme="minorHAnsi" w:hAnsiTheme="minorHAnsi" w:cstheme="minorHAnsi"/>
                <w:bCs/>
              </w:rPr>
              <w:t xml:space="preserve">B) Czy </w:t>
            </w:r>
            <w:r w:rsidR="00A82569">
              <w:rPr>
                <w:rFonts w:asciiTheme="minorHAnsi" w:hAnsiTheme="minorHAnsi" w:cstheme="minorHAnsi"/>
                <w:bCs/>
              </w:rPr>
              <w:t>obowiązek dotyczy</w:t>
            </w:r>
            <w:r w:rsidRPr="004E1CD7">
              <w:rPr>
                <w:rFonts w:asciiTheme="minorHAnsi" w:hAnsiTheme="minorHAnsi" w:cstheme="minorHAnsi"/>
                <w:bCs/>
              </w:rPr>
              <w:t xml:space="preserve"> beneficjent</w:t>
            </w:r>
            <w:r w:rsidR="00A82569">
              <w:rPr>
                <w:rFonts w:asciiTheme="minorHAnsi" w:hAnsiTheme="minorHAnsi" w:cstheme="minorHAnsi"/>
                <w:bCs/>
              </w:rPr>
              <w:t>a</w:t>
            </w:r>
            <w:r w:rsidRPr="004E1CD7">
              <w:rPr>
                <w:rFonts w:asciiTheme="minorHAnsi" w:hAnsiTheme="minorHAnsi" w:cstheme="minorHAnsi"/>
                <w:bCs/>
              </w:rPr>
              <w:t xml:space="preserve"> ochrony czasowej nieposiada</w:t>
            </w:r>
            <w:r w:rsidR="00A82569">
              <w:rPr>
                <w:rFonts w:asciiTheme="minorHAnsi" w:hAnsiTheme="minorHAnsi" w:cstheme="minorHAnsi"/>
                <w:bCs/>
              </w:rPr>
              <w:t>jącego</w:t>
            </w:r>
            <w:r w:rsidRPr="004E1CD7">
              <w:rPr>
                <w:rFonts w:asciiTheme="minorHAnsi" w:hAnsiTheme="minorHAnsi" w:cstheme="minorHAnsi"/>
                <w:bCs/>
              </w:rPr>
              <w:t xml:space="preserve"> statusu UKR (nawet jeśli posiada PESEL)? Taka zdaje się być intencja ustawodawcy, ale nie odpowiada jej dosłowne brzmienie przepisów.</w:t>
            </w:r>
          </w:p>
          <w:p w14:paraId="3E675109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</w:p>
          <w:p w14:paraId="1C9CAD60" w14:textId="596A9CC6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4E1CD7">
              <w:rPr>
                <w:rFonts w:asciiTheme="minorHAnsi" w:hAnsiTheme="minorHAnsi" w:cstheme="minorHAnsi"/>
                <w:bCs/>
              </w:rPr>
              <w:t>C) Czy</w:t>
            </w:r>
            <w:r w:rsidR="00A82569">
              <w:rPr>
                <w:rFonts w:asciiTheme="minorHAnsi" w:hAnsiTheme="minorHAnsi" w:cstheme="minorHAnsi"/>
                <w:bCs/>
              </w:rPr>
              <w:t xml:space="preserve"> obowiązek złożenia wniosku powstaje</w:t>
            </w:r>
            <w:r w:rsidRPr="004E1CD7">
              <w:rPr>
                <w:rFonts w:asciiTheme="minorHAnsi" w:hAnsiTheme="minorHAnsi" w:cstheme="minorHAnsi"/>
                <w:bCs/>
              </w:rPr>
              <w:t xml:space="preserve"> za każdym razem, gdy beneficjent ochrony czasowej przekracza granicę (nawet jeśli posiada już PESEL i status UKR, a np. wyjechał z Polski tylko na 1 dzień)? Taka interpretacja zdaje się być sprzeczna z intencją ustawodawcy, ale zdaje się mieć oparcie w dosłownym brzmieniu przepisów niż interpretacja B powyżej.</w:t>
            </w:r>
          </w:p>
          <w:p w14:paraId="41B3ECF4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</w:p>
          <w:p w14:paraId="2E962582" w14:textId="77777777" w:rsidR="004E1CD7" w:rsidRPr="004E1CD7" w:rsidRDefault="004E1CD7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4E1CD7">
              <w:rPr>
                <w:rFonts w:asciiTheme="minorHAnsi" w:hAnsiTheme="minorHAnsi" w:cstheme="minorHAnsi"/>
                <w:bCs/>
              </w:rPr>
              <w:lastRenderedPageBreak/>
              <w:t>Rekomendujemy doprecyzowanie przepisów, żeby uniknąć niepewności prawnej i przypadków niezamierzonego przez ustawodawcę wykreślania beneficjentów ochrony czasowej z rejestru UKR.</w:t>
            </w:r>
          </w:p>
        </w:tc>
      </w:tr>
      <w:tr w:rsidR="00EB29B6" w:rsidRPr="004E1CD7" w14:paraId="4E262941" w14:textId="77777777" w:rsidTr="003338E5">
        <w:trPr>
          <w:trHeight w:val="1275"/>
        </w:trPr>
        <w:tc>
          <w:tcPr>
            <w:tcW w:w="626" w:type="dxa"/>
            <w:vAlign w:val="center"/>
          </w:tcPr>
          <w:p w14:paraId="4DDE34E3" w14:textId="77777777" w:rsidR="00EB29B6" w:rsidRPr="004E1CD7" w:rsidRDefault="00EB29B6" w:rsidP="004E1CD7">
            <w:pPr>
              <w:pStyle w:val="Akapitzlist"/>
              <w:numPr>
                <w:ilvl w:val="0"/>
                <w:numId w:val="26"/>
              </w:numPr>
              <w:spacing w:before="100" w:beforeAutospacing="1"/>
              <w:contextualSpacing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60" w:type="dxa"/>
            <w:vAlign w:val="center"/>
          </w:tcPr>
          <w:p w14:paraId="609FB8F0" w14:textId="5B4D7B72" w:rsidR="00EB29B6" w:rsidRPr="004E1CD7" w:rsidRDefault="00EB29B6" w:rsidP="00075400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Art. 9 pkt 47</w:t>
            </w:r>
          </w:p>
        </w:tc>
        <w:tc>
          <w:tcPr>
            <w:tcW w:w="3835" w:type="dxa"/>
            <w:vAlign w:val="center"/>
          </w:tcPr>
          <w:p w14:paraId="5586356D" w14:textId="77777777" w:rsidR="00EB29B6" w:rsidRDefault="00EB29B6" w:rsidP="00075400">
            <w:pPr>
              <w:jc w:val="both"/>
              <w:rPr>
                <w:rFonts w:asciiTheme="minorHAnsi" w:hAnsiTheme="minorHAnsi" w:cstheme="minorHAnsi"/>
              </w:rPr>
            </w:pPr>
            <w:r w:rsidRPr="00EB29B6">
              <w:rPr>
                <w:rFonts w:asciiTheme="minorHAnsi" w:hAnsiTheme="minorHAnsi" w:cstheme="minorHAnsi"/>
              </w:rPr>
              <w:t xml:space="preserve">Art. 9. W ustawie z dnia 12 marca 2022 r. o pomocy obywatelom Ukrainy w związku z konfliktem zbrojnym na terytorium tego państwa (Dz. U. z 2025 r. poz. 337, 620, 621, 1301 i </w:t>
            </w:r>
            <w:r w:rsidRPr="00EB29B6">
              <w:rPr>
                <w:rFonts w:asciiTheme="minorHAnsi" w:hAnsiTheme="minorHAnsi" w:cstheme="minorHAnsi"/>
              </w:rPr>
              <w:lastRenderedPageBreak/>
              <w:t>1794) wprowadza się następujące zmiany:</w:t>
            </w:r>
          </w:p>
          <w:p w14:paraId="6A86AC2C" w14:textId="7EDC1DCC" w:rsidR="00EB29B6" w:rsidRPr="004E1CD7" w:rsidRDefault="00EB29B6" w:rsidP="00075400">
            <w:pPr>
              <w:jc w:val="both"/>
              <w:rPr>
                <w:rFonts w:asciiTheme="minorHAnsi" w:hAnsiTheme="minorHAnsi" w:cstheme="minorHAnsi"/>
              </w:rPr>
            </w:pPr>
            <w:r w:rsidRPr="00EB29B6">
              <w:rPr>
                <w:rFonts w:asciiTheme="minorHAnsi" w:hAnsiTheme="minorHAnsi" w:cstheme="minorHAnsi"/>
              </w:rPr>
              <w:t>47)</w:t>
            </w:r>
            <w:r w:rsidRPr="00EB29B6">
              <w:rPr>
                <w:rFonts w:asciiTheme="minorHAnsi" w:hAnsiTheme="minorHAnsi" w:cstheme="minorHAnsi"/>
              </w:rPr>
              <w:tab/>
              <w:t>w art. 100d w ust. 1 we wprowadzeniu do wyliczenia wyrazy „4 marca 2026 r.” zastępuje się wyrazami „4 marca 2027 r.”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714" w:type="dxa"/>
            <w:vAlign w:val="center"/>
          </w:tcPr>
          <w:p w14:paraId="64D0F7F2" w14:textId="77777777" w:rsidR="00EB29B6" w:rsidRDefault="00EB29B6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>Proponuje się uchylenie pkt 47 w art. 9 oraz nadanie pkt 48 następującego brzmienia:</w:t>
            </w:r>
          </w:p>
          <w:p w14:paraId="4B87FDC8" w14:textId="1CCCDF84" w:rsidR="00EB29B6" w:rsidRPr="00EB29B6" w:rsidRDefault="00EB29B6" w:rsidP="00075400">
            <w:pPr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EB29B6">
              <w:rPr>
                <w:rFonts w:asciiTheme="minorHAnsi" w:hAnsiTheme="minorHAnsi" w:cstheme="minorHAnsi"/>
                <w:bCs/>
                <w:i/>
                <w:iCs/>
              </w:rPr>
              <w:t xml:space="preserve">uchyla się art. </w:t>
            </w:r>
            <w:r w:rsidRPr="00EB29B6">
              <w:rPr>
                <w:rFonts w:asciiTheme="minorHAnsi" w:hAnsiTheme="minorHAnsi" w:cstheme="minorHAnsi"/>
                <w:b/>
                <w:i/>
                <w:iCs/>
              </w:rPr>
              <w:t>100d</w:t>
            </w:r>
            <w:r w:rsidRPr="00EB29B6">
              <w:rPr>
                <w:rFonts w:asciiTheme="minorHAnsi" w:hAnsiTheme="minorHAnsi" w:cstheme="minorHAnsi"/>
                <w:bCs/>
                <w:i/>
                <w:iCs/>
              </w:rPr>
              <w:t>–112</w:t>
            </w:r>
            <w:r w:rsidRPr="00EB29B6">
              <w:rPr>
                <w:rFonts w:asciiTheme="minorHAnsi" w:hAnsiTheme="minorHAnsi" w:cstheme="minorHAnsi"/>
                <w:bCs/>
                <w:i/>
                <w:iCs/>
              </w:rPr>
              <w:t>.</w:t>
            </w:r>
          </w:p>
        </w:tc>
        <w:tc>
          <w:tcPr>
            <w:tcW w:w="6279" w:type="dxa"/>
          </w:tcPr>
          <w:p w14:paraId="1F9D001D" w14:textId="77777777" w:rsidR="00EB29B6" w:rsidRDefault="002B7423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Proponowana zmiana:</w:t>
            </w:r>
          </w:p>
          <w:p w14:paraId="3664FD12" w14:textId="77777777" w:rsidR="002B7423" w:rsidRDefault="002B7423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</w:p>
          <w:p w14:paraId="71F54B45" w14:textId="77777777" w:rsidR="002B7423" w:rsidRDefault="002B7423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Rezygnacja z przedłużenia obowiązywania art. 100d ustawy o pomocy obywatelom Ukrainy. </w:t>
            </w:r>
          </w:p>
          <w:p w14:paraId="70E8816F" w14:textId="77777777" w:rsidR="002B7423" w:rsidRDefault="002B7423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</w:p>
          <w:p w14:paraId="7A55624D" w14:textId="77777777" w:rsidR="002B7423" w:rsidRDefault="002B7423" w:rsidP="00075400">
            <w:pPr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Uzasadnienie:</w:t>
            </w:r>
          </w:p>
          <w:p w14:paraId="21A47B27" w14:textId="1E19CBEC" w:rsidR="002B7423" w:rsidRPr="002B7423" w:rsidRDefault="002B7423" w:rsidP="002B7423">
            <w:pPr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>Zgodnie z przepisami u</w:t>
            </w:r>
            <w:r w:rsidRPr="002B7423">
              <w:rPr>
                <w:rFonts w:asciiTheme="minorHAnsi" w:hAnsiTheme="minorHAnsi" w:cstheme="minorHAnsi"/>
                <w:bCs/>
              </w:rPr>
              <w:t>staw</w:t>
            </w:r>
            <w:r>
              <w:rPr>
                <w:rFonts w:asciiTheme="minorHAnsi" w:hAnsiTheme="minorHAnsi" w:cstheme="minorHAnsi"/>
                <w:bCs/>
              </w:rPr>
              <w:t>y</w:t>
            </w:r>
            <w:r w:rsidRPr="002B7423">
              <w:rPr>
                <w:rFonts w:asciiTheme="minorHAnsi" w:hAnsiTheme="minorHAnsi" w:cstheme="minorHAnsi"/>
                <w:bCs/>
              </w:rPr>
              <w:t xml:space="preserve"> o cudzoziemcach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2B7423">
              <w:rPr>
                <w:rFonts w:asciiTheme="minorHAnsi" w:hAnsiTheme="minorHAnsi" w:cstheme="minorHAnsi"/>
                <w:bCs/>
              </w:rPr>
              <w:t>decyzj</w:t>
            </w:r>
            <w:r>
              <w:rPr>
                <w:rFonts w:asciiTheme="minorHAnsi" w:hAnsiTheme="minorHAnsi" w:cstheme="minorHAnsi"/>
                <w:bCs/>
              </w:rPr>
              <w:t>ę</w:t>
            </w:r>
            <w:r w:rsidRPr="002B7423">
              <w:rPr>
                <w:rFonts w:asciiTheme="minorHAnsi" w:hAnsiTheme="minorHAnsi" w:cstheme="minorHAnsi"/>
                <w:bCs/>
              </w:rPr>
              <w:t xml:space="preserve"> w sprawie udzielenia cudzoziemcowi zezwolenia na pobyt czasowy wydaje się w terminie 60 dni.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bCs/>
              </w:rPr>
              <w:t xml:space="preserve">Tymczasem </w:t>
            </w:r>
            <w:r w:rsidRPr="002B742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w</w:t>
            </w:r>
            <w:proofErr w:type="gramEnd"/>
            <w:r>
              <w:rPr>
                <w:rFonts w:asciiTheme="minorHAnsi" w:hAnsiTheme="minorHAnsi" w:cstheme="minorHAnsi"/>
                <w:bCs/>
              </w:rPr>
              <w:t xml:space="preserve"> praktyce średni czas oczekiwania na decyzję przekracza rok. </w:t>
            </w:r>
            <w:r w:rsidRPr="002B7423">
              <w:rPr>
                <w:rFonts w:asciiTheme="minorHAnsi" w:hAnsiTheme="minorHAnsi" w:cstheme="minorHAnsi"/>
                <w:bCs/>
              </w:rPr>
              <w:t xml:space="preserve">W tym czasie cudzoziemcy nie dysponują ważnym dokumentem pobytowym, co uniemożliwia ich mobilność wewnątrz UE, podważa legalność ich pobytu a także ogranicza możliwość podejmowania pracy legalnie. </w:t>
            </w:r>
          </w:p>
          <w:p w14:paraId="52183F5A" w14:textId="7F8BF147" w:rsidR="002B7423" w:rsidRPr="002B7423" w:rsidRDefault="002B7423" w:rsidP="002B7423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2B7423">
              <w:rPr>
                <w:rFonts w:asciiTheme="minorHAnsi" w:hAnsiTheme="minorHAnsi" w:cstheme="minorHAnsi"/>
                <w:bCs/>
              </w:rPr>
              <w:t xml:space="preserve">Przewlekłość postępowań jest problemem występującym od lat, sygnalizowane to było wielokrotnie przez organizacje pozarządowe, organizacje pracodawców i </w:t>
            </w:r>
            <w:r>
              <w:rPr>
                <w:rFonts w:asciiTheme="minorHAnsi" w:hAnsiTheme="minorHAnsi" w:cstheme="minorHAnsi"/>
                <w:bCs/>
              </w:rPr>
              <w:t xml:space="preserve">biuro Rzecznika Praw Obywatelskich. </w:t>
            </w:r>
            <w:r w:rsidRPr="002B7423">
              <w:rPr>
                <w:rFonts w:asciiTheme="minorHAnsi" w:hAnsiTheme="minorHAnsi" w:cstheme="minorHAnsi"/>
                <w:bCs/>
              </w:rPr>
              <w:t xml:space="preserve">Projektowana ustawa dalej pogłębia problem, gdyż przewiduje </w:t>
            </w:r>
            <w:proofErr w:type="gramStart"/>
            <w:r w:rsidRPr="002B7423">
              <w:rPr>
                <w:rFonts w:asciiTheme="minorHAnsi" w:hAnsiTheme="minorHAnsi" w:cstheme="minorHAnsi"/>
                <w:bCs/>
              </w:rPr>
              <w:t>przedłużenie  do</w:t>
            </w:r>
            <w:proofErr w:type="gramEnd"/>
            <w:r w:rsidRPr="002B7423">
              <w:rPr>
                <w:rFonts w:asciiTheme="minorHAnsi" w:hAnsiTheme="minorHAnsi" w:cstheme="minorHAnsi"/>
                <w:bCs/>
              </w:rPr>
              <w:t xml:space="preserve"> dnia 4 marca 202</w:t>
            </w:r>
            <w:r>
              <w:rPr>
                <w:rFonts w:asciiTheme="minorHAnsi" w:hAnsiTheme="minorHAnsi" w:cstheme="minorHAnsi"/>
                <w:bCs/>
              </w:rPr>
              <w:t>7</w:t>
            </w:r>
            <w:r w:rsidRPr="002B7423">
              <w:rPr>
                <w:rFonts w:asciiTheme="minorHAnsi" w:hAnsiTheme="minorHAnsi" w:cstheme="minorHAnsi"/>
                <w:bCs/>
              </w:rPr>
              <w:t xml:space="preserve"> r. zawieszenia biegu terminów na załatwienie spraw dotyczących udzielenia zezwoleń na pobyt.</w:t>
            </w:r>
          </w:p>
          <w:p w14:paraId="0626EB0A" w14:textId="30EE3A47" w:rsidR="002B7423" w:rsidRPr="002B7423" w:rsidRDefault="002B7423" w:rsidP="002B7423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2B7423">
              <w:rPr>
                <w:rFonts w:asciiTheme="minorHAnsi" w:hAnsiTheme="minorHAnsi" w:cstheme="minorHAnsi"/>
                <w:bCs/>
              </w:rPr>
              <w:t>W praktyce oznacza to odebranie cudzoziemcom środków prawnych służących przeciwdziałaniu bezczynności i przewlekłości postępowań, a także prawa do rozpoznania sprawy bez zbędnej zwłoki.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2B7423">
              <w:rPr>
                <w:rFonts w:asciiTheme="minorHAnsi" w:hAnsiTheme="minorHAnsi" w:cstheme="minorHAnsi"/>
                <w:bCs/>
              </w:rPr>
              <w:t xml:space="preserve">Przepis jest powszechnie interpretowany przez urzędy wojewódzkie w sposób rozszerzający – obejmuje wszystkich obywateli państw trzecich, niezależnie od tego, czy podlegają oni przepisom ustawy specjalnej. W rezultacie zawieszane są postępowania m.in. wobec obywateli Indii czy innych państw, które nie korzystają z </w:t>
            </w:r>
            <w:r w:rsidRPr="002B7423">
              <w:rPr>
                <w:rFonts w:asciiTheme="minorHAnsi" w:hAnsiTheme="minorHAnsi" w:cstheme="minorHAnsi"/>
                <w:bCs/>
              </w:rPr>
              <w:lastRenderedPageBreak/>
              <w:t>przewidzianych ustawą uprawnień. Przedłużenie okresu zawieszenia biegu terminów nie rozwiązuje problemu przewlekłości</w:t>
            </w:r>
            <w:r>
              <w:rPr>
                <w:rFonts w:asciiTheme="minorHAnsi" w:hAnsiTheme="minorHAnsi" w:cstheme="minorHAnsi"/>
                <w:bCs/>
              </w:rPr>
              <w:t xml:space="preserve"> postepowań i przeciążenia urzędów</w:t>
            </w:r>
            <w:r w:rsidRPr="002B7423">
              <w:rPr>
                <w:rFonts w:asciiTheme="minorHAnsi" w:hAnsiTheme="minorHAnsi" w:cstheme="minorHAnsi"/>
                <w:bCs/>
              </w:rPr>
              <w:t>, lecz go utrwala. Pogłębia bariery administracyjne, pozbawia cudzoziemców efektywnej ochrony prawnej.</w:t>
            </w:r>
          </w:p>
          <w:p w14:paraId="3B1FCDC7" w14:textId="1E13963B" w:rsidR="002B7423" w:rsidRDefault="002B7423" w:rsidP="002B7423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2B7423">
              <w:rPr>
                <w:rFonts w:asciiTheme="minorHAnsi" w:hAnsiTheme="minorHAnsi" w:cstheme="minorHAnsi"/>
                <w:bCs/>
              </w:rPr>
              <w:t>Apelujemy o rezygnację z proponowanego wydłużenia okresu zawieszenia biegu terminów i podjęcie działań zmierzających do usprawnienia postępowań legalizacyjnych.</w:t>
            </w:r>
          </w:p>
        </w:tc>
      </w:tr>
    </w:tbl>
    <w:p w14:paraId="475331DF" w14:textId="77777777" w:rsidR="004E1CD7" w:rsidRPr="004E1CD7" w:rsidRDefault="004E1CD7" w:rsidP="004E1CD7">
      <w:pPr>
        <w:pStyle w:val="Nagwek2"/>
        <w:rPr>
          <w:rFonts w:asciiTheme="minorHAnsi" w:hAnsiTheme="minorHAnsi" w:cstheme="minorHAnsi"/>
          <w:color w:val="auto"/>
        </w:rPr>
      </w:pPr>
    </w:p>
    <w:p w14:paraId="4724F4DE" w14:textId="24272586" w:rsidR="006541D3" w:rsidRPr="004E1CD7" w:rsidRDefault="006541D3" w:rsidP="006541D3">
      <w:pPr>
        <w:tabs>
          <w:tab w:val="left" w:pos="3880"/>
        </w:tabs>
        <w:rPr>
          <w:rFonts w:asciiTheme="minorHAnsi" w:hAnsiTheme="minorHAnsi" w:cstheme="minorHAnsi"/>
          <w:sz w:val="22"/>
          <w:szCs w:val="22"/>
        </w:rPr>
      </w:pPr>
    </w:p>
    <w:sectPr w:rsidR="006541D3" w:rsidRPr="004E1CD7" w:rsidSect="004E1CD7">
      <w:headerReference w:type="default" r:id="rId11"/>
      <w:footerReference w:type="default" r:id="rId12"/>
      <w:pgSz w:w="16838" w:h="11906" w:orient="landscape" w:code="9"/>
      <w:pgMar w:top="1560" w:right="851" w:bottom="1416" w:left="2269" w:header="0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2EB1B" w14:textId="77777777" w:rsidR="00AC3F00" w:rsidRDefault="00AC3F00">
      <w:r>
        <w:separator/>
      </w:r>
    </w:p>
  </w:endnote>
  <w:endnote w:type="continuationSeparator" w:id="0">
    <w:p w14:paraId="68F128D2" w14:textId="77777777" w:rsidR="00AC3F00" w:rsidRDefault="00AC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B0519" w14:textId="6D3EB3FC" w:rsidR="0060612F" w:rsidRDefault="0004011A" w:rsidP="0060612F">
    <w:pPr>
      <w:pStyle w:val="Stopka"/>
      <w:jc w:val="right"/>
    </w:pPr>
    <w:r>
      <w:rPr>
        <w:rFonts w:ascii="Arial" w:hAnsi="Arial" w:cs="Arial"/>
        <w:noProof/>
        <w:sz w:val="14"/>
        <w:szCs w:val="14"/>
      </w:rPr>
      <w:drawing>
        <wp:inline distT="0" distB="0" distL="0" distR="0" wp14:anchorId="198BB4A6" wp14:editId="1F9DFF93">
          <wp:extent cx="1915678" cy="196553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5058" cy="1985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F2A24">
      <w:rPr>
        <w:rFonts w:ascii="Arial" w:hAnsi="Arial" w:cs="Arial"/>
        <w:noProof/>
        <w:sz w:val="14"/>
        <w:szCs w:val="1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FE15F46" wp14:editId="6680652B">
              <wp:simplePos x="0" y="0"/>
              <wp:positionH relativeFrom="column">
                <wp:posOffset>539436</wp:posOffset>
              </wp:positionH>
              <wp:positionV relativeFrom="paragraph">
                <wp:posOffset>212442</wp:posOffset>
              </wp:positionV>
              <wp:extent cx="280028" cy="430040"/>
              <wp:effectExtent l="0" t="0" r="6350" b="8255"/>
              <wp:wrapNone/>
              <wp:docPr id="9" name="Grupa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0028" cy="430040"/>
                        <a:chOff x="0" y="0"/>
                        <a:chExt cx="280028" cy="430040"/>
                      </a:xfrm>
                    </wpg:grpSpPr>
                    <wps:wsp>
                      <wps:cNvPr id="6" name="Prostokąt 6"/>
                      <wps:cNvSpPr/>
                      <wps:spPr>
                        <a:xfrm>
                          <a:off x="140328" y="0"/>
                          <a:ext cx="139700" cy="42989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Prostokąt 8"/>
                      <wps:cNvSpPr/>
                      <wps:spPr>
                        <a:xfrm>
                          <a:off x="0" y="0"/>
                          <a:ext cx="140329" cy="430040"/>
                        </a:xfrm>
                        <a:prstGeom prst="rect">
                          <a:avLst/>
                        </a:prstGeom>
                        <a:solidFill>
                          <a:srgbClr val="33CC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E9F9C40" id="Grupa 9" o:spid="_x0000_s1026" style="position:absolute;margin-left:42.5pt;margin-top:16.75pt;width:22.05pt;height:33.85pt;z-index:251658240" coordsize="280028,430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">
              <v:rect id="Prostokąt 6" o:spid="_x0000_s1027" style="position:absolute;left:140328;width:139700;height:4298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" fillcolor="#002060" stroked="f" strokeweight="1pt"/>
              <v:rect id="Prostokąt 8" o:spid="_x0000_s1028" style="position:absolute;width:140329;height:430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" fillcolor="#3cc" stroked="f" strokeweight="1pt"/>
            </v:group>
          </w:pict>
        </mc:Fallback>
      </mc:AlternateContent>
    </w:r>
    <w:r w:rsidR="00BE60C1">
      <w:rPr>
        <w:rFonts w:ascii="Arial" w:hAnsi="Arial" w:cs="Arial"/>
        <w:noProof/>
        <w:sz w:val="14"/>
        <w:szCs w:val="14"/>
      </w:rPr>
      <w:drawing>
        <wp:inline distT="0" distB="0" distL="0" distR="0" wp14:anchorId="524F968E" wp14:editId="1F13CF6C">
          <wp:extent cx="1162050" cy="200025"/>
          <wp:effectExtent l="0" t="0" r="0" b="9525"/>
          <wp:docPr id="3" name="Obraz 1" descr="b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E60C1" w:rsidRPr="00435812">
      <w:t xml:space="preserve"> </w:t>
    </w:r>
  </w:p>
  <w:tbl>
    <w:tblPr>
      <w:tblStyle w:val="Tabela-Siatka"/>
      <w:tblW w:w="8221" w:type="dxa"/>
      <w:tblInd w:w="851" w:type="dxa"/>
      <w:tblBorders>
        <w:top w:val="single" w:sz="8" w:space="0" w:color="33CCC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31"/>
      <w:gridCol w:w="2013"/>
      <w:gridCol w:w="1984"/>
      <w:gridCol w:w="2693"/>
    </w:tblGrid>
    <w:tr w:rsidR="00FF2A24" w:rsidRPr="004712E5" w14:paraId="629EE18A" w14:textId="0DC4BD49" w:rsidTr="00FF2A24">
      <w:tc>
        <w:tcPr>
          <w:tcW w:w="1531" w:type="dxa"/>
        </w:tcPr>
        <w:p w14:paraId="58E0E44D" w14:textId="625A4EAD" w:rsidR="00FF2A24" w:rsidRPr="004712E5" w:rsidRDefault="00FF2A24" w:rsidP="004712E5">
          <w:pPr>
            <w:pStyle w:val="Stopka"/>
            <w:ind w:left="-109"/>
            <w:rPr>
              <w:rFonts w:ascii="Arial" w:hAnsi="Arial" w:cs="Arial"/>
              <w:color w:val="002060"/>
              <w:sz w:val="12"/>
              <w:szCs w:val="12"/>
            </w:rPr>
          </w:pPr>
        </w:p>
      </w:tc>
      <w:tc>
        <w:tcPr>
          <w:tcW w:w="2013" w:type="dxa"/>
        </w:tcPr>
        <w:p w14:paraId="6ADE66D7" w14:textId="69BEED8B" w:rsidR="00FF2A24" w:rsidRPr="00FF2A24" w:rsidRDefault="00FF2A24" w:rsidP="00ED378B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</w:p>
        <w:p w14:paraId="42F59872" w14:textId="5715655C" w:rsidR="00FF2A24" w:rsidRPr="00FF2A24" w:rsidRDefault="00FF2A24" w:rsidP="00ED378B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  <w:r w:rsidRPr="00FF2A24">
            <w:rPr>
              <w:rFonts w:ascii="Arial" w:hAnsi="Arial" w:cs="Arial"/>
              <w:color w:val="002060"/>
              <w:sz w:val="14"/>
              <w:szCs w:val="14"/>
            </w:rPr>
            <w:t>Konfederacja Lewiatan</w:t>
          </w:r>
        </w:p>
        <w:p w14:paraId="775C6AF8" w14:textId="60EDF8D8" w:rsidR="00FF2A24" w:rsidRPr="00FF2A24" w:rsidRDefault="00FF2A24" w:rsidP="00ED378B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  <w:r w:rsidRPr="00FF2A24">
            <w:rPr>
              <w:rFonts w:ascii="Arial" w:hAnsi="Arial" w:cs="Arial"/>
              <w:color w:val="002060"/>
              <w:sz w:val="14"/>
              <w:szCs w:val="14"/>
            </w:rPr>
            <w:t xml:space="preserve">ul. Zbyszka Cybulskiego </w:t>
          </w:r>
          <w:r w:rsidR="003E6833">
            <w:rPr>
              <w:rFonts w:ascii="Arial" w:hAnsi="Arial" w:cs="Arial"/>
              <w:color w:val="002060"/>
              <w:sz w:val="14"/>
              <w:szCs w:val="14"/>
            </w:rPr>
            <w:t>5</w:t>
          </w:r>
        </w:p>
        <w:p w14:paraId="267AE48F" w14:textId="77777777" w:rsidR="00FF2A24" w:rsidRDefault="00FF2A24" w:rsidP="00ED378B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  <w:r w:rsidRPr="00FF2A24">
            <w:rPr>
              <w:rFonts w:ascii="Arial" w:hAnsi="Arial" w:cs="Arial"/>
              <w:color w:val="002060"/>
              <w:sz w:val="14"/>
              <w:szCs w:val="14"/>
            </w:rPr>
            <w:t>00-727 Warszawa</w:t>
          </w:r>
        </w:p>
        <w:p w14:paraId="539F0EE6" w14:textId="77777777" w:rsidR="00C760D3" w:rsidRPr="00FF2A24" w:rsidRDefault="00C760D3" w:rsidP="00C760D3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  <w:r w:rsidRPr="00FF2A24">
            <w:rPr>
              <w:rFonts w:ascii="Arial" w:hAnsi="Arial" w:cs="Arial"/>
              <w:color w:val="002060"/>
              <w:sz w:val="14"/>
              <w:szCs w:val="14"/>
            </w:rPr>
            <w:t>tel. +48 22 55 99 900</w:t>
          </w:r>
        </w:p>
        <w:p w14:paraId="180B7C4D" w14:textId="77777777" w:rsidR="00C760D3" w:rsidRPr="00FF2A24" w:rsidRDefault="00C760D3" w:rsidP="00C760D3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  <w:hyperlink r:id="rId3" w:history="1">
            <w:r w:rsidRPr="00FF2A24">
              <w:rPr>
                <w:rStyle w:val="Hipercze"/>
                <w:rFonts w:ascii="Arial" w:hAnsi="Arial" w:cs="Arial"/>
                <w:color w:val="002060"/>
                <w:sz w:val="14"/>
                <w:szCs w:val="14"/>
                <w:u w:val="none"/>
              </w:rPr>
              <w:t>lewiatan@lewiatan.org</w:t>
            </w:r>
          </w:hyperlink>
        </w:p>
        <w:p w14:paraId="46A33F28" w14:textId="2576EEB5" w:rsidR="00C760D3" w:rsidRPr="00FF2A24" w:rsidRDefault="00C760D3" w:rsidP="00C760D3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  <w:r w:rsidRPr="00FF2A24">
            <w:rPr>
              <w:rFonts w:ascii="Arial" w:hAnsi="Arial" w:cs="Arial"/>
              <w:color w:val="002060"/>
              <w:sz w:val="14"/>
              <w:szCs w:val="14"/>
            </w:rPr>
            <w:t>www.lewiatan.org</w:t>
          </w:r>
        </w:p>
      </w:tc>
      <w:tc>
        <w:tcPr>
          <w:tcW w:w="1984" w:type="dxa"/>
        </w:tcPr>
        <w:p w14:paraId="63CDC183" w14:textId="2756F846" w:rsidR="00FF2A24" w:rsidRPr="00FF2A24" w:rsidRDefault="00FF2A24" w:rsidP="00ED378B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</w:p>
        <w:p w14:paraId="7FBAAB8F" w14:textId="1F93A50F" w:rsidR="00FF2A24" w:rsidRPr="00FF2A24" w:rsidRDefault="00C760D3" w:rsidP="00ED378B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  <w:proofErr w:type="spellStart"/>
          <w:r>
            <w:rPr>
              <w:rFonts w:ascii="Arial" w:hAnsi="Arial" w:cs="Arial"/>
              <w:color w:val="002060"/>
              <w:sz w:val="14"/>
              <w:szCs w:val="14"/>
            </w:rPr>
            <w:t>Polish</w:t>
          </w:r>
          <w:proofErr w:type="spellEnd"/>
          <w:r>
            <w:rPr>
              <w:rFonts w:ascii="Arial" w:hAnsi="Arial" w:cs="Arial"/>
              <w:color w:val="002060"/>
              <w:sz w:val="14"/>
              <w:szCs w:val="14"/>
            </w:rPr>
            <w:t xml:space="preserve"> </w:t>
          </w:r>
          <w:proofErr w:type="spellStart"/>
          <w:r>
            <w:rPr>
              <w:rFonts w:ascii="Arial" w:hAnsi="Arial" w:cs="Arial"/>
              <w:color w:val="002060"/>
              <w:sz w:val="14"/>
              <w:szCs w:val="14"/>
            </w:rPr>
            <w:t>Confederation</w:t>
          </w:r>
          <w:proofErr w:type="spellEnd"/>
          <w:r>
            <w:rPr>
              <w:rFonts w:ascii="Arial" w:hAnsi="Arial" w:cs="Arial"/>
              <w:color w:val="002060"/>
              <w:sz w:val="14"/>
              <w:szCs w:val="14"/>
            </w:rPr>
            <w:t xml:space="preserve"> Lewiatan</w:t>
          </w:r>
          <w:r>
            <w:rPr>
              <w:rFonts w:ascii="Arial" w:hAnsi="Arial" w:cs="Arial"/>
              <w:color w:val="002060"/>
              <w:sz w:val="14"/>
              <w:szCs w:val="14"/>
            </w:rPr>
            <w:br/>
          </w:r>
          <w:proofErr w:type="spellStart"/>
          <w:r>
            <w:rPr>
              <w:rFonts w:ascii="Arial" w:hAnsi="Arial" w:cs="Arial"/>
              <w:color w:val="002060"/>
              <w:sz w:val="14"/>
              <w:szCs w:val="14"/>
            </w:rPr>
            <w:t>Brussels</w:t>
          </w:r>
          <w:proofErr w:type="spellEnd"/>
          <w:r>
            <w:rPr>
              <w:rFonts w:ascii="Arial" w:hAnsi="Arial" w:cs="Arial"/>
              <w:color w:val="002060"/>
              <w:sz w:val="14"/>
              <w:szCs w:val="14"/>
            </w:rPr>
            <w:t xml:space="preserve"> Office</w:t>
          </w:r>
          <w:r>
            <w:rPr>
              <w:rFonts w:ascii="Arial" w:hAnsi="Arial" w:cs="Arial"/>
              <w:color w:val="002060"/>
              <w:sz w:val="14"/>
              <w:szCs w:val="14"/>
            </w:rPr>
            <w:br/>
          </w:r>
          <w:proofErr w:type="spellStart"/>
          <w:r>
            <w:rPr>
              <w:rFonts w:ascii="Arial" w:hAnsi="Arial" w:cs="Arial"/>
              <w:color w:val="002060"/>
              <w:sz w:val="14"/>
              <w:szCs w:val="14"/>
            </w:rPr>
            <w:t>Avenue</w:t>
          </w:r>
          <w:proofErr w:type="spellEnd"/>
          <w:r>
            <w:rPr>
              <w:rFonts w:ascii="Arial" w:hAnsi="Arial" w:cs="Arial"/>
              <w:color w:val="002060"/>
              <w:sz w:val="14"/>
              <w:szCs w:val="14"/>
            </w:rPr>
            <w:t xml:space="preserve"> de </w:t>
          </w:r>
          <w:proofErr w:type="spellStart"/>
          <w:r>
            <w:rPr>
              <w:rFonts w:ascii="Arial" w:hAnsi="Arial" w:cs="Arial"/>
              <w:color w:val="002060"/>
              <w:sz w:val="14"/>
              <w:szCs w:val="14"/>
            </w:rPr>
            <w:t>Cortenbergh</w:t>
          </w:r>
          <w:proofErr w:type="spellEnd"/>
          <w:r>
            <w:rPr>
              <w:rFonts w:ascii="Arial" w:hAnsi="Arial" w:cs="Arial"/>
              <w:color w:val="002060"/>
              <w:sz w:val="14"/>
              <w:szCs w:val="14"/>
            </w:rPr>
            <w:t xml:space="preserve"> 168</w:t>
          </w:r>
          <w:r>
            <w:rPr>
              <w:rFonts w:ascii="Arial" w:hAnsi="Arial" w:cs="Arial"/>
              <w:color w:val="002060"/>
              <w:sz w:val="14"/>
              <w:szCs w:val="14"/>
            </w:rPr>
            <w:br/>
            <w:t xml:space="preserve">tel. </w:t>
          </w:r>
          <w:r w:rsidR="000179CA" w:rsidRPr="000179CA">
            <w:rPr>
              <w:rFonts w:ascii="Arial" w:hAnsi="Arial" w:cs="Arial"/>
              <w:color w:val="002060"/>
              <w:sz w:val="14"/>
              <w:szCs w:val="14"/>
            </w:rPr>
            <w:t>+32 2 732 12 10</w:t>
          </w:r>
          <w:r>
            <w:rPr>
              <w:rFonts w:ascii="Arial" w:hAnsi="Arial" w:cs="Arial"/>
              <w:color w:val="002060"/>
              <w:sz w:val="14"/>
              <w:szCs w:val="14"/>
            </w:rPr>
            <w:t xml:space="preserve"> </w:t>
          </w:r>
        </w:p>
      </w:tc>
      <w:tc>
        <w:tcPr>
          <w:tcW w:w="2693" w:type="dxa"/>
        </w:tcPr>
        <w:p w14:paraId="0DFE6590" w14:textId="76FDCBFE" w:rsidR="00FF2A24" w:rsidRPr="00FF2A24" w:rsidRDefault="00FF2A24" w:rsidP="00ED5D7B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</w:p>
        <w:p w14:paraId="6FECCE42" w14:textId="02BE5412" w:rsidR="00FF2A24" w:rsidRPr="00FF2A24" w:rsidRDefault="00FF2A24" w:rsidP="00ED5D7B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  <w:r w:rsidRPr="00FF2A24">
            <w:rPr>
              <w:rFonts w:ascii="Arial" w:hAnsi="Arial" w:cs="Arial"/>
              <w:color w:val="002060"/>
              <w:sz w:val="14"/>
              <w:szCs w:val="14"/>
            </w:rPr>
            <w:t>NIP 5262353400</w:t>
          </w:r>
        </w:p>
        <w:p w14:paraId="6AB1ADBD" w14:textId="77777777" w:rsidR="00FF2A24" w:rsidRPr="00FF2A24" w:rsidRDefault="00FF2A24" w:rsidP="00ED5D7B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  <w:r w:rsidRPr="00FF2A24">
            <w:rPr>
              <w:rFonts w:ascii="Arial" w:hAnsi="Arial" w:cs="Arial"/>
              <w:color w:val="002060"/>
              <w:sz w:val="14"/>
              <w:szCs w:val="14"/>
            </w:rPr>
            <w:t>KRS 0000053779</w:t>
          </w:r>
        </w:p>
        <w:p w14:paraId="3D631DED" w14:textId="77777777" w:rsidR="00FF2A24" w:rsidRPr="00FF2A24" w:rsidRDefault="00FF2A24" w:rsidP="00ED5D7B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  <w:r w:rsidRPr="00FF2A24">
            <w:rPr>
              <w:rFonts w:ascii="Arial" w:hAnsi="Arial" w:cs="Arial"/>
              <w:color w:val="002060"/>
              <w:sz w:val="14"/>
              <w:szCs w:val="14"/>
            </w:rPr>
            <w:t>Sąd Rejonowy dla</w:t>
          </w:r>
        </w:p>
        <w:p w14:paraId="3E9E869C" w14:textId="1E7FE704" w:rsidR="00FF2A24" w:rsidRPr="00FF2A24" w:rsidRDefault="00FF2A24" w:rsidP="00ED5D7B">
          <w:pPr>
            <w:pStyle w:val="Stopka"/>
            <w:rPr>
              <w:rFonts w:ascii="Arial" w:hAnsi="Arial" w:cs="Arial"/>
              <w:color w:val="002060"/>
              <w:sz w:val="14"/>
              <w:szCs w:val="14"/>
            </w:rPr>
          </w:pPr>
          <w:r w:rsidRPr="00FF2A24">
            <w:rPr>
              <w:rFonts w:ascii="Arial" w:hAnsi="Arial" w:cs="Arial"/>
              <w:color w:val="002060"/>
              <w:sz w:val="14"/>
              <w:szCs w:val="14"/>
            </w:rPr>
            <w:t>m. st. Warszawy w Warszawie XIII Wydział Gospodarczy</w:t>
          </w:r>
        </w:p>
      </w:tc>
    </w:tr>
  </w:tbl>
  <w:p w14:paraId="215235F3" w14:textId="520302FA" w:rsidR="00ED378B" w:rsidRPr="00ED378B" w:rsidRDefault="00ED378B" w:rsidP="00ED378B">
    <w:pPr>
      <w:pStyle w:val="Stopka"/>
      <w:ind w:left="851"/>
      <w:rPr>
        <w:rFonts w:ascii="Arial" w:hAnsi="Arial" w:cs="Arial"/>
        <w:color w:val="002060"/>
        <w:sz w:val="20"/>
        <w:szCs w:val="20"/>
      </w:rPr>
    </w:pPr>
  </w:p>
  <w:p w14:paraId="200F82CD" w14:textId="6BB7ED1B" w:rsidR="0060612F" w:rsidRPr="00FF2A24" w:rsidRDefault="00BE60C1" w:rsidP="0060612F">
    <w:pPr>
      <w:jc w:val="right"/>
      <w:rPr>
        <w:rFonts w:ascii="Arial" w:hAnsi="Arial" w:cs="Arial"/>
        <w:noProof/>
        <w:sz w:val="20"/>
        <w:szCs w:val="20"/>
      </w:rPr>
    </w:pPr>
    <w:r w:rsidRPr="00FF2A24">
      <w:rPr>
        <w:rFonts w:ascii="Arial" w:hAnsi="Arial" w:cs="Arial"/>
        <w:noProof/>
        <w:sz w:val="20"/>
        <w:szCs w:val="20"/>
      </w:rPr>
      <w:t xml:space="preserve"> </w:t>
    </w:r>
    <w:r w:rsidRPr="00FF2A24">
      <w:rPr>
        <w:rFonts w:ascii="Arial" w:hAnsi="Arial" w:cs="Arial"/>
        <w:sz w:val="20"/>
        <w:szCs w:val="20"/>
      </w:rPr>
      <w:t xml:space="preserve"> - </w:t>
    </w:r>
    <w:r w:rsidRPr="00FF2A24">
      <w:rPr>
        <w:rFonts w:ascii="Arial" w:hAnsi="Arial" w:cs="Arial"/>
        <w:color w:val="002060"/>
        <w:sz w:val="20"/>
        <w:szCs w:val="20"/>
      </w:rPr>
      <w:fldChar w:fldCharType="begin"/>
    </w:r>
    <w:r w:rsidRPr="00FF2A24">
      <w:rPr>
        <w:rFonts w:ascii="Arial" w:hAnsi="Arial" w:cs="Arial"/>
        <w:color w:val="002060"/>
        <w:sz w:val="20"/>
        <w:szCs w:val="20"/>
      </w:rPr>
      <w:instrText xml:space="preserve"> PAGE   \* MERGEFORMAT </w:instrText>
    </w:r>
    <w:r w:rsidRPr="00FF2A24">
      <w:rPr>
        <w:rFonts w:ascii="Arial" w:hAnsi="Arial" w:cs="Arial"/>
        <w:color w:val="002060"/>
        <w:sz w:val="20"/>
        <w:szCs w:val="20"/>
      </w:rPr>
      <w:fldChar w:fldCharType="separate"/>
    </w:r>
    <w:r w:rsidR="004549B1" w:rsidRPr="00FF2A24">
      <w:rPr>
        <w:rFonts w:ascii="Arial" w:hAnsi="Arial" w:cs="Arial"/>
        <w:noProof/>
        <w:color w:val="002060"/>
        <w:sz w:val="20"/>
        <w:szCs w:val="20"/>
      </w:rPr>
      <w:t>3</w:t>
    </w:r>
    <w:r w:rsidRPr="00FF2A24">
      <w:rPr>
        <w:rFonts w:ascii="Arial" w:hAnsi="Arial" w:cs="Arial"/>
        <w:color w:val="002060"/>
        <w:sz w:val="20"/>
        <w:szCs w:val="20"/>
      </w:rPr>
      <w:fldChar w:fldCharType="end"/>
    </w:r>
    <w:r w:rsidRPr="00FF2A24">
      <w:rPr>
        <w:rFonts w:ascii="Arial" w:hAnsi="Arial" w:cs="Arial"/>
        <w:noProof/>
        <w:color w:val="002060"/>
        <w:sz w:val="20"/>
        <w:szCs w:val="20"/>
      </w:rPr>
      <w:t xml:space="preserve"> - </w:t>
    </w:r>
  </w:p>
  <w:p w14:paraId="0E19A98C" w14:textId="77777777" w:rsidR="0060612F" w:rsidRPr="008D5B7E" w:rsidRDefault="0060612F" w:rsidP="0060612F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36641" w14:textId="77777777" w:rsidR="00AC3F00" w:rsidRDefault="00AC3F00">
      <w:r>
        <w:separator/>
      </w:r>
    </w:p>
  </w:footnote>
  <w:footnote w:type="continuationSeparator" w:id="0">
    <w:p w14:paraId="679F6C50" w14:textId="77777777" w:rsidR="00AC3F00" w:rsidRDefault="00AC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C3727" w14:textId="77777777" w:rsidR="0060612F" w:rsidRDefault="0060612F" w:rsidP="0060612F">
    <w:pPr>
      <w:pStyle w:val="Nagwek"/>
      <w:tabs>
        <w:tab w:val="clear" w:pos="4536"/>
        <w:tab w:val="clear" w:pos="9072"/>
        <w:tab w:val="right" w:pos="10686"/>
      </w:tabs>
      <w:ind w:right="-140" w:hanging="142"/>
    </w:pPr>
  </w:p>
  <w:p w14:paraId="660CA8F5" w14:textId="77777777" w:rsidR="0060612F" w:rsidRDefault="0060612F" w:rsidP="0060612F">
    <w:pPr>
      <w:pStyle w:val="Nagwek"/>
      <w:tabs>
        <w:tab w:val="clear" w:pos="4536"/>
        <w:tab w:val="clear" w:pos="9072"/>
        <w:tab w:val="right" w:pos="10686"/>
      </w:tabs>
      <w:ind w:right="-140" w:hanging="142"/>
    </w:pPr>
  </w:p>
  <w:tbl>
    <w:tblPr>
      <w:tblW w:w="9639" w:type="dxa"/>
      <w:tblBorders>
        <w:bottom w:val="single" w:sz="8" w:space="0" w:color="00B0F0"/>
      </w:tblBorders>
      <w:tblLook w:val="00A0" w:firstRow="1" w:lastRow="0" w:firstColumn="1" w:lastColumn="0" w:noHBand="0" w:noVBand="0"/>
    </w:tblPr>
    <w:tblGrid>
      <w:gridCol w:w="4675"/>
      <w:gridCol w:w="4964"/>
    </w:tblGrid>
    <w:tr w:rsidR="0060612F" w14:paraId="3A2341B1" w14:textId="77777777" w:rsidTr="0060612F">
      <w:tc>
        <w:tcPr>
          <w:tcW w:w="3618" w:type="dxa"/>
          <w:tcBorders>
            <w:bottom w:val="nil"/>
          </w:tcBorders>
        </w:tcPr>
        <w:p w14:paraId="0EBABE63" w14:textId="43EF49B1" w:rsidR="0060612F" w:rsidRDefault="00393FF7" w:rsidP="008E4354">
          <w:pPr>
            <w:pStyle w:val="Nagwek"/>
            <w:tabs>
              <w:tab w:val="clear" w:pos="4536"/>
              <w:tab w:val="clear" w:pos="9072"/>
              <w:tab w:val="right" w:pos="10686"/>
            </w:tabs>
            <w:ind w:left="709" w:right="-140"/>
          </w:pPr>
          <w:r>
            <w:rPr>
              <w:noProof/>
            </w:rPr>
            <w:drawing>
              <wp:inline distT="0" distB="0" distL="0" distR="0" wp14:anchorId="4DEADC26" wp14:editId="72A12A8F">
                <wp:extent cx="2381250" cy="952500"/>
                <wp:effectExtent l="0" t="0" r="0" b="0"/>
                <wp:docPr id="1969145370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9145370" name="Obraz 196914537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0" cy="95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21" w:type="dxa"/>
          <w:tcBorders>
            <w:bottom w:val="nil"/>
          </w:tcBorders>
        </w:tcPr>
        <w:p w14:paraId="2D26875A" w14:textId="77777777" w:rsidR="0060612F" w:rsidRDefault="0060612F" w:rsidP="0060612F">
          <w:pPr>
            <w:pStyle w:val="Nagwek"/>
            <w:tabs>
              <w:tab w:val="clear" w:pos="4536"/>
              <w:tab w:val="clear" w:pos="9072"/>
              <w:tab w:val="right" w:pos="10686"/>
            </w:tabs>
            <w:ind w:right="-140"/>
            <w:jc w:val="right"/>
          </w:pPr>
        </w:p>
      </w:tc>
    </w:tr>
  </w:tbl>
  <w:p w14:paraId="759BED67" w14:textId="77777777" w:rsidR="0060612F" w:rsidRPr="00C80C61" w:rsidRDefault="0060612F" w:rsidP="0060612F">
    <w:pPr>
      <w:pStyle w:val="Nagwek"/>
      <w:tabs>
        <w:tab w:val="clear" w:pos="4536"/>
        <w:tab w:val="clear" w:pos="9072"/>
        <w:tab w:val="right" w:pos="10686"/>
      </w:tabs>
      <w:ind w:right="-140"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C3E7B"/>
    <w:multiLevelType w:val="hybridMultilevel"/>
    <w:tmpl w:val="2E9EAD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F60E8"/>
    <w:multiLevelType w:val="hybridMultilevel"/>
    <w:tmpl w:val="0B7C188C"/>
    <w:lvl w:ilvl="0" w:tplc="B846CA3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38570C5"/>
    <w:multiLevelType w:val="hybridMultilevel"/>
    <w:tmpl w:val="A80442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24EC5"/>
    <w:multiLevelType w:val="hybridMultilevel"/>
    <w:tmpl w:val="A72A7F22"/>
    <w:lvl w:ilvl="0" w:tplc="EC2C0DC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C5A29"/>
    <w:multiLevelType w:val="hybridMultilevel"/>
    <w:tmpl w:val="53821FA2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D8B792E"/>
    <w:multiLevelType w:val="hybridMultilevel"/>
    <w:tmpl w:val="A246091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2FAD4026"/>
    <w:multiLevelType w:val="hybridMultilevel"/>
    <w:tmpl w:val="094C0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54C3E"/>
    <w:multiLevelType w:val="hybridMultilevel"/>
    <w:tmpl w:val="4E3266CC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EE2367A"/>
    <w:multiLevelType w:val="hybridMultilevel"/>
    <w:tmpl w:val="5E4E620E"/>
    <w:lvl w:ilvl="0" w:tplc="B1FEE3D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AA5E76"/>
    <w:multiLevelType w:val="hybridMultilevel"/>
    <w:tmpl w:val="60CCDF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1545F"/>
    <w:multiLevelType w:val="hybridMultilevel"/>
    <w:tmpl w:val="094C0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1C71A7"/>
    <w:multiLevelType w:val="hybridMultilevel"/>
    <w:tmpl w:val="CFC429E6"/>
    <w:lvl w:ilvl="0" w:tplc="BF746A72">
      <w:numFmt w:val="bullet"/>
      <w:lvlText w:val="•"/>
      <w:lvlJc w:val="left"/>
      <w:pPr>
        <w:ind w:left="2856" w:hanging="720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06D3C60"/>
    <w:multiLevelType w:val="hybridMultilevel"/>
    <w:tmpl w:val="5948A0EC"/>
    <w:lvl w:ilvl="0" w:tplc="8E0AA9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2060"/>
        <w:sz w:val="24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B404F4"/>
    <w:multiLevelType w:val="hybridMultilevel"/>
    <w:tmpl w:val="7C90FC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CE29AE4">
      <w:numFmt w:val="decimal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36F9E"/>
    <w:multiLevelType w:val="hybridMultilevel"/>
    <w:tmpl w:val="F4D89BDA"/>
    <w:lvl w:ilvl="0" w:tplc="C6E24C1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0367A8"/>
    <w:multiLevelType w:val="hybridMultilevel"/>
    <w:tmpl w:val="69B0018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5CD3480E"/>
    <w:multiLevelType w:val="hybridMultilevel"/>
    <w:tmpl w:val="FAAC3F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0AF5AA9"/>
    <w:multiLevelType w:val="hybridMultilevel"/>
    <w:tmpl w:val="B1CC6FD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36D10F7"/>
    <w:multiLevelType w:val="hybridMultilevel"/>
    <w:tmpl w:val="6446278E"/>
    <w:lvl w:ilvl="0" w:tplc="E9DE7942">
      <w:start w:val="1"/>
      <w:numFmt w:val="decimal"/>
      <w:lvlText w:val="%1."/>
      <w:lvlJc w:val="left"/>
      <w:pPr>
        <w:ind w:left="785" w:hanging="360"/>
      </w:pPr>
      <w:rPr>
        <w:b/>
        <w:bCs/>
      </w:rPr>
    </w:lvl>
    <w:lvl w:ilvl="1" w:tplc="BCE29A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917713"/>
    <w:multiLevelType w:val="hybridMultilevel"/>
    <w:tmpl w:val="4CB643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307F16"/>
    <w:multiLevelType w:val="hybridMultilevel"/>
    <w:tmpl w:val="5D18B8B8"/>
    <w:lvl w:ilvl="0" w:tplc="416EAD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11162A"/>
    <w:multiLevelType w:val="hybridMultilevel"/>
    <w:tmpl w:val="1602BD68"/>
    <w:lvl w:ilvl="0" w:tplc="BF746A72">
      <w:numFmt w:val="bullet"/>
      <w:lvlText w:val="•"/>
      <w:lvlJc w:val="left"/>
      <w:pPr>
        <w:ind w:left="2136" w:hanging="72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919241449">
    <w:abstractNumId w:val="1"/>
  </w:num>
  <w:num w:numId="2" w16cid:durableId="21451986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9279019">
    <w:abstractNumId w:val="2"/>
  </w:num>
  <w:num w:numId="4" w16cid:durableId="998074168">
    <w:abstractNumId w:val="18"/>
  </w:num>
  <w:num w:numId="5" w16cid:durableId="1353917381">
    <w:abstractNumId w:val="13"/>
  </w:num>
  <w:num w:numId="6" w16cid:durableId="679043330">
    <w:abstractNumId w:val="18"/>
  </w:num>
  <w:num w:numId="7" w16cid:durableId="689063861">
    <w:abstractNumId w:val="12"/>
  </w:num>
  <w:num w:numId="8" w16cid:durableId="26485060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2021084177">
    <w:abstractNumId w:val="6"/>
  </w:num>
  <w:num w:numId="10" w16cid:durableId="121652604">
    <w:abstractNumId w:val="16"/>
  </w:num>
  <w:num w:numId="11" w16cid:durableId="696276798">
    <w:abstractNumId w:val="17"/>
  </w:num>
  <w:num w:numId="12" w16cid:durableId="1752316151">
    <w:abstractNumId w:val="5"/>
  </w:num>
  <w:num w:numId="13" w16cid:durableId="980500443">
    <w:abstractNumId w:val="4"/>
  </w:num>
  <w:num w:numId="14" w16cid:durableId="693460452">
    <w:abstractNumId w:val="15"/>
  </w:num>
  <w:num w:numId="15" w16cid:durableId="573662002">
    <w:abstractNumId w:val="7"/>
  </w:num>
  <w:num w:numId="16" w16cid:durableId="1180463419">
    <w:abstractNumId w:val="3"/>
  </w:num>
  <w:num w:numId="17" w16cid:durableId="1187981394">
    <w:abstractNumId w:val="0"/>
  </w:num>
  <w:num w:numId="18" w16cid:durableId="100761048">
    <w:abstractNumId w:val="9"/>
  </w:num>
  <w:num w:numId="19" w16cid:durableId="699935421">
    <w:abstractNumId w:val="21"/>
  </w:num>
  <w:num w:numId="20" w16cid:durableId="1338539947">
    <w:abstractNumId w:val="11"/>
  </w:num>
  <w:num w:numId="21" w16cid:durableId="1990474215">
    <w:abstractNumId w:val="20"/>
  </w:num>
  <w:num w:numId="22" w16cid:durableId="1251238549">
    <w:abstractNumId w:val="8"/>
  </w:num>
  <w:num w:numId="23" w16cid:durableId="1298334394">
    <w:abstractNumId w:val="14"/>
  </w:num>
  <w:num w:numId="24" w16cid:durableId="483358189">
    <w:abstractNumId w:val="14"/>
  </w:num>
  <w:num w:numId="25" w16cid:durableId="1376387977">
    <w:abstractNumId w:val="14"/>
  </w:num>
  <w:num w:numId="26" w16cid:durableId="19690424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0C1"/>
    <w:rsid w:val="0000093D"/>
    <w:rsid w:val="00002014"/>
    <w:rsid w:val="00006A23"/>
    <w:rsid w:val="00006D5A"/>
    <w:rsid w:val="000112C5"/>
    <w:rsid w:val="00013450"/>
    <w:rsid w:val="000140B7"/>
    <w:rsid w:val="00016431"/>
    <w:rsid w:val="00016653"/>
    <w:rsid w:val="000179CA"/>
    <w:rsid w:val="0002044F"/>
    <w:rsid w:val="00022310"/>
    <w:rsid w:val="0002465C"/>
    <w:rsid w:val="00025ED1"/>
    <w:rsid w:val="000267E8"/>
    <w:rsid w:val="0003089F"/>
    <w:rsid w:val="00032283"/>
    <w:rsid w:val="00033CFC"/>
    <w:rsid w:val="00035648"/>
    <w:rsid w:val="00037BA9"/>
    <w:rsid w:val="0004011A"/>
    <w:rsid w:val="00043BF9"/>
    <w:rsid w:val="0004417D"/>
    <w:rsid w:val="00044BA2"/>
    <w:rsid w:val="000522D5"/>
    <w:rsid w:val="000545F5"/>
    <w:rsid w:val="00055B45"/>
    <w:rsid w:val="00060C8B"/>
    <w:rsid w:val="00060F39"/>
    <w:rsid w:val="000631DF"/>
    <w:rsid w:val="00064074"/>
    <w:rsid w:val="0006525F"/>
    <w:rsid w:val="000655DE"/>
    <w:rsid w:val="000662FD"/>
    <w:rsid w:val="00072051"/>
    <w:rsid w:val="00075218"/>
    <w:rsid w:val="00080FA0"/>
    <w:rsid w:val="0008392D"/>
    <w:rsid w:val="0008501E"/>
    <w:rsid w:val="000874E5"/>
    <w:rsid w:val="00090BE3"/>
    <w:rsid w:val="000927D2"/>
    <w:rsid w:val="00092E25"/>
    <w:rsid w:val="00094BCF"/>
    <w:rsid w:val="000A0222"/>
    <w:rsid w:val="000A0A10"/>
    <w:rsid w:val="000A3A88"/>
    <w:rsid w:val="000A468E"/>
    <w:rsid w:val="000A6F05"/>
    <w:rsid w:val="000B293A"/>
    <w:rsid w:val="000B4AC8"/>
    <w:rsid w:val="000B4DEB"/>
    <w:rsid w:val="000B50D2"/>
    <w:rsid w:val="000B766E"/>
    <w:rsid w:val="000C278E"/>
    <w:rsid w:val="000C53AB"/>
    <w:rsid w:val="000C664E"/>
    <w:rsid w:val="000D2443"/>
    <w:rsid w:val="000D2621"/>
    <w:rsid w:val="000D5E9A"/>
    <w:rsid w:val="000E1DD1"/>
    <w:rsid w:val="000E217F"/>
    <w:rsid w:val="000E41D4"/>
    <w:rsid w:val="000E6523"/>
    <w:rsid w:val="000E7059"/>
    <w:rsid w:val="000F1A6A"/>
    <w:rsid w:val="000F29CB"/>
    <w:rsid w:val="000F3690"/>
    <w:rsid w:val="000F6064"/>
    <w:rsid w:val="00100BA7"/>
    <w:rsid w:val="0010155C"/>
    <w:rsid w:val="00102850"/>
    <w:rsid w:val="00104D93"/>
    <w:rsid w:val="001133EE"/>
    <w:rsid w:val="001133FE"/>
    <w:rsid w:val="00113938"/>
    <w:rsid w:val="00113ECA"/>
    <w:rsid w:val="0011500D"/>
    <w:rsid w:val="001155BC"/>
    <w:rsid w:val="00117A08"/>
    <w:rsid w:val="00122401"/>
    <w:rsid w:val="001312D5"/>
    <w:rsid w:val="001315AF"/>
    <w:rsid w:val="001329AF"/>
    <w:rsid w:val="00134FB0"/>
    <w:rsid w:val="00135004"/>
    <w:rsid w:val="001439F2"/>
    <w:rsid w:val="0014577D"/>
    <w:rsid w:val="001459AC"/>
    <w:rsid w:val="0014709A"/>
    <w:rsid w:val="00150128"/>
    <w:rsid w:val="00151626"/>
    <w:rsid w:val="001548A3"/>
    <w:rsid w:val="00161264"/>
    <w:rsid w:val="00161DEB"/>
    <w:rsid w:val="00163815"/>
    <w:rsid w:val="00165EA3"/>
    <w:rsid w:val="0016797B"/>
    <w:rsid w:val="00167CF0"/>
    <w:rsid w:val="001730F6"/>
    <w:rsid w:val="0017445D"/>
    <w:rsid w:val="00175746"/>
    <w:rsid w:val="00183681"/>
    <w:rsid w:val="00187E29"/>
    <w:rsid w:val="00190621"/>
    <w:rsid w:val="00190714"/>
    <w:rsid w:val="00191BFD"/>
    <w:rsid w:val="001927D1"/>
    <w:rsid w:val="00192C78"/>
    <w:rsid w:val="001943EE"/>
    <w:rsid w:val="00194F4E"/>
    <w:rsid w:val="00195686"/>
    <w:rsid w:val="00195E89"/>
    <w:rsid w:val="001A0194"/>
    <w:rsid w:val="001A27EE"/>
    <w:rsid w:val="001A316F"/>
    <w:rsid w:val="001A66D6"/>
    <w:rsid w:val="001A6D4E"/>
    <w:rsid w:val="001A7CCD"/>
    <w:rsid w:val="001B0341"/>
    <w:rsid w:val="001B27A0"/>
    <w:rsid w:val="001B4EDE"/>
    <w:rsid w:val="001B5EF8"/>
    <w:rsid w:val="001B6EFB"/>
    <w:rsid w:val="001B7DE8"/>
    <w:rsid w:val="001C11C6"/>
    <w:rsid w:val="001C1D54"/>
    <w:rsid w:val="001C2376"/>
    <w:rsid w:val="001C5917"/>
    <w:rsid w:val="001C6E50"/>
    <w:rsid w:val="001C7EA2"/>
    <w:rsid w:val="001D2EE1"/>
    <w:rsid w:val="001E30B2"/>
    <w:rsid w:val="001E38F9"/>
    <w:rsid w:val="001E79BB"/>
    <w:rsid w:val="001F013B"/>
    <w:rsid w:val="001F2620"/>
    <w:rsid w:val="001F478E"/>
    <w:rsid w:val="001F4F8A"/>
    <w:rsid w:val="001F592E"/>
    <w:rsid w:val="001F7105"/>
    <w:rsid w:val="0020064A"/>
    <w:rsid w:val="002007E1"/>
    <w:rsid w:val="00201E8A"/>
    <w:rsid w:val="002027E6"/>
    <w:rsid w:val="00203228"/>
    <w:rsid w:val="002069A8"/>
    <w:rsid w:val="00215836"/>
    <w:rsid w:val="0021602F"/>
    <w:rsid w:val="0021756C"/>
    <w:rsid w:val="00221CAF"/>
    <w:rsid w:val="00222354"/>
    <w:rsid w:val="00222443"/>
    <w:rsid w:val="00227A64"/>
    <w:rsid w:val="00231E75"/>
    <w:rsid w:val="00234CBE"/>
    <w:rsid w:val="002359B9"/>
    <w:rsid w:val="00237175"/>
    <w:rsid w:val="0024034F"/>
    <w:rsid w:val="00240594"/>
    <w:rsid w:val="00241014"/>
    <w:rsid w:val="0024235E"/>
    <w:rsid w:val="00254273"/>
    <w:rsid w:val="00254C66"/>
    <w:rsid w:val="00264DB9"/>
    <w:rsid w:val="00264ED5"/>
    <w:rsid w:val="0026554C"/>
    <w:rsid w:val="002659ED"/>
    <w:rsid w:val="00267282"/>
    <w:rsid w:val="00267303"/>
    <w:rsid w:val="002725D2"/>
    <w:rsid w:val="00274AE9"/>
    <w:rsid w:val="00280208"/>
    <w:rsid w:val="00281E39"/>
    <w:rsid w:val="0028239D"/>
    <w:rsid w:val="00282E99"/>
    <w:rsid w:val="00283F50"/>
    <w:rsid w:val="00285A14"/>
    <w:rsid w:val="00291303"/>
    <w:rsid w:val="00293DE3"/>
    <w:rsid w:val="00295196"/>
    <w:rsid w:val="00296E73"/>
    <w:rsid w:val="002A023E"/>
    <w:rsid w:val="002A17F8"/>
    <w:rsid w:val="002A2F8D"/>
    <w:rsid w:val="002A3573"/>
    <w:rsid w:val="002A3686"/>
    <w:rsid w:val="002A4543"/>
    <w:rsid w:val="002A4637"/>
    <w:rsid w:val="002A47FB"/>
    <w:rsid w:val="002A5C03"/>
    <w:rsid w:val="002A60FD"/>
    <w:rsid w:val="002B0AC8"/>
    <w:rsid w:val="002B0B2D"/>
    <w:rsid w:val="002B0B9B"/>
    <w:rsid w:val="002B1A6D"/>
    <w:rsid w:val="002B23BC"/>
    <w:rsid w:val="002B4900"/>
    <w:rsid w:val="002B49FE"/>
    <w:rsid w:val="002B4CCB"/>
    <w:rsid w:val="002B71F8"/>
    <w:rsid w:val="002B7423"/>
    <w:rsid w:val="002B78EF"/>
    <w:rsid w:val="002C1E34"/>
    <w:rsid w:val="002D237B"/>
    <w:rsid w:val="002D4CB9"/>
    <w:rsid w:val="002D4E5F"/>
    <w:rsid w:val="002D7247"/>
    <w:rsid w:val="002E4EC5"/>
    <w:rsid w:val="002E53C5"/>
    <w:rsid w:val="002E6769"/>
    <w:rsid w:val="002E698D"/>
    <w:rsid w:val="002F1646"/>
    <w:rsid w:val="002F77F7"/>
    <w:rsid w:val="003026CA"/>
    <w:rsid w:val="003039C5"/>
    <w:rsid w:val="00303D5A"/>
    <w:rsid w:val="00307F9E"/>
    <w:rsid w:val="003150EB"/>
    <w:rsid w:val="00315FB4"/>
    <w:rsid w:val="00316547"/>
    <w:rsid w:val="00323CF6"/>
    <w:rsid w:val="00324098"/>
    <w:rsid w:val="003245EE"/>
    <w:rsid w:val="0032492D"/>
    <w:rsid w:val="003338E5"/>
    <w:rsid w:val="00334FF0"/>
    <w:rsid w:val="00335240"/>
    <w:rsid w:val="003370C1"/>
    <w:rsid w:val="003426A4"/>
    <w:rsid w:val="0034365D"/>
    <w:rsid w:val="00343F2B"/>
    <w:rsid w:val="00344996"/>
    <w:rsid w:val="0035062B"/>
    <w:rsid w:val="00354544"/>
    <w:rsid w:val="00360F0D"/>
    <w:rsid w:val="0036100A"/>
    <w:rsid w:val="00364112"/>
    <w:rsid w:val="00364852"/>
    <w:rsid w:val="003651E8"/>
    <w:rsid w:val="00367E9B"/>
    <w:rsid w:val="0037060A"/>
    <w:rsid w:val="0037255E"/>
    <w:rsid w:val="00374FEA"/>
    <w:rsid w:val="00376395"/>
    <w:rsid w:val="0037748E"/>
    <w:rsid w:val="00377C1D"/>
    <w:rsid w:val="00383499"/>
    <w:rsid w:val="00384AD8"/>
    <w:rsid w:val="00385B72"/>
    <w:rsid w:val="00385CDE"/>
    <w:rsid w:val="003861A5"/>
    <w:rsid w:val="0039112E"/>
    <w:rsid w:val="0039332D"/>
    <w:rsid w:val="003933A4"/>
    <w:rsid w:val="00393FF7"/>
    <w:rsid w:val="00394691"/>
    <w:rsid w:val="003973FC"/>
    <w:rsid w:val="003A101B"/>
    <w:rsid w:val="003A1F57"/>
    <w:rsid w:val="003A317E"/>
    <w:rsid w:val="003B0341"/>
    <w:rsid w:val="003B049B"/>
    <w:rsid w:val="003B1737"/>
    <w:rsid w:val="003B61D0"/>
    <w:rsid w:val="003B7780"/>
    <w:rsid w:val="003C0A17"/>
    <w:rsid w:val="003C4489"/>
    <w:rsid w:val="003D01BA"/>
    <w:rsid w:val="003D0306"/>
    <w:rsid w:val="003D201B"/>
    <w:rsid w:val="003D20E4"/>
    <w:rsid w:val="003D7450"/>
    <w:rsid w:val="003E06A2"/>
    <w:rsid w:val="003E6833"/>
    <w:rsid w:val="003E78C7"/>
    <w:rsid w:val="003E7D70"/>
    <w:rsid w:val="003F3162"/>
    <w:rsid w:val="003F5B7C"/>
    <w:rsid w:val="00401016"/>
    <w:rsid w:val="00401266"/>
    <w:rsid w:val="00401612"/>
    <w:rsid w:val="00402725"/>
    <w:rsid w:val="00405762"/>
    <w:rsid w:val="00406A07"/>
    <w:rsid w:val="004072C6"/>
    <w:rsid w:val="00407FB7"/>
    <w:rsid w:val="004101B8"/>
    <w:rsid w:val="00410C85"/>
    <w:rsid w:val="00412C84"/>
    <w:rsid w:val="00412DD0"/>
    <w:rsid w:val="00413F18"/>
    <w:rsid w:val="00416E52"/>
    <w:rsid w:val="00423314"/>
    <w:rsid w:val="00431E8D"/>
    <w:rsid w:val="004323FD"/>
    <w:rsid w:val="00432409"/>
    <w:rsid w:val="00436807"/>
    <w:rsid w:val="00441C4C"/>
    <w:rsid w:val="00442A69"/>
    <w:rsid w:val="00446197"/>
    <w:rsid w:val="004511C0"/>
    <w:rsid w:val="00451BC5"/>
    <w:rsid w:val="004526F6"/>
    <w:rsid w:val="0045483D"/>
    <w:rsid w:val="004549B1"/>
    <w:rsid w:val="00454FEA"/>
    <w:rsid w:val="00455620"/>
    <w:rsid w:val="00455845"/>
    <w:rsid w:val="00455C59"/>
    <w:rsid w:val="00456D57"/>
    <w:rsid w:val="00460CAE"/>
    <w:rsid w:val="004645A7"/>
    <w:rsid w:val="00465E2C"/>
    <w:rsid w:val="00467E17"/>
    <w:rsid w:val="00470A15"/>
    <w:rsid w:val="004712E5"/>
    <w:rsid w:val="00472F6A"/>
    <w:rsid w:val="00474AC0"/>
    <w:rsid w:val="004864E3"/>
    <w:rsid w:val="00490501"/>
    <w:rsid w:val="0049271D"/>
    <w:rsid w:val="004A3120"/>
    <w:rsid w:val="004A42F4"/>
    <w:rsid w:val="004B01DE"/>
    <w:rsid w:val="004B102C"/>
    <w:rsid w:val="004B3378"/>
    <w:rsid w:val="004B7384"/>
    <w:rsid w:val="004B7745"/>
    <w:rsid w:val="004C31CA"/>
    <w:rsid w:val="004C431F"/>
    <w:rsid w:val="004C6EAD"/>
    <w:rsid w:val="004C7844"/>
    <w:rsid w:val="004C7D22"/>
    <w:rsid w:val="004D1378"/>
    <w:rsid w:val="004E1CD7"/>
    <w:rsid w:val="004E22C9"/>
    <w:rsid w:val="004E31AD"/>
    <w:rsid w:val="004E3248"/>
    <w:rsid w:val="004E325A"/>
    <w:rsid w:val="004E55E1"/>
    <w:rsid w:val="004F1604"/>
    <w:rsid w:val="004F1CDD"/>
    <w:rsid w:val="004F1DAB"/>
    <w:rsid w:val="004F3DEC"/>
    <w:rsid w:val="004F7031"/>
    <w:rsid w:val="004F759E"/>
    <w:rsid w:val="00501E05"/>
    <w:rsid w:val="00505129"/>
    <w:rsid w:val="0050542F"/>
    <w:rsid w:val="0051010A"/>
    <w:rsid w:val="00510B50"/>
    <w:rsid w:val="00510FDC"/>
    <w:rsid w:val="00514C3B"/>
    <w:rsid w:val="00517666"/>
    <w:rsid w:val="00517725"/>
    <w:rsid w:val="00517781"/>
    <w:rsid w:val="0051778E"/>
    <w:rsid w:val="00520522"/>
    <w:rsid w:val="005302EB"/>
    <w:rsid w:val="00531581"/>
    <w:rsid w:val="0053237F"/>
    <w:rsid w:val="0053240C"/>
    <w:rsid w:val="00532D88"/>
    <w:rsid w:val="00533AF4"/>
    <w:rsid w:val="00533C28"/>
    <w:rsid w:val="00536E85"/>
    <w:rsid w:val="00537434"/>
    <w:rsid w:val="00537BFA"/>
    <w:rsid w:val="0054358D"/>
    <w:rsid w:val="00544CC4"/>
    <w:rsid w:val="005457C2"/>
    <w:rsid w:val="00552BD9"/>
    <w:rsid w:val="00552E73"/>
    <w:rsid w:val="00556586"/>
    <w:rsid w:val="0055670C"/>
    <w:rsid w:val="0055685B"/>
    <w:rsid w:val="0056057F"/>
    <w:rsid w:val="00563941"/>
    <w:rsid w:val="00565144"/>
    <w:rsid w:val="00565229"/>
    <w:rsid w:val="0056670B"/>
    <w:rsid w:val="00570F91"/>
    <w:rsid w:val="00573437"/>
    <w:rsid w:val="00574446"/>
    <w:rsid w:val="00576660"/>
    <w:rsid w:val="00576958"/>
    <w:rsid w:val="00580781"/>
    <w:rsid w:val="00583415"/>
    <w:rsid w:val="005835E9"/>
    <w:rsid w:val="00584334"/>
    <w:rsid w:val="00585913"/>
    <w:rsid w:val="00586D02"/>
    <w:rsid w:val="00587A5A"/>
    <w:rsid w:val="005904C7"/>
    <w:rsid w:val="005A113C"/>
    <w:rsid w:val="005A1DBD"/>
    <w:rsid w:val="005A5830"/>
    <w:rsid w:val="005A6352"/>
    <w:rsid w:val="005B042F"/>
    <w:rsid w:val="005B5DF7"/>
    <w:rsid w:val="005B71E9"/>
    <w:rsid w:val="005C6084"/>
    <w:rsid w:val="005C616E"/>
    <w:rsid w:val="005D1203"/>
    <w:rsid w:val="005D1620"/>
    <w:rsid w:val="005D2A19"/>
    <w:rsid w:val="005D2CD3"/>
    <w:rsid w:val="005D30DD"/>
    <w:rsid w:val="005D7712"/>
    <w:rsid w:val="005D7B5D"/>
    <w:rsid w:val="005E1A50"/>
    <w:rsid w:val="005E30C6"/>
    <w:rsid w:val="005E5287"/>
    <w:rsid w:val="005E67F7"/>
    <w:rsid w:val="005E6D6C"/>
    <w:rsid w:val="005E7DE3"/>
    <w:rsid w:val="005F1869"/>
    <w:rsid w:val="005F254C"/>
    <w:rsid w:val="005F2CD4"/>
    <w:rsid w:val="005F2D14"/>
    <w:rsid w:val="005F4F52"/>
    <w:rsid w:val="005F6DE7"/>
    <w:rsid w:val="0060095D"/>
    <w:rsid w:val="00601F47"/>
    <w:rsid w:val="00605471"/>
    <w:rsid w:val="0060612F"/>
    <w:rsid w:val="00607713"/>
    <w:rsid w:val="006106FA"/>
    <w:rsid w:val="006155EE"/>
    <w:rsid w:val="006170CC"/>
    <w:rsid w:val="006178EE"/>
    <w:rsid w:val="00620239"/>
    <w:rsid w:val="006208CE"/>
    <w:rsid w:val="00620CCB"/>
    <w:rsid w:val="00626473"/>
    <w:rsid w:val="006279CD"/>
    <w:rsid w:val="00632651"/>
    <w:rsid w:val="0063460F"/>
    <w:rsid w:val="00636688"/>
    <w:rsid w:val="00641FBC"/>
    <w:rsid w:val="00646542"/>
    <w:rsid w:val="00646576"/>
    <w:rsid w:val="00646B43"/>
    <w:rsid w:val="00647E0D"/>
    <w:rsid w:val="00651D56"/>
    <w:rsid w:val="006541D3"/>
    <w:rsid w:val="00654E62"/>
    <w:rsid w:val="00660641"/>
    <w:rsid w:val="00662062"/>
    <w:rsid w:val="006644F5"/>
    <w:rsid w:val="00664694"/>
    <w:rsid w:val="00667C1F"/>
    <w:rsid w:val="00671311"/>
    <w:rsid w:val="006724F9"/>
    <w:rsid w:val="00676399"/>
    <w:rsid w:val="00681E9C"/>
    <w:rsid w:val="006836F7"/>
    <w:rsid w:val="0068390A"/>
    <w:rsid w:val="00684175"/>
    <w:rsid w:val="006851C3"/>
    <w:rsid w:val="00686C6B"/>
    <w:rsid w:val="00690D2A"/>
    <w:rsid w:val="006910CC"/>
    <w:rsid w:val="00692650"/>
    <w:rsid w:val="00693B38"/>
    <w:rsid w:val="00693BBD"/>
    <w:rsid w:val="00694BB4"/>
    <w:rsid w:val="006A0913"/>
    <w:rsid w:val="006A6C00"/>
    <w:rsid w:val="006B0F58"/>
    <w:rsid w:val="006B5684"/>
    <w:rsid w:val="006B6844"/>
    <w:rsid w:val="006C0B38"/>
    <w:rsid w:val="006C2CE0"/>
    <w:rsid w:val="006C4986"/>
    <w:rsid w:val="006C4A8F"/>
    <w:rsid w:val="006C502D"/>
    <w:rsid w:val="006C5D23"/>
    <w:rsid w:val="006D0CCE"/>
    <w:rsid w:val="006D29E1"/>
    <w:rsid w:val="006E301C"/>
    <w:rsid w:val="006E473D"/>
    <w:rsid w:val="006E4EA4"/>
    <w:rsid w:val="006E57B6"/>
    <w:rsid w:val="006F1B16"/>
    <w:rsid w:val="006F1D87"/>
    <w:rsid w:val="006F2FD5"/>
    <w:rsid w:val="006F3B03"/>
    <w:rsid w:val="006F6011"/>
    <w:rsid w:val="0070135C"/>
    <w:rsid w:val="00703673"/>
    <w:rsid w:val="00705C4E"/>
    <w:rsid w:val="007064C7"/>
    <w:rsid w:val="007117F8"/>
    <w:rsid w:val="00712A15"/>
    <w:rsid w:val="00716DC4"/>
    <w:rsid w:val="00721BAB"/>
    <w:rsid w:val="00724628"/>
    <w:rsid w:val="00726897"/>
    <w:rsid w:val="00726C28"/>
    <w:rsid w:val="00727A39"/>
    <w:rsid w:val="00727CB6"/>
    <w:rsid w:val="00731909"/>
    <w:rsid w:val="0073265A"/>
    <w:rsid w:val="00732C77"/>
    <w:rsid w:val="007336EB"/>
    <w:rsid w:val="0073405E"/>
    <w:rsid w:val="0073678C"/>
    <w:rsid w:val="007368D3"/>
    <w:rsid w:val="00740701"/>
    <w:rsid w:val="00740F16"/>
    <w:rsid w:val="007427C9"/>
    <w:rsid w:val="007441D2"/>
    <w:rsid w:val="00750813"/>
    <w:rsid w:val="00750B17"/>
    <w:rsid w:val="00751031"/>
    <w:rsid w:val="00751C6A"/>
    <w:rsid w:val="00752C89"/>
    <w:rsid w:val="00752F28"/>
    <w:rsid w:val="00753261"/>
    <w:rsid w:val="007543D4"/>
    <w:rsid w:val="007600C6"/>
    <w:rsid w:val="007648D0"/>
    <w:rsid w:val="00772C24"/>
    <w:rsid w:val="00775581"/>
    <w:rsid w:val="00782F9D"/>
    <w:rsid w:val="007842ED"/>
    <w:rsid w:val="00785C96"/>
    <w:rsid w:val="00787B74"/>
    <w:rsid w:val="00791712"/>
    <w:rsid w:val="0079397F"/>
    <w:rsid w:val="0079522C"/>
    <w:rsid w:val="0079791A"/>
    <w:rsid w:val="00797B03"/>
    <w:rsid w:val="007A07C1"/>
    <w:rsid w:val="007A0B89"/>
    <w:rsid w:val="007A26CC"/>
    <w:rsid w:val="007A71AA"/>
    <w:rsid w:val="007B0124"/>
    <w:rsid w:val="007B5809"/>
    <w:rsid w:val="007B668D"/>
    <w:rsid w:val="007B69BC"/>
    <w:rsid w:val="007C1533"/>
    <w:rsid w:val="007C16F5"/>
    <w:rsid w:val="007D2ACD"/>
    <w:rsid w:val="007D4EAC"/>
    <w:rsid w:val="007D4ED5"/>
    <w:rsid w:val="007D6D4C"/>
    <w:rsid w:val="007E07BD"/>
    <w:rsid w:val="007E2248"/>
    <w:rsid w:val="007E28A9"/>
    <w:rsid w:val="007E5168"/>
    <w:rsid w:val="007F0A91"/>
    <w:rsid w:val="007F4A0B"/>
    <w:rsid w:val="007F621C"/>
    <w:rsid w:val="008000A3"/>
    <w:rsid w:val="0080335B"/>
    <w:rsid w:val="0080485D"/>
    <w:rsid w:val="00804E30"/>
    <w:rsid w:val="00806F67"/>
    <w:rsid w:val="008077FD"/>
    <w:rsid w:val="00810239"/>
    <w:rsid w:val="00812BEB"/>
    <w:rsid w:val="008150D4"/>
    <w:rsid w:val="00820515"/>
    <w:rsid w:val="008216AF"/>
    <w:rsid w:val="00821AC6"/>
    <w:rsid w:val="00822184"/>
    <w:rsid w:val="008227BC"/>
    <w:rsid w:val="00823038"/>
    <w:rsid w:val="008253F9"/>
    <w:rsid w:val="00830A4C"/>
    <w:rsid w:val="00830ECD"/>
    <w:rsid w:val="00831913"/>
    <w:rsid w:val="00831B19"/>
    <w:rsid w:val="0083252A"/>
    <w:rsid w:val="00834298"/>
    <w:rsid w:val="008342EA"/>
    <w:rsid w:val="0083490C"/>
    <w:rsid w:val="00834947"/>
    <w:rsid w:val="00836073"/>
    <w:rsid w:val="00836945"/>
    <w:rsid w:val="00837E41"/>
    <w:rsid w:val="008428D6"/>
    <w:rsid w:val="00842C13"/>
    <w:rsid w:val="00842E67"/>
    <w:rsid w:val="008519D8"/>
    <w:rsid w:val="0085370C"/>
    <w:rsid w:val="00857227"/>
    <w:rsid w:val="008576A0"/>
    <w:rsid w:val="008616F4"/>
    <w:rsid w:val="008627C5"/>
    <w:rsid w:val="008634F7"/>
    <w:rsid w:val="0086423A"/>
    <w:rsid w:val="00864716"/>
    <w:rsid w:val="00864DD7"/>
    <w:rsid w:val="008671BE"/>
    <w:rsid w:val="00867337"/>
    <w:rsid w:val="008724C4"/>
    <w:rsid w:val="00874BA2"/>
    <w:rsid w:val="00874C61"/>
    <w:rsid w:val="00880E15"/>
    <w:rsid w:val="0088173E"/>
    <w:rsid w:val="008825A7"/>
    <w:rsid w:val="008855FB"/>
    <w:rsid w:val="00886B02"/>
    <w:rsid w:val="00887731"/>
    <w:rsid w:val="00887BE1"/>
    <w:rsid w:val="00890A0A"/>
    <w:rsid w:val="008939AA"/>
    <w:rsid w:val="008A1F4A"/>
    <w:rsid w:val="008A2BED"/>
    <w:rsid w:val="008A365A"/>
    <w:rsid w:val="008A53FE"/>
    <w:rsid w:val="008B3080"/>
    <w:rsid w:val="008B37A0"/>
    <w:rsid w:val="008C480D"/>
    <w:rsid w:val="008D0102"/>
    <w:rsid w:val="008D3BAC"/>
    <w:rsid w:val="008D3F16"/>
    <w:rsid w:val="008D51EB"/>
    <w:rsid w:val="008E0BFC"/>
    <w:rsid w:val="008E179D"/>
    <w:rsid w:val="008E1DF3"/>
    <w:rsid w:val="008E4354"/>
    <w:rsid w:val="008E6BE8"/>
    <w:rsid w:val="008F07DC"/>
    <w:rsid w:val="008F0FF5"/>
    <w:rsid w:val="008F10DF"/>
    <w:rsid w:val="008F180D"/>
    <w:rsid w:val="008F3D60"/>
    <w:rsid w:val="008F3D9E"/>
    <w:rsid w:val="008F4051"/>
    <w:rsid w:val="008F427D"/>
    <w:rsid w:val="008F7692"/>
    <w:rsid w:val="0090250F"/>
    <w:rsid w:val="0090299E"/>
    <w:rsid w:val="00904FC4"/>
    <w:rsid w:val="00905329"/>
    <w:rsid w:val="0090591A"/>
    <w:rsid w:val="009063C6"/>
    <w:rsid w:val="00910AC1"/>
    <w:rsid w:val="009129CE"/>
    <w:rsid w:val="00921707"/>
    <w:rsid w:val="00922269"/>
    <w:rsid w:val="009262E8"/>
    <w:rsid w:val="00927D9E"/>
    <w:rsid w:val="00931308"/>
    <w:rsid w:val="00932017"/>
    <w:rsid w:val="00933636"/>
    <w:rsid w:val="00933BD4"/>
    <w:rsid w:val="00935866"/>
    <w:rsid w:val="00935D02"/>
    <w:rsid w:val="00937C8A"/>
    <w:rsid w:val="0094004C"/>
    <w:rsid w:val="00941C9F"/>
    <w:rsid w:val="00942F2C"/>
    <w:rsid w:val="0094329C"/>
    <w:rsid w:val="00952A9C"/>
    <w:rsid w:val="00952C0B"/>
    <w:rsid w:val="00952F47"/>
    <w:rsid w:val="0095354B"/>
    <w:rsid w:val="00953861"/>
    <w:rsid w:val="009570CA"/>
    <w:rsid w:val="00962EFF"/>
    <w:rsid w:val="00963640"/>
    <w:rsid w:val="00966CDE"/>
    <w:rsid w:val="009703B2"/>
    <w:rsid w:val="009739AE"/>
    <w:rsid w:val="00974BE2"/>
    <w:rsid w:val="009750AC"/>
    <w:rsid w:val="00975BFB"/>
    <w:rsid w:val="00980A0F"/>
    <w:rsid w:val="0098309B"/>
    <w:rsid w:val="00983B2C"/>
    <w:rsid w:val="00987799"/>
    <w:rsid w:val="0099056C"/>
    <w:rsid w:val="009919AA"/>
    <w:rsid w:val="0099398D"/>
    <w:rsid w:val="00995388"/>
    <w:rsid w:val="009953FD"/>
    <w:rsid w:val="00997EDE"/>
    <w:rsid w:val="009A117D"/>
    <w:rsid w:val="009A22D5"/>
    <w:rsid w:val="009A3438"/>
    <w:rsid w:val="009A42C8"/>
    <w:rsid w:val="009A4B31"/>
    <w:rsid w:val="009A4CB4"/>
    <w:rsid w:val="009A5384"/>
    <w:rsid w:val="009A6725"/>
    <w:rsid w:val="009A7777"/>
    <w:rsid w:val="009B014B"/>
    <w:rsid w:val="009B051B"/>
    <w:rsid w:val="009B1793"/>
    <w:rsid w:val="009B1A40"/>
    <w:rsid w:val="009B4469"/>
    <w:rsid w:val="009B53A2"/>
    <w:rsid w:val="009B7021"/>
    <w:rsid w:val="009B765C"/>
    <w:rsid w:val="009C26F1"/>
    <w:rsid w:val="009C2A7C"/>
    <w:rsid w:val="009C34B2"/>
    <w:rsid w:val="009C5DCA"/>
    <w:rsid w:val="009C7FFE"/>
    <w:rsid w:val="009D017B"/>
    <w:rsid w:val="009D2185"/>
    <w:rsid w:val="009E028C"/>
    <w:rsid w:val="009E0C09"/>
    <w:rsid w:val="009E5766"/>
    <w:rsid w:val="00A006E3"/>
    <w:rsid w:val="00A00C99"/>
    <w:rsid w:val="00A023C3"/>
    <w:rsid w:val="00A02741"/>
    <w:rsid w:val="00A043B0"/>
    <w:rsid w:val="00A05327"/>
    <w:rsid w:val="00A056E3"/>
    <w:rsid w:val="00A05F21"/>
    <w:rsid w:val="00A0791F"/>
    <w:rsid w:val="00A07C27"/>
    <w:rsid w:val="00A12155"/>
    <w:rsid w:val="00A12996"/>
    <w:rsid w:val="00A14EAE"/>
    <w:rsid w:val="00A17881"/>
    <w:rsid w:val="00A22BF6"/>
    <w:rsid w:val="00A275B8"/>
    <w:rsid w:val="00A278E0"/>
    <w:rsid w:val="00A27B88"/>
    <w:rsid w:val="00A30125"/>
    <w:rsid w:val="00A30868"/>
    <w:rsid w:val="00A33D7D"/>
    <w:rsid w:val="00A362F8"/>
    <w:rsid w:val="00A40143"/>
    <w:rsid w:val="00A40A75"/>
    <w:rsid w:val="00A42BDF"/>
    <w:rsid w:val="00A44937"/>
    <w:rsid w:val="00A44E3B"/>
    <w:rsid w:val="00A45DFD"/>
    <w:rsid w:val="00A46A3A"/>
    <w:rsid w:val="00A500FF"/>
    <w:rsid w:val="00A5253E"/>
    <w:rsid w:val="00A55A45"/>
    <w:rsid w:val="00A5711C"/>
    <w:rsid w:val="00A57E58"/>
    <w:rsid w:val="00A60DD0"/>
    <w:rsid w:val="00A625CA"/>
    <w:rsid w:val="00A6453B"/>
    <w:rsid w:val="00A653EC"/>
    <w:rsid w:val="00A67B56"/>
    <w:rsid w:val="00A700BE"/>
    <w:rsid w:val="00A70CE3"/>
    <w:rsid w:val="00A71B91"/>
    <w:rsid w:val="00A72DB7"/>
    <w:rsid w:val="00A74BD3"/>
    <w:rsid w:val="00A76F4F"/>
    <w:rsid w:val="00A82569"/>
    <w:rsid w:val="00A82690"/>
    <w:rsid w:val="00A831AF"/>
    <w:rsid w:val="00A85D90"/>
    <w:rsid w:val="00A91B23"/>
    <w:rsid w:val="00A972CE"/>
    <w:rsid w:val="00A972D4"/>
    <w:rsid w:val="00AA0D6D"/>
    <w:rsid w:val="00AA10E7"/>
    <w:rsid w:val="00AA178B"/>
    <w:rsid w:val="00AA2CFE"/>
    <w:rsid w:val="00AA3921"/>
    <w:rsid w:val="00AA5D9D"/>
    <w:rsid w:val="00AA6745"/>
    <w:rsid w:val="00AA78ED"/>
    <w:rsid w:val="00AB29F1"/>
    <w:rsid w:val="00AB44FD"/>
    <w:rsid w:val="00AB6ECE"/>
    <w:rsid w:val="00AB71EA"/>
    <w:rsid w:val="00AB71F9"/>
    <w:rsid w:val="00AC040B"/>
    <w:rsid w:val="00AC0A2C"/>
    <w:rsid w:val="00AC2277"/>
    <w:rsid w:val="00AC3168"/>
    <w:rsid w:val="00AC3F00"/>
    <w:rsid w:val="00AC42FE"/>
    <w:rsid w:val="00AD00BD"/>
    <w:rsid w:val="00AD0A41"/>
    <w:rsid w:val="00AD52BC"/>
    <w:rsid w:val="00AD6522"/>
    <w:rsid w:val="00AD67EE"/>
    <w:rsid w:val="00AE298D"/>
    <w:rsid w:val="00AE35C9"/>
    <w:rsid w:val="00AF4020"/>
    <w:rsid w:val="00AF47B3"/>
    <w:rsid w:val="00AF4FCA"/>
    <w:rsid w:val="00AF620F"/>
    <w:rsid w:val="00AF73C4"/>
    <w:rsid w:val="00B01A2E"/>
    <w:rsid w:val="00B04BED"/>
    <w:rsid w:val="00B07B9E"/>
    <w:rsid w:val="00B134B1"/>
    <w:rsid w:val="00B15ED1"/>
    <w:rsid w:val="00B15F19"/>
    <w:rsid w:val="00B17030"/>
    <w:rsid w:val="00B1759A"/>
    <w:rsid w:val="00B17BD7"/>
    <w:rsid w:val="00B240B8"/>
    <w:rsid w:val="00B2502A"/>
    <w:rsid w:val="00B34CBD"/>
    <w:rsid w:val="00B3586C"/>
    <w:rsid w:val="00B35E7D"/>
    <w:rsid w:val="00B4211C"/>
    <w:rsid w:val="00B43C06"/>
    <w:rsid w:val="00B43CA1"/>
    <w:rsid w:val="00B44026"/>
    <w:rsid w:val="00B50035"/>
    <w:rsid w:val="00B50633"/>
    <w:rsid w:val="00B525C5"/>
    <w:rsid w:val="00B5293C"/>
    <w:rsid w:val="00B53142"/>
    <w:rsid w:val="00B54C11"/>
    <w:rsid w:val="00B55342"/>
    <w:rsid w:val="00B5689A"/>
    <w:rsid w:val="00B57459"/>
    <w:rsid w:val="00B577C5"/>
    <w:rsid w:val="00B62BA5"/>
    <w:rsid w:val="00B639C3"/>
    <w:rsid w:val="00B653AB"/>
    <w:rsid w:val="00B65C3C"/>
    <w:rsid w:val="00B66886"/>
    <w:rsid w:val="00B66A97"/>
    <w:rsid w:val="00B679F6"/>
    <w:rsid w:val="00B67B9C"/>
    <w:rsid w:val="00B67BF1"/>
    <w:rsid w:val="00B67C2F"/>
    <w:rsid w:val="00B701AA"/>
    <w:rsid w:val="00B70BA9"/>
    <w:rsid w:val="00B70FDE"/>
    <w:rsid w:val="00B7138F"/>
    <w:rsid w:val="00B71AC4"/>
    <w:rsid w:val="00B7323E"/>
    <w:rsid w:val="00B73501"/>
    <w:rsid w:val="00B73DFD"/>
    <w:rsid w:val="00B77A90"/>
    <w:rsid w:val="00B86C1B"/>
    <w:rsid w:val="00B86F04"/>
    <w:rsid w:val="00B87555"/>
    <w:rsid w:val="00B91051"/>
    <w:rsid w:val="00B9331D"/>
    <w:rsid w:val="00B941A1"/>
    <w:rsid w:val="00B97DAD"/>
    <w:rsid w:val="00BA5C0C"/>
    <w:rsid w:val="00BA6445"/>
    <w:rsid w:val="00BA6959"/>
    <w:rsid w:val="00BA764C"/>
    <w:rsid w:val="00BB19F1"/>
    <w:rsid w:val="00BC07F0"/>
    <w:rsid w:val="00BC31F1"/>
    <w:rsid w:val="00BC38C7"/>
    <w:rsid w:val="00BC3FE2"/>
    <w:rsid w:val="00BC4A51"/>
    <w:rsid w:val="00BC4DCB"/>
    <w:rsid w:val="00BC5FB4"/>
    <w:rsid w:val="00BD212A"/>
    <w:rsid w:val="00BD2A87"/>
    <w:rsid w:val="00BD64F2"/>
    <w:rsid w:val="00BE0D34"/>
    <w:rsid w:val="00BE0DBC"/>
    <w:rsid w:val="00BE2A0E"/>
    <w:rsid w:val="00BE3994"/>
    <w:rsid w:val="00BE5517"/>
    <w:rsid w:val="00BE60C1"/>
    <w:rsid w:val="00BF5980"/>
    <w:rsid w:val="00C02B85"/>
    <w:rsid w:val="00C03C20"/>
    <w:rsid w:val="00C059E9"/>
    <w:rsid w:val="00C06233"/>
    <w:rsid w:val="00C107BA"/>
    <w:rsid w:val="00C13F67"/>
    <w:rsid w:val="00C15C9C"/>
    <w:rsid w:val="00C15F04"/>
    <w:rsid w:val="00C166BC"/>
    <w:rsid w:val="00C20FB8"/>
    <w:rsid w:val="00C20FFF"/>
    <w:rsid w:val="00C229C5"/>
    <w:rsid w:val="00C2354A"/>
    <w:rsid w:val="00C2434E"/>
    <w:rsid w:val="00C32C50"/>
    <w:rsid w:val="00C332C6"/>
    <w:rsid w:val="00C34FEB"/>
    <w:rsid w:val="00C35CA2"/>
    <w:rsid w:val="00C35E30"/>
    <w:rsid w:val="00C3676A"/>
    <w:rsid w:val="00C3758F"/>
    <w:rsid w:val="00C37FE6"/>
    <w:rsid w:val="00C4181D"/>
    <w:rsid w:val="00C41906"/>
    <w:rsid w:val="00C45E7F"/>
    <w:rsid w:val="00C4713C"/>
    <w:rsid w:val="00C512D2"/>
    <w:rsid w:val="00C51AC4"/>
    <w:rsid w:val="00C51BE0"/>
    <w:rsid w:val="00C52EE1"/>
    <w:rsid w:val="00C5340F"/>
    <w:rsid w:val="00C5412D"/>
    <w:rsid w:val="00C55FB6"/>
    <w:rsid w:val="00C569A8"/>
    <w:rsid w:val="00C5777E"/>
    <w:rsid w:val="00C57A3A"/>
    <w:rsid w:val="00C60726"/>
    <w:rsid w:val="00C616C7"/>
    <w:rsid w:val="00C618C5"/>
    <w:rsid w:val="00C62666"/>
    <w:rsid w:val="00C63F70"/>
    <w:rsid w:val="00C645CD"/>
    <w:rsid w:val="00C65812"/>
    <w:rsid w:val="00C658BA"/>
    <w:rsid w:val="00C6666C"/>
    <w:rsid w:val="00C6673A"/>
    <w:rsid w:val="00C67911"/>
    <w:rsid w:val="00C760D3"/>
    <w:rsid w:val="00C77342"/>
    <w:rsid w:val="00C80604"/>
    <w:rsid w:val="00C81071"/>
    <w:rsid w:val="00C82641"/>
    <w:rsid w:val="00C84F74"/>
    <w:rsid w:val="00C85A1F"/>
    <w:rsid w:val="00C862E3"/>
    <w:rsid w:val="00C86B75"/>
    <w:rsid w:val="00C929AE"/>
    <w:rsid w:val="00C950EF"/>
    <w:rsid w:val="00C96261"/>
    <w:rsid w:val="00C97817"/>
    <w:rsid w:val="00C97F3D"/>
    <w:rsid w:val="00CA0C7A"/>
    <w:rsid w:val="00CA0D84"/>
    <w:rsid w:val="00CA12D5"/>
    <w:rsid w:val="00CA2E02"/>
    <w:rsid w:val="00CA4BD7"/>
    <w:rsid w:val="00CA5971"/>
    <w:rsid w:val="00CB0703"/>
    <w:rsid w:val="00CB1D46"/>
    <w:rsid w:val="00CB5191"/>
    <w:rsid w:val="00CC0F93"/>
    <w:rsid w:val="00CC1A02"/>
    <w:rsid w:val="00CC36E8"/>
    <w:rsid w:val="00CC50DA"/>
    <w:rsid w:val="00CC5F2F"/>
    <w:rsid w:val="00CC6CC3"/>
    <w:rsid w:val="00CC6FD2"/>
    <w:rsid w:val="00CD3026"/>
    <w:rsid w:val="00CD34D7"/>
    <w:rsid w:val="00CD460B"/>
    <w:rsid w:val="00CE4252"/>
    <w:rsid w:val="00CE49A2"/>
    <w:rsid w:val="00CE4E69"/>
    <w:rsid w:val="00CE5116"/>
    <w:rsid w:val="00CE55FE"/>
    <w:rsid w:val="00CE6325"/>
    <w:rsid w:val="00CE6E8F"/>
    <w:rsid w:val="00CF1B5B"/>
    <w:rsid w:val="00CF1CF4"/>
    <w:rsid w:val="00CF4354"/>
    <w:rsid w:val="00CF4A80"/>
    <w:rsid w:val="00CF56B9"/>
    <w:rsid w:val="00CF7A86"/>
    <w:rsid w:val="00D00260"/>
    <w:rsid w:val="00D014D0"/>
    <w:rsid w:val="00D01B7C"/>
    <w:rsid w:val="00D05483"/>
    <w:rsid w:val="00D0591B"/>
    <w:rsid w:val="00D17B19"/>
    <w:rsid w:val="00D208C7"/>
    <w:rsid w:val="00D24716"/>
    <w:rsid w:val="00D25B6E"/>
    <w:rsid w:val="00D25D94"/>
    <w:rsid w:val="00D265C6"/>
    <w:rsid w:val="00D27B06"/>
    <w:rsid w:val="00D320D6"/>
    <w:rsid w:val="00D327D1"/>
    <w:rsid w:val="00D33358"/>
    <w:rsid w:val="00D34C0B"/>
    <w:rsid w:val="00D35AF7"/>
    <w:rsid w:val="00D35C2A"/>
    <w:rsid w:val="00D4072E"/>
    <w:rsid w:val="00D437FA"/>
    <w:rsid w:val="00D44955"/>
    <w:rsid w:val="00D47280"/>
    <w:rsid w:val="00D62A33"/>
    <w:rsid w:val="00D67F43"/>
    <w:rsid w:val="00D71F1E"/>
    <w:rsid w:val="00D723F4"/>
    <w:rsid w:val="00D75E8C"/>
    <w:rsid w:val="00D77EC6"/>
    <w:rsid w:val="00D806DD"/>
    <w:rsid w:val="00D81CE0"/>
    <w:rsid w:val="00D866B1"/>
    <w:rsid w:val="00D86921"/>
    <w:rsid w:val="00D86C71"/>
    <w:rsid w:val="00D86D09"/>
    <w:rsid w:val="00D937F5"/>
    <w:rsid w:val="00D95A18"/>
    <w:rsid w:val="00D95C37"/>
    <w:rsid w:val="00D95D9E"/>
    <w:rsid w:val="00DA213E"/>
    <w:rsid w:val="00DA289A"/>
    <w:rsid w:val="00DA3259"/>
    <w:rsid w:val="00DA3CF3"/>
    <w:rsid w:val="00DA5A11"/>
    <w:rsid w:val="00DB4F42"/>
    <w:rsid w:val="00DB5F00"/>
    <w:rsid w:val="00DC005D"/>
    <w:rsid w:val="00DC2A16"/>
    <w:rsid w:val="00DC6AAA"/>
    <w:rsid w:val="00DC70B5"/>
    <w:rsid w:val="00DD30D9"/>
    <w:rsid w:val="00DD55A8"/>
    <w:rsid w:val="00DD5F2C"/>
    <w:rsid w:val="00DD76B3"/>
    <w:rsid w:val="00DD7ACD"/>
    <w:rsid w:val="00DE1D71"/>
    <w:rsid w:val="00DE249C"/>
    <w:rsid w:val="00DE316B"/>
    <w:rsid w:val="00DE53FE"/>
    <w:rsid w:val="00DE6D00"/>
    <w:rsid w:val="00DF04B9"/>
    <w:rsid w:val="00DF42CD"/>
    <w:rsid w:val="00DF5951"/>
    <w:rsid w:val="00DF6F9B"/>
    <w:rsid w:val="00DF7E21"/>
    <w:rsid w:val="00E0750A"/>
    <w:rsid w:val="00E1426B"/>
    <w:rsid w:val="00E155CD"/>
    <w:rsid w:val="00E16C67"/>
    <w:rsid w:val="00E17214"/>
    <w:rsid w:val="00E17691"/>
    <w:rsid w:val="00E229BF"/>
    <w:rsid w:val="00E24C16"/>
    <w:rsid w:val="00E25C39"/>
    <w:rsid w:val="00E32172"/>
    <w:rsid w:val="00E322C5"/>
    <w:rsid w:val="00E35461"/>
    <w:rsid w:val="00E35E57"/>
    <w:rsid w:val="00E3604B"/>
    <w:rsid w:val="00E36229"/>
    <w:rsid w:val="00E36DC8"/>
    <w:rsid w:val="00E37BA1"/>
    <w:rsid w:val="00E4007B"/>
    <w:rsid w:val="00E40405"/>
    <w:rsid w:val="00E42DF6"/>
    <w:rsid w:val="00E438A1"/>
    <w:rsid w:val="00E4564C"/>
    <w:rsid w:val="00E46FEC"/>
    <w:rsid w:val="00E51B00"/>
    <w:rsid w:val="00E52C56"/>
    <w:rsid w:val="00E53316"/>
    <w:rsid w:val="00E54CCE"/>
    <w:rsid w:val="00E62B63"/>
    <w:rsid w:val="00E63702"/>
    <w:rsid w:val="00E63994"/>
    <w:rsid w:val="00E643A6"/>
    <w:rsid w:val="00E6637B"/>
    <w:rsid w:val="00E7280A"/>
    <w:rsid w:val="00E73316"/>
    <w:rsid w:val="00E74351"/>
    <w:rsid w:val="00E77548"/>
    <w:rsid w:val="00E81112"/>
    <w:rsid w:val="00E81C83"/>
    <w:rsid w:val="00E9400E"/>
    <w:rsid w:val="00E94535"/>
    <w:rsid w:val="00E94956"/>
    <w:rsid w:val="00E94B19"/>
    <w:rsid w:val="00EA1E44"/>
    <w:rsid w:val="00EA3840"/>
    <w:rsid w:val="00EA6CFB"/>
    <w:rsid w:val="00EA7544"/>
    <w:rsid w:val="00EB01CA"/>
    <w:rsid w:val="00EB06EC"/>
    <w:rsid w:val="00EB0A06"/>
    <w:rsid w:val="00EB17F5"/>
    <w:rsid w:val="00EB23FD"/>
    <w:rsid w:val="00EB29B6"/>
    <w:rsid w:val="00EB3267"/>
    <w:rsid w:val="00EB3895"/>
    <w:rsid w:val="00EB519C"/>
    <w:rsid w:val="00EB5FCD"/>
    <w:rsid w:val="00EC2220"/>
    <w:rsid w:val="00EC5A15"/>
    <w:rsid w:val="00ED378B"/>
    <w:rsid w:val="00ED3AE2"/>
    <w:rsid w:val="00ED5D7B"/>
    <w:rsid w:val="00ED7240"/>
    <w:rsid w:val="00ED7DD7"/>
    <w:rsid w:val="00EE148F"/>
    <w:rsid w:val="00EE5000"/>
    <w:rsid w:val="00EE604F"/>
    <w:rsid w:val="00EE725C"/>
    <w:rsid w:val="00EF03F5"/>
    <w:rsid w:val="00EF0D47"/>
    <w:rsid w:val="00EF41E8"/>
    <w:rsid w:val="00EF66D2"/>
    <w:rsid w:val="00EF7412"/>
    <w:rsid w:val="00EF797F"/>
    <w:rsid w:val="00F011E3"/>
    <w:rsid w:val="00F03ED5"/>
    <w:rsid w:val="00F04300"/>
    <w:rsid w:val="00F04E80"/>
    <w:rsid w:val="00F05AD3"/>
    <w:rsid w:val="00F07C01"/>
    <w:rsid w:val="00F13B12"/>
    <w:rsid w:val="00F22B3F"/>
    <w:rsid w:val="00F2565C"/>
    <w:rsid w:val="00F329E6"/>
    <w:rsid w:val="00F33880"/>
    <w:rsid w:val="00F369C1"/>
    <w:rsid w:val="00F4078C"/>
    <w:rsid w:val="00F418DD"/>
    <w:rsid w:val="00F41BA8"/>
    <w:rsid w:val="00F43A28"/>
    <w:rsid w:val="00F45876"/>
    <w:rsid w:val="00F47F15"/>
    <w:rsid w:val="00F47FFE"/>
    <w:rsid w:val="00F53FE3"/>
    <w:rsid w:val="00F56258"/>
    <w:rsid w:val="00F60252"/>
    <w:rsid w:val="00F6251C"/>
    <w:rsid w:val="00F63368"/>
    <w:rsid w:val="00F66235"/>
    <w:rsid w:val="00F7064F"/>
    <w:rsid w:val="00F71EE5"/>
    <w:rsid w:val="00F739BD"/>
    <w:rsid w:val="00F764E8"/>
    <w:rsid w:val="00F76A94"/>
    <w:rsid w:val="00F77B97"/>
    <w:rsid w:val="00F81167"/>
    <w:rsid w:val="00F81A54"/>
    <w:rsid w:val="00F85BB1"/>
    <w:rsid w:val="00F87F86"/>
    <w:rsid w:val="00F96B28"/>
    <w:rsid w:val="00FA0323"/>
    <w:rsid w:val="00FA0CA8"/>
    <w:rsid w:val="00FA2281"/>
    <w:rsid w:val="00FA3265"/>
    <w:rsid w:val="00FA5216"/>
    <w:rsid w:val="00FA590B"/>
    <w:rsid w:val="00FA5C34"/>
    <w:rsid w:val="00FA6705"/>
    <w:rsid w:val="00FA7611"/>
    <w:rsid w:val="00FB4815"/>
    <w:rsid w:val="00FB4F56"/>
    <w:rsid w:val="00FB5DEF"/>
    <w:rsid w:val="00FC0920"/>
    <w:rsid w:val="00FC20CE"/>
    <w:rsid w:val="00FC3C44"/>
    <w:rsid w:val="00FC44C6"/>
    <w:rsid w:val="00FC5E20"/>
    <w:rsid w:val="00FC7577"/>
    <w:rsid w:val="00FC79EC"/>
    <w:rsid w:val="00FD0242"/>
    <w:rsid w:val="00FD5E3E"/>
    <w:rsid w:val="00FE00F7"/>
    <w:rsid w:val="00FF2A24"/>
    <w:rsid w:val="00FF3E51"/>
    <w:rsid w:val="00FF65CA"/>
    <w:rsid w:val="00FF7197"/>
    <w:rsid w:val="00FF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FCF7B4"/>
  <w15:chartTrackingRefBased/>
  <w15:docId w15:val="{4EB90BF0-443A-4696-85AE-82AC80464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6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331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1CD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E60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60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BE60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60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E60C1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qFormat/>
    <w:locked/>
    <w:rsid w:val="00BE60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0C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60C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css-901oao">
    <w:name w:val="css-901oao"/>
    <w:basedOn w:val="Domylnaczcionkaakapitu"/>
    <w:rsid w:val="002E698D"/>
  </w:style>
  <w:style w:type="paragraph" w:styleId="NormalnyWeb">
    <w:name w:val="Normal (Web)"/>
    <w:basedOn w:val="Normalny"/>
    <w:uiPriority w:val="99"/>
    <w:unhideWhenUsed/>
    <w:qFormat/>
    <w:rsid w:val="009D2185"/>
    <w:pPr>
      <w:spacing w:before="100" w:beforeAutospacing="1" w:after="100" w:afterAutospacing="1"/>
    </w:pPr>
  </w:style>
  <w:style w:type="character" w:customStyle="1" w:styleId="apple-tab-span">
    <w:name w:val="apple-tab-span"/>
    <w:basedOn w:val="Domylnaczcionkaakapitu"/>
    <w:rsid w:val="001E30B2"/>
  </w:style>
  <w:style w:type="paragraph" w:customStyle="1" w:styleId="Tre">
    <w:name w:val="Treść"/>
    <w:rsid w:val="005F254C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320" w:lineRule="atLeast"/>
    </w:pPr>
    <w:rPr>
      <w:rFonts w:ascii="Tahoma" w:eastAsia="Tahoma" w:hAnsi="Tahoma" w:cs="Tahoma"/>
      <w:color w:val="000000"/>
      <w:sz w:val="20"/>
      <w:szCs w:val="20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BrakA">
    <w:name w:val="Brak A"/>
    <w:rsid w:val="005F254C"/>
    <w:rPr>
      <w:lang w:val="it-IT"/>
    </w:rPr>
  </w:style>
  <w:style w:type="character" w:styleId="Hipercze">
    <w:name w:val="Hyperlink"/>
    <w:basedOn w:val="Domylnaczcionkaakapitu"/>
    <w:uiPriority w:val="99"/>
    <w:unhideWhenUsed/>
    <w:rsid w:val="001B6EF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B6EF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B6EFB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A46A3A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2D1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2D1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2D14"/>
    <w:rPr>
      <w:sz w:val="16"/>
      <w:szCs w:val="16"/>
    </w:rPr>
  </w:style>
  <w:style w:type="paragraph" w:customStyle="1" w:styleId="paragraph">
    <w:name w:val="paragraph"/>
    <w:basedOn w:val="Normalny"/>
    <w:rsid w:val="00401266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401266"/>
  </w:style>
  <w:style w:type="character" w:customStyle="1" w:styleId="spellingerror">
    <w:name w:val="spellingerror"/>
    <w:basedOn w:val="Domylnaczcionkaakapitu"/>
    <w:rsid w:val="00401266"/>
  </w:style>
  <w:style w:type="character" w:customStyle="1" w:styleId="eop">
    <w:name w:val="eop"/>
    <w:basedOn w:val="Domylnaczcionkaakapitu"/>
    <w:rsid w:val="0040126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04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049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article-lead">
    <w:name w:val="article-lead"/>
    <w:basedOn w:val="Normalny"/>
    <w:rsid w:val="004C7844"/>
    <w:pPr>
      <w:spacing w:before="100" w:beforeAutospacing="1" w:after="100" w:afterAutospacing="1"/>
    </w:pPr>
  </w:style>
  <w:style w:type="character" w:customStyle="1" w:styleId="lead">
    <w:name w:val="lead"/>
    <w:basedOn w:val="Domylnaczcionkaakapitu"/>
    <w:rsid w:val="00465E2C"/>
  </w:style>
  <w:style w:type="paragraph" w:styleId="Zwykytekst">
    <w:name w:val="Plain Text"/>
    <w:basedOn w:val="Normalny"/>
    <w:link w:val="ZwykytekstZnak"/>
    <w:uiPriority w:val="99"/>
    <w:semiHidden/>
    <w:unhideWhenUsed/>
    <w:rsid w:val="00E42DF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42DF6"/>
    <w:rPr>
      <w:rFonts w:ascii="Calibri" w:hAnsi="Calibri"/>
      <w:szCs w:val="21"/>
    </w:rPr>
  </w:style>
  <w:style w:type="paragraph" w:customStyle="1" w:styleId="ManualConsidrant">
    <w:name w:val="Manual Considérant"/>
    <w:basedOn w:val="Normalny"/>
    <w:rsid w:val="00FA5C34"/>
    <w:pPr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B9331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customStyle="1" w:styleId="articlebodyblock">
    <w:name w:val="articlebodyblock"/>
    <w:basedOn w:val="Normalny"/>
    <w:rsid w:val="001329AF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471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ED5D7B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4E1C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lewiatan@lewiatan.org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E342B615AB744E879D425527CA74B0" ma:contentTypeVersion="11" ma:contentTypeDescription="Utwórz nowy dokument." ma:contentTypeScope="" ma:versionID="ac2b6b4f3b75b11d1ce8ac2a2780298f">
  <xsd:schema xmlns:xsd="http://www.w3.org/2001/XMLSchema" xmlns:xs="http://www.w3.org/2001/XMLSchema" xmlns:p="http://schemas.microsoft.com/office/2006/metadata/properties" xmlns:ns2="a92496c6-bfb7-4328-bf52-1c7ac50ed296" xmlns:ns3="496ccdf1-fe65-4603-bcd3-58344b4e2136" targetNamespace="http://schemas.microsoft.com/office/2006/metadata/properties" ma:root="true" ma:fieldsID="bc13ebc8c13a26cb83b7fd0b04843304" ns2:_="" ns3:_="">
    <xsd:import namespace="a92496c6-bfb7-4328-bf52-1c7ac50ed296"/>
    <xsd:import namespace="496ccdf1-fe65-4603-bcd3-58344b4e21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2496c6-bfb7-4328-bf52-1c7ac50ed2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004f446-e912-4d43-b150-870578a76b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ccdf1-fe65-4603-bcd3-58344b4e213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859c110-badd-4c7f-b88d-954c75db01e3}" ma:internalName="TaxCatchAll" ma:showField="CatchAllData" ma:web="496ccdf1-fe65-4603-bcd3-58344b4e21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6ccdf1-fe65-4603-bcd3-58344b4e2136" xsi:nil="true"/>
    <lcf76f155ced4ddcb4097134ff3c332f xmlns="a92496c6-bfb7-4328-bf52-1c7ac50ed29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F59B4-DEA3-406F-B6FF-3531664AA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2496c6-bfb7-4328-bf52-1c7ac50ed296"/>
    <ds:schemaRef ds:uri="496ccdf1-fe65-4603-bcd3-58344b4e21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16BF69-4AC3-4CC6-B6F6-984F98CAF8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E00EC5-24AB-44EF-90A5-1C3CAF5D0603}">
  <ds:schemaRefs>
    <ds:schemaRef ds:uri="http://schemas.microsoft.com/office/2006/metadata/properties"/>
    <ds:schemaRef ds:uri="http://schemas.microsoft.com/office/infopath/2007/PartnerControls"/>
    <ds:schemaRef ds:uri="496ccdf1-fe65-4603-bcd3-58344b4e2136"/>
    <ds:schemaRef ds:uri="a92496c6-bfb7-4328-bf52-1c7ac50ed296"/>
  </ds:schemaRefs>
</ds:datastoreItem>
</file>

<file path=customXml/itemProps4.xml><?xml version="1.0" encoding="utf-8"?>
<ds:datastoreItem xmlns:ds="http://schemas.openxmlformats.org/officeDocument/2006/customXml" ds:itemID="{DA4BFB34-EAAF-459F-83D4-5558B6BD2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1905</Words>
  <Characters>11431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Nadia Winiarska</cp:lastModifiedBy>
  <cp:revision>2</cp:revision>
  <cp:lastPrinted>2023-01-19T17:14:00Z</cp:lastPrinted>
  <dcterms:created xsi:type="dcterms:W3CDTF">2026-01-07T12:11:00Z</dcterms:created>
  <dcterms:modified xsi:type="dcterms:W3CDTF">2026-01-07T12:11:00Z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0x010100FAE342B615AB744E879D425527CA74B0</vt:lpwstr>
  </property>
  <property fmtid="{D5CDD505-2E9C-101B-9397-08002B2CF9AE}" pid="3" name="GrammarlyDocumentId">
    <vt:lpwstr>facdae5a-4438-4d6a-bad4-b03789787a76</vt:lpwstr>
  </property>
</Properties>
</file>