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3994" w:type="dxa"/>
        <w:jc w:val="center"/>
        <w:tblLook w:val="04A0" w:firstRow="1" w:lastRow="0" w:firstColumn="1" w:lastColumn="0" w:noHBand="0" w:noVBand="1"/>
      </w:tblPr>
      <w:tblGrid>
        <w:gridCol w:w="722"/>
        <w:gridCol w:w="2185"/>
        <w:gridCol w:w="2258"/>
        <w:gridCol w:w="8829"/>
      </w:tblGrid>
      <w:tr w:rsidR="00C63F1E" w:rsidRPr="00FF4480" w14:paraId="02B5E174" w14:textId="77777777" w:rsidTr="08EF9C87">
        <w:trPr>
          <w:trHeight w:val="592"/>
          <w:jc w:val="center"/>
        </w:trPr>
        <w:tc>
          <w:tcPr>
            <w:tcW w:w="13994" w:type="dxa"/>
            <w:gridSpan w:val="4"/>
            <w:vAlign w:val="center"/>
          </w:tcPr>
          <w:p w14:paraId="02188BBF" w14:textId="27EF98B8" w:rsidR="00C63F1E" w:rsidRDefault="00C63F1E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8"/>
                <w:lang w:eastAsia="pl-PL"/>
              </w:rPr>
              <w:t>Uwagi</w:t>
            </w:r>
            <w:r w:rsidR="008A11DD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 Konfederacji Lewiatan</w:t>
            </w:r>
            <w:r w:rsidRPr="00FF4480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 do </w:t>
            </w:r>
            <w:r w:rsidRPr="00192CB8">
              <w:rPr>
                <w:rFonts w:ascii="Times New Roman" w:hAnsi="Times New Roman" w:cs="Times New Roman"/>
                <w:b/>
                <w:sz w:val="28"/>
                <w:lang w:eastAsia="pl-PL"/>
              </w:rPr>
              <w:t>projektu</w:t>
            </w:r>
            <w:r w:rsidR="003A384F" w:rsidRPr="00192CB8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 ustawy </w:t>
            </w:r>
            <w:r w:rsidR="006833D2" w:rsidRPr="00192CB8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o </w:t>
            </w:r>
            <w:r w:rsidR="00A84FB0">
              <w:rPr>
                <w:rFonts w:ascii="Times New Roman" w:hAnsi="Times New Roman" w:cs="Times New Roman"/>
                <w:b/>
                <w:sz w:val="28"/>
                <w:lang w:eastAsia="pl-PL"/>
              </w:rPr>
              <w:t>zmianie ustawy o</w:t>
            </w:r>
            <w:r w:rsidR="00864BB8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 przeciwdziałaniu nieuczciwym praktykom rynkowym oraz ustawy o prawach konsumenta </w:t>
            </w:r>
            <w:r w:rsidR="006833D2" w:rsidRPr="00192CB8">
              <w:rPr>
                <w:rFonts w:ascii="Times New Roman" w:hAnsi="Times New Roman" w:cs="Times New Roman"/>
                <w:b/>
                <w:sz w:val="28"/>
                <w:lang w:eastAsia="pl-PL"/>
              </w:rPr>
              <w:t>(UC</w:t>
            </w:r>
            <w:r w:rsidR="00864BB8">
              <w:rPr>
                <w:rFonts w:ascii="Times New Roman" w:hAnsi="Times New Roman" w:cs="Times New Roman"/>
                <w:b/>
                <w:sz w:val="28"/>
                <w:lang w:eastAsia="pl-PL"/>
              </w:rPr>
              <w:t>111</w:t>
            </w:r>
            <w:r w:rsidR="006833D2" w:rsidRPr="00192CB8">
              <w:rPr>
                <w:rFonts w:ascii="Times New Roman" w:hAnsi="Times New Roman" w:cs="Times New Roman"/>
                <w:b/>
                <w:sz w:val="28"/>
                <w:lang w:eastAsia="pl-PL"/>
              </w:rPr>
              <w:t>)</w:t>
            </w:r>
          </w:p>
        </w:tc>
      </w:tr>
      <w:tr w:rsidR="003201DB" w:rsidRPr="00FF4480" w14:paraId="31DC44CD" w14:textId="77777777" w:rsidTr="004412A6">
        <w:trPr>
          <w:trHeight w:val="1320"/>
          <w:jc w:val="center"/>
        </w:trPr>
        <w:tc>
          <w:tcPr>
            <w:tcW w:w="722" w:type="dxa"/>
            <w:vAlign w:val="center"/>
          </w:tcPr>
          <w:p w14:paraId="1696D90F" w14:textId="77777777" w:rsidR="004A28E0" w:rsidRPr="00FF4480" w:rsidRDefault="004A28E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0"/>
              </w:rPr>
              <w:t>Lp</w:t>
            </w:r>
            <w:r w:rsidRPr="00FF448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85" w:type="dxa"/>
            <w:vAlign w:val="center"/>
          </w:tcPr>
          <w:p w14:paraId="3411CFF6" w14:textId="77777777" w:rsidR="006C42B2" w:rsidRDefault="004A28E0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Jednostka redakcyjna, której uwaga dotyczy</w:t>
            </w:r>
            <w:r w:rsidR="006C42B2">
              <w:rPr>
                <w:rFonts w:ascii="Times New Roman" w:hAnsi="Times New Roman" w:cs="Times New Roman"/>
                <w:b/>
                <w:bCs/>
                <w:sz w:val="20"/>
              </w:rPr>
              <w:t xml:space="preserve">/ </w:t>
            </w:r>
          </w:p>
          <w:p w14:paraId="2A63D3E6" w14:textId="77777777" w:rsidR="004A28E0" w:rsidRDefault="006C42B2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Uzasadnienia/</w:t>
            </w:r>
          </w:p>
          <w:p w14:paraId="52C4E36A" w14:textId="77777777" w:rsidR="006C42B2" w:rsidRPr="00FF4480" w:rsidRDefault="006C42B2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OSR</w:t>
            </w:r>
          </w:p>
        </w:tc>
        <w:tc>
          <w:tcPr>
            <w:tcW w:w="2258" w:type="dxa"/>
            <w:vAlign w:val="center"/>
          </w:tcPr>
          <w:p w14:paraId="66553093" w14:textId="77777777" w:rsidR="004A28E0" w:rsidRPr="00FF4480" w:rsidRDefault="004A28E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Podmiot zgłaszający</w:t>
            </w:r>
          </w:p>
        </w:tc>
        <w:tc>
          <w:tcPr>
            <w:tcW w:w="8829" w:type="dxa"/>
            <w:vAlign w:val="center"/>
          </w:tcPr>
          <w:p w14:paraId="6D3553C9" w14:textId="77777777" w:rsidR="004A28E0" w:rsidRPr="00FF4480" w:rsidRDefault="00141978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</w:t>
            </w:r>
            <w:r w:rsidR="004A28E0" w:rsidRPr="00FF4480">
              <w:rPr>
                <w:rFonts w:ascii="Times New Roman" w:hAnsi="Times New Roman" w:cs="Times New Roman"/>
                <w:b/>
                <w:bCs/>
                <w:sz w:val="20"/>
              </w:rPr>
              <w:t>waga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/ Propozycja zmian zapisu</w:t>
            </w:r>
          </w:p>
        </w:tc>
      </w:tr>
      <w:tr w:rsidR="003201DB" w:rsidRPr="00FF4480" w14:paraId="28C45A70" w14:textId="77777777" w:rsidTr="004412A6">
        <w:trPr>
          <w:jc w:val="center"/>
        </w:trPr>
        <w:tc>
          <w:tcPr>
            <w:tcW w:w="722" w:type="dxa"/>
          </w:tcPr>
          <w:p w14:paraId="7110A081" w14:textId="2CD85235" w:rsidR="00D341C1" w:rsidRPr="3AA1BDEC" w:rsidRDefault="00DA0EB6" w:rsidP="0046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185" w:type="dxa"/>
          </w:tcPr>
          <w:p w14:paraId="25EA6A94" w14:textId="4712132F" w:rsidR="00D341C1" w:rsidRPr="3AA1BDEC" w:rsidRDefault="00DD2F9A" w:rsidP="00462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D2F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Art. 1 pkt 2 lit. a</w:t>
            </w:r>
          </w:p>
        </w:tc>
        <w:tc>
          <w:tcPr>
            <w:tcW w:w="2258" w:type="dxa"/>
          </w:tcPr>
          <w:p w14:paraId="2D077108" w14:textId="75F9C4CE" w:rsidR="00D341C1" w:rsidRPr="3AA1BDEC" w:rsidRDefault="00463325" w:rsidP="00462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0BEC9C9E" w14:textId="77777777" w:rsidR="00CF7DD8" w:rsidRPr="00CF7DD8" w:rsidRDefault="00EE5C00" w:rsidP="00CF7D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C00">
              <w:rPr>
                <w:rFonts w:ascii="Times New Roman" w:eastAsia="Times New Roman" w:hAnsi="Times New Roman" w:cs="Times New Roman"/>
                <w:sz w:val="20"/>
                <w:szCs w:val="20"/>
              </w:rPr>
              <w:t>Projektowane zmiany słusznie wprowadzają odwołanie do definicji towaru oraz towaru z elementami cyfrowymi, które zostały wprowadzone ustawą o prawach konsumenta. Zapewnia to spójność regulacji i systemu prawnego. Definicja produktu, o której mowa w art. 2 pkt. 3 zmienianej ustawy (tj. Ustawy o przeciwdziałaniu nieuczciwym praktykom rynkowym) zawiera jednak także dwa kolejne elementy, zdefiniowane w ustawie o prawach konsumenta, a niezdefiniowane w ustawy o przeciwdziałaniu nieuczciwym praktykom rynkowym, tj. “Usługi cyfrowe” oraz “treści cyfrowe”. By uniknąć wątpliwości, czy w braku wyraźnego odwołania do definicji zawartych w ustawie o prawach konsumenta (które wprowadza proponowany pkt. 3a UPNPR) do tych dwóch pojęć również należy stosować definicje z ustawy o prawach konsumenta, pożądane jest wyraźne dookreślenie, że także w zakresie “usług cyfrowych” oraz “treści cyfrowych” należy stosować definicje, zawarte w ustawie o prawach konsumenta.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F7DD8" w:rsidRP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="00CF7DD8" w:rsidRP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po pkt 3 dodaje się pkt. 3a - </w:t>
            </w:r>
            <w:r w:rsidR="00CF7DD8" w:rsidRPr="00DE2F67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3c</w:t>
            </w:r>
            <w:r w:rsidR="00CF7DD8" w:rsidRP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brzmieniu:</w:t>
            </w:r>
          </w:p>
          <w:p w14:paraId="0F411306" w14:textId="77777777" w:rsidR="00CF7DD8" w:rsidRPr="00CF7DD8" w:rsidRDefault="00CF7DD8" w:rsidP="00CF7D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„3a) </w:t>
            </w:r>
            <w:r w:rsidRPr="00CF7DD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towarze – rozumie się przez to towar w rozumieniu art. 2 pkt 4a ustawy z dnia 30 maja 2014 r. o prawach konsumenta (Dz. U. z 2024 r. poz. 1796 oraz z 2025 r. poz. 1172) lub towar z elementami cyfrowymi w rozumieniu art. 2 pkt 5b tej ustawy;</w:t>
            </w:r>
          </w:p>
          <w:p w14:paraId="4E837471" w14:textId="77777777" w:rsidR="00CF7DD8" w:rsidRPr="00CF7DD8" w:rsidRDefault="00CF7DD8" w:rsidP="00CF7D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16F3C9" w14:textId="77777777" w:rsidR="00CF7DD8" w:rsidRPr="00DE2F67" w:rsidRDefault="00CF7DD8" w:rsidP="00CF7DD8">
            <w:pP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DE2F67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3b) usłudze cyfrowej - rozumie się przez to usługę cyfrową w rozumieniu art. 2 pkt. 5a ustawy z dnia 30 maja 2014 r. o prawach konsumenta (Dz. U. z 2024 r. poz. 1796 oraz z 2025 r. poz. 1172);</w:t>
            </w:r>
          </w:p>
          <w:p w14:paraId="1F932C9B" w14:textId="77777777" w:rsidR="00CF7DD8" w:rsidRPr="00DE2F67" w:rsidRDefault="00CF7DD8" w:rsidP="00CF7DD8">
            <w:pP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  <w:p w14:paraId="1187FB67" w14:textId="6C22EDD4" w:rsidR="00D341C1" w:rsidRPr="00462D0D" w:rsidRDefault="00CF7DD8" w:rsidP="00CF7D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F67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3c) treściach cyfrowych - rozumie się przez to treści cyfrowe w rozumieniu art. 2 pkt. 5 ustawy z dnia 30 maja 2014 r. o prawach konsumenta (Dz. U. z 2024 r. poz. 1796 oraz z 2025 r. poz. 1172);”</w:t>
            </w:r>
            <w:r w:rsidR="00EE5C0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463325" w:rsidRPr="00FF4480" w14:paraId="0B1D3031" w14:textId="77777777" w:rsidTr="004412A6">
        <w:trPr>
          <w:jc w:val="center"/>
        </w:trPr>
        <w:tc>
          <w:tcPr>
            <w:tcW w:w="722" w:type="dxa"/>
          </w:tcPr>
          <w:p w14:paraId="03F70462" w14:textId="25B44751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185" w:type="dxa"/>
          </w:tcPr>
          <w:p w14:paraId="366FD19C" w14:textId="5EFEA47A" w:rsidR="00463325" w:rsidRPr="00A47FE3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AA1BD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Art. 1 pkt 2 lit.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D1D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(def. </w:t>
            </w:r>
            <w:r w:rsidRPr="00CD1D19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ogólne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</w:t>
            </w: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twierdzeni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dotyczące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 </w:t>
            </w: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>ekologiczności</w:t>
            </w:r>
            <w:r w:rsidRPr="00CD1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dodana w pkt.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CD1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wyliczenia)</w:t>
            </w:r>
          </w:p>
        </w:tc>
        <w:tc>
          <w:tcPr>
            <w:tcW w:w="2258" w:type="dxa"/>
          </w:tcPr>
          <w:p w14:paraId="7AC91560" w14:textId="744D401D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125BCBFA" w14:textId="77777777" w:rsidR="00463325" w:rsidRPr="002F16B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Dyrektywa definiuje “ogólne twierdzenie dotyczące ekologiczności” jako twierdzenie przekazane w formie pisemnej lub ustnej, w tym przez media audiowizualne, gdzie specyfikacja nie jest podana „za pomocą tego samego środka przekazu”. Projekt UC111 natomiast odnosi się do “tego samego środka komunikowania się z konsumentami” i nie precyzuje, co oznacza „przy użyciu dowolnego środka komunikowania się z konsumentami”, tworząc ryzyko, że specyfikacja podana np. w opisie produktu na dole strony nie zostanie uznana za podaną „w ten sam sposób” co hasło reklamowe na banerze strony głównej i w konsekwencji dane twierdzenie zostanie uznane za “ogólne twierdzenie dotyczące ekologiczności”. </w:t>
            </w:r>
          </w:p>
          <w:p w14:paraId="66AD02FF" w14:textId="77777777" w:rsidR="00463325" w:rsidRPr="002F16B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58CDED" w14:textId="77777777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6BD">
              <w:rPr>
                <w:rFonts w:ascii="Times New Roman" w:eastAsia="Times New Roman" w:hAnsi="Times New Roman" w:cs="Times New Roman"/>
                <w:sz w:val="20"/>
                <w:szCs w:val="20"/>
              </w:rPr>
              <w:t>Projekt powinien doprecyzować, że w handlu online cała podstrona produktu (URL) stanowi „ten sam środek przekazu - w motywach dyrektywy wprost wskazano, że owym środkiem przekazu może być m.in. interfejs sprzedaży internetowej.</w:t>
            </w:r>
          </w:p>
          <w:p w14:paraId="67E0B60B" w14:textId="77777777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B49FA2" w14:textId="77777777" w:rsidR="00463325" w:rsidRPr="0098556E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14)   ogólnym twierdzeniu dotyczącym ekologiczności – rozumie się przez to twierdzenie dotyczące ekologiczności przekazane pisemnie lub ustnie przy użyciu dowolnego środka komunikowania się z konsumentami, które nie jest zawarte w oznakowaniu dotyczącym zrównoważonego charakteru i opis tego twierdzenia nie jest podany w jasny i wyraźny sposób za pomocą tego samego środka komunikowania się z konsumentami </w:t>
            </w:r>
            <w:r w:rsidRPr="0098556E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(np. interfejsie sprzedaży internetowej).</w:t>
            </w:r>
          </w:p>
          <w:p w14:paraId="0F45FD90" w14:textId="77777777" w:rsidR="00463325" w:rsidRPr="00531038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3325" w:rsidRPr="00FF4480" w14:paraId="683A6525" w14:textId="77777777" w:rsidTr="004412A6">
        <w:trPr>
          <w:jc w:val="center"/>
        </w:trPr>
        <w:tc>
          <w:tcPr>
            <w:tcW w:w="722" w:type="dxa"/>
          </w:tcPr>
          <w:p w14:paraId="17EAF1A5" w14:textId="4F32099D" w:rsidR="00463325" w:rsidRPr="00EE5C00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2185" w:type="dxa"/>
          </w:tcPr>
          <w:p w14:paraId="2B45170B" w14:textId="61071ADD" w:rsidR="00463325" w:rsidRPr="00CD1D19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Art. 1 pkt 2 lit. c (def. </w:t>
            </w: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</w:rPr>
              <w:t>“systemu certyfikacji” dodana w pkt. 16 wyliczenia)</w:t>
            </w:r>
          </w:p>
        </w:tc>
        <w:tc>
          <w:tcPr>
            <w:tcW w:w="2258" w:type="dxa"/>
          </w:tcPr>
          <w:p w14:paraId="1491BB25" w14:textId="3A4255CD" w:rsidR="00463325" w:rsidRPr="00CD1D19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38A14212" w14:textId="07DEA5A0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71683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Dyrektywa przewiduje możliwość potwierdzenia przymiotów podmiotu certyfikującego w oparciu o “normy i procedury międzynarodowe, unijne lub krajowe”, nie ograniczając się wyłącznie do konkretnych norm ISO/IEC. Zgodnie z dyrektywą, monitorowanie zgodności w systemie certyfikacji powinno być prowadzone przez stronę trzecią, której niezależność opiera się na normach międzynarodowych, unijnych lub krajowych, podając normę ISO 17065 jedynie jako przykład. Proponowane postanowienia ustawy są w tym zakresie zawężające względem definicji wprowadzonej dyrektywą i nadmiernie ograniczają możliwość powoływania się na weryfikację i potwierdzenie dokonane przez podmioty, spełniające wymagania przewidziane dyrektywą, a wyłączone przez przepisy krajowe. Takie zawężenie może być szczególnym wyzwaniem zwłaszcza w początkowym etapie funkcjonowania nowych wymogów.  </w:t>
            </w:r>
            <w:r>
              <w:br/>
            </w:r>
            <w:r w:rsidRPr="171683D4">
              <w:rPr>
                <w:rFonts w:ascii="Times New Roman" w:eastAsia="Times New Roman" w:hAnsi="Times New Roman" w:cs="Times New Roman"/>
                <w:sz w:val="20"/>
                <w:szCs w:val="20"/>
              </w:rPr>
              <w:t>Proponowane jest wprowadzenie rozwiązania zgodnego z literalnym brzmieniem art. 2 akapitu pierwszego lit. r pkt. iv dyrektywy 2005/29/WE (w brzmieniu wprowadzonym dyrektywą 2024/825)</w:t>
            </w:r>
          </w:p>
          <w:p w14:paraId="14960BFF" w14:textId="3DC1387F" w:rsidR="00463325" w:rsidRPr="00AE1110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16) systemie certyfikacji – rozumie się przez to weryfikację i poświadczenie spełnienia przez produkt, proces lub działalność przedsiębiorcy wymogów umożliwiających stosowanie oznakowania dotyczącego zrównoważonego charakteru, dokonane przez podmiot, który </w:t>
            </w:r>
            <w:r w:rsidRPr="00260857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w szczególności</w:t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B56E165" w14:textId="77777777" w:rsidR="00463325" w:rsidRPr="00AE1110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uzyskał akredytację, o której mowa w art. 2 pkt 10 rozporządzenia Parlamentu Europejskiego i Rady (WE) nr 765/2008 z dnia 9 lipca 2008 r. ustanawiającego wymagania w zakresie akredytacji i uchylającego rozporządzenie (EWG) nr 339/93 (Dz. Urz. UE L 218 z 13.08.2008, str. 30, z </w:t>
            </w:r>
            <w:proofErr w:type="spellStart"/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>. zm.[1])) lub</w:t>
            </w:r>
          </w:p>
          <w:p w14:paraId="2F11BC87" w14:textId="77777777" w:rsidR="00463325" w:rsidRPr="00AE1110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</w:t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uzyskał potwierdzenie posiadania kompetencji i niezależności, niezbędnych do weryfikacji i poświadczenia spełniania wymogów umożliwiających stosowanie oznakowania dotyczącego zrównoważonego charakteru, w oparciu o </w:t>
            </w:r>
            <w:r w:rsidRPr="0075737F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normę ISO/IEC 17065 lub normę ISO/IEC 17021‑1</w:t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5737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normy i procedury międzynarodowe, unijne lub krajowe</w:t>
            </w:r>
            <w:r w:rsidRPr="00AE1110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67A62E7" w14:textId="77777777" w:rsidR="00463325" w:rsidRPr="00AE1110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C52C1F" w14:textId="2415E589" w:rsidR="00463325" w:rsidRPr="00462D0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2A6">
              <w:rPr>
                <w:rFonts w:ascii="Times New Roman" w:eastAsia="Times New Roman" w:hAnsi="Times New Roman" w:cs="Times New Roman"/>
                <w:sz w:val="20"/>
                <w:szCs w:val="20"/>
              </w:rPr>
              <w:t>Podsumowując, w naszej ocenie powinny zostać zastosowane kryteria, o których mowa powyżej we wskazanej Dyrektywie.</w:t>
            </w:r>
            <w:r>
              <w:br/>
            </w:r>
          </w:p>
        </w:tc>
      </w:tr>
      <w:tr w:rsidR="00463325" w:rsidRPr="00FF4480" w14:paraId="055953B9" w14:textId="77777777" w:rsidTr="00C527A2">
        <w:trPr>
          <w:jc w:val="center"/>
        </w:trPr>
        <w:tc>
          <w:tcPr>
            <w:tcW w:w="722" w:type="dxa"/>
          </w:tcPr>
          <w:p w14:paraId="6C991B64" w14:textId="6A6697CB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2185" w:type="dxa"/>
          </w:tcPr>
          <w:p w14:paraId="48BCAFA8" w14:textId="52C0A882" w:rsidR="00463325" w:rsidRPr="004B634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AA1BD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Art. 1 pkt 2 lit.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045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(def. </w:t>
            </w:r>
            <w:r w:rsidRPr="00320454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221708">
              <w:rPr>
                <w:rFonts w:ascii="Times New Roman" w:eastAsia="Times New Roman" w:hAnsi="Times New Roman" w:cs="Times New Roman"/>
                <w:sz w:val="20"/>
                <w:szCs w:val="20"/>
              </w:rPr>
              <w:t>znanej wysokiej efektywności ekologicznej</w:t>
            </w:r>
            <w:r w:rsidRPr="003204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dodana w pkt.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3204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wyliczenia)</w:t>
            </w:r>
          </w:p>
        </w:tc>
        <w:tc>
          <w:tcPr>
            <w:tcW w:w="2258" w:type="dxa"/>
          </w:tcPr>
          <w:p w14:paraId="09ABA244" w14:textId="14D47C51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  <w:vAlign w:val="center"/>
          </w:tcPr>
          <w:p w14:paraId="187CC334" w14:textId="0C77594C" w:rsidR="00463325" w:rsidRPr="000E47C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Projektowana definicja „uznanej wysokiej efektywności ekologicznej” ogranicza możliwość jej wykazania niemal wyłącznie do określonych systemów certyfikacyjnych (EU </w:t>
            </w:r>
            <w:proofErr w:type="spellStart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Ecolabel</w:t>
            </w:r>
            <w:proofErr w:type="spellEnd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EN ISO 14024 typu I) lub do poziomów efektywności wynikających bezpośrednio z przepisów prawa UE. Takie podejście nie uwzględnia uznanych, powszechnie stosowanych i naukowo ugruntowanych metod dowodowych, takich jak analiza cyklu życia produktu (LCA zgodnie z ISO 14040/14044), ślad węglowy (ISO 14067), ślad wodny (ISO 14046), metody OECD (np. w zakresie biodegradowalności) czy </w:t>
            </w:r>
            <w:proofErr w:type="spellStart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samodeklaracje</w:t>
            </w:r>
            <w:proofErr w:type="spellEnd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środowiskowe oparte na dowodach zgodnie z ISO 14021. W praktyce może to prowadzić do nieproporcjonalnego ograniczenia możliwości komunikowania rzeczywistych korzyści środowiskowych.</w:t>
            </w:r>
            <w:r>
              <w:br/>
            </w: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br/>
            </w: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Postulujemy o rozszerzenie definicji poprzez wskazanie, że uznana wysoka efektywność ekologiczna może być wykazywana również na podstawie uznanych norm międzynarodowych, zweryfikowanych analiz LCA oraz metodologii sektorowych. </w:t>
            </w:r>
          </w:p>
        </w:tc>
      </w:tr>
      <w:tr w:rsidR="00463325" w:rsidRPr="00FF4480" w14:paraId="1AFB0817" w14:textId="77777777" w:rsidTr="004412A6">
        <w:trPr>
          <w:jc w:val="center"/>
        </w:trPr>
        <w:tc>
          <w:tcPr>
            <w:tcW w:w="722" w:type="dxa"/>
          </w:tcPr>
          <w:p w14:paraId="41F388B6" w14:textId="0C6D663B" w:rsidR="00463325" w:rsidRPr="3AA1BDEC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2185" w:type="dxa"/>
          </w:tcPr>
          <w:p w14:paraId="36D07500" w14:textId="5D11C4C1" w:rsidR="00463325" w:rsidRPr="00320454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Art. 1 pkt 2 lit. c (def. </w:t>
            </w: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</w:rPr>
              <w:t>“Niezależnego eksperta” dodana w pkt. 22 wyliczenia)</w:t>
            </w:r>
          </w:p>
        </w:tc>
        <w:tc>
          <w:tcPr>
            <w:tcW w:w="2258" w:type="dxa"/>
          </w:tcPr>
          <w:p w14:paraId="76255464" w14:textId="445169AF" w:rsidR="00463325" w:rsidRPr="00320454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18C6463B" w14:textId="77777777" w:rsidR="00463325" w:rsidRPr="000E47C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7CD">
              <w:rPr>
                <w:rFonts w:ascii="Times New Roman" w:eastAsia="Times New Roman" w:hAnsi="Times New Roman" w:cs="Times New Roman"/>
                <w:sz w:val="20"/>
                <w:szCs w:val="20"/>
              </w:rPr>
              <w:t>Dyrektywa nie uzależnia możliwości uznania eksperta za niezależności od potwierdzenia posiadania kompetencji i niezależności ściśle określonymi normami ISO/IEC (nawet, jeśli w praktyce aktualnie jedynie te konkretne normy mogłyby zostać uznane za “normy i procedury międzynarodowe, unijne lub krajowe”). Biorąc pod uwagę dynamiczny rozwój sektora i podmiotów certyfikujących, celowe jest pozostawienie katalogu możliwych sposobów potwierdzenia kompetencji i niezależności eksperta w sposób generalny, przyjęty w dyrektywie (oraz analogiczny do zmian zaproponowanych w zakresie systemów certyfikacji).</w:t>
            </w:r>
          </w:p>
          <w:p w14:paraId="09810A5F" w14:textId="77777777" w:rsidR="00463325" w:rsidRPr="000E47C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B25137" w14:textId="77777777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7CD">
              <w:rPr>
                <w:rFonts w:ascii="Times New Roman" w:eastAsia="Times New Roman" w:hAnsi="Times New Roman" w:cs="Times New Roman"/>
                <w:sz w:val="20"/>
                <w:szCs w:val="20"/>
              </w:rPr>
              <w:t>Dyrektywa nie narzuca tak sztywnych ram certyfikacji dla samych ekspertów jak projekt. Takie zawężenie kręgu uprawnionych podmiotów drastycznie zwiększy koszty weryfikacji dla sprzedawców, co może ograniczyć ofertę produktów „</w:t>
            </w:r>
            <w:proofErr w:type="spellStart"/>
            <w:r w:rsidRPr="000E47CD">
              <w:rPr>
                <w:rFonts w:ascii="Times New Roman" w:eastAsia="Times New Roman" w:hAnsi="Times New Roman" w:cs="Times New Roman"/>
                <w:sz w:val="20"/>
                <w:szCs w:val="20"/>
              </w:rPr>
              <w:t>eko</w:t>
            </w:r>
            <w:proofErr w:type="spellEnd"/>
            <w:r w:rsidRPr="000E47CD">
              <w:rPr>
                <w:rFonts w:ascii="Times New Roman" w:eastAsia="Times New Roman" w:hAnsi="Times New Roman" w:cs="Times New Roman"/>
                <w:sz w:val="20"/>
                <w:szCs w:val="20"/>
              </w:rPr>
              <w:t>” na platformie lub podnieść ich ceny. Proponujemy doprecyzowanie definicji poprzez otwarcie katalogu - jak wynika z uzasadnienia do projektu UC111, celem tej definicji jest określenie ram dla wymogów dla podmiotów publicznych oraz prywatnych do uzyskania potwierdzenia posiadania kompetencji i niezależności, a nie określenia ich sztywnego zakresu.</w:t>
            </w:r>
          </w:p>
          <w:p w14:paraId="57EEE9B1" w14:textId="77777777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CCF1B6" w14:textId="77777777" w:rsidR="00463325" w:rsidRPr="001A77F8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>22) niezależnym ekspercie – rozumie się przez to podmiot, który</w:t>
            </w:r>
            <w:r w:rsidRPr="003C7EE4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w szczególności</w:t>
            </w: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E6189AB" w14:textId="77777777" w:rsidR="00463325" w:rsidRPr="001A77F8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uzyskał akredytację, o której mowa w art. 2 pkt 10 rozporządzenia Parlamentu Europejskiego i Rady (WE) nr 765/2008 z dnia 9 lipca 2008 r. ustanawiającego wymagania w zakresie akredytacji i uchylającego rozporządzenie (EWG) nr 339/93 (Dz. Urz. UE L 218 z 13.08.2008, str. 30, z </w:t>
            </w:r>
            <w:proofErr w:type="spellStart"/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>. zm.[1])) lub</w:t>
            </w:r>
          </w:p>
          <w:p w14:paraId="6EEB2197" w14:textId="7F885205" w:rsidR="00463325" w:rsidRPr="001A77F8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b)     </w:t>
            </w: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uzyskał potwierdzenie posiadania kompetencji i niezależności, niezbędnych do weryfikacji i poświadczenia spełniania wymogów umożliwiających stosowanie oznakowania dotyczącego zrównoważonego charakteru, w oparciu o </w:t>
            </w:r>
            <w:r w:rsidRPr="0089377B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normę ISO/IEC 17065 lub normę ISO/IEC 17021‑1</w:t>
            </w: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377B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  <w:t>normy i procedury międzynarodowe, unijne lub krajowe</w:t>
            </w:r>
            <w:r w:rsidRPr="001A77F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28283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145F183" w14:textId="77777777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2386E7" w14:textId="77777777" w:rsidR="00463325" w:rsidRPr="00462D0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3325" w:rsidRPr="00FF4480" w14:paraId="1E04BC6D" w14:textId="77777777" w:rsidTr="004412A6">
        <w:trPr>
          <w:jc w:val="center"/>
        </w:trPr>
        <w:tc>
          <w:tcPr>
            <w:tcW w:w="722" w:type="dxa"/>
          </w:tcPr>
          <w:p w14:paraId="05EDB0A7" w14:textId="447B56C6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6.</w:t>
            </w:r>
          </w:p>
        </w:tc>
        <w:tc>
          <w:tcPr>
            <w:tcW w:w="2185" w:type="dxa"/>
          </w:tcPr>
          <w:p w14:paraId="547C7DAC" w14:textId="520E98A8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3AA1BD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Art. 1 pkt 3 lit. a</w:t>
            </w:r>
          </w:p>
        </w:tc>
        <w:tc>
          <w:tcPr>
            <w:tcW w:w="2258" w:type="dxa"/>
          </w:tcPr>
          <w:p w14:paraId="57EEF99B" w14:textId="38CE3C4B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6B1F0E36" w14:textId="65309D2D" w:rsidR="00463325" w:rsidRPr="00462D0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Przepis wprowadza obowiązek posiadania szczegółowego planu wykonania, jego regularnej weryfikacji przez niezależnego eksperta oraz udostępniania ustaleń konsumentom. Dyrektywa 2005/29/WE, w brzmieniu nadanym dyrektywą (UE) 2024/825, nie ustanawia obowiązku weryfikacji twierdzeń ekologicznych przez podmiot trzeci ani obowiązku ujawniania wyników takiej weryfikacji konsumentom. Regulacja wykracza poza minimalny standard harmonizacji pełnej (</w:t>
            </w:r>
            <w:proofErr w:type="spellStart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gold-plating</w:t>
            </w:r>
            <w:proofErr w:type="spellEnd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) oraz generuje dodatkowe obciążenia administracyjne i kosztowe po stronie przedsiębiorców. Proponuje się skreślenie fragmentu dotyczącego obowiązkowej weryfikacji przez niezależnego eksperta oraz udostępniania ustaleń konsumentom albo zastąpienie go wymogiem, aby twierdzenia były oparte na obiektywnych, rzetelnych i możliwych do zweryfikowania danych.</w:t>
            </w:r>
          </w:p>
        </w:tc>
      </w:tr>
      <w:tr w:rsidR="00463325" w:rsidRPr="00FF4480" w14:paraId="2965DB16" w14:textId="77777777" w:rsidTr="004412A6">
        <w:trPr>
          <w:jc w:val="center"/>
        </w:trPr>
        <w:tc>
          <w:tcPr>
            <w:tcW w:w="722" w:type="dxa"/>
          </w:tcPr>
          <w:p w14:paraId="686D2964" w14:textId="3FADE7E9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2185" w:type="dxa"/>
          </w:tcPr>
          <w:p w14:paraId="3168613D" w14:textId="4D544664" w:rsidR="00463325" w:rsidRPr="00853AB3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Art. 1 pkt 5 lit. a</w:t>
            </w:r>
          </w:p>
        </w:tc>
        <w:tc>
          <w:tcPr>
            <w:tcW w:w="2258" w:type="dxa"/>
          </w:tcPr>
          <w:p w14:paraId="3922D8C6" w14:textId="0744B8F2" w:rsidR="00463325" w:rsidRPr="004412A6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</w:tcPr>
          <w:p w14:paraId="02E83F62" w14:textId="2D17537B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obowiązku posiadania jasnych, mierzalnych i określonych w czasie planów wykonania dla twierdzeń dotyczących przyszłej efektywności ekologicznej należy ocenić pozytywnie. Projekt nie określa jednak minimalnej treści planu wykonania, nie różnicuje wymogów w zależności od skali przedsiębiorcy ani poziomu ryzyka związanego z danym twierdzeniem, a także nie przewiduje możliwości uproszczonych procedur w przypadkach niskiego ryzyka. Może to prowadzić do nadmiernych obciążeń administracyjnych, w szczególności dla MŚP.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Ponadto p</w:t>
            </w:r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rzepis ustanawia generalny zakaz stosowania </w:t>
            </w:r>
            <w:proofErr w:type="spellStart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oznakowań</w:t>
            </w:r>
            <w:proofErr w:type="spellEnd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dotyczących zrównoważonego charakteru, które nie są oparte na systemie certyfikacji ani ustanowione przez organy publiczne. Dyrektywa 2005/29/WE nie przewiduje takiego bezwzględnego zakazu, ograniczając się do wymogu przejrzystości, rzetelności i weryfikowalności </w:t>
            </w:r>
            <w:proofErr w:type="spellStart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oznakowań</w:t>
            </w:r>
            <w:proofErr w:type="spellEnd"/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5858E81" w14:textId="7CE5E041" w:rsidR="00463325" w:rsidRPr="00462D0D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Postulujemy o wprowadzenie zasady proporcjonalności oraz dopuszczenie </w:t>
            </w:r>
            <w:proofErr w:type="spellStart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samoweryfikacji</w:t>
            </w:r>
            <w:proofErr w:type="spellEnd"/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obszarach niskiego ryzyka, z kontrolą ex post. Wskazane byłoby również opracowanie wzorcowego zakresu planu wykonania w formie wytycznych.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Dodatkowo</w:t>
            </w:r>
            <w:r w:rsidR="00D25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</w:t>
            </w:r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>roponuje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my</w:t>
            </w:r>
            <w:r w:rsidRPr="00462D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zmianę przepisu w taki sposób, aby zakaz obejmował wyłącznie oznakowania niespełniające tych wymogów.</w:t>
            </w:r>
          </w:p>
        </w:tc>
      </w:tr>
      <w:tr w:rsidR="00463325" w:rsidRPr="00FF4480" w14:paraId="70A79CD7" w14:textId="77777777" w:rsidTr="00C527A2">
        <w:trPr>
          <w:jc w:val="center"/>
        </w:trPr>
        <w:tc>
          <w:tcPr>
            <w:tcW w:w="722" w:type="dxa"/>
          </w:tcPr>
          <w:p w14:paraId="73EB0E2C" w14:textId="4DC10410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2185" w:type="dxa"/>
          </w:tcPr>
          <w:p w14:paraId="1B8BA62C" w14:textId="4C4D88AB" w:rsidR="00463325" w:rsidRPr="29C8CF5C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</w:rPr>
              <w:t>Art. 1 ust. 5 lit. b</w:t>
            </w:r>
          </w:p>
        </w:tc>
        <w:tc>
          <w:tcPr>
            <w:tcW w:w="2258" w:type="dxa"/>
          </w:tcPr>
          <w:p w14:paraId="5772A6F2" w14:textId="6D97B643" w:rsidR="00463325" w:rsidRPr="35C067D0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  <w:vAlign w:val="center"/>
          </w:tcPr>
          <w:p w14:paraId="647B7E42" w14:textId="2BBF7DE2" w:rsidR="00463325" w:rsidRPr="29C8CF5C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</w:rPr>
              <w:t>Zakaz formułowania ogólnych twierdzeń dotyczących ekologiczności bez wykazania uznanej wysokiej efektywności ekologicznej jest co do zasady zasadny i spójny z celem dyrektywy 2024/825. Projekt nie precyzuje jednak kryteriów pozwalających jednoznacznie ocenić, kiedy dane twierdzenie ma charakter „ogólny”, ani nie uwzględnia kontekstu branżowego, funkcjonalnego i informacyjnego produktu. Może to prowadzić do niejednolitego stosowania przepisów oraz do niepewności prawnej po stronie przedsiębiorców.</w:t>
            </w:r>
            <w:r w:rsidRPr="00C527A2">
              <w:br/>
            </w:r>
            <w:r w:rsidRPr="00C527A2">
              <w:rPr>
                <w:rFonts w:ascii="Times New Roman" w:eastAsia="Times New Roman" w:hAnsi="Times New Roman" w:cs="Times New Roman"/>
                <w:sz w:val="20"/>
                <w:szCs w:val="20"/>
              </w:rPr>
              <w:t>Postulujemy o uzupełnienie regulacji o wytyczne interpretacyjne. Alternatywnie możliwe byłoby doprecyzowanie przepisu poprzez wskazanie, że ogólne twierdzenia ekologiczne to takie, które nie odnoszą się do konkretnych, mierzalnych i możliwych do zweryfikowania cech produktu lub jego cyklu życia. Ponadto postulujemy wyłączenie żywności z zakresu ust. 4a w art. 7 ustawy o przeciwdziałaniu nieuczciwym praktykom rynkowym, ponieważ żywność nie jest objęta przepisami o wysokiej efektywności ekologicznej</w:t>
            </w:r>
            <w:r w:rsidR="0028283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325" w14:paraId="2C6E9DE3" w14:textId="77777777" w:rsidTr="004412A6">
        <w:trPr>
          <w:trHeight w:val="300"/>
          <w:jc w:val="center"/>
        </w:trPr>
        <w:tc>
          <w:tcPr>
            <w:tcW w:w="722" w:type="dxa"/>
            <w:tcBorders>
              <w:bottom w:val="single" w:sz="4" w:space="0" w:color="auto"/>
            </w:tcBorders>
          </w:tcPr>
          <w:p w14:paraId="368FB623" w14:textId="3EE278CD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  <w:r w:rsidRPr="29C8CF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7EBF3AE2" w14:textId="221C8257" w:rsidR="00463325" w:rsidRDefault="00463325" w:rsidP="00463325"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Art. 2 ust. 5 lit. a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758BB7F0" w14:textId="51C7F6CA" w:rsidR="00463325" w:rsidRDefault="00463325" w:rsidP="0046332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  <w:tcBorders>
              <w:bottom w:val="single" w:sz="4" w:space="0" w:color="auto"/>
            </w:tcBorders>
          </w:tcPr>
          <w:p w14:paraId="663AB3F8" w14:textId="61B87240" w:rsidR="00463325" w:rsidRDefault="00463325" w:rsidP="00463325">
            <w:pPr>
              <w:jc w:val="both"/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Przedsiębiorcy są zobowiązani do poinformowania konsumenta o „przyjaznych dla środowiska opcjach dostarczenia towaru, o ile są dostępne” – konieczne jest zapewnienie przedsiębiorcom jasnych i obiektywnych kryteriów, których spełnienie pozwala na uznanie, że dana opcja dostawy jest „przyjazna dla środowiska”, w szczególności mając na uwadze fakt, że Prezes UOKiK kwestionował ekologiczne </w:t>
            </w: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twierdzenia największych dostawców działających na terenie Polski (a zatem oparcie się na wytycznych samych dostawców może zostać zakwestionowane przez Urząd</w:t>
            </w:r>
            <w:r w:rsidR="00B41A89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463325" w14:paraId="177AB7BE" w14:textId="77777777" w:rsidTr="00C527A2">
        <w:trPr>
          <w:trHeight w:val="300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8D1609" w14:textId="7656AB35" w:rsidR="00463325" w:rsidRDefault="00463325" w:rsidP="00463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10</w:t>
            </w:r>
            <w:r w:rsidRPr="29C8CF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  <w:p w14:paraId="4ED302ED" w14:textId="60BBF886" w:rsidR="00463325" w:rsidRDefault="00463325" w:rsidP="00463325">
            <w:pPr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83B308" w14:textId="6ED9735F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Art. 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E47B87" w14:textId="6A8FDFD1" w:rsidR="00463325" w:rsidRDefault="00463325" w:rsidP="004633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Konfederacja Lewiatan</w:t>
            </w:r>
          </w:p>
        </w:tc>
        <w:tc>
          <w:tcPr>
            <w:tcW w:w="8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CF793B" w14:textId="637E4B55" w:rsidR="00463325" w:rsidRDefault="00463325" w:rsidP="004633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Dodanie treści „</w:t>
            </w:r>
            <w:r w:rsidRPr="002C7D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w przypadku artykułów spożywczych z dniem 27 września 2028 r</w:t>
            </w:r>
            <w:r w:rsidRPr="29C8CF5C">
              <w:rPr>
                <w:rFonts w:ascii="Times New Roman" w:eastAsia="Times New Roman" w:hAnsi="Times New Roman" w:cs="Times New Roman"/>
                <w:sz w:val="20"/>
                <w:szCs w:val="20"/>
              </w:rPr>
              <w:t>.”, z uwagi na brak przepisów szczegółowych umożliwiających realizację przepisów oraz czas potrzebny na zużycie opakowań oraz sprzedaż wyprodukowanych zapasów produktów żywnościowych.</w:t>
            </w:r>
          </w:p>
        </w:tc>
      </w:tr>
    </w:tbl>
    <w:p w14:paraId="1407A949" w14:textId="77777777" w:rsidR="009A3389" w:rsidRDefault="009A3389" w:rsidP="00443077">
      <w:pPr>
        <w:spacing w:line="240" w:lineRule="auto"/>
        <w:rPr>
          <w:rFonts w:ascii="Times New Roman" w:hAnsi="Times New Roman" w:cs="Times New Roman"/>
        </w:rPr>
      </w:pPr>
    </w:p>
    <w:p w14:paraId="75FCE76D" w14:textId="3CDBC29A" w:rsidR="00511931" w:rsidRPr="00511931" w:rsidRDefault="00511931" w:rsidP="00443077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511931">
        <w:rPr>
          <w:rFonts w:ascii="Times New Roman" w:hAnsi="Times New Roman" w:cs="Times New Roman"/>
          <w:b/>
          <w:bCs/>
          <w:i/>
          <w:iCs/>
        </w:rPr>
        <w:t>KL/63/13/PM/2026</w:t>
      </w:r>
    </w:p>
    <w:sectPr w:rsidR="00511931" w:rsidRPr="00511931" w:rsidSect="001F3A0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31B7" w14:textId="77777777" w:rsidR="00210DCE" w:rsidRDefault="00210DCE" w:rsidP="00735AA5">
      <w:pPr>
        <w:spacing w:after="0" w:line="240" w:lineRule="auto"/>
      </w:pPr>
      <w:r>
        <w:separator/>
      </w:r>
    </w:p>
  </w:endnote>
  <w:endnote w:type="continuationSeparator" w:id="0">
    <w:p w14:paraId="0CC60E04" w14:textId="77777777" w:rsidR="00210DCE" w:rsidRDefault="00210DCE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451909213"/>
      <w:docPartObj>
        <w:docPartGallery w:val="Page Numbers (Bottom of Page)"/>
        <w:docPartUnique/>
      </w:docPartObj>
    </w:sdtPr>
    <w:sdtContent>
      <w:p w14:paraId="30A54A08" w14:textId="77777777"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C63F1E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14:paraId="5015E082" w14:textId="77777777"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25A7" w14:textId="77777777" w:rsidR="00210DCE" w:rsidRDefault="00210DCE" w:rsidP="00735AA5">
      <w:pPr>
        <w:spacing w:after="0" w:line="240" w:lineRule="auto"/>
      </w:pPr>
      <w:r>
        <w:separator/>
      </w:r>
    </w:p>
  </w:footnote>
  <w:footnote w:type="continuationSeparator" w:id="0">
    <w:p w14:paraId="61729ACD" w14:textId="77777777" w:rsidR="00210DCE" w:rsidRDefault="00210DCE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422"/>
    <w:multiLevelType w:val="hybridMultilevel"/>
    <w:tmpl w:val="1EA4D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3421"/>
    <w:multiLevelType w:val="hybridMultilevel"/>
    <w:tmpl w:val="3F3C30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69C8"/>
    <w:multiLevelType w:val="hybridMultilevel"/>
    <w:tmpl w:val="401489DE"/>
    <w:lvl w:ilvl="0" w:tplc="2408B1AA">
      <w:start w:val="2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 w15:restartNumberingAfterBreak="0">
    <w:nsid w:val="1784680D"/>
    <w:multiLevelType w:val="hybridMultilevel"/>
    <w:tmpl w:val="2BB4171C"/>
    <w:lvl w:ilvl="0" w:tplc="BAE6A3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" w15:restartNumberingAfterBreak="0">
    <w:nsid w:val="19F72441"/>
    <w:multiLevelType w:val="hybridMultilevel"/>
    <w:tmpl w:val="6E3EAEB8"/>
    <w:lvl w:ilvl="0" w:tplc="4A540682">
      <w:start w:val="1"/>
      <w:numFmt w:val="decimal"/>
      <w:lvlText w:val="(iv)"/>
      <w:lvlJc w:val="left"/>
      <w:pPr>
        <w:ind w:left="720" w:hanging="360"/>
      </w:pPr>
    </w:lvl>
    <w:lvl w:ilvl="1" w:tplc="0636C1F8">
      <w:start w:val="1"/>
      <w:numFmt w:val="lowerLetter"/>
      <w:lvlText w:val="%2."/>
      <w:lvlJc w:val="left"/>
      <w:pPr>
        <w:ind w:left="1440" w:hanging="360"/>
      </w:pPr>
    </w:lvl>
    <w:lvl w:ilvl="2" w:tplc="F08E13EE">
      <w:start w:val="1"/>
      <w:numFmt w:val="lowerRoman"/>
      <w:lvlText w:val="%3."/>
      <w:lvlJc w:val="right"/>
      <w:pPr>
        <w:ind w:left="2160" w:hanging="180"/>
      </w:pPr>
    </w:lvl>
    <w:lvl w:ilvl="3" w:tplc="D7C4085E">
      <w:start w:val="1"/>
      <w:numFmt w:val="decimal"/>
      <w:lvlText w:val="%4."/>
      <w:lvlJc w:val="left"/>
      <w:pPr>
        <w:ind w:left="2880" w:hanging="360"/>
      </w:pPr>
    </w:lvl>
    <w:lvl w:ilvl="4" w:tplc="5448B22E">
      <w:start w:val="1"/>
      <w:numFmt w:val="lowerLetter"/>
      <w:lvlText w:val="%5."/>
      <w:lvlJc w:val="left"/>
      <w:pPr>
        <w:ind w:left="3600" w:hanging="360"/>
      </w:pPr>
    </w:lvl>
    <w:lvl w:ilvl="5" w:tplc="1174CDEE">
      <w:start w:val="1"/>
      <w:numFmt w:val="lowerRoman"/>
      <w:lvlText w:val="%6."/>
      <w:lvlJc w:val="right"/>
      <w:pPr>
        <w:ind w:left="4320" w:hanging="180"/>
      </w:pPr>
    </w:lvl>
    <w:lvl w:ilvl="6" w:tplc="B20894B8">
      <w:start w:val="1"/>
      <w:numFmt w:val="decimal"/>
      <w:lvlText w:val="%7."/>
      <w:lvlJc w:val="left"/>
      <w:pPr>
        <w:ind w:left="5040" w:hanging="360"/>
      </w:pPr>
    </w:lvl>
    <w:lvl w:ilvl="7" w:tplc="DB7E085A">
      <w:start w:val="1"/>
      <w:numFmt w:val="lowerLetter"/>
      <w:lvlText w:val="%8."/>
      <w:lvlJc w:val="left"/>
      <w:pPr>
        <w:ind w:left="5760" w:hanging="360"/>
      </w:pPr>
    </w:lvl>
    <w:lvl w:ilvl="8" w:tplc="C22816E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84FB4"/>
    <w:multiLevelType w:val="hybridMultilevel"/>
    <w:tmpl w:val="49FA505E"/>
    <w:lvl w:ilvl="0" w:tplc="8B141934">
      <w:start w:val="20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" w15:restartNumberingAfterBreak="0">
    <w:nsid w:val="30EB5BEE"/>
    <w:multiLevelType w:val="multilevel"/>
    <w:tmpl w:val="0CE409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109D4"/>
    <w:multiLevelType w:val="hybridMultilevel"/>
    <w:tmpl w:val="F4C82F44"/>
    <w:lvl w:ilvl="0" w:tplc="BBC653A2">
      <w:start w:val="1"/>
      <w:numFmt w:val="decimal"/>
      <w:lvlText w:val="%1)"/>
      <w:lvlJc w:val="left"/>
      <w:pPr>
        <w:ind w:left="32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41" w:hanging="360"/>
      </w:pPr>
    </w:lvl>
    <w:lvl w:ilvl="2" w:tplc="0415001B" w:tentative="1">
      <w:start w:val="1"/>
      <w:numFmt w:val="lowerRoman"/>
      <w:lvlText w:val="%3."/>
      <w:lvlJc w:val="right"/>
      <w:pPr>
        <w:ind w:left="1761" w:hanging="180"/>
      </w:pPr>
    </w:lvl>
    <w:lvl w:ilvl="3" w:tplc="0415000F" w:tentative="1">
      <w:start w:val="1"/>
      <w:numFmt w:val="decimal"/>
      <w:lvlText w:val="%4."/>
      <w:lvlJc w:val="left"/>
      <w:pPr>
        <w:ind w:left="2481" w:hanging="360"/>
      </w:pPr>
    </w:lvl>
    <w:lvl w:ilvl="4" w:tplc="04150019" w:tentative="1">
      <w:start w:val="1"/>
      <w:numFmt w:val="lowerLetter"/>
      <w:lvlText w:val="%5."/>
      <w:lvlJc w:val="left"/>
      <w:pPr>
        <w:ind w:left="3201" w:hanging="360"/>
      </w:pPr>
    </w:lvl>
    <w:lvl w:ilvl="5" w:tplc="0415001B" w:tentative="1">
      <w:start w:val="1"/>
      <w:numFmt w:val="lowerRoman"/>
      <w:lvlText w:val="%6."/>
      <w:lvlJc w:val="right"/>
      <w:pPr>
        <w:ind w:left="3921" w:hanging="180"/>
      </w:pPr>
    </w:lvl>
    <w:lvl w:ilvl="6" w:tplc="0415000F" w:tentative="1">
      <w:start w:val="1"/>
      <w:numFmt w:val="decimal"/>
      <w:lvlText w:val="%7."/>
      <w:lvlJc w:val="left"/>
      <w:pPr>
        <w:ind w:left="4641" w:hanging="360"/>
      </w:pPr>
    </w:lvl>
    <w:lvl w:ilvl="7" w:tplc="04150019" w:tentative="1">
      <w:start w:val="1"/>
      <w:numFmt w:val="lowerLetter"/>
      <w:lvlText w:val="%8."/>
      <w:lvlJc w:val="left"/>
      <w:pPr>
        <w:ind w:left="5361" w:hanging="360"/>
      </w:pPr>
    </w:lvl>
    <w:lvl w:ilvl="8" w:tplc="041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9" w15:restartNumberingAfterBreak="0">
    <w:nsid w:val="72253848"/>
    <w:multiLevelType w:val="hybridMultilevel"/>
    <w:tmpl w:val="8F10F6AE"/>
    <w:lvl w:ilvl="0" w:tplc="C7B04F10">
      <w:start w:val="2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0" w15:restartNumberingAfterBreak="0">
    <w:nsid w:val="764744B3"/>
    <w:multiLevelType w:val="hybridMultilevel"/>
    <w:tmpl w:val="363600DC"/>
    <w:lvl w:ilvl="0" w:tplc="FF98001A">
      <w:start w:val="1"/>
      <w:numFmt w:val="decimal"/>
      <w:lvlText w:val="%1)"/>
      <w:lvlJc w:val="left"/>
      <w:pPr>
        <w:ind w:left="40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97272805">
    <w:abstractNumId w:val="4"/>
  </w:num>
  <w:num w:numId="2" w16cid:durableId="1936982320">
    <w:abstractNumId w:val="3"/>
  </w:num>
  <w:num w:numId="3" w16cid:durableId="1321999931">
    <w:abstractNumId w:val="5"/>
  </w:num>
  <w:num w:numId="4" w16cid:durableId="977757779">
    <w:abstractNumId w:val="9"/>
  </w:num>
  <w:num w:numId="5" w16cid:durableId="1105268952">
    <w:abstractNumId w:val="2"/>
  </w:num>
  <w:num w:numId="6" w16cid:durableId="694158009">
    <w:abstractNumId w:val="10"/>
  </w:num>
  <w:num w:numId="7" w16cid:durableId="773210663">
    <w:abstractNumId w:val="8"/>
  </w:num>
  <w:num w:numId="8" w16cid:durableId="770079583">
    <w:abstractNumId w:val="0"/>
  </w:num>
  <w:num w:numId="9" w16cid:durableId="1311010226">
    <w:abstractNumId w:val="1"/>
  </w:num>
  <w:num w:numId="10" w16cid:durableId="1227299404">
    <w:abstractNumId w:val="7"/>
  </w:num>
  <w:num w:numId="11" w16cid:durableId="1622303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7"/>
    <w:rsid w:val="00004640"/>
    <w:rsid w:val="000052FD"/>
    <w:rsid w:val="000058C6"/>
    <w:rsid w:val="000079B1"/>
    <w:rsid w:val="000153D6"/>
    <w:rsid w:val="00017473"/>
    <w:rsid w:val="00026469"/>
    <w:rsid w:val="0003699E"/>
    <w:rsid w:val="00044DFA"/>
    <w:rsid w:val="000550CC"/>
    <w:rsid w:val="000611CC"/>
    <w:rsid w:val="00062AF7"/>
    <w:rsid w:val="00064B2F"/>
    <w:rsid w:val="00073623"/>
    <w:rsid w:val="000800E5"/>
    <w:rsid w:val="00084817"/>
    <w:rsid w:val="00085E2E"/>
    <w:rsid w:val="00091F2A"/>
    <w:rsid w:val="000A4084"/>
    <w:rsid w:val="000A5C47"/>
    <w:rsid w:val="000B1157"/>
    <w:rsid w:val="000B346A"/>
    <w:rsid w:val="000B3934"/>
    <w:rsid w:val="000D62C7"/>
    <w:rsid w:val="000E47CD"/>
    <w:rsid w:val="00106435"/>
    <w:rsid w:val="0011088F"/>
    <w:rsid w:val="00111F69"/>
    <w:rsid w:val="001173B6"/>
    <w:rsid w:val="00120AED"/>
    <w:rsid w:val="00141978"/>
    <w:rsid w:val="00162537"/>
    <w:rsid w:val="00173541"/>
    <w:rsid w:val="00175284"/>
    <w:rsid w:val="00177EC3"/>
    <w:rsid w:val="001809D9"/>
    <w:rsid w:val="00192CB8"/>
    <w:rsid w:val="001A2A4F"/>
    <w:rsid w:val="001A4B41"/>
    <w:rsid w:val="001A77F8"/>
    <w:rsid w:val="001B75F1"/>
    <w:rsid w:val="001C0836"/>
    <w:rsid w:val="001C1142"/>
    <w:rsid w:val="001E01AE"/>
    <w:rsid w:val="001F0431"/>
    <w:rsid w:val="001F3A0F"/>
    <w:rsid w:val="00210DCE"/>
    <w:rsid w:val="00221708"/>
    <w:rsid w:val="002307E9"/>
    <w:rsid w:val="002376E8"/>
    <w:rsid w:val="00242233"/>
    <w:rsid w:val="00260857"/>
    <w:rsid w:val="0026093B"/>
    <w:rsid w:val="002662EA"/>
    <w:rsid w:val="002772FF"/>
    <w:rsid w:val="00282832"/>
    <w:rsid w:val="002875B9"/>
    <w:rsid w:val="002A48A2"/>
    <w:rsid w:val="002A5490"/>
    <w:rsid w:val="002B36AE"/>
    <w:rsid w:val="002B5740"/>
    <w:rsid w:val="002C7D87"/>
    <w:rsid w:val="002D79BB"/>
    <w:rsid w:val="002E0918"/>
    <w:rsid w:val="002E0B5A"/>
    <w:rsid w:val="002E7513"/>
    <w:rsid w:val="002F16BD"/>
    <w:rsid w:val="002F48AC"/>
    <w:rsid w:val="00302B48"/>
    <w:rsid w:val="003201DB"/>
    <w:rsid w:val="00320454"/>
    <w:rsid w:val="003353AB"/>
    <w:rsid w:val="00335673"/>
    <w:rsid w:val="00335F8D"/>
    <w:rsid w:val="00340565"/>
    <w:rsid w:val="003432B2"/>
    <w:rsid w:val="003446EE"/>
    <w:rsid w:val="00347FEF"/>
    <w:rsid w:val="0035231A"/>
    <w:rsid w:val="003706A6"/>
    <w:rsid w:val="00377CC8"/>
    <w:rsid w:val="0038269C"/>
    <w:rsid w:val="00394CAA"/>
    <w:rsid w:val="003A071B"/>
    <w:rsid w:val="003A384F"/>
    <w:rsid w:val="003A430E"/>
    <w:rsid w:val="003C3D8E"/>
    <w:rsid w:val="003C7EE4"/>
    <w:rsid w:val="003D0BAE"/>
    <w:rsid w:val="003D7D21"/>
    <w:rsid w:val="003E6A0B"/>
    <w:rsid w:val="003F2ED2"/>
    <w:rsid w:val="003F68DF"/>
    <w:rsid w:val="003F7F21"/>
    <w:rsid w:val="004140FF"/>
    <w:rsid w:val="00414EA2"/>
    <w:rsid w:val="00416AE0"/>
    <w:rsid w:val="004341E7"/>
    <w:rsid w:val="00435D9F"/>
    <w:rsid w:val="00437010"/>
    <w:rsid w:val="004412A6"/>
    <w:rsid w:val="0044161B"/>
    <w:rsid w:val="00443077"/>
    <w:rsid w:val="004458CE"/>
    <w:rsid w:val="00452E52"/>
    <w:rsid w:val="004557F6"/>
    <w:rsid w:val="00462D0D"/>
    <w:rsid w:val="00463325"/>
    <w:rsid w:val="004648D6"/>
    <w:rsid w:val="00470D86"/>
    <w:rsid w:val="00475D2D"/>
    <w:rsid w:val="004851B3"/>
    <w:rsid w:val="004977F7"/>
    <w:rsid w:val="004A2435"/>
    <w:rsid w:val="004A28E0"/>
    <w:rsid w:val="004B0BBF"/>
    <w:rsid w:val="004B3F32"/>
    <w:rsid w:val="004B6345"/>
    <w:rsid w:val="004C415C"/>
    <w:rsid w:val="004D4659"/>
    <w:rsid w:val="004D534E"/>
    <w:rsid w:val="004E0816"/>
    <w:rsid w:val="004E1443"/>
    <w:rsid w:val="004E26A4"/>
    <w:rsid w:val="004E6F02"/>
    <w:rsid w:val="004F686A"/>
    <w:rsid w:val="00502EE7"/>
    <w:rsid w:val="005042A2"/>
    <w:rsid w:val="00511931"/>
    <w:rsid w:val="00526C08"/>
    <w:rsid w:val="00531038"/>
    <w:rsid w:val="00531B44"/>
    <w:rsid w:val="0053636D"/>
    <w:rsid w:val="00537F4C"/>
    <w:rsid w:val="00545CD3"/>
    <w:rsid w:val="00567A74"/>
    <w:rsid w:val="005833FE"/>
    <w:rsid w:val="005855BA"/>
    <w:rsid w:val="005A1EA8"/>
    <w:rsid w:val="005A55D4"/>
    <w:rsid w:val="005B3625"/>
    <w:rsid w:val="005C2E79"/>
    <w:rsid w:val="005C51F2"/>
    <w:rsid w:val="005D442D"/>
    <w:rsid w:val="005E0CD8"/>
    <w:rsid w:val="005E2C31"/>
    <w:rsid w:val="005E71B3"/>
    <w:rsid w:val="005F41AA"/>
    <w:rsid w:val="005F5ED1"/>
    <w:rsid w:val="006308D3"/>
    <w:rsid w:val="0064180B"/>
    <w:rsid w:val="00644C30"/>
    <w:rsid w:val="00645F60"/>
    <w:rsid w:val="00650468"/>
    <w:rsid w:val="006567CC"/>
    <w:rsid w:val="006669AD"/>
    <w:rsid w:val="00674BCF"/>
    <w:rsid w:val="0067514A"/>
    <w:rsid w:val="006833D2"/>
    <w:rsid w:val="00685355"/>
    <w:rsid w:val="00686146"/>
    <w:rsid w:val="00690146"/>
    <w:rsid w:val="006A2F1A"/>
    <w:rsid w:val="006B7FE8"/>
    <w:rsid w:val="006C2BC9"/>
    <w:rsid w:val="006C42B2"/>
    <w:rsid w:val="006F0D7B"/>
    <w:rsid w:val="006F1155"/>
    <w:rsid w:val="006F6137"/>
    <w:rsid w:val="007018E8"/>
    <w:rsid w:val="00702967"/>
    <w:rsid w:val="00705D7B"/>
    <w:rsid w:val="0071161A"/>
    <w:rsid w:val="007166AC"/>
    <w:rsid w:val="00730C35"/>
    <w:rsid w:val="00732198"/>
    <w:rsid w:val="00735AA5"/>
    <w:rsid w:val="00736406"/>
    <w:rsid w:val="0074031C"/>
    <w:rsid w:val="0074440E"/>
    <w:rsid w:val="00751B0F"/>
    <w:rsid w:val="00752FCE"/>
    <w:rsid w:val="0075737F"/>
    <w:rsid w:val="0076077D"/>
    <w:rsid w:val="00794128"/>
    <w:rsid w:val="007A3629"/>
    <w:rsid w:val="007A5F4B"/>
    <w:rsid w:val="007A6B5E"/>
    <w:rsid w:val="007B7742"/>
    <w:rsid w:val="007C36CC"/>
    <w:rsid w:val="007C4341"/>
    <w:rsid w:val="007D6E08"/>
    <w:rsid w:val="007F06AF"/>
    <w:rsid w:val="007F39C0"/>
    <w:rsid w:val="007F3AF0"/>
    <w:rsid w:val="007F648A"/>
    <w:rsid w:val="00801796"/>
    <w:rsid w:val="00802029"/>
    <w:rsid w:val="0081082C"/>
    <w:rsid w:val="008116D6"/>
    <w:rsid w:val="00817F6A"/>
    <w:rsid w:val="008203CF"/>
    <w:rsid w:val="00830132"/>
    <w:rsid w:val="00836F82"/>
    <w:rsid w:val="00846C49"/>
    <w:rsid w:val="00853AB3"/>
    <w:rsid w:val="00854853"/>
    <w:rsid w:val="00857F4D"/>
    <w:rsid w:val="008611D0"/>
    <w:rsid w:val="00864BB8"/>
    <w:rsid w:val="0086510E"/>
    <w:rsid w:val="00872BE1"/>
    <w:rsid w:val="00874B76"/>
    <w:rsid w:val="008761E1"/>
    <w:rsid w:val="00886ADD"/>
    <w:rsid w:val="0089377B"/>
    <w:rsid w:val="008A0B0D"/>
    <w:rsid w:val="008A11DD"/>
    <w:rsid w:val="008A35FA"/>
    <w:rsid w:val="008B5BC6"/>
    <w:rsid w:val="00902672"/>
    <w:rsid w:val="0090607F"/>
    <w:rsid w:val="0092274D"/>
    <w:rsid w:val="0093461B"/>
    <w:rsid w:val="009532CB"/>
    <w:rsid w:val="009551BC"/>
    <w:rsid w:val="009578CF"/>
    <w:rsid w:val="009672B1"/>
    <w:rsid w:val="009829A4"/>
    <w:rsid w:val="00983A14"/>
    <w:rsid w:val="0098556E"/>
    <w:rsid w:val="009923E7"/>
    <w:rsid w:val="009934AB"/>
    <w:rsid w:val="009A3389"/>
    <w:rsid w:val="009A68BE"/>
    <w:rsid w:val="009B2B29"/>
    <w:rsid w:val="009C0C1E"/>
    <w:rsid w:val="009C41A4"/>
    <w:rsid w:val="009D3944"/>
    <w:rsid w:val="009D4953"/>
    <w:rsid w:val="009D5DDE"/>
    <w:rsid w:val="009D6450"/>
    <w:rsid w:val="009E52E9"/>
    <w:rsid w:val="009E5FD4"/>
    <w:rsid w:val="009E6639"/>
    <w:rsid w:val="009F3D95"/>
    <w:rsid w:val="00A10D0A"/>
    <w:rsid w:val="00A11053"/>
    <w:rsid w:val="00A11E28"/>
    <w:rsid w:val="00A1326C"/>
    <w:rsid w:val="00A342F6"/>
    <w:rsid w:val="00A35447"/>
    <w:rsid w:val="00A404AE"/>
    <w:rsid w:val="00A407A4"/>
    <w:rsid w:val="00A447D8"/>
    <w:rsid w:val="00A47FE3"/>
    <w:rsid w:val="00A54109"/>
    <w:rsid w:val="00A64143"/>
    <w:rsid w:val="00A65542"/>
    <w:rsid w:val="00A65DA2"/>
    <w:rsid w:val="00A84FB0"/>
    <w:rsid w:val="00A90A8F"/>
    <w:rsid w:val="00A92454"/>
    <w:rsid w:val="00A94773"/>
    <w:rsid w:val="00AB3163"/>
    <w:rsid w:val="00AC6550"/>
    <w:rsid w:val="00AD1205"/>
    <w:rsid w:val="00AD1618"/>
    <w:rsid w:val="00AE1110"/>
    <w:rsid w:val="00AE1F1F"/>
    <w:rsid w:val="00AF065D"/>
    <w:rsid w:val="00AF2DCB"/>
    <w:rsid w:val="00AF5CDF"/>
    <w:rsid w:val="00B0068C"/>
    <w:rsid w:val="00B15F59"/>
    <w:rsid w:val="00B363D7"/>
    <w:rsid w:val="00B41A89"/>
    <w:rsid w:val="00B472E3"/>
    <w:rsid w:val="00B75D80"/>
    <w:rsid w:val="00B8289E"/>
    <w:rsid w:val="00B8762A"/>
    <w:rsid w:val="00B92586"/>
    <w:rsid w:val="00BA3D54"/>
    <w:rsid w:val="00BD1AB7"/>
    <w:rsid w:val="00BE1EFA"/>
    <w:rsid w:val="00BE569D"/>
    <w:rsid w:val="00BE6554"/>
    <w:rsid w:val="00BF438E"/>
    <w:rsid w:val="00C01A74"/>
    <w:rsid w:val="00C105AB"/>
    <w:rsid w:val="00C22A1F"/>
    <w:rsid w:val="00C271B6"/>
    <w:rsid w:val="00C3721B"/>
    <w:rsid w:val="00C40605"/>
    <w:rsid w:val="00C43103"/>
    <w:rsid w:val="00C527A2"/>
    <w:rsid w:val="00C63F1E"/>
    <w:rsid w:val="00C91C51"/>
    <w:rsid w:val="00CB140F"/>
    <w:rsid w:val="00CB20FE"/>
    <w:rsid w:val="00CB4032"/>
    <w:rsid w:val="00CB5636"/>
    <w:rsid w:val="00CD1D19"/>
    <w:rsid w:val="00CD44F8"/>
    <w:rsid w:val="00CF7DD8"/>
    <w:rsid w:val="00D11B6E"/>
    <w:rsid w:val="00D1223B"/>
    <w:rsid w:val="00D16D86"/>
    <w:rsid w:val="00D16E8F"/>
    <w:rsid w:val="00D23483"/>
    <w:rsid w:val="00D25CF3"/>
    <w:rsid w:val="00D34082"/>
    <w:rsid w:val="00D341C1"/>
    <w:rsid w:val="00D40246"/>
    <w:rsid w:val="00D5237D"/>
    <w:rsid w:val="00D55BEA"/>
    <w:rsid w:val="00D60E6D"/>
    <w:rsid w:val="00D83324"/>
    <w:rsid w:val="00D93D18"/>
    <w:rsid w:val="00D943E2"/>
    <w:rsid w:val="00DA0EB6"/>
    <w:rsid w:val="00DA25C0"/>
    <w:rsid w:val="00DA6D11"/>
    <w:rsid w:val="00DC188E"/>
    <w:rsid w:val="00DD2F9A"/>
    <w:rsid w:val="00DE1B1E"/>
    <w:rsid w:val="00DE2F67"/>
    <w:rsid w:val="00E13E1A"/>
    <w:rsid w:val="00E2744F"/>
    <w:rsid w:val="00E4635E"/>
    <w:rsid w:val="00E46E58"/>
    <w:rsid w:val="00E6030C"/>
    <w:rsid w:val="00E63A92"/>
    <w:rsid w:val="00E67BF3"/>
    <w:rsid w:val="00E70EB7"/>
    <w:rsid w:val="00E75438"/>
    <w:rsid w:val="00E7699F"/>
    <w:rsid w:val="00E831F0"/>
    <w:rsid w:val="00E91404"/>
    <w:rsid w:val="00E92DC4"/>
    <w:rsid w:val="00EB3CCA"/>
    <w:rsid w:val="00EB52BC"/>
    <w:rsid w:val="00EB5B1E"/>
    <w:rsid w:val="00EC387D"/>
    <w:rsid w:val="00EC481B"/>
    <w:rsid w:val="00EC7543"/>
    <w:rsid w:val="00ED7959"/>
    <w:rsid w:val="00EE0086"/>
    <w:rsid w:val="00EE38CD"/>
    <w:rsid w:val="00EE5C00"/>
    <w:rsid w:val="00EF7B57"/>
    <w:rsid w:val="00F00655"/>
    <w:rsid w:val="00F00AC1"/>
    <w:rsid w:val="00F02B0E"/>
    <w:rsid w:val="00F10B06"/>
    <w:rsid w:val="00F11CBF"/>
    <w:rsid w:val="00F12C41"/>
    <w:rsid w:val="00F1428A"/>
    <w:rsid w:val="00F15EE6"/>
    <w:rsid w:val="00F21DA7"/>
    <w:rsid w:val="00F27F44"/>
    <w:rsid w:val="00F51D3B"/>
    <w:rsid w:val="00F60AB7"/>
    <w:rsid w:val="00F62715"/>
    <w:rsid w:val="00F62B39"/>
    <w:rsid w:val="00F64DE9"/>
    <w:rsid w:val="00F73864"/>
    <w:rsid w:val="00F74850"/>
    <w:rsid w:val="00F80086"/>
    <w:rsid w:val="00F8160B"/>
    <w:rsid w:val="00F85ACE"/>
    <w:rsid w:val="00F95861"/>
    <w:rsid w:val="00FA47E1"/>
    <w:rsid w:val="00FA7ACF"/>
    <w:rsid w:val="00FB0188"/>
    <w:rsid w:val="00FD060C"/>
    <w:rsid w:val="00FD481C"/>
    <w:rsid w:val="00FD7CD5"/>
    <w:rsid w:val="00FF4480"/>
    <w:rsid w:val="06407329"/>
    <w:rsid w:val="08EF9C87"/>
    <w:rsid w:val="0AFB5F57"/>
    <w:rsid w:val="0C4390D7"/>
    <w:rsid w:val="108F9777"/>
    <w:rsid w:val="16364332"/>
    <w:rsid w:val="1651971D"/>
    <w:rsid w:val="171683D4"/>
    <w:rsid w:val="187D7677"/>
    <w:rsid w:val="1CD1A686"/>
    <w:rsid w:val="1D695A1B"/>
    <w:rsid w:val="1DA1FD9B"/>
    <w:rsid w:val="1DDEB4D5"/>
    <w:rsid w:val="29C8CF5C"/>
    <w:rsid w:val="2AEBC52B"/>
    <w:rsid w:val="2D764EE0"/>
    <w:rsid w:val="2E0C9253"/>
    <w:rsid w:val="3267EA93"/>
    <w:rsid w:val="35C067D0"/>
    <w:rsid w:val="39B2FD9C"/>
    <w:rsid w:val="3A5A0201"/>
    <w:rsid w:val="3AA1BDEC"/>
    <w:rsid w:val="3CAA513E"/>
    <w:rsid w:val="3E42E24F"/>
    <w:rsid w:val="3E8C91C4"/>
    <w:rsid w:val="3EA4C27E"/>
    <w:rsid w:val="3EB9A48E"/>
    <w:rsid w:val="42FCFFB0"/>
    <w:rsid w:val="437A8170"/>
    <w:rsid w:val="44954579"/>
    <w:rsid w:val="44FA4E7C"/>
    <w:rsid w:val="467CB1F7"/>
    <w:rsid w:val="485BB1F5"/>
    <w:rsid w:val="4985B974"/>
    <w:rsid w:val="4BA3BEC9"/>
    <w:rsid w:val="4F231005"/>
    <w:rsid w:val="567D521B"/>
    <w:rsid w:val="56CC8DBF"/>
    <w:rsid w:val="57D27BDA"/>
    <w:rsid w:val="5BA45A1B"/>
    <w:rsid w:val="5D9B36D7"/>
    <w:rsid w:val="60B6D755"/>
    <w:rsid w:val="63DB4CED"/>
    <w:rsid w:val="66F0B1B2"/>
    <w:rsid w:val="67F87F10"/>
    <w:rsid w:val="69CF66E9"/>
    <w:rsid w:val="6C94C953"/>
    <w:rsid w:val="6D43722E"/>
    <w:rsid w:val="6FBD1E08"/>
    <w:rsid w:val="705C5BC4"/>
    <w:rsid w:val="7185C4A2"/>
    <w:rsid w:val="71D540FC"/>
    <w:rsid w:val="75393374"/>
    <w:rsid w:val="77E78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E1979"/>
  <w15:docId w15:val="{5C45D164-4693-4704-A94A-8FB95342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DFA"/>
    <w:pPr>
      <w:widowControl/>
      <w:autoSpaceDE/>
      <w:autoSpaceDN/>
      <w:adjustRightInd/>
      <w:spacing w:after="20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DFA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04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1D5613F8-CFCC-4CF5-9DE5-77E2678CAE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94CA07-7309-4B5E-AF08-2F3B49EE30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1831</Words>
  <Characters>10988</Characters>
  <Application>Microsoft Office Word</Application>
  <DocSecurity>0</DocSecurity>
  <Lines>91</Lines>
  <Paragraphs>25</Paragraphs>
  <ScaleCrop>false</ScaleCrop>
  <Company>MRR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Kaniuka</dc:creator>
  <cp:keywords/>
  <cp:lastModifiedBy>Magdalena Widlicka</cp:lastModifiedBy>
  <cp:revision>162</cp:revision>
  <dcterms:created xsi:type="dcterms:W3CDTF">2025-12-31T06:27:00Z</dcterms:created>
  <dcterms:modified xsi:type="dcterms:W3CDTF">2026-01-26T17:36:00Z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9065ae30-dfde-4d18-b0a7-921279427982</vt:lpwstr>
  </property>
  <property fmtid="{D5CDD505-2E9C-101B-9397-08002B2CF9AE}" pid="3" name="bjSaver">
    <vt:lpwstr>AlEha9vVWOJjKnpEsD0pipbj2pL0KMK+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5" name="bjDocumentLabelXML-0">
    <vt:lpwstr>ames.com/2008/01/sie/internal/label"&gt;&lt;element uid="89790441-96e2-477c-afd4-1e96c2fd8935" value="" /&gt;&lt;/sisl&gt;</vt:lpwstr>
  </property>
  <property fmtid="{D5CDD505-2E9C-101B-9397-08002B2CF9AE}" pid="6" name="bjDocumentSecurityLabel">
    <vt:lpwstr>JAWNE</vt:lpwstr>
  </property>
  <property fmtid="{D5CDD505-2E9C-101B-9397-08002B2CF9AE}" pid="7" name="bjClsUserRVM">
    <vt:lpwstr>[]</vt:lpwstr>
  </property>
</Properties>
</file>