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759C" w14:textId="77777777" w:rsidR="00C93278" w:rsidRPr="003B13C3" w:rsidRDefault="00CA2841" w:rsidP="000D60F3">
      <w:pPr>
        <w:spacing w:after="0" w:line="240" w:lineRule="auto"/>
        <w:jc w:val="center"/>
        <w:rPr>
          <w:rFonts w:cstheme="minorHAnsi"/>
          <w:b/>
          <w:bCs/>
        </w:rPr>
      </w:pPr>
      <w:bookmarkStart w:id="0" w:name="_Hlk107398740"/>
      <w:r w:rsidRPr="003B13C3">
        <w:rPr>
          <w:rFonts w:cstheme="minorHAnsi"/>
          <w:b/>
          <w:bCs/>
        </w:rPr>
        <w:t xml:space="preserve">Uwagi </w:t>
      </w:r>
    </w:p>
    <w:p w14:paraId="653DA768" w14:textId="2D15FB22" w:rsidR="00894E5C" w:rsidRPr="003B13C3" w:rsidRDefault="00CA2841" w:rsidP="000D60F3">
      <w:pPr>
        <w:spacing w:after="0" w:line="240" w:lineRule="auto"/>
        <w:jc w:val="center"/>
        <w:rPr>
          <w:rFonts w:cstheme="minorHAnsi"/>
          <w:b/>
          <w:bCs/>
        </w:rPr>
      </w:pPr>
      <w:r w:rsidRPr="003B13C3">
        <w:rPr>
          <w:rFonts w:cstheme="minorHAnsi"/>
          <w:b/>
          <w:bCs/>
        </w:rPr>
        <w:t>do projektu</w:t>
      </w:r>
      <w:bookmarkStart w:id="1" w:name="_Hlk163464623"/>
      <w:r w:rsidR="00894E5C" w:rsidRPr="003B13C3">
        <w:rPr>
          <w:rFonts w:cstheme="minorHAnsi"/>
          <w:b/>
          <w:bCs/>
        </w:rPr>
        <w:t xml:space="preserve"> </w:t>
      </w:r>
      <w:r w:rsidR="001B2D47" w:rsidRPr="003B13C3">
        <w:rPr>
          <w:rFonts w:cstheme="minorHAnsi"/>
          <w:b/>
          <w:bCs/>
        </w:rPr>
        <w:t>ustawy o zmianie ustawy o udostępnianiu informacji o środowisku i jego ochronie, udziale społeczeństwa w ochronie środowiska oraz o ocenach oddziaływania na środowisko oraz niektórych innych ustaw</w:t>
      </w:r>
    </w:p>
    <w:bookmarkEnd w:id="1"/>
    <w:p w14:paraId="304455B3" w14:textId="20159504" w:rsidR="00CA2841" w:rsidRPr="003B13C3" w:rsidRDefault="00B91BB7" w:rsidP="000D60F3">
      <w:pPr>
        <w:spacing w:after="0" w:line="240" w:lineRule="auto"/>
        <w:jc w:val="center"/>
        <w:rPr>
          <w:rFonts w:cstheme="minorHAnsi"/>
          <w:b/>
          <w:bCs/>
        </w:rPr>
      </w:pPr>
      <w:r w:rsidRPr="003B13C3">
        <w:rPr>
          <w:rFonts w:cstheme="minorHAnsi"/>
          <w:b/>
          <w:bCs/>
        </w:rPr>
        <w:t>(</w:t>
      </w:r>
      <w:r w:rsidR="00894E5C" w:rsidRPr="003B13C3">
        <w:rPr>
          <w:rFonts w:cstheme="minorHAnsi"/>
          <w:b/>
          <w:bCs/>
        </w:rPr>
        <w:t>nr</w:t>
      </w:r>
      <w:r w:rsidR="001B2D47" w:rsidRPr="003B13C3">
        <w:rPr>
          <w:rFonts w:cstheme="minorHAnsi"/>
          <w:b/>
          <w:bCs/>
        </w:rPr>
        <w:t xml:space="preserve"> UD224</w:t>
      </w:r>
      <w:r w:rsidR="00A01497" w:rsidRPr="003B13C3">
        <w:rPr>
          <w:rFonts w:cstheme="minorHAnsi"/>
          <w:b/>
          <w:bCs/>
        </w:rPr>
        <w:t xml:space="preserve"> </w:t>
      </w:r>
      <w:r w:rsidR="00894E5C" w:rsidRPr="003B13C3">
        <w:rPr>
          <w:rFonts w:cstheme="minorHAnsi"/>
          <w:b/>
          <w:bCs/>
        </w:rPr>
        <w:t>w Wykazie prac legislacyjnych i programowych Rady Ministrów)</w:t>
      </w:r>
    </w:p>
    <w:bookmarkEnd w:id="0"/>
    <w:p w14:paraId="425E1B82" w14:textId="7547DC77" w:rsidR="7CD31248" w:rsidRPr="003B13C3" w:rsidRDefault="7CD31248" w:rsidP="000D60F3">
      <w:pPr>
        <w:spacing w:after="0" w:line="240" w:lineRule="auto"/>
        <w:jc w:val="center"/>
        <w:rPr>
          <w:rFonts w:cstheme="minorHAnsi"/>
          <w:b/>
          <w:bCs/>
        </w:rPr>
      </w:pPr>
    </w:p>
    <w:p w14:paraId="22900947" w14:textId="5F7A8C5B" w:rsidR="7CD31248" w:rsidRPr="003B13C3" w:rsidRDefault="7CD31248" w:rsidP="000D60F3">
      <w:pPr>
        <w:spacing w:after="0" w:line="240" w:lineRule="auto"/>
        <w:jc w:val="center"/>
        <w:rPr>
          <w:rFonts w:eastAsia="Lato" w:cstheme="minorHAnsi"/>
          <w:b/>
          <w:bCs/>
        </w:rPr>
      </w:pPr>
    </w:p>
    <w:p w14:paraId="12C8E14A" w14:textId="5FE3F56C" w:rsidR="6BA26306" w:rsidRPr="003B13C3" w:rsidRDefault="6BA26306" w:rsidP="000D60F3">
      <w:pPr>
        <w:spacing w:after="0" w:line="240" w:lineRule="auto"/>
        <w:jc w:val="center"/>
        <w:rPr>
          <w:rFonts w:cstheme="minorHAnsi"/>
        </w:rPr>
      </w:pPr>
      <w:r w:rsidRPr="003B13C3">
        <w:rPr>
          <w:rFonts w:eastAsia="Lato" w:cstheme="minorHAnsi"/>
        </w:rPr>
        <w:t xml:space="preserve"> </w:t>
      </w:r>
    </w:p>
    <w:tbl>
      <w:tblPr>
        <w:tblStyle w:val="Tabela-Siatka"/>
        <w:tblW w:w="0" w:type="auto"/>
        <w:tblInd w:w="90" w:type="dxa"/>
        <w:tblLook w:val="04A0" w:firstRow="1" w:lastRow="0" w:firstColumn="1" w:lastColumn="0" w:noHBand="0" w:noVBand="1"/>
      </w:tblPr>
      <w:tblGrid>
        <w:gridCol w:w="708"/>
        <w:gridCol w:w="1397"/>
        <w:gridCol w:w="2434"/>
        <w:gridCol w:w="4623"/>
        <w:gridCol w:w="3803"/>
        <w:gridCol w:w="1371"/>
      </w:tblGrid>
      <w:tr w:rsidR="7CD31248" w:rsidRPr="003B13C3" w14:paraId="45199F8F" w14:textId="77777777" w:rsidTr="00427AB9">
        <w:trPr>
          <w:trHeight w:val="555"/>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4FB8C530" w14:textId="400B91B9" w:rsidR="7CD31248" w:rsidRPr="00427AB9" w:rsidRDefault="7CD31248" w:rsidP="00427AB9">
            <w:pPr>
              <w:rPr>
                <w:rFonts w:cstheme="minorHAnsi"/>
              </w:rPr>
            </w:pPr>
            <w:r w:rsidRPr="00427AB9">
              <w:rPr>
                <w:rFonts w:eastAsia="Lato" w:cstheme="minorHAnsi"/>
                <w:b/>
                <w:bCs/>
              </w:rPr>
              <w:t>Lp.</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59978C6B" w14:textId="23D59353" w:rsidR="7CD31248" w:rsidRPr="003B13C3" w:rsidRDefault="7CD31248" w:rsidP="000D60F3">
            <w:pPr>
              <w:jc w:val="center"/>
              <w:rPr>
                <w:rFonts w:cstheme="minorHAnsi"/>
              </w:rPr>
            </w:pPr>
            <w:r w:rsidRPr="003B13C3">
              <w:rPr>
                <w:rFonts w:eastAsia="Lato" w:cstheme="minorHAnsi"/>
                <w:b/>
                <w:bCs/>
              </w:rPr>
              <w:t>Podmiot wnoszący uwagę</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28503A14" w14:textId="494F27C1" w:rsidR="7CD31248" w:rsidRPr="003B13C3" w:rsidRDefault="7CD31248" w:rsidP="000D60F3">
            <w:pPr>
              <w:jc w:val="center"/>
              <w:rPr>
                <w:rFonts w:cstheme="minorHAnsi"/>
              </w:rPr>
            </w:pPr>
            <w:r w:rsidRPr="003B13C3">
              <w:rPr>
                <w:rFonts w:eastAsia="Lato" w:cstheme="minorHAnsi"/>
                <w:b/>
                <w:bCs/>
              </w:rPr>
              <w:t>Jednostka redakcyjna, do której wnoszona jest uwaga</w:t>
            </w:r>
            <w:hyperlink r:id="rId8" w:anchor="_ftn1">
              <w:r w:rsidRPr="003B13C3">
                <w:rPr>
                  <w:rStyle w:val="Hipercze"/>
                  <w:rFonts w:eastAsia="Lato" w:cstheme="minorHAnsi"/>
                  <w:b/>
                  <w:bCs/>
                  <w:vertAlign w:val="superscript"/>
                </w:rPr>
                <w:t>1)</w:t>
              </w:r>
            </w:hyperlink>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178A7B7B" w14:textId="0F215D0F" w:rsidR="7CD31248" w:rsidRPr="003B13C3" w:rsidRDefault="7CD31248" w:rsidP="000D60F3">
            <w:pPr>
              <w:jc w:val="center"/>
              <w:rPr>
                <w:rFonts w:cstheme="minorHAnsi"/>
              </w:rPr>
            </w:pPr>
            <w:r w:rsidRPr="003B13C3">
              <w:rPr>
                <w:rFonts w:eastAsia="Lato" w:cstheme="minorHAnsi"/>
                <w:b/>
                <w:bCs/>
              </w:rPr>
              <w:t>Treść uwagi</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309AC8BA" w14:textId="3803F7F1" w:rsidR="7CD31248" w:rsidRPr="003B13C3" w:rsidRDefault="7CD31248" w:rsidP="000D60F3">
            <w:pPr>
              <w:jc w:val="center"/>
              <w:rPr>
                <w:rFonts w:cstheme="minorHAnsi"/>
              </w:rPr>
            </w:pPr>
            <w:r w:rsidRPr="003B13C3">
              <w:rPr>
                <w:rFonts w:eastAsia="Lato" w:cstheme="minorHAnsi"/>
                <w:b/>
                <w:bCs/>
              </w:rPr>
              <w:t>Propozycja brzmienia przepisu</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10E08DB3" w14:textId="509CE039" w:rsidR="7CD31248" w:rsidRPr="003B13C3" w:rsidRDefault="7CD31248" w:rsidP="000D60F3">
            <w:pPr>
              <w:jc w:val="center"/>
              <w:rPr>
                <w:rFonts w:cstheme="minorHAnsi"/>
              </w:rPr>
            </w:pPr>
            <w:r w:rsidRPr="003B13C3">
              <w:rPr>
                <w:rFonts w:eastAsia="Lato" w:cstheme="minorHAnsi"/>
                <w:b/>
                <w:bCs/>
              </w:rPr>
              <w:t>Stanowisko do uwagi</w:t>
            </w:r>
          </w:p>
        </w:tc>
      </w:tr>
      <w:tr w:rsidR="003D43D7" w:rsidRPr="003B13C3" w14:paraId="1C76C754"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4A6898B5" w14:textId="77777777" w:rsidR="003D43D7" w:rsidRPr="002F3846" w:rsidRDefault="003D43D7"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29B7351E" w14:textId="4AD79AEC" w:rsidR="003D43D7" w:rsidRPr="003B13C3" w:rsidRDefault="003D43D7"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747D7FCF" w14:textId="056057A1" w:rsidR="003D43D7" w:rsidRPr="003B13C3" w:rsidRDefault="003D43D7" w:rsidP="000D60F3">
            <w:pPr>
              <w:jc w:val="both"/>
              <w:rPr>
                <w:rFonts w:eastAsia="Lato" w:cstheme="minorHAnsi"/>
              </w:rPr>
            </w:pPr>
            <w:r>
              <w:rPr>
                <w:rFonts w:eastAsia="Lato" w:cstheme="minorHAnsi"/>
              </w:rPr>
              <w:t>Uwaga ogólna</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0D9D2615" w14:textId="13F1E1B0" w:rsidR="003D43D7" w:rsidRPr="003B13C3" w:rsidRDefault="003D43D7" w:rsidP="00427AB9">
            <w:pPr>
              <w:spacing w:after="120"/>
              <w:jc w:val="both"/>
              <w:rPr>
                <w:rFonts w:cstheme="minorHAnsi"/>
              </w:rPr>
            </w:pPr>
            <w:r w:rsidRPr="003D43D7">
              <w:rPr>
                <w:rFonts w:cstheme="minorHAnsi"/>
              </w:rPr>
              <w:t xml:space="preserve">Wnioskujemy o to, </w:t>
            </w:r>
            <w:r>
              <w:rPr>
                <w:rFonts w:cstheme="minorHAnsi"/>
              </w:rPr>
              <w:t>żeby</w:t>
            </w:r>
            <w:r w:rsidRPr="003D43D7">
              <w:rPr>
                <w:rFonts w:cstheme="minorHAnsi"/>
              </w:rPr>
              <w:t xml:space="preserve"> terminy dotyczące strategicznej oceny oddziaływania na środowisko przeprowadzanej na potrzeby uchwalania planu ogólnego i planu miejscowego były zsynchronizowane z ustawą o planowaniu i zagospodarowaniu przestrzennym. </w:t>
            </w:r>
            <w:r>
              <w:rPr>
                <w:rFonts w:cstheme="minorHAnsi"/>
              </w:rPr>
              <w:br/>
            </w:r>
            <w:r w:rsidRPr="003D43D7">
              <w:rPr>
                <w:rFonts w:cstheme="minorHAnsi"/>
              </w:rPr>
              <w:t xml:space="preserve">W przeciwnym razie </w:t>
            </w:r>
            <w:r>
              <w:rPr>
                <w:rFonts w:cstheme="minorHAnsi"/>
              </w:rPr>
              <w:t xml:space="preserve">w naszej opinii </w:t>
            </w:r>
            <w:r w:rsidRPr="003D43D7">
              <w:rPr>
                <w:rFonts w:cstheme="minorHAnsi"/>
              </w:rPr>
              <w:t xml:space="preserve">nie uda się doprowadzić do skrócenia procedur uzyskiwania pozwoleń dla inwestycji OZE.  </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60CAAD19" w14:textId="77777777" w:rsidR="003D43D7" w:rsidRPr="003B13C3" w:rsidRDefault="003D43D7" w:rsidP="000D60F3">
            <w:pPr>
              <w:jc w:val="both"/>
              <w:rPr>
                <w:rFonts w:eastAsia="Lato" w:cstheme="minorHAnsi"/>
              </w:rPr>
            </w:pP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5A5F7E22" w14:textId="77777777" w:rsidR="003D43D7" w:rsidRPr="003B13C3" w:rsidRDefault="003D43D7" w:rsidP="000D60F3">
            <w:pPr>
              <w:jc w:val="both"/>
              <w:rPr>
                <w:rFonts w:eastAsia="Lato" w:cstheme="minorHAnsi"/>
              </w:rPr>
            </w:pPr>
          </w:p>
        </w:tc>
      </w:tr>
      <w:tr w:rsidR="00717860" w:rsidRPr="003B13C3" w14:paraId="182335C8"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3DF1C2FB" w14:textId="77777777" w:rsidR="00717860" w:rsidRPr="002F3846" w:rsidRDefault="00717860"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7ED1EB66" w14:textId="4121555C" w:rsidR="00717860" w:rsidRPr="003B13C3" w:rsidRDefault="000D60F3"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5640AE8D" w14:textId="674719E7" w:rsidR="00717860" w:rsidRPr="003B13C3" w:rsidRDefault="00797A85" w:rsidP="000D60F3">
            <w:pPr>
              <w:jc w:val="both"/>
              <w:rPr>
                <w:rFonts w:eastAsia="Lato" w:cstheme="minorHAnsi"/>
              </w:rPr>
            </w:pPr>
            <w:r w:rsidRPr="003B13C3">
              <w:rPr>
                <w:rFonts w:eastAsia="Lato" w:cstheme="minorHAnsi"/>
              </w:rPr>
              <w:t>Art. 1 pkt 4 lit. b w zakresie dodawanego do art. 33 ust. 3</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489D30A6" w14:textId="77777777" w:rsidR="00717860" w:rsidRPr="003B13C3" w:rsidRDefault="00717860" w:rsidP="00427AB9">
            <w:pPr>
              <w:spacing w:after="120"/>
              <w:jc w:val="both"/>
              <w:rPr>
                <w:rFonts w:cstheme="minorHAnsi"/>
              </w:rPr>
            </w:pPr>
            <w:r w:rsidRPr="003B13C3">
              <w:rPr>
                <w:rFonts w:cstheme="minorHAnsi"/>
              </w:rPr>
              <w:t>Proponowany przepis przewiduje możliwość wydłużenia okresu składania uwag i wniosków w ramach zapewnienia możliwości udziału społeczeństwa w przypadku „występowania okresów wakacyjnych, świątecznych i innych dni ustawowo wolnych od pracy, mogących ograniczyć możliwość odpowiedniego zapoznania się z niezbędną dokumentacją sprawy, jej analizą i sformułowaniem uwag i wniosków”.</w:t>
            </w:r>
          </w:p>
          <w:p w14:paraId="51603D66" w14:textId="7B7DB817" w:rsidR="00717860" w:rsidRPr="003B13C3" w:rsidRDefault="00717860" w:rsidP="000D60F3">
            <w:pPr>
              <w:spacing w:before="120" w:after="120"/>
              <w:jc w:val="both"/>
              <w:rPr>
                <w:rFonts w:cstheme="minorHAnsi"/>
              </w:rPr>
            </w:pPr>
            <w:r w:rsidRPr="003B13C3">
              <w:rPr>
                <w:rFonts w:cstheme="minorHAnsi"/>
              </w:rPr>
              <w:t xml:space="preserve">Proponowaną zmiana prawa jest </w:t>
            </w:r>
            <w:r w:rsidR="007A676D" w:rsidRPr="003B13C3">
              <w:rPr>
                <w:rFonts w:cstheme="minorHAnsi"/>
              </w:rPr>
              <w:t xml:space="preserve">w naszej ocenie </w:t>
            </w:r>
            <w:r w:rsidRPr="003B13C3">
              <w:rPr>
                <w:rFonts w:cstheme="minorHAnsi"/>
              </w:rPr>
              <w:t xml:space="preserve">zbędna i dodatkowo rodzi ryzyko nadużywania przez organy administracji publicznej możliwości wydłużania okresu konsultacji społecznych, co może prowadzić do przedłużania się postępowań o wydanie decyzji o środowiskowych uwarunkowaniach, które już obecnie są </w:t>
            </w:r>
            <w:r w:rsidR="00F16174" w:rsidRPr="003B13C3">
              <w:rPr>
                <w:rFonts w:cstheme="minorHAnsi"/>
              </w:rPr>
              <w:t>zdecydowanie</w:t>
            </w:r>
            <w:r w:rsidRPr="003B13C3">
              <w:rPr>
                <w:rFonts w:cstheme="minorHAnsi"/>
              </w:rPr>
              <w:t xml:space="preserve"> zbyt czasochłonne. Co więcej, </w:t>
            </w:r>
            <w:r w:rsidR="00F16174" w:rsidRPr="003B13C3">
              <w:rPr>
                <w:rFonts w:cstheme="minorHAnsi"/>
              </w:rPr>
              <w:br/>
            </w:r>
            <w:r w:rsidRPr="003B13C3">
              <w:rPr>
                <w:rFonts w:cstheme="minorHAnsi"/>
              </w:rPr>
              <w:t xml:space="preserve">w praktyce konsultacje społeczne </w:t>
            </w:r>
            <w:r w:rsidRPr="003B13C3">
              <w:rPr>
                <w:rFonts w:cstheme="minorHAnsi"/>
              </w:rPr>
              <w:lastRenderedPageBreak/>
              <w:t xml:space="preserve">przeprowadzane są nieraz więcej niż jednokrotnie w ramach jednego postępowania, ponieważ najmniejszy błąd w tym zakresie może prowadzić do uchylenia decyzji i organy przezornie przeprowadzają ten proces kilkukrotnie, </w:t>
            </w:r>
            <w:r w:rsidR="00263AFB" w:rsidRPr="003B13C3">
              <w:rPr>
                <w:rFonts w:cstheme="minorHAnsi"/>
              </w:rPr>
              <w:br/>
            </w:r>
            <w:r w:rsidRPr="003B13C3">
              <w:rPr>
                <w:rFonts w:cstheme="minorHAnsi"/>
              </w:rPr>
              <w:t>np. w przypadku wprowadzenia przez inwestora jakichkolwiek uzupełnień do dokumentacji projektowej.</w:t>
            </w:r>
          </w:p>
          <w:p w14:paraId="74205DE0" w14:textId="77777777" w:rsidR="00717860" w:rsidRPr="003B13C3" w:rsidRDefault="00717860" w:rsidP="000D60F3">
            <w:pPr>
              <w:spacing w:before="120" w:after="120"/>
              <w:jc w:val="both"/>
              <w:rPr>
                <w:rFonts w:cstheme="minorHAnsi"/>
              </w:rPr>
            </w:pPr>
            <w:r w:rsidRPr="003B13C3">
              <w:rPr>
                <w:rFonts w:cstheme="minorHAnsi"/>
              </w:rPr>
              <w:t>Z drugiej strony w dotychczasowej debacie społecznej na temat aktualnych rozwiązań przyjętych w ustawie z dnia 3 października 2008 r. o udostępnianiu informacji o środowisku i jego ochronie, udziale społeczeństwa w ochronie środowiska oraz o ocenach oddziaływania na środowisko</w:t>
            </w:r>
            <w:r w:rsidRPr="003B13C3">
              <w:rPr>
                <w:rStyle w:val="Odwoanieprzypisudolnego"/>
                <w:rFonts w:cstheme="minorHAnsi"/>
              </w:rPr>
              <w:footnoteReference w:id="1"/>
            </w:r>
            <w:r w:rsidRPr="003B13C3">
              <w:rPr>
                <w:rFonts w:cstheme="minorHAnsi"/>
              </w:rPr>
              <w:t xml:space="preserve"> („</w:t>
            </w:r>
            <w:r w:rsidRPr="003B13C3">
              <w:rPr>
                <w:rFonts w:cstheme="minorHAnsi"/>
                <w:b/>
                <w:bCs/>
              </w:rPr>
              <w:t>UOOŚ</w:t>
            </w:r>
            <w:r w:rsidRPr="003B13C3">
              <w:rPr>
                <w:rFonts w:cstheme="minorHAnsi"/>
              </w:rPr>
              <w:t xml:space="preserve">”) nie słychać było głosów ze strony społecznej, które wskazywałyby, iż 30-dniowy okres konsultacji społecznej jest zbyt krótki i pozbawia społeczeństwo realnej możliwości wzięcia udziału w postępowaniu. </w:t>
            </w:r>
          </w:p>
          <w:p w14:paraId="18BE42D4" w14:textId="77777777" w:rsidR="00717860" w:rsidRPr="003B13C3" w:rsidRDefault="00717860" w:rsidP="000D60F3">
            <w:pPr>
              <w:spacing w:before="120" w:after="120"/>
              <w:jc w:val="both"/>
              <w:rPr>
                <w:rFonts w:cstheme="minorHAnsi"/>
              </w:rPr>
            </w:pPr>
            <w:r w:rsidRPr="003B13C3">
              <w:rPr>
                <w:rFonts w:cstheme="minorHAnsi"/>
              </w:rPr>
              <w:t>Co więcej, docelowa cyfryzacja całego procesu wydawania decyzji o środowiskowych uwarunkowaniach (docelowe wprowadzenie systemu SOPOOŚ) tym bardziej znacząco ułatwi społeczeństwu możliwość aktywnego włączenia się w proces decyzyjny, niezależnie od tego, na jaki okres w roku przypadnie czas takich konsultacji społecznych.</w:t>
            </w:r>
          </w:p>
          <w:p w14:paraId="0A7532DD" w14:textId="789570E5" w:rsidR="00717860" w:rsidRPr="003B13C3" w:rsidRDefault="00717860" w:rsidP="000D60F3">
            <w:pPr>
              <w:jc w:val="both"/>
              <w:rPr>
                <w:rFonts w:eastAsia="Lato" w:cstheme="minorHAnsi"/>
              </w:rPr>
            </w:pPr>
            <w:r w:rsidRPr="003B13C3">
              <w:rPr>
                <w:rFonts w:cstheme="minorHAnsi"/>
              </w:rPr>
              <w:t xml:space="preserve">Dodatkowo warto zauważyć, że 60-dniowy okres zapewnienia możliwości udziału społeczeństwa </w:t>
            </w:r>
            <w:r w:rsidR="00690B4C" w:rsidRPr="003B13C3">
              <w:rPr>
                <w:rFonts w:cstheme="minorHAnsi"/>
              </w:rPr>
              <w:br/>
            </w:r>
            <w:r w:rsidRPr="003B13C3">
              <w:rPr>
                <w:rFonts w:cstheme="minorHAnsi"/>
              </w:rPr>
              <w:t xml:space="preserve">w procedurze wydawania decyzji </w:t>
            </w:r>
            <w:r w:rsidR="00690B4C" w:rsidRPr="003B13C3">
              <w:rPr>
                <w:rFonts w:cstheme="minorHAnsi"/>
              </w:rPr>
              <w:br/>
            </w:r>
            <w:r w:rsidRPr="003B13C3">
              <w:rPr>
                <w:rFonts w:cstheme="minorHAnsi"/>
              </w:rPr>
              <w:t xml:space="preserve">o środowiskowych uwarunkowaniach wyróżnia się na tle analogicznych rozwiązań przyjętych </w:t>
            </w:r>
            <w:r w:rsidR="00690B4C" w:rsidRPr="003B13C3">
              <w:rPr>
                <w:rFonts w:cstheme="minorHAnsi"/>
              </w:rPr>
              <w:br/>
            </w:r>
            <w:r w:rsidRPr="003B13C3">
              <w:rPr>
                <w:rFonts w:cstheme="minorHAnsi"/>
              </w:rPr>
              <w:t>w innych ustawach. Najlepszym tego przykładem jest ustawa z dnia 27 marca 2003 r. o planowaniu i zagospodarowaniu przestrzennym</w:t>
            </w:r>
            <w:r w:rsidRPr="003B13C3">
              <w:rPr>
                <w:rStyle w:val="Odwoanieprzypisudolnego"/>
                <w:rFonts w:cstheme="minorHAnsi"/>
              </w:rPr>
              <w:footnoteReference w:id="2"/>
            </w:r>
            <w:r w:rsidRPr="003B13C3">
              <w:rPr>
                <w:rFonts w:cstheme="minorHAnsi"/>
              </w:rPr>
              <w:t xml:space="preserve"> </w:t>
            </w:r>
            <w:r w:rsidR="008C7C8A" w:rsidRPr="003B13C3">
              <w:rPr>
                <w:rFonts w:cstheme="minorHAnsi"/>
              </w:rPr>
              <w:br/>
            </w:r>
            <w:r w:rsidRPr="003B13C3">
              <w:rPr>
                <w:rFonts w:cstheme="minorHAnsi"/>
              </w:rPr>
              <w:lastRenderedPageBreak/>
              <w:t xml:space="preserve">i przewidziana tam instytucja konsultacji społecznych (rozdział 1a tejże ustawy), które prowadzi się m.in. w trakcie uchwalania dokumentów planistycznych, czyli aktów prawa miejscowego wywierających dalece szersze </w:t>
            </w:r>
            <w:r w:rsidR="008C7C8A" w:rsidRPr="003B13C3">
              <w:rPr>
                <w:rFonts w:cstheme="minorHAnsi"/>
              </w:rPr>
              <w:br/>
            </w:r>
            <w:r w:rsidRPr="003B13C3">
              <w:rPr>
                <w:rFonts w:cstheme="minorHAnsi"/>
              </w:rPr>
              <w:t xml:space="preserve">i trwalsze skutki prawne niż decyzje </w:t>
            </w:r>
            <w:r w:rsidR="008C7C8A" w:rsidRPr="003B13C3">
              <w:rPr>
                <w:rFonts w:cstheme="minorHAnsi"/>
              </w:rPr>
              <w:br/>
            </w:r>
            <w:r w:rsidRPr="003B13C3">
              <w:rPr>
                <w:rFonts w:cstheme="minorHAnsi"/>
              </w:rPr>
              <w:t>o środowiskowych uwarunkowaniach wydawane dla indywidualnych przedsięwzięć. Minimalny czas trwania takich konsultacji społecznych wynosi 28 dni i jakkolwiek ustawa nie przewiduje górnego limitu, to nie zawiera także dodatkowych kryteriów (takich jak szeroko pojęte dni ustawowe wolne od pracy, obejmujące przecież także weekendy), które obligowałyby organy planistyczne do wyznaczania dłuższego okresu konsultacji społecznych.</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4D2D0161" w14:textId="01D5EC7F" w:rsidR="00717860" w:rsidRPr="003B13C3" w:rsidRDefault="0020413E" w:rsidP="000D60F3">
            <w:pPr>
              <w:jc w:val="both"/>
              <w:rPr>
                <w:rFonts w:eastAsia="Lato" w:cstheme="minorHAnsi"/>
              </w:rPr>
            </w:pPr>
            <w:r w:rsidRPr="003B13C3">
              <w:rPr>
                <w:rFonts w:eastAsia="Lato" w:cstheme="minorHAnsi"/>
              </w:rPr>
              <w:lastRenderedPageBreak/>
              <w:t>Proponujemy wykreślenie propozycji</w:t>
            </w:r>
            <w:r w:rsidR="00F5678E" w:rsidRPr="003B13C3">
              <w:rPr>
                <w:rFonts w:eastAsia="Lato" w:cstheme="minorHAnsi"/>
              </w:rPr>
              <w:t xml:space="preserve"> legislacyjnej</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529ACFD0" w14:textId="77777777" w:rsidR="00717860" w:rsidRPr="003B13C3" w:rsidRDefault="00717860" w:rsidP="000D60F3">
            <w:pPr>
              <w:jc w:val="both"/>
              <w:rPr>
                <w:rFonts w:eastAsia="Lato" w:cstheme="minorHAnsi"/>
              </w:rPr>
            </w:pPr>
          </w:p>
        </w:tc>
      </w:tr>
      <w:tr w:rsidR="00717860" w:rsidRPr="003B13C3" w14:paraId="7C3E89EC"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25041E12" w14:textId="412103A3" w:rsidR="00717860" w:rsidRPr="00427AB9" w:rsidRDefault="00717860"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0D8D3B00" w14:textId="122C1B53" w:rsidR="00717860"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767BE65A" w14:textId="1CE9EA86" w:rsidR="00717860" w:rsidRPr="003B13C3" w:rsidRDefault="00717860" w:rsidP="000D60F3">
            <w:pPr>
              <w:jc w:val="both"/>
              <w:rPr>
                <w:rFonts w:cstheme="minorHAnsi"/>
              </w:rPr>
            </w:pPr>
            <w:r w:rsidRPr="003B13C3">
              <w:rPr>
                <w:rFonts w:eastAsia="Lato" w:cstheme="minorHAnsi"/>
              </w:rPr>
              <w:t>Art. 1 pkt 7 w zakresie dodawanego do art. 48 ust. 9</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3EF55B8B" w14:textId="59DC758B" w:rsidR="00717860" w:rsidRPr="003B13C3" w:rsidRDefault="00717860" w:rsidP="000D60F3">
            <w:pPr>
              <w:jc w:val="both"/>
              <w:rPr>
                <w:rFonts w:cstheme="minorHAnsi"/>
              </w:rPr>
            </w:pPr>
            <w:r w:rsidRPr="003B13C3">
              <w:rPr>
                <w:rFonts w:eastAsia="Lato" w:cstheme="minorHAnsi"/>
              </w:rPr>
              <w:t>Poprawka o charakterze redakcyjnym korygującym numerację ze względu na fakt, że w ustawie jest już wprowadzony ust. 9.</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4587361D" w14:textId="6D84A56E" w:rsidR="00717860" w:rsidRPr="003B13C3" w:rsidRDefault="00717860" w:rsidP="000D60F3">
            <w:pPr>
              <w:jc w:val="both"/>
              <w:rPr>
                <w:rFonts w:cstheme="minorHAnsi"/>
              </w:rPr>
            </w:pPr>
            <w:r w:rsidRPr="003B13C3">
              <w:rPr>
                <w:rFonts w:eastAsia="Lato" w:cstheme="minorHAnsi"/>
              </w:rPr>
              <w:t>7) w art. 48 dodaje się ust.</w:t>
            </w:r>
            <w:r w:rsidRPr="003B13C3">
              <w:rPr>
                <w:rFonts w:eastAsia="Lato" w:cstheme="minorHAnsi"/>
                <w:strike/>
              </w:rPr>
              <w:t xml:space="preserve"> </w:t>
            </w:r>
            <w:r w:rsidRPr="003B13C3">
              <w:rPr>
                <w:rFonts w:eastAsia="Lato" w:cstheme="minorHAnsi"/>
                <w:b/>
                <w:bCs/>
                <w:i/>
                <w:iCs/>
                <w:strike/>
              </w:rPr>
              <w:t xml:space="preserve">9  </w:t>
            </w:r>
            <w:r w:rsidRPr="003B13C3">
              <w:rPr>
                <w:rFonts w:eastAsia="Lato" w:cstheme="minorHAnsi"/>
                <w:b/>
                <w:bCs/>
                <w:i/>
                <w:iCs/>
              </w:rPr>
              <w:t>10</w:t>
            </w:r>
            <w:r w:rsidRPr="003B13C3">
              <w:rPr>
                <w:rFonts w:eastAsia="Lato" w:cstheme="minorHAnsi"/>
              </w:rPr>
              <w:t xml:space="preserve"> w brzmieniu:</w:t>
            </w:r>
          </w:p>
          <w:p w14:paraId="3FF037CD" w14:textId="00F70A2B" w:rsidR="00717860" w:rsidRPr="003B13C3" w:rsidRDefault="00717860" w:rsidP="000D60F3">
            <w:pPr>
              <w:jc w:val="both"/>
              <w:rPr>
                <w:rFonts w:cstheme="minorHAnsi"/>
              </w:rPr>
            </w:pPr>
            <w:r w:rsidRPr="003B13C3">
              <w:rPr>
                <w:rFonts w:eastAsia="Lato" w:cstheme="minorHAnsi"/>
              </w:rPr>
              <w:t>„</w:t>
            </w:r>
            <w:r w:rsidRPr="003B13C3">
              <w:rPr>
                <w:rFonts w:eastAsia="Lato" w:cstheme="minorHAnsi"/>
                <w:b/>
                <w:bCs/>
                <w:i/>
                <w:iCs/>
                <w:strike/>
              </w:rPr>
              <w:t xml:space="preserve">9 </w:t>
            </w:r>
            <w:r w:rsidRPr="003B13C3">
              <w:rPr>
                <w:rFonts w:eastAsia="Lato" w:cstheme="minorHAnsi"/>
                <w:b/>
                <w:bCs/>
                <w:i/>
                <w:iCs/>
              </w:rPr>
              <w:t>10</w:t>
            </w:r>
            <w:r w:rsidRPr="003B13C3">
              <w:rPr>
                <w:rFonts w:eastAsia="Lato" w:cstheme="minorHAnsi"/>
              </w:rPr>
              <w:t>. Uzgodnienia, o którym mowa w ust. 1 i 2, dokonuje się w terminie 30 dni od dnia otrzymania wniosku o uzgodnienie.”;</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2276F320" w14:textId="2E23C957" w:rsidR="00717860" w:rsidRPr="003B13C3" w:rsidRDefault="00717860" w:rsidP="000D60F3">
            <w:pPr>
              <w:jc w:val="both"/>
              <w:rPr>
                <w:rFonts w:cstheme="minorHAnsi"/>
              </w:rPr>
            </w:pPr>
            <w:r w:rsidRPr="003B13C3">
              <w:rPr>
                <w:rFonts w:eastAsia="Lato" w:cstheme="minorHAnsi"/>
              </w:rPr>
              <w:t xml:space="preserve"> </w:t>
            </w:r>
          </w:p>
        </w:tc>
      </w:tr>
      <w:tr w:rsidR="005C32EF" w:rsidRPr="003B13C3" w14:paraId="2791556A"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1A6F68F9" w14:textId="77777777" w:rsidR="005C32EF" w:rsidRPr="00427AB9" w:rsidRDefault="005C32EF"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3F1AC886" w14:textId="3F62CF77" w:rsidR="005C32EF" w:rsidRPr="003B13C3" w:rsidRDefault="000D60F3"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018B9762" w14:textId="750C27D0" w:rsidR="005C32EF" w:rsidRPr="003B13C3" w:rsidRDefault="005C32EF" w:rsidP="000D60F3">
            <w:pPr>
              <w:jc w:val="both"/>
              <w:rPr>
                <w:rFonts w:eastAsia="Lato" w:cstheme="minorHAnsi"/>
              </w:rPr>
            </w:pPr>
            <w:r w:rsidRPr="003B13C3">
              <w:rPr>
                <w:rFonts w:cstheme="minorHAnsi"/>
              </w:rPr>
              <w:t>Art. 1 pkt 13 lit. a i pkt 16 lit. a Projektu</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022BB306" w14:textId="5CD98EB3" w:rsidR="005C32EF" w:rsidRPr="003B13C3" w:rsidRDefault="005C32EF" w:rsidP="000D60F3">
            <w:pPr>
              <w:spacing w:before="120" w:after="120"/>
              <w:jc w:val="both"/>
              <w:rPr>
                <w:rFonts w:cstheme="minorHAnsi"/>
              </w:rPr>
            </w:pPr>
            <w:r w:rsidRPr="003B13C3">
              <w:rPr>
                <w:rFonts w:cstheme="minorHAnsi"/>
              </w:rPr>
              <w:t xml:space="preserve">Proponowana zmiana zakłada wprowadzenie do obowiązkowych elementów karty informacyjnej przedsięwzięcia oraz raportu o oddziaływaniu przedsięwzięcia na środowisko </w:t>
            </w:r>
            <w:r w:rsidRPr="003B13C3">
              <w:rPr>
                <w:rFonts w:cstheme="minorHAnsi"/>
                <w:u w:val="single"/>
              </w:rPr>
              <w:t>zagadnienia emisji światła z planowanego przedsięwzięcia</w:t>
            </w:r>
            <w:r w:rsidRPr="003B13C3">
              <w:rPr>
                <w:rFonts w:cstheme="minorHAnsi"/>
              </w:rPr>
              <w:t xml:space="preserve">. </w:t>
            </w:r>
          </w:p>
          <w:p w14:paraId="633B4C89" w14:textId="6D649C93" w:rsidR="005C32EF" w:rsidRPr="003B13C3" w:rsidRDefault="005C32EF" w:rsidP="000D60F3">
            <w:pPr>
              <w:jc w:val="both"/>
              <w:rPr>
                <w:rFonts w:eastAsia="Lato" w:cstheme="minorHAnsi"/>
              </w:rPr>
            </w:pPr>
            <w:r w:rsidRPr="003B13C3">
              <w:rPr>
                <w:rFonts w:cstheme="minorHAnsi"/>
              </w:rPr>
              <w:t xml:space="preserve">Bazując na naszym doświadczeniu praktycznym stoimy na stanowisku, że włączenie do procesu analizy oddziaływania przedsięwzięć na środowisko kwestii „zanieczyszczenia światłem”, w świetle aktualnego stanu wiedzy na ten temat </w:t>
            </w:r>
            <w:r w:rsidR="00F04364" w:rsidRPr="003B13C3">
              <w:rPr>
                <w:rFonts w:cstheme="minorHAnsi"/>
              </w:rPr>
              <w:br/>
            </w:r>
            <w:r w:rsidRPr="003B13C3">
              <w:rPr>
                <w:rFonts w:cstheme="minorHAnsi"/>
              </w:rPr>
              <w:t xml:space="preserve">i braku przyjętych na rynku standardów analizy oraz metodologii badania tego zagadnienia, jest przedwczesne. Skutkiem wprowadzenia takiej zmiany może być znaczące skomplikowanie </w:t>
            </w:r>
            <w:r w:rsidR="00F04364" w:rsidRPr="003B13C3">
              <w:rPr>
                <w:rFonts w:cstheme="minorHAnsi"/>
              </w:rPr>
              <w:br/>
            </w:r>
            <w:r w:rsidRPr="003B13C3">
              <w:rPr>
                <w:rFonts w:cstheme="minorHAnsi"/>
              </w:rPr>
              <w:t xml:space="preserve">i podniesienie kosztów opracowania </w:t>
            </w:r>
            <w:r w:rsidRPr="003B13C3">
              <w:rPr>
                <w:rFonts w:cstheme="minorHAnsi"/>
              </w:rPr>
              <w:lastRenderedPageBreak/>
              <w:t xml:space="preserve">dokumentacji środowiskowej, zwłaszcza </w:t>
            </w:r>
            <w:r w:rsidR="00F04364" w:rsidRPr="003B13C3">
              <w:rPr>
                <w:rFonts w:cstheme="minorHAnsi"/>
              </w:rPr>
              <w:br/>
            </w:r>
            <w:r w:rsidRPr="003B13C3">
              <w:rPr>
                <w:rFonts w:cstheme="minorHAnsi"/>
              </w:rPr>
              <w:t xml:space="preserve">w przypadku </w:t>
            </w:r>
            <w:proofErr w:type="spellStart"/>
            <w:r w:rsidRPr="003B13C3">
              <w:rPr>
                <w:rFonts w:cstheme="minorHAnsi"/>
              </w:rPr>
              <w:t>małoskalowych</w:t>
            </w:r>
            <w:proofErr w:type="spellEnd"/>
            <w:r w:rsidRPr="003B13C3">
              <w:rPr>
                <w:rFonts w:cstheme="minorHAnsi"/>
              </w:rPr>
              <w:t xml:space="preserve"> projektów OZE. Przede wszystkim jednak brak jednoznacznych kryteriów analizy i punktów odniesienia w analizie „zanieczyszczenia światłem” może stwarzać przestrzeń do dowolności w ocenie jakości procedury oceny oddziaływania na środowisko. To zaś wykreuje dodatkowe ryzyko dla stabilności prawnej decyzji o środowiskowych uwarunkowaniach i prowadzonych na ich podstawie procesów inwestycyjnych. Brak powszechnej wiedzy, doświadczania, metod analiz może wydłużać procedurę poprzez konieczność uzupełnień, wykonywania dodatkowych nieprzewidzianych analiz, zwiększać koszty opracowań. </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74F41DFA" w14:textId="77777777" w:rsidR="005C32EF" w:rsidRPr="003B13C3" w:rsidRDefault="005C32EF" w:rsidP="000D60F3">
            <w:pPr>
              <w:jc w:val="both"/>
              <w:rPr>
                <w:rFonts w:eastAsia="Lato" w:cstheme="minorHAnsi"/>
              </w:rPr>
            </w:pP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542EEEF0" w14:textId="77777777" w:rsidR="005C32EF" w:rsidRPr="003B13C3" w:rsidRDefault="005C32EF" w:rsidP="000D60F3">
            <w:pPr>
              <w:jc w:val="both"/>
              <w:rPr>
                <w:rFonts w:eastAsia="Lato" w:cstheme="minorHAnsi"/>
              </w:rPr>
            </w:pPr>
          </w:p>
        </w:tc>
      </w:tr>
      <w:tr w:rsidR="00D1338E" w:rsidRPr="003B13C3" w14:paraId="6E9AEC60"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0C3D3A77" w14:textId="77777777" w:rsidR="00D1338E" w:rsidRPr="00427AB9" w:rsidRDefault="00D1338E"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23F892EA" w14:textId="4A38ED08" w:rsidR="00D1338E" w:rsidRPr="003B13C3" w:rsidRDefault="000D60F3"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3FA53D36" w14:textId="77777777" w:rsidR="00D1338E" w:rsidRPr="003B13C3" w:rsidRDefault="00D1338E" w:rsidP="000D60F3">
            <w:pPr>
              <w:spacing w:before="120" w:after="120"/>
              <w:jc w:val="both"/>
              <w:rPr>
                <w:rFonts w:cstheme="minorHAnsi"/>
              </w:rPr>
            </w:pPr>
            <w:r w:rsidRPr="003B13C3">
              <w:rPr>
                <w:rFonts w:cstheme="minorHAnsi"/>
              </w:rPr>
              <w:t>Art. 1 pkt 15 lit. h Projektu ustawy</w:t>
            </w:r>
          </w:p>
          <w:p w14:paraId="1228F0E1" w14:textId="77777777" w:rsidR="00D1338E" w:rsidRPr="003B13C3" w:rsidRDefault="00D1338E" w:rsidP="000D60F3">
            <w:pPr>
              <w:jc w:val="both"/>
              <w:rPr>
                <w:rFonts w:cstheme="minorHAnsi"/>
              </w:rPr>
            </w:pP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0881134B" w14:textId="4AB59119" w:rsidR="00811558" w:rsidRPr="003B13C3" w:rsidRDefault="00811558" w:rsidP="002D451A">
            <w:pPr>
              <w:spacing w:after="120"/>
              <w:jc w:val="both"/>
              <w:rPr>
                <w:rFonts w:cstheme="minorHAnsi"/>
              </w:rPr>
            </w:pPr>
            <w:r w:rsidRPr="003B13C3">
              <w:rPr>
                <w:rFonts w:cstheme="minorHAnsi"/>
              </w:rPr>
              <w:t xml:space="preserve">Proponowane rozwiązanie jest niespójne </w:t>
            </w:r>
            <w:r w:rsidR="00AA1730" w:rsidRPr="003B13C3">
              <w:rPr>
                <w:rFonts w:cstheme="minorHAnsi"/>
              </w:rPr>
              <w:br/>
            </w:r>
            <w:r w:rsidRPr="003B13C3">
              <w:rPr>
                <w:rFonts w:cstheme="minorHAnsi"/>
              </w:rPr>
              <w:t xml:space="preserve">z pozostałymi rozwiązaniami przyjętymi </w:t>
            </w:r>
            <w:r w:rsidR="00AA1730" w:rsidRPr="003B13C3">
              <w:rPr>
                <w:rFonts w:cstheme="minorHAnsi"/>
              </w:rPr>
              <w:br/>
            </w:r>
            <w:r w:rsidRPr="003B13C3">
              <w:rPr>
                <w:rFonts w:cstheme="minorHAnsi"/>
              </w:rPr>
              <w:t xml:space="preserve">w przepisach UOOŚ. Po pierwsze, stanowisko zajmowane przez organy wskazane w art. 64 ust. 3a UOOŚ ma postać opinii, czyli stanowiska niewiążącego bezwzględnie organu właściwego do wydania decyzji o środowiskowych uwarunkowaniach. </w:t>
            </w:r>
          </w:p>
          <w:p w14:paraId="47ADA15C" w14:textId="5ACDDB78" w:rsidR="00D1338E" w:rsidRPr="003B13C3" w:rsidRDefault="00811558" w:rsidP="002D451A">
            <w:pPr>
              <w:spacing w:before="120"/>
              <w:jc w:val="both"/>
              <w:rPr>
                <w:rFonts w:cstheme="minorHAnsi"/>
              </w:rPr>
            </w:pPr>
            <w:r w:rsidRPr="003B13C3">
              <w:rPr>
                <w:rFonts w:cstheme="minorHAnsi"/>
              </w:rPr>
              <w:t>Ponadto, taka konstrukcja może prowadzić do sprzeczności w sytuacji, gdy jeden z organów opiniujących opowie się za przeprowadzeniem oceny oddziaływania na środowisko, a drugi wyrazi stanowisko odmienne i organ prowadzący postępowanie zdecyduje o przeprowadzeniu oceny oddziaływania na środowisko. Wówczas zrealizowanie warunków lub wymagań narzuconych przez organ, który nie opowiedział się za oceną może być niemożliwe, ponieważ stracą one na aktualności. Podobna sytuacja będzie miała miejsce, jeśli dwa opiniujące organy wydadzą sprzeczne, wykluczające się na wzajem warunki środowiskowe.</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6B14140C" w14:textId="3AC4C833" w:rsidR="00D1338E" w:rsidRPr="003B13C3" w:rsidRDefault="00EF106E" w:rsidP="000D60F3">
            <w:pPr>
              <w:jc w:val="both"/>
              <w:rPr>
                <w:rFonts w:eastAsia="Lato" w:cstheme="minorHAnsi"/>
              </w:rPr>
            </w:pPr>
            <w:r w:rsidRPr="003B13C3">
              <w:rPr>
                <w:rFonts w:eastAsia="Lato" w:cstheme="minorHAnsi"/>
              </w:rPr>
              <w:t>Proponujemy wykreślenie propozycji legislacyjnej</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7C51F117" w14:textId="77777777" w:rsidR="00D1338E" w:rsidRPr="003B13C3" w:rsidRDefault="00D1338E" w:rsidP="000D60F3">
            <w:pPr>
              <w:jc w:val="both"/>
              <w:rPr>
                <w:rFonts w:eastAsia="Lato" w:cstheme="minorHAnsi"/>
              </w:rPr>
            </w:pPr>
          </w:p>
        </w:tc>
      </w:tr>
      <w:tr w:rsidR="0057089B" w:rsidRPr="003B13C3" w14:paraId="1E2E90C2"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4B399FE8" w14:textId="77777777" w:rsidR="0057089B" w:rsidRPr="00427AB9" w:rsidRDefault="0057089B"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7CB86A42" w14:textId="42958E44" w:rsidR="0057089B" w:rsidRPr="003B13C3" w:rsidRDefault="000D60F3"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54A981F8" w14:textId="77777777" w:rsidR="0057089B" w:rsidRPr="003B13C3" w:rsidRDefault="0057089B" w:rsidP="00B86BF1">
            <w:pPr>
              <w:spacing w:after="120"/>
              <w:jc w:val="both"/>
              <w:rPr>
                <w:rFonts w:cstheme="minorHAnsi"/>
              </w:rPr>
            </w:pPr>
            <w:r w:rsidRPr="003B13C3">
              <w:rPr>
                <w:rFonts w:cstheme="minorHAnsi"/>
              </w:rPr>
              <w:t>Art. 1 pkt 18 lit. c Projektu ustawy</w:t>
            </w:r>
          </w:p>
          <w:p w14:paraId="49D16428" w14:textId="77777777" w:rsidR="0057089B" w:rsidRPr="003B13C3" w:rsidRDefault="0057089B" w:rsidP="000D60F3">
            <w:pPr>
              <w:spacing w:before="120" w:after="120"/>
              <w:jc w:val="both"/>
              <w:rPr>
                <w:rFonts w:cstheme="minorHAnsi"/>
                <w:b/>
                <w:bCs/>
              </w:rPr>
            </w:pP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599F0749" w14:textId="77777777" w:rsidR="001844CF" w:rsidRPr="003B13C3" w:rsidRDefault="001844CF" w:rsidP="002D451A">
            <w:pPr>
              <w:spacing w:after="120"/>
              <w:jc w:val="both"/>
              <w:rPr>
                <w:rFonts w:cstheme="minorHAnsi"/>
              </w:rPr>
            </w:pPr>
            <w:r w:rsidRPr="003B13C3">
              <w:rPr>
                <w:rFonts w:cstheme="minorHAnsi"/>
              </w:rPr>
              <w:t xml:space="preserve">W niniejszym przepisie projektodawcy proponują wprowadzenie normy </w:t>
            </w:r>
            <w:r w:rsidRPr="003B13C3">
              <w:rPr>
                <w:rFonts w:cstheme="minorHAnsi"/>
                <w:i/>
                <w:iCs/>
              </w:rPr>
              <w:t xml:space="preserve">de facto </w:t>
            </w:r>
            <w:r w:rsidRPr="003B13C3">
              <w:rPr>
                <w:rFonts w:cstheme="minorHAnsi"/>
              </w:rPr>
              <w:t xml:space="preserve">wyrażającej domniemanie, iż inwestor, który nie zdążył przedłożyć raportu o oddziaływaniu przedsięwzięcia na środowisko w ciągu 3 lat od daty wydania postanowienia </w:t>
            </w:r>
            <w:proofErr w:type="spellStart"/>
            <w:r w:rsidRPr="003B13C3">
              <w:rPr>
                <w:rFonts w:cstheme="minorHAnsi"/>
                <w:i/>
                <w:iCs/>
              </w:rPr>
              <w:t>scoping</w:t>
            </w:r>
            <w:proofErr w:type="spellEnd"/>
            <w:r w:rsidRPr="003B13C3">
              <w:rPr>
                <w:rFonts w:cstheme="minorHAnsi"/>
              </w:rPr>
              <w:t xml:space="preserve">-owego, stracił zainteresowanie realizacją danego projektu. Takie rozwiązanie nie znajduje uzasadnienia, bowiem prowadzi do wywarcia nieuzasadnionej presji czasowej na inwestorów. Okres 3-letni w realiach dużych projektów inwestycyjnych może być zbyt krótki na uzyskanie niezbędnych zgód, zmobilizowanie odpowiednich środków i przeprowadzenie odpowiednich prac obejmujących całe okresy fenologiczne. </w:t>
            </w:r>
          </w:p>
          <w:p w14:paraId="44E7574F" w14:textId="0BC9D8AA" w:rsidR="001844CF" w:rsidRPr="003B13C3" w:rsidRDefault="001844CF" w:rsidP="000D60F3">
            <w:pPr>
              <w:spacing w:before="120" w:after="120"/>
              <w:jc w:val="both"/>
              <w:rPr>
                <w:rFonts w:cstheme="minorHAnsi"/>
              </w:rPr>
            </w:pPr>
            <w:r w:rsidRPr="003B13C3">
              <w:rPr>
                <w:rFonts w:cstheme="minorHAnsi"/>
              </w:rPr>
              <w:t>Z drugiej strony okres pozostawania postępowania w sprawie wydania decyzji o środowiskowych uwarunkowaniach w zawieszeniu nie generuje żadnych kosztów po stronie organu i nie blokuje możliwości wydawania innych decyzji o środowiskowych uwarunkowaniach. Nie istnieją więc żadne obiektywne przesłanki przemawiające za przymuszaniem inwestorów do ukończenia prac nad raportem w granicach z góry określonego terminu.</w:t>
            </w:r>
          </w:p>
          <w:p w14:paraId="00FC27E1" w14:textId="7A0D38BA" w:rsidR="0057089B" w:rsidRPr="003B13C3" w:rsidRDefault="001844CF" w:rsidP="0061479D">
            <w:pPr>
              <w:jc w:val="both"/>
              <w:rPr>
                <w:rFonts w:cstheme="minorHAnsi"/>
              </w:rPr>
            </w:pPr>
            <w:r w:rsidRPr="003B13C3">
              <w:rPr>
                <w:rFonts w:cstheme="minorHAnsi"/>
              </w:rPr>
              <w:t>W związku z tym postuluje się wydłużenie wspomnianego terminu do 5 lat albo rezygnację z proponowanej regulacji.</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649291F1" w14:textId="7EE7CE96" w:rsidR="0057089B" w:rsidRPr="003B13C3" w:rsidRDefault="00B86BF1" w:rsidP="00B86BF1">
            <w:pPr>
              <w:pStyle w:val="LITlitera"/>
              <w:spacing w:before="120" w:after="120" w:line="240" w:lineRule="auto"/>
              <w:ind w:left="0" w:firstLine="0"/>
              <w:rPr>
                <w:rFonts w:asciiTheme="minorHAnsi" w:hAnsiTheme="minorHAnsi" w:cstheme="minorHAnsi"/>
                <w:sz w:val="22"/>
                <w:szCs w:val="22"/>
              </w:rPr>
            </w:pPr>
            <w:r w:rsidRPr="003B13C3">
              <w:rPr>
                <w:rFonts w:asciiTheme="minorHAnsi" w:hAnsiTheme="minorHAnsi" w:cstheme="minorHAnsi"/>
                <w:sz w:val="22"/>
                <w:szCs w:val="22"/>
              </w:rPr>
              <w:t>Proponujemy wykreślenie propozycji legislacyjnej. W wariancie zastępczym, postulujemy wydłużenie wspomnianego terminu do 5 lat.</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65F5B506" w14:textId="77777777" w:rsidR="0057089B" w:rsidRPr="003B13C3" w:rsidRDefault="0057089B" w:rsidP="000D60F3">
            <w:pPr>
              <w:jc w:val="both"/>
              <w:rPr>
                <w:rFonts w:eastAsia="Lato" w:cstheme="minorHAnsi"/>
              </w:rPr>
            </w:pPr>
          </w:p>
        </w:tc>
      </w:tr>
      <w:tr w:rsidR="005C32EF" w:rsidRPr="003B13C3" w14:paraId="05737E6D"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7C8FBD93" w14:textId="6FF8CE19" w:rsidR="005C32EF" w:rsidRPr="00427AB9" w:rsidRDefault="005C32EF"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60E3F408" w14:textId="018F428D" w:rsidR="005C32EF"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544961B2" w14:textId="04EB54AC" w:rsidR="005C32EF" w:rsidRPr="003B13C3" w:rsidRDefault="005C32EF" w:rsidP="000D60F3">
            <w:pPr>
              <w:jc w:val="both"/>
              <w:rPr>
                <w:rFonts w:cstheme="minorHAnsi"/>
              </w:rPr>
            </w:pPr>
            <w:r w:rsidRPr="003B13C3">
              <w:rPr>
                <w:rFonts w:eastAsia="Lato" w:cstheme="minorHAnsi"/>
              </w:rPr>
              <w:t>Art. 1 pkt 22 w zakresie dodawanego art. 72c</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73D0AC21" w14:textId="39684DEC" w:rsidR="005C32EF" w:rsidRPr="003B13C3" w:rsidRDefault="005C32EF" w:rsidP="000D60F3">
            <w:pPr>
              <w:jc w:val="both"/>
              <w:rPr>
                <w:rFonts w:eastAsia="Lato" w:cstheme="minorHAnsi"/>
              </w:rPr>
            </w:pPr>
            <w:r w:rsidRPr="003B13C3">
              <w:rPr>
                <w:rFonts w:eastAsia="Lato" w:cstheme="minorHAnsi"/>
              </w:rPr>
              <w:t xml:space="preserve">Obecna propozycja przepisu, który wiąże prawa </w:t>
            </w:r>
            <w:r w:rsidR="00833395" w:rsidRPr="003B13C3">
              <w:rPr>
                <w:rFonts w:eastAsia="Lato" w:cstheme="minorHAnsi"/>
              </w:rPr>
              <w:br/>
            </w:r>
            <w:r w:rsidRPr="003B13C3">
              <w:rPr>
                <w:rFonts w:eastAsia="Lato" w:cstheme="minorHAnsi"/>
              </w:rPr>
              <w:t xml:space="preserve">i obowiązki wynikające z decyzji </w:t>
            </w:r>
            <w:r w:rsidR="00833395" w:rsidRPr="003B13C3">
              <w:rPr>
                <w:rFonts w:eastAsia="Lato" w:cstheme="minorHAnsi"/>
              </w:rPr>
              <w:br/>
            </w:r>
            <w:r w:rsidRPr="003B13C3">
              <w:rPr>
                <w:rFonts w:eastAsia="Lato" w:cstheme="minorHAnsi"/>
              </w:rPr>
              <w:t xml:space="preserve">o środowiskowych uwarunkowaniach </w:t>
            </w:r>
            <w:r w:rsidR="00833395" w:rsidRPr="003B13C3">
              <w:rPr>
                <w:rFonts w:eastAsia="Lato" w:cstheme="minorHAnsi"/>
              </w:rPr>
              <w:br/>
            </w:r>
            <w:r w:rsidRPr="003B13C3">
              <w:rPr>
                <w:rFonts w:eastAsia="Lato" w:cstheme="minorHAnsi"/>
              </w:rPr>
              <w:t xml:space="preserve">z właścicielem nieruchomości, jest niepożądane z perspektywy inwestora i praktyki obrotu nieruchomościami. W przypadku sprzedaży działki nowemu właścicielowi przechodzą na niego obowiązki wynikające z decyzji (np. </w:t>
            </w:r>
            <w:r w:rsidRPr="003B13C3">
              <w:rPr>
                <w:rFonts w:eastAsia="Lato" w:cstheme="minorHAnsi"/>
              </w:rPr>
              <w:lastRenderedPageBreak/>
              <w:t>monitoring środowiskowy), mimo że nie jest on faktycznym realizatorem przedsięwzięcia. Takie rozwiązanie generuje ryzyko prawne i finansowe dla nabywców nieruchomości oraz dla inwestorów w zakresie poprawnego wykonywania postanowień wynikających z decyzji. Proponuje się, aby prawa i obowiązki z decyzji środowiskowej były przypisane wyłącznie do podmiotu realizującego przedsięwzięcie oraz jego następcy prawnego w zakresie realizacji przedsięwzięcia.</w:t>
            </w:r>
          </w:p>
          <w:p w14:paraId="6A473757" w14:textId="77777777" w:rsidR="001D5252" w:rsidRPr="003B13C3" w:rsidRDefault="001D5252" w:rsidP="000D60F3">
            <w:pPr>
              <w:jc w:val="both"/>
              <w:rPr>
                <w:rFonts w:cstheme="minorHAnsi"/>
              </w:rPr>
            </w:pPr>
          </w:p>
          <w:p w14:paraId="55D64FD4" w14:textId="77777777" w:rsidR="001D5252" w:rsidRPr="003B13C3" w:rsidRDefault="001D5252" w:rsidP="000D60F3">
            <w:pPr>
              <w:jc w:val="both"/>
              <w:rPr>
                <w:rFonts w:cstheme="minorHAnsi"/>
              </w:rPr>
            </w:pPr>
            <w:r w:rsidRPr="003B13C3">
              <w:rPr>
                <w:rFonts w:cstheme="minorHAnsi"/>
              </w:rPr>
              <w:t>Dodatkowe argumenty za odstąpieniem od proponowanej zmiany:</w:t>
            </w:r>
          </w:p>
          <w:p w14:paraId="19C16CC2" w14:textId="77777777" w:rsidR="001D5252" w:rsidRPr="003B13C3" w:rsidRDefault="001D5252" w:rsidP="000D60F3">
            <w:pPr>
              <w:pStyle w:val="Akapitzlist"/>
              <w:numPr>
                <w:ilvl w:val="0"/>
                <w:numId w:val="2"/>
              </w:numPr>
              <w:spacing w:before="120" w:after="120"/>
              <w:ind w:left="482" w:hanging="357"/>
              <w:contextualSpacing w:val="0"/>
              <w:jc w:val="both"/>
              <w:rPr>
                <w:rFonts w:cstheme="minorHAnsi"/>
              </w:rPr>
            </w:pPr>
            <w:r w:rsidRPr="003B13C3">
              <w:rPr>
                <w:rFonts w:cstheme="minorHAnsi"/>
              </w:rPr>
              <w:t>Po pierwsze należy wskazać, że posiadanie tytułu prawnego do nieruchomości nie jest warunkiem wydania decyzji o środowiskowych uwarunkowaniach (taki tytuł wymagany jest dopiero na etapie uzyskiwania pozwolenia na budowę). Zatem już w tym względzie proponowany przepis wprowadza konstrukcję nieprzystającą do procedury wydawania wzmiankowanych decyzji.</w:t>
            </w:r>
          </w:p>
          <w:p w14:paraId="585B5D9B" w14:textId="77777777" w:rsidR="001D5252" w:rsidRPr="003B13C3" w:rsidRDefault="001D5252" w:rsidP="000D60F3">
            <w:pPr>
              <w:pStyle w:val="Akapitzlist"/>
              <w:numPr>
                <w:ilvl w:val="0"/>
                <w:numId w:val="2"/>
              </w:numPr>
              <w:spacing w:before="120" w:after="120"/>
              <w:ind w:left="482" w:hanging="357"/>
              <w:contextualSpacing w:val="0"/>
              <w:jc w:val="both"/>
              <w:rPr>
                <w:rFonts w:cstheme="minorHAnsi"/>
              </w:rPr>
            </w:pPr>
            <w:r w:rsidRPr="003B13C3">
              <w:rPr>
                <w:rFonts w:cstheme="minorHAnsi"/>
              </w:rPr>
              <w:t xml:space="preserve">Przede wszystkim jednak bardzo często inwestorzy realizujący przedsięwzięcia mogące znacząco oddziaływać na środowisko, zwłaszcza z sektora OZE, takie jak farmy fotowoltaiczne i lądowe farmy wiatrowe, realizują je w oparciu o umowne tytuły prawne do nieruchomości (długoterminowe umowy najmu i dzierżawy). Automatyczna sukcesja decyzji o środowiskowych uwarunkowaniach podążająca za przeniesieniem rzeczowego tytułu prawnego do nieruchomości będzie prowadziła do pozbawiania inwestorów </w:t>
            </w:r>
            <w:r w:rsidRPr="003B13C3">
              <w:rPr>
                <w:rFonts w:cstheme="minorHAnsi"/>
              </w:rPr>
              <w:lastRenderedPageBreak/>
              <w:t>możliwości realizacji takich przedsięwzięć niezależnie od posiadanego przez nich umownego tytułu prawnego. Problemu tego nie rozwiązuje ust. 2 proponowanego przepisy, który – jak zdaje się zakładać projektodawca – znajdowałby zastosowanie dopiero po zrealizowaniu przedsięwzięcia. Do przeniesienia tytułu prawnego do nieruchomości, które pozbawi inwestora możliwości korzystania z decyzji o środowiskowych uwarunkowaniach, może bowiem dojść także w trakcie procesu inwestycyjnego.</w:t>
            </w:r>
          </w:p>
          <w:p w14:paraId="279A912C" w14:textId="77777777" w:rsidR="001D5252" w:rsidRPr="003B13C3" w:rsidRDefault="001D5252" w:rsidP="000D60F3">
            <w:pPr>
              <w:pStyle w:val="Akapitzlist"/>
              <w:numPr>
                <w:ilvl w:val="0"/>
                <w:numId w:val="2"/>
              </w:numPr>
              <w:spacing w:before="120" w:after="120"/>
              <w:ind w:left="482" w:hanging="357"/>
              <w:contextualSpacing w:val="0"/>
              <w:jc w:val="both"/>
              <w:rPr>
                <w:rFonts w:cstheme="minorHAnsi"/>
              </w:rPr>
            </w:pPr>
            <w:r w:rsidRPr="003B13C3">
              <w:rPr>
                <w:rFonts w:cstheme="minorHAnsi"/>
              </w:rPr>
              <w:t>Ponadto, proponowany ust. 2 komentowanego przepisu wspomina o „objęciu tytułu prawnego do nieruchomości”, podczas gdy przedmiotowa działalność objęta decyzją o środowiskowych uwarunkowaniach może być prowadzona przy wykorzystaniu urządzeń lub obiektów budowlanych objętych tytułem prawnym przysługującym adresatowi decyzji w oderwaniu od tytułu prawnego do nieruchomości. W takim wypadku sukcesja decyzji wraz tytułem prawnym do nieruchomości dokonująca się na etapie eksploatacji przedsięwzięcia również może prowadzić do „podążenia” decyzji za nieruchomością w całkowitym oderwaniu od realiów danej inwestycji.</w:t>
            </w:r>
          </w:p>
          <w:p w14:paraId="489A398D" w14:textId="78439449" w:rsidR="001D5252" w:rsidRPr="003B13C3" w:rsidRDefault="001D5252" w:rsidP="000D60F3">
            <w:pPr>
              <w:jc w:val="both"/>
              <w:rPr>
                <w:rFonts w:cstheme="minorHAnsi"/>
              </w:rPr>
            </w:pPr>
            <w:r w:rsidRPr="003B13C3">
              <w:rPr>
                <w:rFonts w:cstheme="minorHAnsi"/>
              </w:rPr>
              <w:t xml:space="preserve">Niezależnie od ww. uwag w proponowanej tu konstrukcji prawnej brakuje podstaw do wydania deklaratoryjnej decyzji administracyjnej potwierdzającej sukcesję decyzji o środowiskowych uwarunkowaniach, której wydanie rozwiewałoby wątpliwości co do stanu </w:t>
            </w:r>
            <w:r w:rsidRPr="003B13C3">
              <w:rPr>
                <w:rFonts w:cstheme="minorHAnsi"/>
              </w:rPr>
              <w:lastRenderedPageBreak/>
              <w:t>prawnego zaistniałego po przeniesieniu tytułu prawnego do przedsięwzięcia.</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50A24465" w14:textId="2ADC35D8" w:rsidR="005C32EF" w:rsidRPr="003B13C3" w:rsidRDefault="005C32EF" w:rsidP="000D60F3">
            <w:pPr>
              <w:jc w:val="both"/>
              <w:rPr>
                <w:rFonts w:cstheme="minorHAnsi"/>
              </w:rPr>
            </w:pPr>
            <w:r w:rsidRPr="003B13C3">
              <w:rPr>
                <w:rFonts w:eastAsia="Lato" w:cstheme="minorHAnsi"/>
              </w:rPr>
              <w:lastRenderedPageBreak/>
              <w:t xml:space="preserve">„Art. 72c 1. </w:t>
            </w:r>
            <w:r w:rsidRPr="003B13C3">
              <w:rPr>
                <w:rFonts w:eastAsia="Lato" w:cstheme="minorHAnsi"/>
                <w:b/>
                <w:bCs/>
                <w:i/>
                <w:iCs/>
                <w:strike/>
              </w:rPr>
              <w:t>Podmiot, który staje się właścicielem lub użytkownikiem wieczystym nieruchomości, na której jest realizowane lub zrealizowane przedsięwzięcie, dla którego została wydana decyzja o środowiskowych uwarunkowaniach, przejmuje prawa i obowiązki wynikające z tej decyzji.</w:t>
            </w:r>
            <w:r w:rsidRPr="003B13C3">
              <w:rPr>
                <w:rFonts w:eastAsia="Lato" w:cstheme="minorHAnsi"/>
              </w:rPr>
              <w:t xml:space="preserve"> </w:t>
            </w:r>
            <w:r w:rsidRPr="003B13C3">
              <w:rPr>
                <w:rFonts w:eastAsia="Lato" w:cstheme="minorHAnsi"/>
                <w:b/>
                <w:bCs/>
                <w:i/>
                <w:iCs/>
              </w:rPr>
              <w:lastRenderedPageBreak/>
              <w:t>Prawa i obowiązki wynikające z decyzji o środowiskowych uwarunkowaniach ciążą na podmiocie realizującym przedsięwzięcie, dla którego decyzja została wydana, oraz na jego następcy prawnym w zakresie realizacji przedsięwzięcia.</w:t>
            </w:r>
          </w:p>
          <w:p w14:paraId="4C4E2658" w14:textId="2A6A5FE7" w:rsidR="005C32EF" w:rsidRPr="003B13C3" w:rsidRDefault="005C32EF" w:rsidP="000D60F3">
            <w:pPr>
              <w:jc w:val="both"/>
              <w:rPr>
                <w:rFonts w:cstheme="minorHAnsi"/>
              </w:rPr>
            </w:pPr>
            <w:r w:rsidRPr="003B13C3">
              <w:rPr>
                <w:rFonts w:eastAsia="Lato" w:cstheme="minorHAnsi"/>
              </w:rPr>
              <w:t xml:space="preserve"> 2. Jeżeli przedsięwzięcie dla którego wydano decyzję o środowiskowych uwarunkowaniach wiąże się z prowadzeniem działalności, prawa i obowiązki wynikające z tej decyzji, z chwilą objęcia tytułu prawnego do nieruchomości przejmuje podmiot prowadzący tę działalność. </w:t>
            </w:r>
          </w:p>
          <w:p w14:paraId="7E416921" w14:textId="6C1A3209" w:rsidR="005C32EF" w:rsidRPr="003B13C3" w:rsidRDefault="005C32EF" w:rsidP="000D60F3">
            <w:pPr>
              <w:jc w:val="both"/>
              <w:rPr>
                <w:rFonts w:cstheme="minorHAnsi"/>
              </w:rPr>
            </w:pPr>
            <w:r w:rsidRPr="003B13C3">
              <w:rPr>
                <w:rFonts w:eastAsia="Lato" w:cstheme="minorHAnsi"/>
              </w:rPr>
              <w:t>3. Podmioty, które przejmują obowiązki wynikające z decyzji o środowiskowych uwarunkowaniach odpowiadają za nie solidarnie.”;</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16F5AC1B" w14:textId="15D15847" w:rsidR="005C32EF" w:rsidRPr="003B13C3" w:rsidRDefault="005C32EF" w:rsidP="000D60F3">
            <w:pPr>
              <w:jc w:val="both"/>
              <w:rPr>
                <w:rFonts w:cstheme="minorHAnsi"/>
              </w:rPr>
            </w:pPr>
            <w:r w:rsidRPr="003B13C3">
              <w:rPr>
                <w:rFonts w:eastAsia="Lato" w:cstheme="minorHAnsi"/>
              </w:rPr>
              <w:lastRenderedPageBreak/>
              <w:t xml:space="preserve"> </w:t>
            </w:r>
          </w:p>
        </w:tc>
      </w:tr>
      <w:tr w:rsidR="00010F9A" w:rsidRPr="003B13C3" w14:paraId="6854FA42"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22D9E423" w14:textId="77777777" w:rsidR="00010F9A" w:rsidRPr="00427AB9" w:rsidRDefault="00010F9A"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1C11D8B3" w14:textId="3522BAD5" w:rsidR="00010F9A" w:rsidRPr="003B13C3" w:rsidRDefault="000D60F3"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7FA97349" w14:textId="77777777" w:rsidR="00010F9A" w:rsidRPr="003B13C3" w:rsidRDefault="00010F9A" w:rsidP="00102214">
            <w:pPr>
              <w:spacing w:after="120"/>
              <w:jc w:val="both"/>
              <w:rPr>
                <w:rFonts w:cstheme="minorHAnsi"/>
              </w:rPr>
            </w:pPr>
            <w:r w:rsidRPr="003B13C3">
              <w:rPr>
                <w:rFonts w:cstheme="minorHAnsi"/>
              </w:rPr>
              <w:t xml:space="preserve">Art. 1 pkt 24 lit. a </w:t>
            </w:r>
            <w:proofErr w:type="spellStart"/>
            <w:r w:rsidRPr="003B13C3">
              <w:rPr>
                <w:rFonts w:cstheme="minorHAnsi"/>
              </w:rPr>
              <w:t>tiret</w:t>
            </w:r>
            <w:proofErr w:type="spellEnd"/>
            <w:r w:rsidRPr="003B13C3">
              <w:rPr>
                <w:rFonts w:cstheme="minorHAnsi"/>
              </w:rPr>
              <w:t xml:space="preserve"> czwarte Projektu ustawy</w:t>
            </w:r>
          </w:p>
          <w:p w14:paraId="73B31787" w14:textId="77777777" w:rsidR="00010F9A" w:rsidRPr="003B13C3" w:rsidRDefault="00010F9A" w:rsidP="000D60F3">
            <w:pPr>
              <w:jc w:val="both"/>
              <w:rPr>
                <w:rFonts w:eastAsia="Lato" w:cstheme="minorHAnsi"/>
              </w:rPr>
            </w:pP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389A8157" w14:textId="7E32AA27" w:rsidR="00010F9A" w:rsidRPr="003B13C3" w:rsidRDefault="00F46610" w:rsidP="000D60F3">
            <w:pPr>
              <w:jc w:val="both"/>
              <w:rPr>
                <w:rFonts w:eastAsia="Lato" w:cstheme="minorHAnsi"/>
              </w:rPr>
            </w:pPr>
            <w:r w:rsidRPr="003B13C3">
              <w:rPr>
                <w:rFonts w:cstheme="minorHAnsi"/>
              </w:rPr>
              <w:t>Pojęcie „dane przestrzenne” jest bardzo wieloznaczne i rodzi pytanie o to, jakie konkretnie dokumenty miałyby w tym zakresie stanowić załącznik do wniosku o wydanie decyzji o środowiskowych uwarunkowaniach. Ponadto wątpliwości budzi celowość dodania takiej dodatkowej kategorii dokumentów, skoro wszystkie dane niezbędne np. do wyznaczenia kręgu stron wyczytać można z map, które stanowią już obecnie obligatoryjny załącznik do wniosku.</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1A60C4A5" w14:textId="32639065" w:rsidR="00010F9A" w:rsidRPr="003B13C3" w:rsidRDefault="0035482E" w:rsidP="000D60F3">
            <w:pPr>
              <w:jc w:val="both"/>
              <w:rPr>
                <w:rFonts w:eastAsia="Lato" w:cstheme="minorHAnsi"/>
                <w:b/>
                <w:bCs/>
                <w:strike/>
              </w:rPr>
            </w:pPr>
            <w:r w:rsidRPr="003B13C3">
              <w:rPr>
                <w:rFonts w:cstheme="minorHAnsi"/>
              </w:rPr>
              <w:t>Proponujemy wykreślenie propozycji legislacyjnej.</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0D649FD9" w14:textId="77777777" w:rsidR="00010F9A" w:rsidRPr="003B13C3" w:rsidRDefault="00010F9A" w:rsidP="000D60F3">
            <w:pPr>
              <w:jc w:val="both"/>
              <w:rPr>
                <w:rFonts w:eastAsia="Lato" w:cstheme="minorHAnsi"/>
              </w:rPr>
            </w:pPr>
          </w:p>
        </w:tc>
      </w:tr>
      <w:tr w:rsidR="00C128A2" w:rsidRPr="003B13C3" w14:paraId="5F4D704C"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0C823230" w14:textId="67DEECB1" w:rsidR="00C128A2" w:rsidRPr="00427AB9" w:rsidRDefault="00C128A2"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5141CE46" w14:textId="3ED40C0C" w:rsidR="00C128A2"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5D5930C3" w14:textId="2B5DECEE" w:rsidR="00C128A2" w:rsidRPr="003B13C3" w:rsidRDefault="00C128A2" w:rsidP="000D60F3">
            <w:pPr>
              <w:jc w:val="both"/>
              <w:rPr>
                <w:rFonts w:cstheme="minorHAnsi"/>
              </w:rPr>
            </w:pPr>
            <w:r w:rsidRPr="003B13C3">
              <w:rPr>
                <w:rFonts w:eastAsia="Lato" w:cstheme="minorHAnsi"/>
              </w:rPr>
              <w:t>Art. 1 pkt 24 lit. b w zakresie  nowego brzmienia ust. 1a w art. 74</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36D826D8" w14:textId="77777777" w:rsidR="00C128A2" w:rsidRPr="003B13C3" w:rsidRDefault="00C128A2" w:rsidP="000D60F3">
            <w:pPr>
              <w:jc w:val="both"/>
              <w:rPr>
                <w:rFonts w:eastAsia="Lato" w:cstheme="minorHAnsi"/>
              </w:rPr>
            </w:pPr>
            <w:r w:rsidRPr="003B13C3">
              <w:rPr>
                <w:rFonts w:eastAsia="Lato" w:cstheme="minorHAnsi"/>
              </w:rPr>
              <w:t xml:space="preserve">Proponuje się wykreślenie przepisu w całości ze względu na efektywność obecnie obowiązujących w tym zakresie regulacji oraz ograniczenie obrotu papierowego dokumentacją. </w:t>
            </w:r>
          </w:p>
          <w:p w14:paraId="7A59291E" w14:textId="77777777" w:rsidR="00131299" w:rsidRPr="003B13C3" w:rsidRDefault="00131299" w:rsidP="000D60F3">
            <w:pPr>
              <w:jc w:val="both"/>
              <w:rPr>
                <w:rFonts w:cstheme="minorHAnsi"/>
              </w:rPr>
            </w:pPr>
          </w:p>
          <w:p w14:paraId="5652F5C4" w14:textId="279047F2" w:rsidR="00131299" w:rsidRPr="003B13C3" w:rsidRDefault="00131299" w:rsidP="000D60F3">
            <w:pPr>
              <w:jc w:val="both"/>
              <w:rPr>
                <w:rFonts w:cstheme="minorHAnsi"/>
              </w:rPr>
            </w:pP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53C3E541" w14:textId="63BC9DF6" w:rsidR="00C128A2" w:rsidRPr="003B13C3" w:rsidRDefault="00D113E5" w:rsidP="000D60F3">
            <w:pPr>
              <w:jc w:val="both"/>
              <w:rPr>
                <w:rFonts w:cstheme="minorHAnsi"/>
              </w:rPr>
            </w:pPr>
            <w:r w:rsidRPr="003B13C3">
              <w:rPr>
                <w:rFonts w:cstheme="minorHAnsi"/>
              </w:rPr>
              <w:t>Proponujemy wykreślenie propozycji legislacyjnej.</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77F87EF9" w14:textId="5D533775" w:rsidR="00C128A2" w:rsidRPr="003B13C3" w:rsidRDefault="00C128A2" w:rsidP="000D60F3">
            <w:pPr>
              <w:jc w:val="both"/>
              <w:rPr>
                <w:rFonts w:cstheme="minorHAnsi"/>
              </w:rPr>
            </w:pPr>
            <w:r w:rsidRPr="003B13C3">
              <w:rPr>
                <w:rFonts w:eastAsia="Lato" w:cstheme="minorHAnsi"/>
              </w:rPr>
              <w:t xml:space="preserve"> </w:t>
            </w:r>
          </w:p>
        </w:tc>
      </w:tr>
      <w:tr w:rsidR="00C128A2" w:rsidRPr="003B13C3" w14:paraId="61623C76"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54FC7124" w14:textId="5537E34D" w:rsidR="00C128A2" w:rsidRPr="00427AB9" w:rsidRDefault="00C128A2"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1E6BABFF" w14:textId="0AA9374D" w:rsidR="00C128A2"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0E5D96F5" w14:textId="1253CD51" w:rsidR="00C128A2" w:rsidRPr="003B13C3" w:rsidRDefault="00C128A2" w:rsidP="000D60F3">
            <w:pPr>
              <w:jc w:val="both"/>
              <w:rPr>
                <w:rFonts w:cstheme="minorHAnsi"/>
              </w:rPr>
            </w:pPr>
            <w:r w:rsidRPr="003B13C3">
              <w:rPr>
                <w:rFonts w:eastAsia="Lato" w:cstheme="minorHAnsi"/>
              </w:rPr>
              <w:t>Art. 1 pkt 24 lit. f w zakresie  zmian do art. 74 ust. 3</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453ADCBD" w14:textId="6B8528B4" w:rsidR="00C128A2" w:rsidRPr="003B13C3" w:rsidRDefault="00C128A2" w:rsidP="000D60F3">
            <w:pPr>
              <w:jc w:val="both"/>
              <w:rPr>
                <w:rFonts w:cstheme="minorHAnsi"/>
              </w:rPr>
            </w:pPr>
            <w:r w:rsidRPr="003B13C3">
              <w:rPr>
                <w:rFonts w:eastAsia="Lato" w:cstheme="minorHAnsi"/>
              </w:rPr>
              <w:t>Proponuje się wykreślenie przepisu w całości ze względu na efektywność obecnie obowiązujących w tym zakresie regulacji oraz ograniczenie obrotu papierowego dokumentacją.</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369CFE17" w14:textId="0F31C439" w:rsidR="00C128A2" w:rsidRPr="003B13C3" w:rsidRDefault="00D113E5" w:rsidP="000D60F3">
            <w:pPr>
              <w:jc w:val="both"/>
              <w:rPr>
                <w:rFonts w:cstheme="minorHAnsi"/>
              </w:rPr>
            </w:pPr>
            <w:r w:rsidRPr="003B13C3">
              <w:rPr>
                <w:rFonts w:cstheme="minorHAnsi"/>
              </w:rPr>
              <w:t>Proponujemy wykreślenie propozycji legislacyjnej.</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31E5BF3A" w14:textId="62111235" w:rsidR="00C128A2" w:rsidRPr="003B13C3" w:rsidRDefault="00C128A2" w:rsidP="000D60F3">
            <w:pPr>
              <w:jc w:val="both"/>
              <w:rPr>
                <w:rFonts w:cstheme="minorHAnsi"/>
              </w:rPr>
            </w:pPr>
            <w:r w:rsidRPr="003B13C3">
              <w:rPr>
                <w:rFonts w:eastAsia="Lato" w:cstheme="minorHAnsi"/>
              </w:rPr>
              <w:t xml:space="preserve"> </w:t>
            </w:r>
          </w:p>
        </w:tc>
      </w:tr>
      <w:tr w:rsidR="00C128A2" w:rsidRPr="003B13C3" w14:paraId="50693DDC"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339995DB" w14:textId="700043DA" w:rsidR="00C128A2" w:rsidRPr="00427AB9" w:rsidRDefault="00C128A2"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4CC04F06" w14:textId="60DBEC2C" w:rsidR="00C128A2"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159BE190" w14:textId="3C0F49B5" w:rsidR="00C128A2" w:rsidRPr="003B13C3" w:rsidRDefault="00C128A2" w:rsidP="000D60F3">
            <w:pPr>
              <w:jc w:val="both"/>
              <w:rPr>
                <w:rFonts w:cstheme="minorHAnsi"/>
              </w:rPr>
            </w:pPr>
            <w:r w:rsidRPr="003B13C3">
              <w:rPr>
                <w:rFonts w:eastAsia="Lato" w:cstheme="minorHAnsi"/>
              </w:rPr>
              <w:t>Art. 1 pkt 24 lit. g w zakresie  nowego brzmienia ust. 3a w art. 74</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479690CD" w14:textId="3CB7A27B" w:rsidR="00C128A2" w:rsidRPr="003B13C3" w:rsidRDefault="00C128A2" w:rsidP="000D60F3">
            <w:pPr>
              <w:jc w:val="both"/>
              <w:rPr>
                <w:rFonts w:cstheme="minorHAnsi"/>
              </w:rPr>
            </w:pPr>
            <w:r w:rsidRPr="003B13C3">
              <w:rPr>
                <w:rFonts w:eastAsia="Lato" w:cstheme="minorHAnsi"/>
              </w:rPr>
              <w:t xml:space="preserve">Proponowana redakcja przepisu może rodzić ryzyko interpretacyjne w odniesieniu do elektrowni wiatrowych na lądzie.  Pojawiają się wątpliwości w myśl proponowanego brzmienia (oraz brzmienia dotychczasowego), kto będzie stroną postępowania, czy tylko  podmiot, któremu przysługuje prawo własności nieruchomości, użytkowania wieczystego lub spółdzielcze własnościowe prawo do lokalu  położonych na terenie, na którym odbywa się realizacja inwestycji czy również  podmiot, któremu przysługuje prawo własności nieruchomości, użytkowania wieczystego lub spółdzielcze własnościowe prawo do lokalu położonych w odległości 100 m od granic terenu </w:t>
            </w:r>
            <w:r w:rsidRPr="003B13C3">
              <w:rPr>
                <w:rFonts w:eastAsia="Lato" w:cstheme="minorHAnsi"/>
              </w:rPr>
              <w:lastRenderedPageBreak/>
              <w:t>realizacji przedsięwzięcia, skoro oddziaływania lądowych elektrowni wiatrowych nie wykroczą poza obszar miejscowego planu, który jest terenem zazwyczaj rolnym i nienormowanym akustycznie. Nie jest jasne czy w sytuacji</w:t>
            </w:r>
            <w:r w:rsidR="00384EE7" w:rsidRPr="003B13C3">
              <w:rPr>
                <w:rFonts w:eastAsia="Lato" w:cstheme="minorHAnsi"/>
              </w:rPr>
              <w:t>,</w:t>
            </w:r>
            <w:r w:rsidRPr="003B13C3">
              <w:rPr>
                <w:rFonts w:eastAsia="Lato" w:cstheme="minorHAnsi"/>
              </w:rPr>
              <w:t xml:space="preserve"> gdy powyżej granic obowiązywania planu miejscowego zostaną przekroczone standardy jakości środowiska, to czy wówczas stroną postępowania są podmioty, którym przysługuje prawo własności nieruchomości, użytkowania wieczystego lub spółdzielcze własnościowe prawo do lokalu znajdując</w:t>
            </w:r>
            <w:r w:rsidR="00C05A9C" w:rsidRPr="003B13C3">
              <w:rPr>
                <w:rFonts w:eastAsia="Lato" w:cstheme="minorHAnsi"/>
              </w:rPr>
              <w:t>e</w:t>
            </w:r>
            <w:r w:rsidRPr="003B13C3">
              <w:rPr>
                <w:rFonts w:eastAsia="Lato" w:cstheme="minorHAnsi"/>
              </w:rPr>
              <w:t xml:space="preserve"> się w obszarze wykraczającym poza granice planu</w:t>
            </w:r>
            <w:r w:rsidR="00C05A9C" w:rsidRPr="003B13C3">
              <w:rPr>
                <w:rFonts w:eastAsia="Lato" w:cstheme="minorHAnsi"/>
              </w:rPr>
              <w:t>,</w:t>
            </w:r>
            <w:r w:rsidRPr="003B13C3">
              <w:rPr>
                <w:rFonts w:eastAsia="Lato" w:cstheme="minorHAnsi"/>
              </w:rPr>
              <w:t xml:space="preserve"> a nie przekraczając</w:t>
            </w:r>
            <w:r w:rsidR="00C05A9C" w:rsidRPr="003B13C3">
              <w:rPr>
                <w:rFonts w:eastAsia="Lato" w:cstheme="minorHAnsi"/>
              </w:rPr>
              <w:t>e</w:t>
            </w:r>
            <w:r w:rsidRPr="003B13C3">
              <w:rPr>
                <w:rFonts w:eastAsia="Lato" w:cstheme="minorHAnsi"/>
              </w:rPr>
              <w:t xml:space="preserve"> granic oddziaływania.</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63A222D0" w14:textId="1DB839D5" w:rsidR="00C128A2" w:rsidRPr="003B13C3" w:rsidRDefault="00C128A2" w:rsidP="000D60F3">
            <w:pPr>
              <w:jc w:val="both"/>
              <w:rPr>
                <w:rFonts w:cstheme="minorHAnsi"/>
              </w:rPr>
            </w:pP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4E75DAC1" w14:textId="7D1EB5B2" w:rsidR="00C128A2" w:rsidRPr="003B13C3" w:rsidRDefault="00C128A2" w:rsidP="000D60F3">
            <w:pPr>
              <w:jc w:val="both"/>
              <w:rPr>
                <w:rFonts w:cstheme="minorHAnsi"/>
              </w:rPr>
            </w:pPr>
            <w:r w:rsidRPr="003B13C3">
              <w:rPr>
                <w:rFonts w:eastAsia="Lato" w:cstheme="minorHAnsi"/>
              </w:rPr>
              <w:t xml:space="preserve"> </w:t>
            </w:r>
          </w:p>
        </w:tc>
      </w:tr>
      <w:tr w:rsidR="00C128A2" w:rsidRPr="003B13C3" w14:paraId="5E8221DF"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6191DBDE" w14:textId="0D869F44" w:rsidR="00C128A2" w:rsidRPr="00427AB9" w:rsidRDefault="00C128A2"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1997B5B4" w14:textId="1C881456" w:rsidR="00C128A2"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5A929FDC" w14:textId="1EEA83F2" w:rsidR="00C128A2" w:rsidRPr="003B13C3" w:rsidRDefault="00C128A2" w:rsidP="000D60F3">
            <w:pPr>
              <w:jc w:val="both"/>
              <w:rPr>
                <w:rFonts w:cstheme="minorHAnsi"/>
              </w:rPr>
            </w:pPr>
            <w:r w:rsidRPr="003B13C3">
              <w:rPr>
                <w:rFonts w:eastAsia="Lato" w:cstheme="minorHAnsi"/>
              </w:rPr>
              <w:t>Art. 1 pkt 24 lit. k w zakresie  zmian do art. 74 ust. 3g</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59B35072" w14:textId="4F7DA709" w:rsidR="00C128A2" w:rsidRPr="003B13C3" w:rsidRDefault="00C128A2" w:rsidP="000D60F3">
            <w:pPr>
              <w:jc w:val="both"/>
              <w:rPr>
                <w:rFonts w:cstheme="minorHAnsi"/>
              </w:rPr>
            </w:pPr>
            <w:r w:rsidRPr="003B13C3">
              <w:rPr>
                <w:rFonts w:eastAsia="Lato" w:cstheme="minorHAnsi"/>
              </w:rPr>
              <w:t xml:space="preserve">Wydaje się zasadne doprecyzowanie w zakresie stanu, </w:t>
            </w:r>
            <w:r w:rsidR="006D16EB" w:rsidRPr="003B13C3">
              <w:rPr>
                <w:rFonts w:eastAsia="Lato" w:cstheme="minorHAnsi"/>
              </w:rPr>
              <w:t>w którym</w:t>
            </w:r>
            <w:r w:rsidRPr="003B13C3">
              <w:rPr>
                <w:rFonts w:eastAsia="Lato" w:cstheme="minorHAnsi"/>
              </w:rPr>
              <w:t xml:space="preserve"> postępowanie spadkowe nie zostało zakończone.</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5EF1725B" w14:textId="6A877B25" w:rsidR="00C128A2" w:rsidRPr="003B13C3" w:rsidRDefault="00C128A2" w:rsidP="000D60F3">
            <w:pPr>
              <w:jc w:val="both"/>
              <w:rPr>
                <w:rFonts w:cstheme="minorHAnsi"/>
              </w:rPr>
            </w:pPr>
            <w:r w:rsidRPr="003B13C3">
              <w:rPr>
                <w:rFonts w:eastAsia="Lato" w:cstheme="minorHAnsi"/>
              </w:rPr>
              <w:t>k) w ust. 3g w pkt 1 skreśla się wyrazy „lub nie zostało ono zakończone”,</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40BD5223" w14:textId="2DA1CF6C" w:rsidR="00C128A2" w:rsidRPr="003B13C3" w:rsidRDefault="00C128A2" w:rsidP="000D60F3">
            <w:pPr>
              <w:jc w:val="both"/>
              <w:rPr>
                <w:rFonts w:cstheme="minorHAnsi"/>
              </w:rPr>
            </w:pPr>
            <w:r w:rsidRPr="003B13C3">
              <w:rPr>
                <w:rFonts w:eastAsia="Lato" w:cstheme="minorHAnsi"/>
              </w:rPr>
              <w:t xml:space="preserve"> </w:t>
            </w:r>
          </w:p>
        </w:tc>
      </w:tr>
      <w:tr w:rsidR="00C128A2" w:rsidRPr="003B13C3" w14:paraId="130B113C"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4359160E" w14:textId="0098A41C" w:rsidR="00C128A2" w:rsidRPr="00427AB9" w:rsidRDefault="00C128A2"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32F5E63D" w14:textId="0D082BD7" w:rsidR="00C128A2"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12A892D2" w14:textId="704F5AE8" w:rsidR="00C128A2" w:rsidRPr="003B13C3" w:rsidRDefault="00C128A2" w:rsidP="000D60F3">
            <w:pPr>
              <w:jc w:val="both"/>
              <w:rPr>
                <w:rFonts w:cstheme="minorHAnsi"/>
              </w:rPr>
            </w:pPr>
            <w:r w:rsidRPr="003B13C3">
              <w:rPr>
                <w:rFonts w:eastAsia="Lato" w:cstheme="minorHAnsi"/>
              </w:rPr>
              <w:t>Art. 1 pkt 24 lit. m w zakresie  dodawanych do art. 74 ust. 5-8</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0B3FDEC4" w14:textId="7CED4BFF" w:rsidR="00C128A2" w:rsidRPr="003B13C3" w:rsidRDefault="00C128A2" w:rsidP="000D60F3">
            <w:pPr>
              <w:jc w:val="both"/>
              <w:rPr>
                <w:rFonts w:cstheme="minorHAnsi"/>
              </w:rPr>
            </w:pPr>
            <w:r w:rsidRPr="003B13C3">
              <w:rPr>
                <w:rFonts w:eastAsia="Lato" w:cstheme="minorHAnsi"/>
              </w:rPr>
              <w:t xml:space="preserve">Proponowane zmiany są oceniane pozytywnie, ponieważ postępowania dotyczące przedsięwzięć takich jak na przykład lądowe elektrownie wiatrowe charakteryzują się wysokim stopniem złożoności i wymagają sprawnej obsługi administracyjnej. Jednakże powstaje wątpliwość, czy wprowadzenie opłat faktycznie przełoży się na zwiększenie efektywności pracy regionalnych dyrektorów ochrony środowiska. Nie jest jasne czy środki będą przeznaczane na dodatkowe etaty, szkolenia i wzmocnienie kadrowe, czy też trafią do wspólnej puli budżetowej bez bezpośredniego wpływu na obsługę postępowań. Rozporządzenie określające szczegółowe zasady naliczania opłat, ich przeznaczenia oraz procedury powinno zostać wydane w możliwie najkrótszym terminie, aby uniknąć okresu niepewności </w:t>
            </w:r>
            <w:r w:rsidR="00227049" w:rsidRPr="003B13C3">
              <w:rPr>
                <w:rFonts w:eastAsia="Lato" w:cstheme="minorHAnsi"/>
              </w:rPr>
              <w:br/>
            </w:r>
            <w:r w:rsidRPr="003B13C3">
              <w:rPr>
                <w:rFonts w:eastAsia="Lato" w:cstheme="minorHAnsi"/>
              </w:rPr>
              <w:t xml:space="preserve">i chaosu interpretacyjnego. </w:t>
            </w:r>
          </w:p>
          <w:p w14:paraId="22B41E28" w14:textId="2C7323F7" w:rsidR="00C128A2" w:rsidRPr="003B13C3" w:rsidRDefault="00C128A2" w:rsidP="000D60F3">
            <w:pPr>
              <w:jc w:val="both"/>
              <w:rPr>
                <w:rFonts w:cstheme="minorHAnsi"/>
              </w:rPr>
            </w:pPr>
            <w:r w:rsidRPr="003B13C3">
              <w:rPr>
                <w:rFonts w:eastAsia="Lato" w:cstheme="minorHAnsi"/>
              </w:rPr>
              <w:t xml:space="preserve">Ponadto, w uzasadnieniu projektu pojawia się kwota 50 tysięcy złotych, co należy skorygować i </w:t>
            </w:r>
            <w:proofErr w:type="spellStart"/>
            <w:r w:rsidRPr="003B13C3">
              <w:rPr>
                <w:rFonts w:eastAsia="Lato" w:cstheme="minorHAnsi"/>
              </w:rPr>
              <w:t>uspójnić</w:t>
            </w:r>
            <w:proofErr w:type="spellEnd"/>
            <w:r w:rsidRPr="003B13C3">
              <w:rPr>
                <w:rFonts w:eastAsia="Lato" w:cstheme="minorHAnsi"/>
              </w:rPr>
              <w:t>.</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60F69849" w14:textId="77C10088" w:rsidR="00200AD5" w:rsidRPr="003B13C3" w:rsidRDefault="00C128A2" w:rsidP="00200AD5">
            <w:pPr>
              <w:jc w:val="both"/>
              <w:rPr>
                <w:rFonts w:cstheme="minorHAnsi"/>
              </w:rPr>
            </w:pPr>
            <w:r w:rsidRPr="003B13C3">
              <w:rPr>
                <w:rFonts w:eastAsia="Lato" w:cstheme="minorHAnsi"/>
              </w:rPr>
              <w:t xml:space="preserve"> </w:t>
            </w:r>
          </w:p>
          <w:p w14:paraId="4DE1D2CF" w14:textId="029ADCA2" w:rsidR="00C128A2" w:rsidRPr="003B13C3" w:rsidRDefault="00C128A2" w:rsidP="000D60F3">
            <w:pPr>
              <w:jc w:val="both"/>
              <w:rPr>
                <w:rFonts w:cstheme="minorHAnsi"/>
              </w:rPr>
            </w:pP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6BF1E94D" w14:textId="5E066753" w:rsidR="00C128A2" w:rsidRPr="003B13C3" w:rsidRDefault="00C128A2" w:rsidP="000D60F3">
            <w:pPr>
              <w:jc w:val="both"/>
              <w:rPr>
                <w:rFonts w:cstheme="minorHAnsi"/>
              </w:rPr>
            </w:pPr>
            <w:r w:rsidRPr="003B13C3">
              <w:rPr>
                <w:rFonts w:eastAsia="Lato" w:cstheme="minorHAnsi"/>
              </w:rPr>
              <w:t xml:space="preserve"> </w:t>
            </w:r>
          </w:p>
        </w:tc>
      </w:tr>
      <w:tr w:rsidR="00C128A2" w:rsidRPr="003B13C3" w14:paraId="006F4F9C"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0886EACD" w14:textId="0775A2BA" w:rsidR="00C128A2" w:rsidRPr="00427AB9" w:rsidRDefault="00C128A2"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3DF8FBEA" w14:textId="7927D079" w:rsidR="00C128A2"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0E85FC37" w14:textId="090E8A4E" w:rsidR="00C128A2" w:rsidRPr="003B13C3" w:rsidRDefault="00C128A2" w:rsidP="000D60F3">
            <w:pPr>
              <w:jc w:val="both"/>
              <w:rPr>
                <w:rFonts w:cstheme="minorHAnsi"/>
              </w:rPr>
            </w:pPr>
            <w:r w:rsidRPr="003B13C3">
              <w:rPr>
                <w:rFonts w:eastAsia="Lato" w:cstheme="minorHAnsi"/>
              </w:rPr>
              <w:t xml:space="preserve">Art. 1 pkt 26 lit. a </w:t>
            </w:r>
            <w:proofErr w:type="spellStart"/>
            <w:r w:rsidRPr="003B13C3">
              <w:rPr>
                <w:rFonts w:eastAsia="Lato" w:cstheme="minorHAnsi"/>
              </w:rPr>
              <w:t>tiret</w:t>
            </w:r>
            <w:proofErr w:type="spellEnd"/>
            <w:r w:rsidRPr="003B13C3">
              <w:rPr>
                <w:rFonts w:eastAsia="Lato" w:cstheme="minorHAnsi"/>
              </w:rPr>
              <w:t xml:space="preserve"> drugie i </w:t>
            </w:r>
            <w:proofErr w:type="spellStart"/>
            <w:r w:rsidRPr="003B13C3">
              <w:rPr>
                <w:rFonts w:eastAsia="Lato" w:cstheme="minorHAnsi"/>
              </w:rPr>
              <w:t>tiret</w:t>
            </w:r>
            <w:proofErr w:type="spellEnd"/>
            <w:r w:rsidRPr="003B13C3">
              <w:rPr>
                <w:rFonts w:eastAsia="Lato" w:cstheme="minorHAnsi"/>
              </w:rPr>
              <w:t xml:space="preserve"> trzecie w zakresie zmian do art. 75 ust. 1 pkt 2-4</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34E7B24C" w14:textId="00AFBD77" w:rsidR="00715F79" w:rsidRPr="003B13C3" w:rsidRDefault="00C128A2" w:rsidP="000D60F3">
            <w:pPr>
              <w:jc w:val="both"/>
              <w:rPr>
                <w:rFonts w:eastAsia="Lato" w:cstheme="minorHAnsi"/>
              </w:rPr>
            </w:pPr>
            <w:r w:rsidRPr="003B13C3">
              <w:rPr>
                <w:rFonts w:eastAsia="Lato" w:cstheme="minorHAnsi"/>
              </w:rPr>
              <w:t>Proponowane rozwiązanie budzi istotne ryzyko dla sprawności procesu inwestycyjnego w przypadku przedsięwzięć, takich jak magazyny energii, instalacje fotowoltaiczne, czy nawet inwestycje drogowe – jeśli osiągną progi wskazujące obowiązek uzyskania decyzji środowiskowej. Przeniesienie kompetencji w zakresie prowadzenia całego postępowania na starostów, może prowadzić do znacznego obciążenia tych organów i w konsekwencji wydłużenia procedur. W praktyce może to spowodować zatory decyzyjne w organach, które już obecnie realizują szeroki zakres zadań i często mierzą się z ograniczonymi zasobami kadrowymi, a w konsekwencji ryzyko opóźnień w realizacji projektów.</w:t>
            </w:r>
          </w:p>
          <w:p w14:paraId="37AFEAF9" w14:textId="77777777" w:rsidR="00715F79" w:rsidRPr="003B13C3" w:rsidRDefault="00715F79" w:rsidP="000D60F3">
            <w:pPr>
              <w:spacing w:before="120" w:after="120"/>
              <w:jc w:val="both"/>
              <w:rPr>
                <w:rFonts w:cstheme="minorHAnsi"/>
              </w:rPr>
            </w:pPr>
            <w:r w:rsidRPr="003B13C3">
              <w:rPr>
                <w:rFonts w:cstheme="minorHAnsi"/>
              </w:rPr>
              <w:t xml:space="preserve">Projektowany przepis </w:t>
            </w:r>
            <w:r w:rsidRPr="003B13C3">
              <w:rPr>
                <w:rFonts w:cstheme="minorHAnsi"/>
                <w:u w:val="single"/>
              </w:rPr>
              <w:t>przenosi domyślną właściwość do wydawania decyzji o środowiskowych uwarunkowaniach z wójtów/burmistrzów/prezydentów na starostów</w:t>
            </w:r>
            <w:r w:rsidRPr="003B13C3">
              <w:rPr>
                <w:rFonts w:cstheme="minorHAnsi"/>
              </w:rPr>
              <w:t xml:space="preserve">, a zmiana ta ma wejść w życie z dniem 1 stycznia 2027 r. </w:t>
            </w:r>
          </w:p>
          <w:p w14:paraId="1E895FF2" w14:textId="3076A43A" w:rsidR="00715F79" w:rsidRPr="003B13C3" w:rsidRDefault="00715F79" w:rsidP="000D60F3">
            <w:pPr>
              <w:jc w:val="both"/>
              <w:rPr>
                <w:rFonts w:cstheme="minorHAnsi"/>
              </w:rPr>
            </w:pPr>
            <w:r w:rsidRPr="003B13C3">
              <w:rPr>
                <w:rFonts w:cstheme="minorHAnsi"/>
              </w:rPr>
              <w:t xml:space="preserve">O ile na dłuższą metę zmiana taka może być oceniana jako korzystna, ponieważ pozwoli na zbudowanie szerszych kompetencji w aparacie urzędniczym starostw powiatowych (zwłaszcza za sprawą większej średniej liczby spraw rozpatrywanych w ciągu roku), to termin </w:t>
            </w:r>
            <w:r w:rsidR="00721D6A" w:rsidRPr="003B13C3">
              <w:rPr>
                <w:rFonts w:cstheme="minorHAnsi"/>
              </w:rPr>
              <w:br/>
            </w:r>
            <w:r w:rsidRPr="003B13C3">
              <w:rPr>
                <w:rFonts w:cstheme="minorHAnsi"/>
              </w:rPr>
              <w:t xml:space="preserve">1 stycznia 2027 r. na przygotowanie się do tej zmiany od strony organizacyjnej wydaje się być całkowicie nierealistyczny. Utrzymanie tego terminu w projektowanych regulacjach może doprowadzić do ogromnego paraliżu w postępowaniach administracyjnych, które dotyczą praktycznie wszystkich istotniejszych procesów inwestycyjnych. W naszej ocenie proponowaną datę wejścia w życie </w:t>
            </w:r>
            <w:r w:rsidRPr="003B13C3">
              <w:rPr>
                <w:rFonts w:cstheme="minorHAnsi"/>
              </w:rPr>
              <w:lastRenderedPageBreak/>
              <w:t>komentowanej zmiany należy odroczyć co najmniej o rok.</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41ABE6E9" w14:textId="336A45C1" w:rsidR="00C128A2" w:rsidRPr="003B13C3" w:rsidRDefault="00C128A2" w:rsidP="000D60F3">
            <w:pPr>
              <w:jc w:val="both"/>
              <w:rPr>
                <w:rFonts w:cstheme="minorHAnsi"/>
              </w:rPr>
            </w:pPr>
            <w:r w:rsidRPr="003B13C3">
              <w:rPr>
                <w:rFonts w:eastAsia="Lato" w:cstheme="minorHAnsi"/>
              </w:rPr>
              <w:lastRenderedPageBreak/>
              <w:t xml:space="preserve">–  pkt 2 otrzymuje brzmienie: </w:t>
            </w:r>
          </w:p>
          <w:p w14:paraId="6FB037FB" w14:textId="5DBA0C13" w:rsidR="00C128A2" w:rsidRPr="003B13C3" w:rsidRDefault="00C128A2" w:rsidP="000D60F3">
            <w:pPr>
              <w:jc w:val="both"/>
              <w:rPr>
                <w:rFonts w:cstheme="minorHAnsi"/>
              </w:rPr>
            </w:pPr>
            <w:r w:rsidRPr="003B13C3">
              <w:rPr>
                <w:rFonts w:eastAsia="Lato" w:cstheme="minorHAnsi"/>
              </w:rPr>
              <w:t>„2) starosta – w przypadku pozostałych przedsięwzięć.”,</w:t>
            </w:r>
          </w:p>
          <w:p w14:paraId="37A3BA16" w14:textId="4526C13C" w:rsidR="00C128A2" w:rsidRPr="003B13C3" w:rsidRDefault="00C128A2" w:rsidP="000D60F3">
            <w:pPr>
              <w:jc w:val="both"/>
              <w:rPr>
                <w:rFonts w:cstheme="minorHAnsi"/>
              </w:rPr>
            </w:pPr>
            <w:r w:rsidRPr="003B13C3">
              <w:rPr>
                <w:rFonts w:eastAsia="Lato" w:cstheme="minorHAnsi"/>
              </w:rPr>
              <w:t>– uchyla się pkt 3 i 4,</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22E51063" w14:textId="2E7132A1" w:rsidR="00C128A2" w:rsidRPr="003B13C3" w:rsidRDefault="00C128A2" w:rsidP="000D60F3">
            <w:pPr>
              <w:jc w:val="both"/>
              <w:rPr>
                <w:rFonts w:cstheme="minorHAnsi"/>
              </w:rPr>
            </w:pPr>
            <w:r w:rsidRPr="003B13C3">
              <w:rPr>
                <w:rFonts w:eastAsia="Lato" w:cstheme="minorHAnsi"/>
              </w:rPr>
              <w:t xml:space="preserve"> </w:t>
            </w:r>
          </w:p>
        </w:tc>
      </w:tr>
      <w:tr w:rsidR="00C128A2" w:rsidRPr="003B13C3" w14:paraId="56CB098B"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44DEF046" w14:textId="7198435C" w:rsidR="00C128A2" w:rsidRPr="00427AB9" w:rsidRDefault="00C128A2"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471C147B" w14:textId="12B65E76" w:rsidR="00C128A2"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3BB6FD62" w14:textId="0061A0D8" w:rsidR="00C128A2" w:rsidRPr="003B13C3" w:rsidRDefault="00C128A2" w:rsidP="000D60F3">
            <w:pPr>
              <w:jc w:val="both"/>
              <w:rPr>
                <w:rFonts w:cstheme="minorHAnsi"/>
              </w:rPr>
            </w:pPr>
            <w:r w:rsidRPr="003B13C3">
              <w:rPr>
                <w:rFonts w:eastAsia="Lato" w:cstheme="minorHAnsi"/>
              </w:rPr>
              <w:t>Art. 1 pkt 28 lit. a w zakresie  zmian do art. 77 ust. 1</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1073BD76" w14:textId="49D8D24F" w:rsidR="00C128A2" w:rsidRPr="003B13C3" w:rsidRDefault="00C128A2" w:rsidP="000D60F3">
            <w:pPr>
              <w:jc w:val="both"/>
              <w:rPr>
                <w:rFonts w:cstheme="minorHAnsi"/>
              </w:rPr>
            </w:pPr>
            <w:r w:rsidRPr="003B13C3">
              <w:rPr>
                <w:rFonts w:eastAsia="Lato" w:cstheme="minorHAnsi"/>
              </w:rPr>
              <w:t>Proponowana redakcja przepisu może rodzić ryzyko interpretacyjne. Konieczne jest doprecyzowanie projektowanych regulacji w zakresie roli organów takich jak Państwowa Inspekcja Sanitarna (Sanepid) oraz Państwowe Gospodarstwo Wodne Wody Polskie. W szczególności należy potwierdzić, że w przypadku złożenia przez wnioskodawcę oświadczenia o zmianie wniosku przed przedłożeniem raportu o oddziaływaniu na środowisko, zmiana ta zostanie uwzględniona w raporcie i nie będzie wymagała ponownego uzgadniania lub opiniowania wniosku o decyzję środowiskową wraz z załącznikami przez wskazane organy, a będzie jednym z etapów prowadzonego postępowania.</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764B69C1" w14:textId="7CA85752" w:rsidR="00C128A2" w:rsidRPr="003B13C3" w:rsidRDefault="00C128A2" w:rsidP="000D60F3">
            <w:pPr>
              <w:jc w:val="both"/>
              <w:rPr>
                <w:rFonts w:cstheme="minorHAnsi"/>
              </w:rPr>
            </w:pP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093E9D3D" w14:textId="2E8C6AEE" w:rsidR="00C128A2" w:rsidRPr="003B13C3" w:rsidRDefault="00C128A2" w:rsidP="000D60F3">
            <w:pPr>
              <w:jc w:val="both"/>
              <w:rPr>
                <w:rFonts w:cstheme="minorHAnsi"/>
              </w:rPr>
            </w:pPr>
            <w:r w:rsidRPr="003B13C3">
              <w:rPr>
                <w:rFonts w:eastAsia="Lato" w:cstheme="minorHAnsi"/>
              </w:rPr>
              <w:t xml:space="preserve"> </w:t>
            </w:r>
          </w:p>
        </w:tc>
      </w:tr>
      <w:tr w:rsidR="00354ED4" w:rsidRPr="003B13C3" w14:paraId="5BFB0411"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5A716FC1" w14:textId="77777777" w:rsidR="00354ED4" w:rsidRPr="00427AB9" w:rsidRDefault="00354ED4"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4CD92B3C" w14:textId="79D414F2" w:rsidR="00354ED4" w:rsidRPr="003B13C3" w:rsidRDefault="000D60F3"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425C7AC2" w14:textId="5ED300D2" w:rsidR="00354ED4" w:rsidRPr="003B13C3" w:rsidRDefault="00354ED4" w:rsidP="000D60F3">
            <w:pPr>
              <w:jc w:val="both"/>
              <w:rPr>
                <w:rFonts w:eastAsia="Lato" w:cstheme="minorHAnsi"/>
              </w:rPr>
            </w:pPr>
            <w:r w:rsidRPr="003B13C3">
              <w:rPr>
                <w:rFonts w:cstheme="minorHAnsi"/>
              </w:rPr>
              <w:t xml:space="preserve">Art. 1 pkt 28 lit. a </w:t>
            </w:r>
            <w:proofErr w:type="spellStart"/>
            <w:r w:rsidRPr="003B13C3">
              <w:rPr>
                <w:rFonts w:cstheme="minorHAnsi"/>
              </w:rPr>
              <w:t>tiret</w:t>
            </w:r>
            <w:proofErr w:type="spellEnd"/>
            <w:r w:rsidRPr="003B13C3">
              <w:rPr>
                <w:rFonts w:cstheme="minorHAnsi"/>
              </w:rPr>
              <w:t xml:space="preserve"> drugie, trzecie Projektu ustawy</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70DE35C5" w14:textId="4AC2BF1A" w:rsidR="00354ED4" w:rsidRPr="003B13C3" w:rsidRDefault="00354ED4" w:rsidP="000D60F3">
            <w:pPr>
              <w:jc w:val="both"/>
              <w:rPr>
                <w:rFonts w:eastAsia="Lato" w:cstheme="minorHAnsi"/>
                <w:u w:val="single"/>
              </w:rPr>
            </w:pPr>
            <w:r w:rsidRPr="003B13C3">
              <w:rPr>
                <w:rFonts w:cstheme="minorHAnsi"/>
                <w:u w:val="single"/>
              </w:rPr>
              <w:t xml:space="preserve">Zobowiązanie do zajęcia stanowiska na etapie oceny oddziaływania na środowisko przez organy, które nie dostrzegały potrzeby jej przeprowadzenia na etapie </w:t>
            </w:r>
            <w:r w:rsidRPr="003B13C3">
              <w:rPr>
                <w:rFonts w:cstheme="minorHAnsi"/>
                <w:i/>
                <w:iCs/>
                <w:u w:val="single"/>
              </w:rPr>
              <w:t>screening</w:t>
            </w:r>
            <w:r w:rsidRPr="003B13C3">
              <w:rPr>
                <w:rFonts w:cstheme="minorHAnsi"/>
                <w:u w:val="single"/>
              </w:rPr>
              <w:t>-u</w:t>
            </w:r>
            <w:r w:rsidRPr="003B13C3">
              <w:rPr>
                <w:rFonts w:cstheme="minorHAnsi"/>
              </w:rPr>
              <w:t xml:space="preserve"> jest rozwiązanie zbędnym i </w:t>
            </w:r>
            <w:r w:rsidR="000E38AF" w:rsidRPr="003B13C3">
              <w:rPr>
                <w:rFonts w:cstheme="minorHAnsi"/>
              </w:rPr>
              <w:t xml:space="preserve">w naszej opinii </w:t>
            </w:r>
            <w:r w:rsidRPr="003B13C3">
              <w:rPr>
                <w:rFonts w:cstheme="minorHAnsi"/>
              </w:rPr>
              <w:t xml:space="preserve">prowadzić będzie wyłącznie do przesadnej biurokratyzacji postępowania o wydanie decyzji o środowiskowych uwarunkowaniach. Będzie dodatkowym obciążeniem dla urzędników, co w dalszej perspektywie może wydłużać procedury. Skoro bowiem organy te, już po zapoznaniu się z kartą informacyjną przedsięwzięcia, w ramach leżących w zakresie ich kompetencji obszarów problemowych uznały, że planowane przedsięwzięcie nie będzie powodowało oddziaływań na tyle istotnych, by konieczne było prowadzenie oceny oddziaływania na środowisko, to trudno zrozumieć dlaczego po przeprowadzeniu takiej oceny stanowisko owych organów miałoby ulec zmianie. Brak podstaw do prowadzenia oceny oddziaływania na środowisko </w:t>
            </w:r>
            <w:r w:rsidRPr="003B13C3">
              <w:rPr>
                <w:rFonts w:cstheme="minorHAnsi"/>
              </w:rPr>
              <w:lastRenderedPageBreak/>
              <w:t>w zakresie np. ochrony radiologicznej tym bardziej powinien przemawiać za brakiem konieczności określania środowiskowych uwarunkowań realizacji przedsięwzięcia w tym zakresie.</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17C1C9D8" w14:textId="6468D88E" w:rsidR="00354ED4" w:rsidRPr="003B13C3" w:rsidRDefault="003C7667" w:rsidP="000D60F3">
            <w:pPr>
              <w:jc w:val="both"/>
              <w:rPr>
                <w:rFonts w:eastAsia="Lato" w:cstheme="minorHAnsi"/>
              </w:rPr>
            </w:pPr>
            <w:r w:rsidRPr="003B13C3">
              <w:rPr>
                <w:rFonts w:eastAsia="Lato" w:cstheme="minorHAnsi"/>
              </w:rPr>
              <w:lastRenderedPageBreak/>
              <w:t>Proponujemy wykreślenie propozycji legislacyjnej</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00691FF1" w14:textId="77777777" w:rsidR="00354ED4" w:rsidRPr="003B13C3" w:rsidRDefault="00354ED4" w:rsidP="000D60F3">
            <w:pPr>
              <w:jc w:val="both"/>
              <w:rPr>
                <w:rFonts w:eastAsia="Lato" w:cstheme="minorHAnsi"/>
              </w:rPr>
            </w:pPr>
          </w:p>
        </w:tc>
      </w:tr>
      <w:tr w:rsidR="00354ED4" w:rsidRPr="003B13C3" w14:paraId="144CFE86"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26DE7D22" w14:textId="386D6038" w:rsidR="00354ED4" w:rsidRPr="00427AB9" w:rsidRDefault="00354ED4"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117644AE" w14:textId="70AD4BC8" w:rsidR="00354ED4"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0B2CBF30" w14:textId="399DC189" w:rsidR="00354ED4" w:rsidRPr="003B13C3" w:rsidRDefault="00354ED4" w:rsidP="000D60F3">
            <w:pPr>
              <w:jc w:val="both"/>
              <w:rPr>
                <w:rFonts w:cstheme="minorHAnsi"/>
              </w:rPr>
            </w:pPr>
            <w:r w:rsidRPr="003B13C3">
              <w:rPr>
                <w:rFonts w:eastAsia="Lato" w:cstheme="minorHAnsi"/>
              </w:rPr>
              <w:t>Art. 1 pkt 30 w zakresie dodawanych art. 79a</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40D37D6A" w14:textId="742D6AAA" w:rsidR="00354ED4" w:rsidRPr="003B13C3" w:rsidRDefault="00354ED4" w:rsidP="000D60F3">
            <w:pPr>
              <w:jc w:val="both"/>
              <w:rPr>
                <w:rFonts w:cstheme="minorHAnsi"/>
              </w:rPr>
            </w:pPr>
            <w:r w:rsidRPr="003B13C3">
              <w:rPr>
                <w:rFonts w:eastAsia="Lato" w:cstheme="minorHAnsi"/>
              </w:rPr>
              <w:t>Przepis wymaga doprecyzowania w zakresie momentu, w którym informacje wskazane w art. 79a pkt 1 i 2 mają być podawane do publicznej wiadomości. Obecne brzmienie może rodzić wątpliwości interpretacyjne czy obowiązek publikacji powstaje po złożeniu raportu o oddziaływaniu na środowisko, czy już na etapie wcześniejszym – po wszczęciu postępowania i przed przedłożeniem raportu.</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49858E6A" w14:textId="0F0D54B5" w:rsidR="00354ED4" w:rsidRPr="003B13C3" w:rsidRDefault="00354ED4" w:rsidP="00AF2643">
            <w:pPr>
              <w:jc w:val="both"/>
              <w:rPr>
                <w:rFonts w:cstheme="minorHAnsi"/>
              </w:rPr>
            </w:pP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5870B2E6" w14:textId="66101B41" w:rsidR="00354ED4" w:rsidRPr="003B13C3" w:rsidRDefault="00354ED4" w:rsidP="000D60F3">
            <w:pPr>
              <w:jc w:val="both"/>
              <w:rPr>
                <w:rFonts w:cstheme="minorHAnsi"/>
              </w:rPr>
            </w:pPr>
            <w:r w:rsidRPr="003B13C3">
              <w:rPr>
                <w:rFonts w:eastAsia="Lato" w:cstheme="minorHAnsi"/>
              </w:rPr>
              <w:t xml:space="preserve"> </w:t>
            </w:r>
          </w:p>
        </w:tc>
      </w:tr>
      <w:tr w:rsidR="00354ED4" w:rsidRPr="003B13C3" w14:paraId="25C3B6CF"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3F1ACF97" w14:textId="4C871024" w:rsidR="00354ED4" w:rsidRPr="00427AB9" w:rsidRDefault="00354ED4"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1DAFB6CF" w14:textId="4466FDC6" w:rsidR="00354ED4"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3FB70A40" w14:textId="0C552FCE" w:rsidR="00354ED4" w:rsidRPr="003B13C3" w:rsidRDefault="00354ED4" w:rsidP="000D60F3">
            <w:pPr>
              <w:jc w:val="both"/>
              <w:rPr>
                <w:rFonts w:cstheme="minorHAnsi"/>
              </w:rPr>
            </w:pPr>
            <w:r w:rsidRPr="003B13C3">
              <w:rPr>
                <w:rFonts w:eastAsia="Lato" w:cstheme="minorHAnsi"/>
              </w:rPr>
              <w:t>Art. 1 pkt 33 lit. a w zakresie  zmian do art. 84 ust. 1</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4DC45F58" w14:textId="3E3F19BD" w:rsidR="00354ED4" w:rsidRPr="003B13C3" w:rsidRDefault="00354ED4" w:rsidP="000D60F3">
            <w:pPr>
              <w:jc w:val="both"/>
              <w:rPr>
                <w:rFonts w:cstheme="minorHAnsi"/>
              </w:rPr>
            </w:pPr>
            <w:r w:rsidRPr="003B13C3">
              <w:rPr>
                <w:rFonts w:eastAsia="Lato" w:cstheme="minorHAnsi"/>
              </w:rPr>
              <w:t>Proponuje się przeredagowanie przepisu ze względu na fakt, że opinie w art. 64 występują w liczbie mnogiej.</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247ED3E7" w14:textId="406F381F" w:rsidR="00354ED4" w:rsidRPr="003B13C3" w:rsidRDefault="00354ED4" w:rsidP="000D60F3">
            <w:pPr>
              <w:jc w:val="both"/>
              <w:rPr>
                <w:rFonts w:cstheme="minorHAnsi"/>
              </w:rPr>
            </w:pPr>
            <w:r w:rsidRPr="003B13C3">
              <w:rPr>
                <w:rFonts w:eastAsia="Lato" w:cstheme="minorHAnsi"/>
              </w:rPr>
              <w:t xml:space="preserve">a) w ust. 1 wyrazy „ o których mowa w art. 64 ust. 1 i 1a” zastępuje się wyrazami „o </w:t>
            </w:r>
            <w:r w:rsidRPr="003B13C3">
              <w:rPr>
                <w:rFonts w:eastAsia="Lato" w:cstheme="minorHAnsi"/>
                <w:b/>
                <w:bCs/>
                <w:i/>
                <w:iCs/>
                <w:strike/>
              </w:rPr>
              <w:t>której</w:t>
            </w:r>
            <w:r w:rsidRPr="003B13C3">
              <w:rPr>
                <w:rFonts w:eastAsia="Lato" w:cstheme="minorHAnsi"/>
                <w:b/>
                <w:bCs/>
                <w:i/>
                <w:iCs/>
              </w:rPr>
              <w:t xml:space="preserve"> których</w:t>
            </w:r>
            <w:r w:rsidRPr="003B13C3">
              <w:rPr>
                <w:rFonts w:eastAsia="Lato" w:cstheme="minorHAnsi"/>
              </w:rPr>
              <w:t xml:space="preserve"> mowa w art. 64 ust. 1”,</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3D519F40" w14:textId="740700A5" w:rsidR="00354ED4" w:rsidRPr="003B13C3" w:rsidRDefault="00354ED4" w:rsidP="000D60F3">
            <w:pPr>
              <w:jc w:val="both"/>
              <w:rPr>
                <w:rFonts w:cstheme="minorHAnsi"/>
              </w:rPr>
            </w:pPr>
            <w:r w:rsidRPr="003B13C3">
              <w:rPr>
                <w:rFonts w:eastAsia="Lato" w:cstheme="minorHAnsi"/>
              </w:rPr>
              <w:t xml:space="preserve"> </w:t>
            </w:r>
          </w:p>
        </w:tc>
      </w:tr>
      <w:tr w:rsidR="00FE53FA" w:rsidRPr="003B13C3" w14:paraId="078E0B98"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186F2145" w14:textId="77777777" w:rsidR="00FE53FA" w:rsidRPr="00427AB9" w:rsidRDefault="00FE53FA"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7A5C17CC" w14:textId="1D5EDB35" w:rsidR="00FE53FA" w:rsidRPr="003B13C3" w:rsidRDefault="000D60F3"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24B374A3" w14:textId="77777777" w:rsidR="00FE53FA" w:rsidRPr="003B13C3" w:rsidRDefault="00FE53FA" w:rsidP="00DC2E18">
            <w:pPr>
              <w:spacing w:after="120"/>
              <w:jc w:val="both"/>
              <w:rPr>
                <w:rFonts w:cstheme="minorHAnsi"/>
              </w:rPr>
            </w:pPr>
            <w:r w:rsidRPr="003B13C3">
              <w:rPr>
                <w:rFonts w:cstheme="minorHAnsi"/>
              </w:rPr>
              <w:t>Art. 1 pkt 36 lit. a oraz art. 1 pkt 37 lit. g Projektu ustawy</w:t>
            </w:r>
          </w:p>
          <w:p w14:paraId="3A09F51B" w14:textId="77777777" w:rsidR="00FE53FA" w:rsidRPr="003B13C3" w:rsidRDefault="00FE53FA" w:rsidP="000D60F3">
            <w:pPr>
              <w:jc w:val="both"/>
              <w:rPr>
                <w:rFonts w:eastAsia="Lato" w:cstheme="minorHAnsi"/>
              </w:rPr>
            </w:pP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1AB3E4F4" w14:textId="3177B634" w:rsidR="00FE53FA" w:rsidRPr="003B13C3" w:rsidRDefault="00FE53FA" w:rsidP="00DC2E18">
            <w:pPr>
              <w:spacing w:after="120"/>
              <w:jc w:val="both"/>
              <w:rPr>
                <w:rFonts w:cstheme="minorHAnsi"/>
              </w:rPr>
            </w:pPr>
            <w:r w:rsidRPr="003B13C3">
              <w:rPr>
                <w:rFonts w:cstheme="minorHAnsi"/>
              </w:rPr>
              <w:t xml:space="preserve">Proponowana zmiana w prawie wprowadza daleko idące ograniczenie w możliwości realizacji przedsięwzięć, które mogą być nakładane w oparciu o środek tymczasowy, jakim jest wstrzymanie wykonania decyzji o środowiskowych uwarunkowaniach. Zmiana ta nie byłaby tak dotkliwa gdyby nie fakt, że postępowanie </w:t>
            </w:r>
            <w:proofErr w:type="spellStart"/>
            <w:r w:rsidRPr="003B13C3">
              <w:rPr>
                <w:rFonts w:cstheme="minorHAnsi"/>
              </w:rPr>
              <w:t>sądowoadministracyjne</w:t>
            </w:r>
            <w:proofErr w:type="spellEnd"/>
            <w:r w:rsidRPr="003B13C3">
              <w:rPr>
                <w:rFonts w:cstheme="minorHAnsi"/>
              </w:rPr>
              <w:t xml:space="preserve"> od momentu wpłynięcia skargi do sądu pierwszej instancji do jego prawomocnego zakończenia może trwać kilka lat. Wstrzymanie realizacji przedsięwzięcia – i to w oparciu o środek tymczasowy, który może być orzeczony w oparciu o okoliczności niewymagające nawet uprawdopodobnienia (zgodnie z innymi proponowanymi zmianami) – może w tych warunkach prowadzić do faktycznego pogrzebania przedsięwzięcia inwestycyjnego bez zaoferowania inwestorowi realnego zabezpieczenia jego interesów. Tego rodzaju </w:t>
            </w:r>
            <w:r w:rsidRPr="003B13C3">
              <w:rPr>
                <w:rFonts w:cstheme="minorHAnsi"/>
              </w:rPr>
              <w:lastRenderedPageBreak/>
              <w:t xml:space="preserve">regulacja prawna stwarza oczywiste ryzyko nadużyć. </w:t>
            </w:r>
          </w:p>
          <w:p w14:paraId="02631DE4" w14:textId="567654D0" w:rsidR="00FE53FA" w:rsidRPr="003B13C3" w:rsidRDefault="00FE53FA" w:rsidP="000D60F3">
            <w:pPr>
              <w:spacing w:before="120" w:after="120"/>
              <w:jc w:val="both"/>
              <w:rPr>
                <w:rFonts w:cstheme="minorHAnsi"/>
              </w:rPr>
            </w:pPr>
            <w:r w:rsidRPr="003B13C3">
              <w:rPr>
                <w:rFonts w:cstheme="minorHAnsi"/>
              </w:rPr>
              <w:t>W związku z powyższym postuluje się odstąpieni</w:t>
            </w:r>
            <w:r w:rsidR="000226D5" w:rsidRPr="003B13C3">
              <w:rPr>
                <w:rFonts w:cstheme="minorHAnsi"/>
              </w:rPr>
              <w:t>e</w:t>
            </w:r>
            <w:r w:rsidRPr="003B13C3">
              <w:rPr>
                <w:rFonts w:cstheme="minorHAnsi"/>
              </w:rPr>
              <w:t xml:space="preserve"> od wprowadzenia wspomnianych tu regulacji albo przyjęcia wraz z nimi rozwiązań realnie zabezpieczających interesy inwestorów. Takim rozwiązaniem mogłoby być wprowadzenie określonego w ustawie maksymalnego okresu obowiązywania postanowienia o wstrzymaniu wykonania decyzji o środowiskowych uwarunkowaniach (np. do 6 miesięcy), który mobilizowałby organy administracji i sądy do sprawnego działania, a organizacje społeczne odwodził od działań obliczonych na przewlekanie postępowania (co stanowi – niestety – typową taktykę działania stosowaną przez </w:t>
            </w:r>
            <w:r w:rsidR="00206951" w:rsidRPr="003B13C3">
              <w:rPr>
                <w:rFonts w:cstheme="minorHAnsi"/>
              </w:rPr>
              <w:t>niektóre</w:t>
            </w:r>
            <w:r w:rsidRPr="003B13C3">
              <w:rPr>
                <w:rFonts w:cstheme="minorHAnsi"/>
              </w:rPr>
              <w:t xml:space="preserve"> organizacje).</w:t>
            </w:r>
          </w:p>
          <w:p w14:paraId="2B0CDA5C" w14:textId="028429AB" w:rsidR="00FE53FA" w:rsidRPr="003B13C3" w:rsidRDefault="00FE53FA" w:rsidP="000D60F3">
            <w:pPr>
              <w:jc w:val="both"/>
              <w:rPr>
                <w:rFonts w:eastAsia="Lato" w:cstheme="minorHAnsi"/>
              </w:rPr>
            </w:pPr>
            <w:r w:rsidRPr="003B13C3">
              <w:rPr>
                <w:rFonts w:cstheme="minorHAnsi"/>
              </w:rPr>
              <w:t xml:space="preserve">W analogiczny sposób należy ocenić wprowadzenie przepisu, który uzależnia wykonalność decyzji wskazanych w art. 72 ust. 1 UOOŚ od uzyskania przez decyzję o środowiskowych uwarunkowaniach statusu ostatecznej. Jest to rozwiązanie rażąco sprzeczne z art. 16 § 1 Kodeksu postępowania administracyjnego, zgodnie z którą decyzja ostateczna staje się wykonalna, wchodzi do obrotu prawnego, wywołując skutki prawne wobec jej adresatów, jak również wobec innych uczestników obrotu prawnego, a jej wzruszenie możliwe jest co do zasady tylko w drodze postępowań nadzwyczajnych przewidzianych w Kodeksie. </w:t>
            </w:r>
            <w:r w:rsidR="007F56F0" w:rsidRPr="003B13C3">
              <w:rPr>
                <w:rFonts w:cstheme="minorHAnsi"/>
              </w:rPr>
              <w:t>W naszej opinii n</w:t>
            </w:r>
            <w:r w:rsidRPr="003B13C3">
              <w:rPr>
                <w:rFonts w:cstheme="minorHAnsi"/>
              </w:rPr>
              <w:t xml:space="preserve">ie może </w:t>
            </w:r>
            <w:r w:rsidR="007F56F0" w:rsidRPr="003B13C3">
              <w:rPr>
                <w:rFonts w:cstheme="minorHAnsi"/>
              </w:rPr>
              <w:t>mieć miejsca sytuacja</w:t>
            </w:r>
            <w:r w:rsidRPr="003B13C3">
              <w:rPr>
                <w:rFonts w:cstheme="minorHAnsi"/>
              </w:rPr>
              <w:t xml:space="preserve">, </w:t>
            </w:r>
            <w:r w:rsidR="007F56F0" w:rsidRPr="003B13C3">
              <w:rPr>
                <w:rFonts w:cstheme="minorHAnsi"/>
              </w:rPr>
              <w:t xml:space="preserve">w której </w:t>
            </w:r>
            <w:r w:rsidRPr="003B13C3">
              <w:rPr>
                <w:rFonts w:cstheme="minorHAnsi"/>
              </w:rPr>
              <w:t xml:space="preserve">toczące się postępowanie odwoławcze w sprawie wydania decyzji o środowiskowych uwarunkowaniach będzie wywoływało rozszerzony skutek np. wobec wydanego na jej podstawie pozwolenia na </w:t>
            </w:r>
            <w:r w:rsidRPr="003B13C3">
              <w:rPr>
                <w:rFonts w:cstheme="minorHAnsi"/>
              </w:rPr>
              <w:lastRenderedPageBreak/>
              <w:t>budowę, które stało się ostateczne. Zaskarżenie pozwolenia na budowę (i innych decyzji administracyjnych wymienionych w art. 72 ust. 1 UOOŚ) możliwe jest w oparciu o zasady ogólne, co w wystarczający sposób zabezpiecza interes społeczny i nie ma uzasadnionych powodów, by wprowadzać tak daleko idące rozwiązania.</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2721D530" w14:textId="7AC3DD8D" w:rsidR="00FE53FA" w:rsidRPr="003B13C3" w:rsidRDefault="00493E0C" w:rsidP="000D60F3">
            <w:pPr>
              <w:jc w:val="both"/>
              <w:rPr>
                <w:rFonts w:eastAsia="Lato" w:cstheme="minorHAnsi"/>
              </w:rPr>
            </w:pPr>
            <w:r w:rsidRPr="003B13C3">
              <w:rPr>
                <w:rFonts w:eastAsia="Lato" w:cstheme="minorHAnsi"/>
              </w:rPr>
              <w:lastRenderedPageBreak/>
              <w:t>Proponujemy wykreślenie propozycji legislacyjnej.</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57FC5D24" w14:textId="77777777" w:rsidR="00FE53FA" w:rsidRPr="003B13C3" w:rsidRDefault="00FE53FA" w:rsidP="000D60F3">
            <w:pPr>
              <w:jc w:val="both"/>
              <w:rPr>
                <w:rFonts w:eastAsia="Lato" w:cstheme="minorHAnsi"/>
              </w:rPr>
            </w:pPr>
          </w:p>
        </w:tc>
      </w:tr>
      <w:tr w:rsidR="00FE53FA" w:rsidRPr="003B13C3" w14:paraId="05925469"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105AD690" w14:textId="1D7532EC" w:rsidR="00FE53FA" w:rsidRPr="00427AB9" w:rsidRDefault="00FE53FA"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3B5FEC12" w14:textId="7E855A77" w:rsidR="00FE53FA" w:rsidRPr="003B13C3" w:rsidRDefault="000D60F3"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1C5A7A2A" w14:textId="049012CE" w:rsidR="00FE53FA" w:rsidRPr="003B13C3" w:rsidRDefault="00FE53FA" w:rsidP="000D60F3">
            <w:pPr>
              <w:jc w:val="both"/>
              <w:rPr>
                <w:rFonts w:cstheme="minorHAnsi"/>
              </w:rPr>
            </w:pPr>
            <w:r w:rsidRPr="003B13C3">
              <w:rPr>
                <w:rFonts w:eastAsia="Lato" w:cstheme="minorHAnsi"/>
              </w:rPr>
              <w:t>Art. 1 pkt 37 lit. a w zakresie  zmian do art. 86f ust. 1</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0B8D3F2A" w14:textId="2DE3DEF8" w:rsidR="00FE53FA" w:rsidRPr="003B13C3" w:rsidRDefault="00FE53FA" w:rsidP="000D60F3">
            <w:pPr>
              <w:jc w:val="both"/>
              <w:rPr>
                <w:rFonts w:cstheme="minorHAnsi"/>
              </w:rPr>
            </w:pPr>
            <w:r w:rsidRPr="003B13C3">
              <w:rPr>
                <w:rFonts w:eastAsia="Lato" w:cstheme="minorHAnsi"/>
              </w:rPr>
              <w:t>Proponowana zmiana wymaga przeredagowania, ponieważ obecne brzmienie jest niejasne. Ponadto, w tej jednostce redakcyjnej dotychczas nie występowały zapisy w takim brzmieniu.</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1148737B" w14:textId="02AACD81" w:rsidR="00FE53FA" w:rsidRPr="003B13C3" w:rsidRDefault="00FE53FA" w:rsidP="000D60F3">
            <w:pPr>
              <w:jc w:val="both"/>
              <w:rPr>
                <w:rFonts w:cstheme="minorHAnsi"/>
              </w:rPr>
            </w:pP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60BC14BD" w14:textId="20679E1C" w:rsidR="00FE53FA" w:rsidRPr="003B13C3" w:rsidRDefault="00FE53FA" w:rsidP="000D60F3">
            <w:pPr>
              <w:jc w:val="both"/>
              <w:rPr>
                <w:rFonts w:cstheme="minorHAnsi"/>
              </w:rPr>
            </w:pPr>
            <w:r w:rsidRPr="003B13C3">
              <w:rPr>
                <w:rFonts w:eastAsia="Lato" w:cstheme="minorHAnsi"/>
              </w:rPr>
              <w:t xml:space="preserve"> </w:t>
            </w:r>
          </w:p>
        </w:tc>
      </w:tr>
      <w:tr w:rsidR="005F2419" w:rsidRPr="003B13C3" w14:paraId="4ED51B5B"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33A01562" w14:textId="77777777" w:rsidR="005F2419" w:rsidRPr="00427AB9" w:rsidRDefault="005F2419"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1F6131DC" w14:textId="176EC535" w:rsidR="005F2419" w:rsidRPr="003B13C3" w:rsidRDefault="00D84400"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6EC295EB" w14:textId="4350B88E" w:rsidR="005F2419" w:rsidRPr="003B13C3" w:rsidRDefault="005F2419" w:rsidP="000D60F3">
            <w:pPr>
              <w:jc w:val="both"/>
              <w:rPr>
                <w:rFonts w:eastAsia="Lato" w:cstheme="minorHAnsi"/>
              </w:rPr>
            </w:pPr>
            <w:r w:rsidRPr="003B13C3">
              <w:rPr>
                <w:rFonts w:cstheme="minorHAnsi"/>
              </w:rPr>
              <w:t>Art. 1 pkt 37 lit. d Projektu ustawy</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38E9532C" w14:textId="77777777" w:rsidR="005F2419" w:rsidRPr="003B13C3" w:rsidRDefault="005F2419" w:rsidP="006801CA">
            <w:pPr>
              <w:spacing w:after="120"/>
              <w:jc w:val="both"/>
              <w:rPr>
                <w:rFonts w:cstheme="minorHAnsi"/>
              </w:rPr>
            </w:pPr>
            <w:r w:rsidRPr="003B13C3">
              <w:rPr>
                <w:rFonts w:cstheme="minorHAnsi"/>
              </w:rPr>
              <w:t xml:space="preserve">Proponowana zmiana zakłada usunięcie przepisu uzależniającego możliwość wstrzymania wykonania decyzji o środowiskowych uwarunkowaniach od uprawdopodobnienia, że trudne do odwrócenia skutki wynikające z jej wydania nastąpią w konsekwencji określonego w skardze naruszenia prawa lub interesu prawnego. Taką zmianę należy ocenić jednoznacznie negatywnie, ponieważ otwiera ona możliwość wstrzymania wykonania decyzji o środowiskowych uwarunkowaniach w oparciu o dowolne okoliczności, mogące nie mieć nic wspólnego z rzeczywistością. Tego rodzaju regulacja prawna stwarza oczywiste ryzyko nadużyć. </w:t>
            </w:r>
          </w:p>
          <w:p w14:paraId="39FE3FC6" w14:textId="44EEC795" w:rsidR="005F2419" w:rsidRPr="003B13C3" w:rsidRDefault="005F2419" w:rsidP="000D60F3">
            <w:pPr>
              <w:jc w:val="both"/>
              <w:rPr>
                <w:rFonts w:eastAsia="Lato" w:cstheme="minorHAnsi"/>
                <w:u w:val="single"/>
              </w:rPr>
            </w:pPr>
            <w:r w:rsidRPr="003B13C3">
              <w:rPr>
                <w:rFonts w:cstheme="minorHAnsi"/>
              </w:rPr>
              <w:t xml:space="preserve">Wstrzymanie wykonania decyzji o środowiskowych uwarunkowaniach, mimo iż stanowi środek tymczasowy, to w obecnych realiach, w których postępowania przed sądami administracyjnymi (uwzględniając etap WSA i NSA) trwać może nawet kilka lat, może prowadzić do paraliżu inwestycyjnego, a wręcz do rezygnacji z wielu </w:t>
            </w:r>
            <w:r w:rsidR="008F62BC" w:rsidRPr="003B13C3">
              <w:rPr>
                <w:rFonts w:cstheme="minorHAnsi"/>
              </w:rPr>
              <w:t>inwestycji</w:t>
            </w:r>
            <w:r w:rsidRPr="003B13C3">
              <w:rPr>
                <w:rFonts w:cstheme="minorHAnsi"/>
              </w:rPr>
              <w:t xml:space="preserve">. Pożądane jest więc, aby środek ten stosowany był w sposób rozważny i tylko w sytuacji, gdy naruszenie prawa związane z wydaniem decyzji o środowiskowych uwarunkowaniach będzie </w:t>
            </w:r>
            <w:r w:rsidRPr="003B13C3">
              <w:rPr>
                <w:rFonts w:cstheme="minorHAnsi"/>
                <w:i/>
                <w:iCs/>
              </w:rPr>
              <w:t xml:space="preserve">prima facie </w:t>
            </w:r>
            <w:r w:rsidRPr="003B13C3">
              <w:rPr>
                <w:rFonts w:cstheme="minorHAnsi"/>
              </w:rPr>
              <w:lastRenderedPageBreak/>
              <w:t>niewątpliwe, a przystąpienie do realizacji przedsięwzięcia będzie się wiązało z realnymi zagrożeniami.</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69E15BE1" w14:textId="74B9919E" w:rsidR="005F2419" w:rsidRPr="003B13C3" w:rsidRDefault="003E3E69" w:rsidP="000D60F3">
            <w:pPr>
              <w:jc w:val="both"/>
              <w:rPr>
                <w:rFonts w:eastAsia="Lato" w:cstheme="minorHAnsi"/>
              </w:rPr>
            </w:pPr>
            <w:r w:rsidRPr="003B13C3">
              <w:rPr>
                <w:rFonts w:eastAsia="Lato" w:cstheme="minorHAnsi"/>
              </w:rPr>
              <w:lastRenderedPageBreak/>
              <w:t>Proponujemy wykreślenie propozycji legislacyjnej</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058EB57C" w14:textId="77777777" w:rsidR="005F2419" w:rsidRPr="003B13C3" w:rsidRDefault="005F2419" w:rsidP="000D60F3">
            <w:pPr>
              <w:jc w:val="both"/>
              <w:rPr>
                <w:rFonts w:eastAsia="Lato" w:cstheme="minorHAnsi"/>
              </w:rPr>
            </w:pPr>
          </w:p>
        </w:tc>
      </w:tr>
      <w:tr w:rsidR="007D66AA" w:rsidRPr="003B13C3" w14:paraId="3FE68FE3"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1A13512B" w14:textId="77777777" w:rsidR="007D66AA" w:rsidRPr="00427AB9" w:rsidRDefault="007D66AA" w:rsidP="00427AB9">
            <w:pPr>
              <w:pStyle w:val="Akapitzlist"/>
              <w:numPr>
                <w:ilvl w:val="0"/>
                <w:numId w:val="6"/>
              </w:numPr>
              <w:jc w:val="center"/>
              <w:rPr>
                <w:rFonts w:eastAsia="Lato"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721DAC2B" w14:textId="2D9D53C0" w:rsidR="007D66AA" w:rsidRPr="003B13C3" w:rsidRDefault="00D84400" w:rsidP="000D60F3">
            <w:pPr>
              <w:jc w:val="both"/>
              <w:rPr>
                <w:rFonts w:eastAsia="Lato"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7762EDBF" w14:textId="230C5619" w:rsidR="007D66AA" w:rsidRPr="003B13C3" w:rsidRDefault="007D66AA" w:rsidP="000D60F3">
            <w:pPr>
              <w:jc w:val="both"/>
              <w:rPr>
                <w:rFonts w:cstheme="minorHAnsi"/>
              </w:rPr>
            </w:pPr>
            <w:r w:rsidRPr="003B13C3">
              <w:rPr>
                <w:rFonts w:cstheme="minorHAnsi"/>
              </w:rPr>
              <w:t>Art. 1 pkt 41 oraz pkt 54 lit. b Projektu ustawy</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71EF18E2" w14:textId="77777777" w:rsidR="007D66AA" w:rsidRPr="003B13C3" w:rsidRDefault="007D66AA" w:rsidP="009E4F0F">
            <w:pPr>
              <w:spacing w:after="120"/>
              <w:jc w:val="both"/>
              <w:rPr>
                <w:rFonts w:cstheme="minorHAnsi"/>
              </w:rPr>
            </w:pPr>
            <w:r w:rsidRPr="003B13C3">
              <w:rPr>
                <w:rFonts w:cstheme="minorHAnsi"/>
              </w:rPr>
              <w:t xml:space="preserve">Proponowane regulacje przewidują </w:t>
            </w:r>
            <w:r w:rsidRPr="003B13C3">
              <w:rPr>
                <w:rFonts w:cstheme="minorHAnsi"/>
                <w:u w:val="single"/>
              </w:rPr>
              <w:t>wprowadzenie do UOOŚ dotkliwych sankcji nakładanych z tytułu realizacji przedsięwzięcia bez wymaganej decyzji o środowiskowych uwarunkowaniach</w:t>
            </w:r>
            <w:r w:rsidRPr="003B13C3">
              <w:rPr>
                <w:rFonts w:cstheme="minorHAnsi"/>
              </w:rPr>
              <w:t>. Sankcje te obejmują m.in. wymierzenie administracyjnej kary pieniężnej (potencjalnie w astronomicznej kwocie 20.000.000 zł) oraz wszczęcie postępowania ws. wydania „decyzji naprawczej” w trybie art. 362 ust. 1 Prawa ochrony środowiska (mogącej nakazywać nawet likwidację przedsięwzięcia). Proponowana regulacja – zwłaszcza w aktualnym brzmieniu – budzi poważne wątpliwości.</w:t>
            </w:r>
          </w:p>
          <w:p w14:paraId="7C9A82AB" w14:textId="77777777" w:rsidR="007D66AA" w:rsidRPr="003B13C3" w:rsidRDefault="007D66AA" w:rsidP="000D60F3">
            <w:pPr>
              <w:pStyle w:val="Akapitzlist"/>
              <w:numPr>
                <w:ilvl w:val="0"/>
                <w:numId w:val="3"/>
              </w:numPr>
              <w:spacing w:before="120" w:after="120"/>
              <w:ind w:left="482" w:hanging="357"/>
              <w:contextualSpacing w:val="0"/>
              <w:jc w:val="both"/>
              <w:rPr>
                <w:rFonts w:cstheme="minorHAnsi"/>
              </w:rPr>
            </w:pPr>
            <w:r w:rsidRPr="003B13C3">
              <w:rPr>
                <w:rFonts w:cstheme="minorHAnsi"/>
              </w:rPr>
              <w:t xml:space="preserve">Po pierwsze, przesłanką podjęcia działań wskazanych w projektowanym art. 87a ust. 2 UOOŚ (w tym wszczęcia postępowania ws. wymierzenia administracyjnej kary pieniężnej i postępowań naprawczych) miałoby być pozostawienie wniosku o wydanie decyzji o środowiskowych uwarunkowaniach bez rozpoznania (czyli czynność materialno-techniczna, która bezpośrednio nie podlega zaskarżeniu) oraz nieostateczna decyzja odmawiająca określenia środowiskowych uwarunkowań realizacji przedsięwzięcia. W takiej konfiguracji zanim inwestor zdąży skorzystać z przysługujących mu środków zaskarżenia w przedmiocie pozbawienia go możliwości uzyskania decyzji „legalizacyjnej” właściwe organy będą mogły zastosować wobec niego sankcje z tytułu braku wymaganej decyzji o środowiskowych uwarunkowaniach. Takie rozwiązanie jest niewątpliwie sprzeczne ze </w:t>
            </w:r>
            <w:r w:rsidRPr="003B13C3">
              <w:rPr>
                <w:rFonts w:cstheme="minorHAnsi"/>
              </w:rPr>
              <w:lastRenderedPageBreak/>
              <w:t>standardami demokratycznego państwa prawnego, bowiem pozbawia inwestora możliwości podjęcia skutecznej obrony swoich praw.</w:t>
            </w:r>
          </w:p>
          <w:p w14:paraId="4E93E1F7" w14:textId="77777777" w:rsidR="007D66AA" w:rsidRPr="003B13C3" w:rsidRDefault="007D66AA" w:rsidP="000D60F3">
            <w:pPr>
              <w:pStyle w:val="Akapitzlist"/>
              <w:numPr>
                <w:ilvl w:val="0"/>
                <w:numId w:val="3"/>
              </w:numPr>
              <w:spacing w:before="120" w:after="120"/>
              <w:ind w:left="482" w:hanging="357"/>
              <w:contextualSpacing w:val="0"/>
              <w:jc w:val="both"/>
              <w:rPr>
                <w:rFonts w:cstheme="minorHAnsi"/>
              </w:rPr>
            </w:pPr>
            <w:r w:rsidRPr="003B13C3">
              <w:rPr>
                <w:rFonts w:cstheme="minorHAnsi"/>
              </w:rPr>
              <w:t>Po drugie, proponowanym art. 87a ust. 4 UOOŚ zakłada obligatoryjne przeprowadzenie oceny oddziaływania na środowisko w każdym przypadku, co jest sprzeczne z założeniem podziału przedsięwzięć mogących znacząco oddziaływać na środowisko na takie, w odniesieniu do których ocena oddziaływania na środowisko jest obligatoryjna (mogące zawsze znacząco oddziaływać na środowisko) oraz podlegające fakultatywnej ocenie oddziaływania na środowisko (mogące potencjalnie znacząco oddziaływać na środowisko). Takie rozwiązanie jest niezgodne z dyrektywą Parlamentu Europejskiego i Rady 2011/92/UE z dnia 13 grudnia 2011 r. w sprawie oceny skutków wywieranych przez niektóre przedsięwzięcia publiczne i prywatne na środowisko (tekst jednolity)</w:t>
            </w:r>
            <w:r w:rsidRPr="003B13C3">
              <w:rPr>
                <w:rStyle w:val="Odwoanieprzypisudolnego"/>
                <w:rFonts w:cstheme="minorHAnsi"/>
              </w:rPr>
              <w:footnoteReference w:id="3"/>
            </w:r>
            <w:r w:rsidRPr="003B13C3">
              <w:rPr>
                <w:rFonts w:cstheme="minorHAnsi"/>
              </w:rPr>
              <w:t xml:space="preserve"> i nie znajduje żadnego racjonalnego uzasadnienia, a z drugiej strony może niepotrzebnie utrudnić „legalizację” przedsięwzięć zrealizowanych (nierzadko bez winy inwestora, tylko np. za sprawą błędnej kwalifikacji przedsięwzięcia dokonanej przez organy administracji) bez wymaganej decyzji o środowiskowych uwarunkowaniach.</w:t>
            </w:r>
          </w:p>
          <w:p w14:paraId="1A50A6B6" w14:textId="77777777" w:rsidR="007D66AA" w:rsidRPr="003B13C3" w:rsidRDefault="007D66AA" w:rsidP="000D60F3">
            <w:pPr>
              <w:pStyle w:val="Akapitzlist"/>
              <w:numPr>
                <w:ilvl w:val="0"/>
                <w:numId w:val="3"/>
              </w:numPr>
              <w:spacing w:before="120" w:after="120"/>
              <w:ind w:left="482" w:hanging="357"/>
              <w:contextualSpacing w:val="0"/>
              <w:jc w:val="both"/>
              <w:rPr>
                <w:rFonts w:cstheme="minorHAnsi"/>
              </w:rPr>
            </w:pPr>
            <w:r w:rsidRPr="003B13C3">
              <w:rPr>
                <w:rFonts w:cstheme="minorHAnsi"/>
              </w:rPr>
              <w:t xml:space="preserve">Po trzecie, katalog przedsięwzięć mogących znacząco oddziaływać na środowisko jest bardzo obszerny i w wielu wypadkach niejasny, co dodatkowo rodzi ryzyko, iż </w:t>
            </w:r>
            <w:r w:rsidRPr="003B13C3">
              <w:rPr>
                <w:rFonts w:cstheme="minorHAnsi"/>
              </w:rPr>
              <w:lastRenderedPageBreak/>
              <w:t>inwestor zupełnie nie będzie świadom obowiązku uzyskania decyzji o środowiskowych uwarunkowaniach. Przykładowo rozporządzenie z dnia 10 września 2019 r. w sprawie przedsięwzięć mogących znacząco oddziaływać na środowisko</w:t>
            </w:r>
            <w:r w:rsidRPr="003B13C3">
              <w:rPr>
                <w:rStyle w:val="Odwoanieprzypisudolnego"/>
                <w:rFonts w:cstheme="minorHAnsi"/>
              </w:rPr>
              <w:footnoteReference w:id="4"/>
            </w:r>
            <w:r w:rsidRPr="003B13C3">
              <w:rPr>
                <w:rFonts w:cstheme="minorHAnsi"/>
                <w:i/>
                <w:iCs/>
              </w:rPr>
              <w:t xml:space="preserve"> </w:t>
            </w:r>
            <w:r w:rsidRPr="003B13C3">
              <w:rPr>
                <w:rFonts w:cstheme="minorHAnsi"/>
              </w:rPr>
              <w:t xml:space="preserve">np. w § 3. ust.1 pkt. 62 wymienia przedsięwzięcie typu „drogi o nawierzchni twardej o całkowitej długości przedsięwzięcia powyżej 1 km inne niż wymienione w § 2 ust. 1 pkt 31 i 32 (…)” – gdzie interpretacji i wyroków sądów nt. tego, czym jest droga twarda, jest wiele i mimo dobrych intencji inwestor może stać się ofiarą niejasnych regulacji. </w:t>
            </w:r>
          </w:p>
          <w:p w14:paraId="23184FC3" w14:textId="77777777" w:rsidR="007D66AA" w:rsidRPr="003B13C3" w:rsidRDefault="007D66AA" w:rsidP="000D60F3">
            <w:pPr>
              <w:pStyle w:val="Akapitzlist"/>
              <w:numPr>
                <w:ilvl w:val="0"/>
                <w:numId w:val="3"/>
              </w:numPr>
              <w:spacing w:before="120" w:after="120"/>
              <w:ind w:left="482" w:hanging="357"/>
              <w:contextualSpacing w:val="0"/>
              <w:jc w:val="both"/>
              <w:rPr>
                <w:rFonts w:cstheme="minorHAnsi"/>
              </w:rPr>
            </w:pPr>
            <w:r w:rsidRPr="003B13C3">
              <w:rPr>
                <w:rFonts w:cstheme="minorHAnsi"/>
              </w:rPr>
              <w:t xml:space="preserve">Wreszcie, zgodnie z zasadą </w:t>
            </w:r>
            <w:r w:rsidRPr="003B13C3">
              <w:rPr>
                <w:rFonts w:cstheme="minorHAnsi"/>
                <w:i/>
                <w:iCs/>
              </w:rPr>
              <w:t xml:space="preserve">lex retro non </w:t>
            </w:r>
            <w:proofErr w:type="spellStart"/>
            <w:r w:rsidRPr="003B13C3">
              <w:rPr>
                <w:rFonts w:cstheme="minorHAnsi"/>
                <w:i/>
                <w:iCs/>
              </w:rPr>
              <w:t>agit</w:t>
            </w:r>
            <w:proofErr w:type="spellEnd"/>
            <w:r w:rsidRPr="003B13C3">
              <w:rPr>
                <w:rFonts w:cstheme="minorHAnsi"/>
              </w:rPr>
              <w:t xml:space="preserve"> i stanowiącą jej rozwinięcie zasadą </w:t>
            </w:r>
            <w:r w:rsidRPr="003B13C3">
              <w:rPr>
                <w:rFonts w:cstheme="minorHAnsi"/>
                <w:i/>
                <w:iCs/>
              </w:rPr>
              <w:t xml:space="preserve">lex </w:t>
            </w:r>
            <w:proofErr w:type="spellStart"/>
            <w:r w:rsidRPr="003B13C3">
              <w:rPr>
                <w:rFonts w:cstheme="minorHAnsi"/>
                <w:i/>
                <w:iCs/>
              </w:rPr>
              <w:t>severior</w:t>
            </w:r>
            <w:proofErr w:type="spellEnd"/>
            <w:r w:rsidRPr="003B13C3">
              <w:rPr>
                <w:rFonts w:cstheme="minorHAnsi"/>
                <w:i/>
                <w:iCs/>
              </w:rPr>
              <w:t xml:space="preserve"> retro non </w:t>
            </w:r>
            <w:proofErr w:type="spellStart"/>
            <w:r w:rsidRPr="003B13C3">
              <w:rPr>
                <w:rFonts w:cstheme="minorHAnsi"/>
                <w:i/>
                <w:iCs/>
              </w:rPr>
              <w:t>agit</w:t>
            </w:r>
            <w:proofErr w:type="spellEnd"/>
            <w:r w:rsidRPr="003B13C3">
              <w:rPr>
                <w:rFonts w:cstheme="minorHAnsi"/>
              </w:rPr>
              <w:t xml:space="preserve"> prawo przewidujące sankcje, a zwłaszcza sankcje dotkliwsze, nie powinno działać wstecz. Koniecznym jest zatem wprowadzenie norm intertemporalnych, które wprost wyłączą stosowanie wspomnianych tu sankcji w odniesieniu do przedsięwzięć zrealizowanych bez wymaganej decyzji o środowiskowych uwarunkowaniach przed datą wejścia w życie projektowanych regulacji.</w:t>
            </w:r>
          </w:p>
          <w:p w14:paraId="488A58A5" w14:textId="77777777" w:rsidR="00D45CD4" w:rsidRPr="003B13C3" w:rsidRDefault="00D45CD4" w:rsidP="00D45CD4">
            <w:pPr>
              <w:spacing w:before="120" w:after="120" w:line="276" w:lineRule="auto"/>
              <w:jc w:val="both"/>
              <w:rPr>
                <w:rFonts w:cstheme="minorHAnsi"/>
              </w:rPr>
            </w:pPr>
            <w:r w:rsidRPr="003B13C3">
              <w:rPr>
                <w:rFonts w:cstheme="minorHAnsi"/>
              </w:rPr>
              <w:t>Niezależnie od wspomnianych wyżej uwag dotyczących wprowadzenia sankcji proponowany przepis budzi następujące wątpliwości:</w:t>
            </w:r>
          </w:p>
          <w:p w14:paraId="7E77906C" w14:textId="77777777" w:rsidR="00D45CD4" w:rsidRPr="003B13C3" w:rsidRDefault="00D45CD4" w:rsidP="00D45CD4">
            <w:pPr>
              <w:pStyle w:val="Akapitzlist"/>
              <w:numPr>
                <w:ilvl w:val="0"/>
                <w:numId w:val="4"/>
              </w:numPr>
              <w:spacing w:before="120" w:after="120" w:line="276" w:lineRule="auto"/>
              <w:ind w:left="482" w:hanging="357"/>
              <w:contextualSpacing w:val="0"/>
              <w:jc w:val="both"/>
              <w:rPr>
                <w:rFonts w:cstheme="minorHAnsi"/>
              </w:rPr>
            </w:pPr>
            <w:r w:rsidRPr="003B13C3">
              <w:rPr>
                <w:rFonts w:cstheme="minorHAnsi"/>
              </w:rPr>
              <w:t xml:space="preserve">Sama maksymalna wysokość kary sięgająca 20.000.000 zł dalece odbiega od wszelkich innych tego typu instytucji obecnych w </w:t>
            </w:r>
            <w:r w:rsidRPr="003B13C3">
              <w:rPr>
                <w:rFonts w:cstheme="minorHAnsi"/>
              </w:rPr>
              <w:lastRenderedPageBreak/>
              <w:t>krajowych przepisach środowiskowych i budowlanych, co nie znajduje racjonalnego uzasadnienia. Do tego orzeczenie takiego środka nie wyklucza możliwości zastosowania innych środków administracyjnych, takich jak choćby decyzja naprawcza z art. 362 Prawa ochrony środowiska, które same w sobie mogą być skrajnie dotkliwe dla inwestora, która wielu przedsiębiorców może doprowadzić do upadłości</w:t>
            </w:r>
          </w:p>
          <w:p w14:paraId="2947A99B" w14:textId="758BF4A8" w:rsidR="007D66AA" w:rsidRPr="009E3790" w:rsidRDefault="00D45CD4" w:rsidP="009E3790">
            <w:pPr>
              <w:pStyle w:val="Akapitzlist"/>
              <w:numPr>
                <w:ilvl w:val="0"/>
                <w:numId w:val="4"/>
              </w:numPr>
              <w:spacing w:before="120" w:after="120"/>
              <w:ind w:left="498"/>
              <w:jc w:val="both"/>
              <w:rPr>
                <w:rFonts w:cstheme="minorHAnsi"/>
              </w:rPr>
            </w:pPr>
            <w:r w:rsidRPr="009E3790">
              <w:rPr>
                <w:rFonts w:cstheme="minorHAnsi"/>
              </w:rPr>
              <w:t>Przesłanką nałożenia kary jest nie tylko brak wymaganej decyzji o środowiskowych uwarunkowaniach albo zawieszenie jej wykonania. Należy</w:t>
            </w:r>
            <w:r w:rsidR="009F626B" w:rsidRPr="009E3790">
              <w:rPr>
                <w:rFonts w:cstheme="minorHAnsi"/>
              </w:rPr>
              <w:t xml:space="preserve"> wskazać, że zawieszenie wykonania decyzji o środowiskowych uwarunkowaniach możliwe jest nie tylko na podstawie art. 86f UOOŚ, ale także na zasadach ogólnych Kodeksu postępowania administracyjnego mających zastosowanie w trybach nadzwyczajnych (art. 152 i 159 Kodeksu). Możliwa jest więc sytuacja, w której inwestor uzyska ostateczną decyzję o środowiskowych uwarunkowaniach i w oparciu o nią w dobrej wierze podejmie realizację przedsięwzięcia lub nawet rozpocznie jego użytkowanie, a wskutek błędu organu w stosunku do takiej decyzji wszczęte zostanie postępowania nadzwyczajne. Już taka okoliczność będzie przesłanką do nałożenia administracyjnej kary pieniężnej, co samo w sobie stanowi rozwiązanie skrajnie restrykcyjne i oderwane od założenia, iż sankcja taka powinna być formą karania inwestorów za ich świadomie bezprawne działanie.</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3D426478" w14:textId="2EF1C5AD" w:rsidR="007D66AA" w:rsidRPr="003B13C3" w:rsidRDefault="009E4F0F" w:rsidP="000D60F3">
            <w:pPr>
              <w:jc w:val="both"/>
              <w:rPr>
                <w:rFonts w:eastAsia="Lato" w:cstheme="minorHAnsi"/>
              </w:rPr>
            </w:pPr>
            <w:r w:rsidRPr="003B13C3">
              <w:rPr>
                <w:rFonts w:cstheme="minorHAnsi"/>
              </w:rPr>
              <w:lastRenderedPageBreak/>
              <w:t xml:space="preserve">Wobec powyższych zastrzeżeń wnosimy o odpowiednie doprecyzowanie projektowanych przepisów, biorąc pod uwagę także fakt, że część inwestorów przez wysokość potencjalnej kary może uznać tego rodzaju otoczenie prawne za nadmiernie ryzykowne, co może prowadzić do ograniczenia inwestycji i zahamowania rozwoju gospodarczego – wobec takiego ryzyka postulujemy obniżenie górnego pułapu kary do </w:t>
            </w:r>
            <w:r w:rsidRPr="003B13C3">
              <w:rPr>
                <w:rFonts w:cstheme="minorHAnsi"/>
                <w:b/>
                <w:bCs/>
              </w:rPr>
              <w:t>5.000.000 PLN.</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37151C2C" w14:textId="77777777" w:rsidR="007D66AA" w:rsidRPr="003B13C3" w:rsidRDefault="007D66AA" w:rsidP="000D60F3">
            <w:pPr>
              <w:jc w:val="both"/>
              <w:rPr>
                <w:rFonts w:eastAsia="Lato" w:cstheme="minorHAnsi"/>
              </w:rPr>
            </w:pPr>
          </w:p>
        </w:tc>
      </w:tr>
      <w:tr w:rsidR="007D66AA" w:rsidRPr="003B13C3" w14:paraId="71049FA2"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636A507A" w14:textId="47458376" w:rsidR="007D66AA" w:rsidRPr="00427AB9" w:rsidRDefault="007D66AA"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6E02F395" w14:textId="070EAA0B" w:rsidR="007D66AA" w:rsidRPr="003B13C3" w:rsidRDefault="00D84400"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584B8DED" w14:textId="1C53263F" w:rsidR="007D66AA" w:rsidRPr="003B13C3" w:rsidRDefault="007D66AA" w:rsidP="000D60F3">
            <w:pPr>
              <w:jc w:val="both"/>
              <w:rPr>
                <w:rFonts w:cstheme="minorHAnsi"/>
              </w:rPr>
            </w:pPr>
            <w:r w:rsidRPr="003B13C3">
              <w:rPr>
                <w:rFonts w:eastAsia="Lato" w:cstheme="minorHAnsi"/>
              </w:rPr>
              <w:t>Art. 1 pkt 53 w zakresie dodawanych art. 129a-129j</w:t>
            </w:r>
          </w:p>
          <w:p w14:paraId="42D4D12D" w14:textId="2936645B" w:rsidR="007D66AA" w:rsidRPr="003B13C3" w:rsidRDefault="007D66AA" w:rsidP="000D60F3">
            <w:pPr>
              <w:jc w:val="both"/>
              <w:rPr>
                <w:rFonts w:cstheme="minorHAnsi"/>
              </w:rPr>
            </w:pPr>
            <w:r w:rsidRPr="003B13C3">
              <w:rPr>
                <w:rFonts w:eastAsia="Lato" w:cstheme="minorHAnsi"/>
              </w:rPr>
              <w:t>oraz</w:t>
            </w:r>
          </w:p>
          <w:p w14:paraId="763AA5F8" w14:textId="2BAF1020" w:rsidR="007D66AA" w:rsidRPr="003B13C3" w:rsidRDefault="007D66AA" w:rsidP="000D60F3">
            <w:pPr>
              <w:jc w:val="both"/>
              <w:rPr>
                <w:rFonts w:cstheme="minorHAnsi"/>
              </w:rPr>
            </w:pPr>
            <w:r w:rsidRPr="003B13C3">
              <w:rPr>
                <w:rFonts w:eastAsia="Lato" w:cstheme="minorHAnsi"/>
              </w:rPr>
              <w:t>Art. 32 i art. 34</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38D4F4AC" w14:textId="208A5347" w:rsidR="007D66AA" w:rsidRPr="003B13C3" w:rsidRDefault="007D66AA" w:rsidP="000D60F3">
            <w:pPr>
              <w:jc w:val="both"/>
              <w:rPr>
                <w:rFonts w:cstheme="minorHAnsi"/>
              </w:rPr>
            </w:pPr>
            <w:r w:rsidRPr="003B13C3">
              <w:rPr>
                <w:rFonts w:eastAsia="Lato" w:cstheme="minorHAnsi"/>
              </w:rPr>
              <w:t>Proponowane rozwiązanie jest oceniane bardzo pozytywnie – stworzenie systemu SOPOOŚ jest niezwykle pożądane przez inwestorów, ponieważ może znacząco usprawnić procesy administracyjne, zwiększyć transparentność i ułatwić komunikację między organami oraz stronami postępowania. Jednocześnie proponuje się doprecyzowanie następujących kwestii:</w:t>
            </w:r>
          </w:p>
          <w:p w14:paraId="25201937" w14:textId="1658D2CF" w:rsidR="007D66AA" w:rsidRPr="003B13C3" w:rsidRDefault="007D66AA" w:rsidP="000D60F3">
            <w:pPr>
              <w:pStyle w:val="Akapitzlist"/>
              <w:ind w:left="360" w:hanging="360"/>
              <w:jc w:val="both"/>
              <w:rPr>
                <w:rFonts w:eastAsia="Lato" w:cstheme="minorHAnsi"/>
              </w:rPr>
            </w:pPr>
            <w:r w:rsidRPr="003B13C3">
              <w:rPr>
                <w:rFonts w:eastAsia="Lato" w:cstheme="minorHAnsi"/>
              </w:rPr>
              <w:t>Czy w przypadku, gdy strona postępowania nie jest zarejestrowana w systemie SOPOOŚ, będzie miała zapewniony dostęp do dokumentacji? Należy jednoznacznie wskazać mechanizm dostępu dla takich użytkowników.</w:t>
            </w:r>
          </w:p>
          <w:p w14:paraId="43F9D00A" w14:textId="747E7CCF" w:rsidR="007D66AA" w:rsidRPr="003B13C3" w:rsidRDefault="007D66AA" w:rsidP="000D60F3">
            <w:pPr>
              <w:pStyle w:val="Akapitzlist"/>
              <w:ind w:left="360" w:hanging="360"/>
              <w:jc w:val="both"/>
              <w:rPr>
                <w:rFonts w:eastAsia="Lato" w:cstheme="minorHAnsi"/>
              </w:rPr>
            </w:pPr>
            <w:r w:rsidRPr="003B13C3">
              <w:rPr>
                <w:rFonts w:eastAsia="Lato" w:cstheme="minorHAnsi"/>
              </w:rPr>
              <w:t xml:space="preserve">Co w sytuacji, gdy profil użytkownika zostanie usunięty? Czy spowoduje to utratę dostępu do wszystkich dokumentów związanych z postępowaniem? </w:t>
            </w:r>
          </w:p>
          <w:p w14:paraId="7430F852" w14:textId="6CB93970" w:rsidR="007D66AA" w:rsidRPr="003B13C3" w:rsidRDefault="007D66AA" w:rsidP="000D60F3">
            <w:pPr>
              <w:pStyle w:val="Akapitzlist"/>
              <w:ind w:left="360" w:hanging="360"/>
              <w:jc w:val="both"/>
              <w:rPr>
                <w:rFonts w:eastAsia="Lato" w:cstheme="minorHAnsi"/>
              </w:rPr>
            </w:pPr>
            <w:r w:rsidRPr="003B13C3">
              <w:rPr>
                <w:rFonts w:eastAsia="Lato" w:cstheme="minorHAnsi"/>
              </w:rPr>
              <w:t xml:space="preserve">Czy przewidziano możliwość przeniesienia profilu wraz z dokumentacją na inny profil (np. w przypadku zmiany pełnomocnika lub przejęcia inwestycji)? </w:t>
            </w:r>
          </w:p>
          <w:p w14:paraId="6B741324" w14:textId="0E3B47E8" w:rsidR="007D66AA" w:rsidRPr="003B13C3" w:rsidRDefault="007D66AA" w:rsidP="000D60F3">
            <w:pPr>
              <w:pStyle w:val="Akapitzlist"/>
              <w:ind w:left="360" w:hanging="360"/>
              <w:jc w:val="both"/>
              <w:rPr>
                <w:rFonts w:eastAsia="Lato" w:cstheme="minorHAnsi"/>
              </w:rPr>
            </w:pPr>
            <w:r w:rsidRPr="003B13C3">
              <w:rPr>
                <w:rFonts w:eastAsia="Lato" w:cstheme="minorHAnsi"/>
              </w:rPr>
              <w:t>Jeżeli wniosek jest składany przez platformę, należy zagwarantować możliwość składania uwag w formie tradycyjnej (listownie), aby nie wykluczać osób bez dostępu do narzędzi cyfrowych. Warto wskazać, w jaki sposób takie uwagi będą włączane do systemu.</w:t>
            </w:r>
          </w:p>
          <w:p w14:paraId="35902204" w14:textId="4843B670" w:rsidR="007D66AA" w:rsidRPr="003B13C3" w:rsidRDefault="007D66AA" w:rsidP="000D60F3">
            <w:pPr>
              <w:pStyle w:val="Akapitzlist"/>
              <w:ind w:left="360" w:hanging="360"/>
              <w:jc w:val="both"/>
              <w:rPr>
                <w:rFonts w:eastAsia="Lato" w:cstheme="minorHAnsi"/>
              </w:rPr>
            </w:pPr>
            <w:r w:rsidRPr="003B13C3">
              <w:rPr>
                <w:rFonts w:eastAsia="Lato" w:cstheme="minorHAnsi"/>
              </w:rPr>
              <w:t>Czy system przewiduje opcję dołączenia osób, które nie są pełnomocnikami, ale muszą mieć dostęp do dokumentacji (np. eksperci, konsultanci)?</w:t>
            </w:r>
          </w:p>
          <w:p w14:paraId="655A25DC" w14:textId="20C3D5BE" w:rsidR="007D66AA" w:rsidRPr="003B13C3" w:rsidRDefault="007D66AA" w:rsidP="000D60F3">
            <w:pPr>
              <w:jc w:val="both"/>
              <w:rPr>
                <w:rFonts w:cstheme="minorHAnsi"/>
              </w:rPr>
            </w:pPr>
            <w:r w:rsidRPr="003B13C3">
              <w:rPr>
                <w:rFonts w:eastAsia="Lato" w:cstheme="minorHAnsi"/>
              </w:rPr>
              <w:t xml:space="preserve">Ponadto, w świetle brzmienia przepisu przejściowego w art. 32 nie jest jednoznaczne, kiedy pojawi się realna możliwość korzystania z funkcjonalności systemu, czy od 2028 roku jak wynika z treści art. 34 związanego z delegacją do wydania komunikatów, czy też od 2030 roku, po </w:t>
            </w:r>
            <w:r w:rsidRPr="003B13C3">
              <w:rPr>
                <w:rFonts w:eastAsia="Lato" w:cstheme="minorHAnsi"/>
              </w:rPr>
              <w:lastRenderedPageBreak/>
              <w:t xml:space="preserve">przeprowadzeniu migracji dokumentów. Proces digitalizacji postępowań powinien być maksymalnie szybki – zgodnie z art. 16 ust. 3 </w:t>
            </w:r>
            <w:r w:rsidRPr="003B13C3">
              <w:rPr>
                <w:rFonts w:eastAsia="Calibri" w:cstheme="minorHAnsi"/>
              </w:rPr>
              <w:t xml:space="preserve"> </w:t>
            </w:r>
            <w:r w:rsidRPr="003B13C3">
              <w:rPr>
                <w:rFonts w:eastAsia="Lato" w:cstheme="minorHAnsi"/>
              </w:rPr>
              <w:t xml:space="preserve">dyrektywy Parlamentu Europejskiego i Rady (UE) 2018/2001 z dnia 11 grudnia 2018 r. w sprawie promowania stosowania energii ze źródeł odnawialnych (Dz. U. UE </w:t>
            </w:r>
            <w:r w:rsidRPr="003B13C3">
              <w:rPr>
                <w:rFonts w:eastAsia="Arial Unicode MS" w:cstheme="minorHAnsi"/>
                <w:color w:val="333333"/>
              </w:rPr>
              <w:t xml:space="preserve"> </w:t>
            </w:r>
            <w:r w:rsidRPr="003B13C3">
              <w:rPr>
                <w:rFonts w:eastAsia="Lato" w:cstheme="minorHAnsi"/>
              </w:rPr>
              <w:t xml:space="preserve">28 21.12.2018), </w:t>
            </w:r>
            <w:r w:rsidRPr="003B13C3">
              <w:rPr>
                <w:rFonts w:eastAsia="Calibri" w:cstheme="minorHAnsi"/>
              </w:rPr>
              <w:t xml:space="preserve"> </w:t>
            </w:r>
            <w:r w:rsidRPr="003B13C3">
              <w:rPr>
                <w:rFonts w:eastAsia="Lato" w:cstheme="minorHAnsi"/>
              </w:rPr>
              <w:t>do dnia 21 listopada 2025 r. państwa członkowskie zapewnią, aby wszystkie procedury wydawania zezwoleń były przeprowadzane w formie elektronicznej. W tym aspekcie proponowany horyzont wprowadzenia zmian jest zdecydowanie dłuższy niż terminy wynikające z regulacji unijnych.</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4EBF9D72" w14:textId="22BFE0E3" w:rsidR="007D66AA" w:rsidRPr="003B13C3" w:rsidRDefault="007D66AA" w:rsidP="000D60F3">
            <w:pPr>
              <w:jc w:val="both"/>
              <w:rPr>
                <w:rFonts w:cstheme="minorHAnsi"/>
              </w:rPr>
            </w:pP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106F1995" w14:textId="1759A2C4" w:rsidR="007D66AA" w:rsidRPr="003B13C3" w:rsidRDefault="007D66AA" w:rsidP="000D60F3">
            <w:pPr>
              <w:jc w:val="both"/>
              <w:rPr>
                <w:rFonts w:cstheme="minorHAnsi"/>
              </w:rPr>
            </w:pPr>
            <w:r w:rsidRPr="003B13C3">
              <w:rPr>
                <w:rFonts w:eastAsia="Lato" w:cstheme="minorHAnsi"/>
              </w:rPr>
              <w:t xml:space="preserve"> </w:t>
            </w:r>
          </w:p>
        </w:tc>
      </w:tr>
      <w:tr w:rsidR="00D6157C" w:rsidRPr="003B13C3" w14:paraId="1550CCC4"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48D8A3CC" w14:textId="309EEC10" w:rsidR="00D6157C" w:rsidRPr="00427AB9" w:rsidRDefault="00D6157C"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3295248E" w14:textId="389C02A4" w:rsidR="00D6157C" w:rsidRPr="003B13C3" w:rsidRDefault="00622ABF"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727B2990" w14:textId="3AC18F48" w:rsidR="00D6157C" w:rsidRPr="003B13C3" w:rsidRDefault="00D6157C" w:rsidP="000D60F3">
            <w:pPr>
              <w:jc w:val="both"/>
              <w:rPr>
                <w:rFonts w:cstheme="minorHAnsi"/>
              </w:rPr>
            </w:pPr>
            <w:r w:rsidRPr="003B13C3">
              <w:rPr>
                <w:rFonts w:eastAsia="Lato" w:cstheme="minorHAnsi"/>
              </w:rPr>
              <w:t>Art. 3 pkt 1</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0720B64C" w14:textId="11630775" w:rsidR="00D6157C" w:rsidRPr="003B13C3" w:rsidRDefault="00D6157C" w:rsidP="000D60F3">
            <w:pPr>
              <w:jc w:val="both"/>
              <w:rPr>
                <w:rFonts w:cstheme="minorHAnsi"/>
              </w:rPr>
            </w:pPr>
            <w:r w:rsidRPr="003B13C3">
              <w:rPr>
                <w:rFonts w:eastAsia="Lato" w:cstheme="minorHAnsi"/>
              </w:rPr>
              <w:t>Przepis został już uchylony przez art. 1 pkt 10 lit. a ustawy z dnia 4 grudnia 2025 r. (Dz.U. 2025 poz. 1847) zmieniającej przedmiotową ustawę z dniem 7 stycznia 2026 r.</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180718E0" w14:textId="55983751" w:rsidR="00D6157C" w:rsidRPr="003B13C3" w:rsidRDefault="00D6157C" w:rsidP="000D60F3">
            <w:pPr>
              <w:jc w:val="both"/>
              <w:rPr>
                <w:rFonts w:cstheme="minorHAnsi"/>
              </w:rPr>
            </w:pPr>
            <w:r w:rsidRPr="003B13C3">
              <w:rPr>
                <w:rFonts w:eastAsia="Lato" w:cstheme="minorHAnsi"/>
                <w:b/>
                <w:bCs/>
                <w:i/>
                <w:iCs/>
                <w:strike/>
              </w:rPr>
              <w:t>1) w art. 33 w ust. 2 uchyla się pkt 9;</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5E4F5F04" w14:textId="7AF65416" w:rsidR="00D6157C" w:rsidRPr="003B13C3" w:rsidRDefault="00D6157C" w:rsidP="000D60F3">
            <w:pPr>
              <w:jc w:val="both"/>
              <w:rPr>
                <w:rFonts w:cstheme="minorHAnsi"/>
              </w:rPr>
            </w:pPr>
            <w:r w:rsidRPr="003B13C3">
              <w:rPr>
                <w:rFonts w:eastAsia="Lato" w:cstheme="minorHAnsi"/>
              </w:rPr>
              <w:t xml:space="preserve"> </w:t>
            </w:r>
          </w:p>
        </w:tc>
      </w:tr>
      <w:tr w:rsidR="00D6157C" w:rsidRPr="003B13C3" w14:paraId="7EDB7B35"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5F8C14FE" w14:textId="5832D193" w:rsidR="00D6157C" w:rsidRPr="00427AB9" w:rsidRDefault="00D6157C"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6FD5C562" w14:textId="207F8C37" w:rsidR="00D6157C" w:rsidRPr="003B13C3" w:rsidRDefault="00622ABF"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573DA06A" w14:textId="2D5E0BC6" w:rsidR="00D6157C" w:rsidRPr="003B13C3" w:rsidRDefault="00D6157C" w:rsidP="000D60F3">
            <w:pPr>
              <w:jc w:val="both"/>
              <w:rPr>
                <w:rFonts w:cstheme="minorHAnsi"/>
              </w:rPr>
            </w:pPr>
            <w:r w:rsidRPr="003B13C3">
              <w:rPr>
                <w:rFonts w:eastAsia="Lato" w:cstheme="minorHAnsi"/>
              </w:rPr>
              <w:t>Art. 25 ust. 2</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0805A5FC" w14:textId="2B1FA759" w:rsidR="00D6157C" w:rsidRPr="003B13C3" w:rsidRDefault="00D6157C" w:rsidP="000D60F3">
            <w:pPr>
              <w:jc w:val="both"/>
              <w:rPr>
                <w:rFonts w:cstheme="minorHAnsi"/>
              </w:rPr>
            </w:pPr>
            <w:r w:rsidRPr="003B13C3">
              <w:rPr>
                <w:rFonts w:eastAsia="Lato" w:cstheme="minorHAnsi"/>
              </w:rPr>
              <w:t xml:space="preserve">Przekazywanie zawieszonych postępowań do nowych organów może w praktyce wprowadzić </w:t>
            </w:r>
            <w:r w:rsidR="00106E8F">
              <w:rPr>
                <w:rFonts w:eastAsia="Lato" w:cstheme="minorHAnsi"/>
              </w:rPr>
              <w:t>zamieszanie</w:t>
            </w:r>
            <w:r w:rsidRPr="003B13C3">
              <w:rPr>
                <w:rFonts w:eastAsia="Lato" w:cstheme="minorHAnsi"/>
              </w:rPr>
              <w:t xml:space="preserve"> – konieczność przenoszenia akt, zapoznawania się z dokumentacją </w:t>
            </w:r>
            <w:r w:rsidR="004D7B61">
              <w:rPr>
                <w:rFonts w:eastAsia="Lato" w:cstheme="minorHAnsi"/>
              </w:rPr>
              <w:t xml:space="preserve">na nowo, dlatego też stoimy na stanowisku, że </w:t>
            </w:r>
            <w:r w:rsidRPr="003B13C3">
              <w:rPr>
                <w:rFonts w:eastAsia="Lato" w:cstheme="minorHAnsi"/>
              </w:rPr>
              <w:t>zmian</w:t>
            </w:r>
            <w:r w:rsidR="004D7B61">
              <w:rPr>
                <w:rFonts w:eastAsia="Lato" w:cstheme="minorHAnsi"/>
              </w:rPr>
              <w:t>a</w:t>
            </w:r>
            <w:r w:rsidRPr="003B13C3">
              <w:rPr>
                <w:rFonts w:eastAsia="Lato" w:cstheme="minorHAnsi"/>
              </w:rPr>
              <w:t xml:space="preserve"> organu może wydłużyć procedury zamiast je usprawnić. Dla stron postępowania oznacza to dodatkową niepewność. Rozważenie pozostawienia tych spraw w dotychczasowych strukturach wydaje się bardziej praktyczne – zapewni większą stabilność, mniej chaosu i pozwoli uniknąć opóźnień wynikających z reorganizacji.</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15240477" w14:textId="7FAE9553" w:rsidR="00D6157C" w:rsidRPr="003B13C3" w:rsidRDefault="00D6157C" w:rsidP="000D60F3">
            <w:pPr>
              <w:jc w:val="both"/>
              <w:rPr>
                <w:rFonts w:cstheme="minorHAnsi"/>
              </w:rPr>
            </w:pP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2E3F9E08" w14:textId="1B1E3CBD" w:rsidR="00D6157C" w:rsidRPr="003B13C3" w:rsidRDefault="00D6157C" w:rsidP="000D60F3">
            <w:pPr>
              <w:jc w:val="both"/>
              <w:rPr>
                <w:rFonts w:cstheme="minorHAnsi"/>
              </w:rPr>
            </w:pPr>
            <w:r w:rsidRPr="003B13C3">
              <w:rPr>
                <w:rFonts w:eastAsia="Lato" w:cstheme="minorHAnsi"/>
              </w:rPr>
              <w:t xml:space="preserve"> </w:t>
            </w:r>
          </w:p>
        </w:tc>
      </w:tr>
      <w:tr w:rsidR="00D6157C" w:rsidRPr="003B13C3" w14:paraId="40A4C156" w14:textId="77777777" w:rsidTr="00427AB9">
        <w:trPr>
          <w:trHeight w:val="300"/>
        </w:trPr>
        <w:tc>
          <w:tcPr>
            <w:tcW w:w="708" w:type="dxa"/>
            <w:tcBorders>
              <w:top w:val="single" w:sz="8" w:space="0" w:color="auto"/>
              <w:left w:val="single" w:sz="8" w:space="0" w:color="auto"/>
              <w:bottom w:val="single" w:sz="8" w:space="0" w:color="auto"/>
              <w:right w:val="single" w:sz="8" w:space="0" w:color="auto"/>
            </w:tcBorders>
            <w:tcMar>
              <w:left w:w="108" w:type="dxa"/>
              <w:right w:w="108" w:type="dxa"/>
            </w:tcMar>
          </w:tcPr>
          <w:p w14:paraId="2180D04D" w14:textId="5BD2FEB9" w:rsidR="00D6157C" w:rsidRPr="00427AB9" w:rsidRDefault="00D6157C" w:rsidP="00427AB9">
            <w:pPr>
              <w:pStyle w:val="Akapitzlist"/>
              <w:numPr>
                <w:ilvl w:val="0"/>
                <w:numId w:val="6"/>
              </w:numPr>
              <w:jc w:val="center"/>
              <w:rPr>
                <w:rFonts w:cstheme="minorHAnsi"/>
              </w:rPr>
            </w:pP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37C694E9" w14:textId="60266383" w:rsidR="00D6157C" w:rsidRPr="003B13C3" w:rsidRDefault="00622ABF" w:rsidP="000D60F3">
            <w:pPr>
              <w:jc w:val="both"/>
              <w:rPr>
                <w:rFonts w:cstheme="minorHAnsi"/>
              </w:rPr>
            </w:pPr>
            <w:r w:rsidRPr="003B13C3">
              <w:rPr>
                <w:rFonts w:eastAsia="Lato" w:cstheme="minorHAnsi"/>
              </w:rPr>
              <w:t>Konfederacja Lewiatan</w:t>
            </w:r>
          </w:p>
        </w:tc>
        <w:tc>
          <w:tcPr>
            <w:tcW w:w="2434" w:type="dxa"/>
            <w:tcBorders>
              <w:top w:val="single" w:sz="8" w:space="0" w:color="auto"/>
              <w:left w:val="single" w:sz="8" w:space="0" w:color="auto"/>
              <w:bottom w:val="single" w:sz="8" w:space="0" w:color="auto"/>
              <w:right w:val="single" w:sz="8" w:space="0" w:color="auto"/>
            </w:tcBorders>
            <w:tcMar>
              <w:left w:w="108" w:type="dxa"/>
              <w:right w:w="108" w:type="dxa"/>
            </w:tcMar>
          </w:tcPr>
          <w:p w14:paraId="04B066A7" w14:textId="6CFD9E46" w:rsidR="00D6157C" w:rsidRPr="003B13C3" w:rsidRDefault="00D6157C" w:rsidP="000D60F3">
            <w:pPr>
              <w:jc w:val="both"/>
              <w:rPr>
                <w:rFonts w:cstheme="minorHAnsi"/>
              </w:rPr>
            </w:pPr>
            <w:r w:rsidRPr="003B13C3">
              <w:rPr>
                <w:rFonts w:eastAsia="Lato" w:cstheme="minorHAnsi"/>
              </w:rPr>
              <w:t>Zagadnienia konieczne do uwzględnienia i pytania ogólne</w:t>
            </w:r>
          </w:p>
        </w:tc>
        <w:tc>
          <w:tcPr>
            <w:tcW w:w="4623" w:type="dxa"/>
            <w:tcBorders>
              <w:top w:val="single" w:sz="8" w:space="0" w:color="auto"/>
              <w:left w:val="single" w:sz="8" w:space="0" w:color="auto"/>
              <w:bottom w:val="single" w:sz="8" w:space="0" w:color="auto"/>
              <w:right w:val="single" w:sz="8" w:space="0" w:color="auto"/>
            </w:tcBorders>
            <w:tcMar>
              <w:left w:w="108" w:type="dxa"/>
              <w:right w:w="108" w:type="dxa"/>
            </w:tcMar>
          </w:tcPr>
          <w:p w14:paraId="56E39AA2" w14:textId="3F8694E7" w:rsidR="00D6157C" w:rsidRPr="003B13C3" w:rsidRDefault="00D6157C" w:rsidP="000D60F3">
            <w:pPr>
              <w:jc w:val="both"/>
              <w:rPr>
                <w:rFonts w:cstheme="minorHAnsi"/>
              </w:rPr>
            </w:pPr>
            <w:r w:rsidRPr="003B13C3">
              <w:rPr>
                <w:rFonts w:eastAsia="Lato" w:cstheme="minorHAnsi"/>
                <w:u w:val="single"/>
              </w:rPr>
              <w:t>Definicja powiązania technologicznego</w:t>
            </w:r>
          </w:p>
          <w:p w14:paraId="4BDDD0BB" w14:textId="141A0A89" w:rsidR="00D6157C" w:rsidRPr="003B13C3" w:rsidRDefault="00D6157C" w:rsidP="000D60F3">
            <w:pPr>
              <w:jc w:val="both"/>
              <w:rPr>
                <w:rFonts w:cstheme="minorHAnsi"/>
              </w:rPr>
            </w:pPr>
            <w:r w:rsidRPr="003B13C3">
              <w:rPr>
                <w:rFonts w:eastAsia="Lato" w:cstheme="minorHAnsi"/>
              </w:rPr>
              <w:t xml:space="preserve">Brak obowiązku wskazywania na etapie decyzji o środowiskowych uwarunkowaniach szczegółów dotyczących kabli SN, GPO oraz infrastruktury powiązanej jest istotny dla praktyki inwestycyjnej. Obecnie organy prezentują stanowisko, że w ramach oceny oddziaływania na środowisko </w:t>
            </w:r>
            <w:r w:rsidRPr="003B13C3">
              <w:rPr>
                <w:rFonts w:eastAsia="Lato" w:cstheme="minorHAnsi"/>
              </w:rPr>
              <w:lastRenderedPageBreak/>
              <w:t>należy wskazać wszystkie kable, GPO i elementy infrastruktury powiązanej. W praktyce na etapie procedury w sprawie decyzji środowiskowej inwestorzy nie dysponują warunkami przyłączenia, nie znają lokalizacji punktu przyłączenia, a tym samym nie mogą określić miejsca GPO ani przebiegu trasy kablowej</w:t>
            </w:r>
            <w:r w:rsidR="00134371">
              <w:rPr>
                <w:rFonts w:eastAsia="Lato" w:cstheme="minorHAnsi"/>
              </w:rPr>
              <w:t>.</w:t>
            </w:r>
          </w:p>
          <w:p w14:paraId="55928C05" w14:textId="20CDF0D4" w:rsidR="00D6157C" w:rsidRPr="003B13C3" w:rsidRDefault="00D6157C" w:rsidP="000D60F3">
            <w:pPr>
              <w:jc w:val="both"/>
              <w:rPr>
                <w:rFonts w:cstheme="minorHAnsi"/>
              </w:rPr>
            </w:pPr>
            <w:r w:rsidRPr="003B13C3">
              <w:rPr>
                <w:rFonts w:eastAsia="Lato" w:cstheme="minorHAnsi"/>
              </w:rPr>
              <w:t>Wymaganie szczegółowych rozwiązań projektowych na tym etapie wydłuża i podraża procedurę, ponieważ wymaga badań na dużych obszarach oraz powoduje konieczność późniejszej zmiany decyzji środowiskowej, gdy szczegóły infrastruktury powiązanej są znane dopiero na etapie pozwolenia na budowę, a także generuje dodatkowy nakład pracy dla organów, ponieważ zmiana decyzji środowiskowej trwa wiele miesięcy.</w:t>
            </w:r>
          </w:p>
          <w:p w14:paraId="7FAD41FE" w14:textId="6AF3464C" w:rsidR="00D6157C" w:rsidRPr="003B13C3" w:rsidRDefault="00D6157C" w:rsidP="000D60F3">
            <w:pPr>
              <w:jc w:val="both"/>
              <w:rPr>
                <w:rFonts w:cstheme="minorHAnsi"/>
              </w:rPr>
            </w:pPr>
            <w:r w:rsidRPr="003B13C3">
              <w:rPr>
                <w:rFonts w:eastAsia="Lato" w:cstheme="minorHAnsi"/>
              </w:rPr>
              <w:t>Z tego względu proponuje się uzupełnienie projektu ustawy w taki sposób, aby na etapie decyzji środowiskowej nie było obowiązku wskazywania szczegółowych elementów infrastruktury powiązanej, które są ustalane dopiero na późniejszych etapach procesu inwestycyjnego.</w:t>
            </w:r>
          </w:p>
        </w:tc>
        <w:tc>
          <w:tcPr>
            <w:tcW w:w="3803" w:type="dxa"/>
            <w:tcBorders>
              <w:top w:val="single" w:sz="8" w:space="0" w:color="auto"/>
              <w:left w:val="single" w:sz="8" w:space="0" w:color="auto"/>
              <w:bottom w:val="single" w:sz="8" w:space="0" w:color="auto"/>
              <w:right w:val="single" w:sz="8" w:space="0" w:color="auto"/>
            </w:tcBorders>
            <w:tcMar>
              <w:left w:w="108" w:type="dxa"/>
              <w:right w:w="108" w:type="dxa"/>
            </w:tcMar>
          </w:tcPr>
          <w:p w14:paraId="2505E7F5" w14:textId="0E371220" w:rsidR="00D6157C" w:rsidRPr="003B13C3" w:rsidRDefault="00D6157C" w:rsidP="000D60F3">
            <w:pPr>
              <w:jc w:val="both"/>
              <w:rPr>
                <w:rFonts w:cstheme="minorHAnsi"/>
              </w:rPr>
            </w:pPr>
            <w:r w:rsidRPr="003B13C3">
              <w:rPr>
                <w:rFonts w:eastAsia="Lato" w:cstheme="minorHAnsi"/>
              </w:rPr>
              <w:lastRenderedPageBreak/>
              <w:t>Należy wprowadzić niebudzącą wątpliwości definicję powiązania technologicznego.</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2A26579B" w14:textId="0BFF3A29" w:rsidR="00D6157C" w:rsidRPr="003B13C3" w:rsidRDefault="00D6157C" w:rsidP="000D60F3">
            <w:pPr>
              <w:jc w:val="both"/>
              <w:rPr>
                <w:rFonts w:cstheme="minorHAnsi"/>
              </w:rPr>
            </w:pPr>
            <w:r w:rsidRPr="003B13C3">
              <w:rPr>
                <w:rFonts w:eastAsia="Lato" w:cstheme="minorHAnsi"/>
              </w:rPr>
              <w:t xml:space="preserve"> </w:t>
            </w:r>
          </w:p>
        </w:tc>
      </w:tr>
    </w:tbl>
    <w:p w14:paraId="693F738A" w14:textId="31D2D61B" w:rsidR="6BA26306" w:rsidRPr="003B13C3" w:rsidRDefault="6BA26306" w:rsidP="000D60F3">
      <w:pPr>
        <w:spacing w:after="0" w:line="240" w:lineRule="auto"/>
        <w:jc w:val="center"/>
        <w:rPr>
          <w:rFonts w:cstheme="minorHAnsi"/>
        </w:rPr>
      </w:pPr>
      <w:r w:rsidRPr="003B13C3">
        <w:rPr>
          <w:rFonts w:eastAsia="Lato" w:cstheme="minorHAnsi"/>
        </w:rPr>
        <w:t xml:space="preserve"> </w:t>
      </w:r>
    </w:p>
    <w:p w14:paraId="16CE6420" w14:textId="6084E08F" w:rsidR="7CD31248" w:rsidRPr="003B13C3" w:rsidRDefault="7CD31248" w:rsidP="000D60F3">
      <w:pPr>
        <w:spacing w:after="0" w:line="240" w:lineRule="auto"/>
        <w:jc w:val="center"/>
        <w:rPr>
          <w:rFonts w:cstheme="minorHAnsi"/>
        </w:rPr>
      </w:pPr>
    </w:p>
    <w:p w14:paraId="5C5E0180" w14:textId="6405F177" w:rsidR="7CD31248" w:rsidRPr="003B13C3" w:rsidRDefault="7CD31248" w:rsidP="000D60F3">
      <w:pPr>
        <w:spacing w:after="0" w:line="240" w:lineRule="auto"/>
        <w:jc w:val="center"/>
        <w:rPr>
          <w:rFonts w:cstheme="minorHAnsi"/>
        </w:rPr>
      </w:pPr>
    </w:p>
    <w:p w14:paraId="1F11766C" w14:textId="4007F996" w:rsidR="6BA26306" w:rsidRPr="003B13C3" w:rsidRDefault="6BA26306" w:rsidP="000D60F3">
      <w:pPr>
        <w:spacing w:after="0" w:line="240" w:lineRule="auto"/>
        <w:jc w:val="center"/>
        <w:rPr>
          <w:rFonts w:cstheme="minorHAnsi"/>
        </w:rPr>
      </w:pPr>
      <w:hyperlink r:id="rId9" w:anchor="_ftnref1">
        <w:r w:rsidRPr="003B13C3">
          <w:rPr>
            <w:rStyle w:val="Hipercze"/>
            <w:rFonts w:eastAsia="Lato" w:cstheme="minorHAnsi"/>
            <w:vertAlign w:val="superscript"/>
          </w:rPr>
          <w:t>1)</w:t>
        </w:r>
      </w:hyperlink>
      <w:r w:rsidRPr="003B13C3">
        <w:rPr>
          <w:rFonts w:eastAsia="Lato" w:cstheme="minorHAnsi"/>
        </w:rPr>
        <w:t xml:space="preserve"> W przypadku aktu nowelizującego należy wskazać jednostkę redakcyjną projektu oraz jednostkę redakcyjną zmienianego aktu prawnego.</w:t>
      </w:r>
    </w:p>
    <w:p w14:paraId="099A1690" w14:textId="1225E7F8" w:rsidR="7CD31248" w:rsidRDefault="7CD31248" w:rsidP="000D60F3">
      <w:pPr>
        <w:spacing w:after="0" w:line="240" w:lineRule="auto"/>
        <w:jc w:val="center"/>
        <w:rPr>
          <w:rFonts w:cstheme="minorHAnsi"/>
          <w:b/>
          <w:bCs/>
        </w:rPr>
      </w:pPr>
    </w:p>
    <w:p w14:paraId="32CA6C75" w14:textId="77777777" w:rsidR="00842139" w:rsidRPr="00842139" w:rsidRDefault="00842139" w:rsidP="00842139">
      <w:pPr>
        <w:rPr>
          <w:rFonts w:cstheme="minorHAnsi"/>
        </w:rPr>
      </w:pPr>
    </w:p>
    <w:p w14:paraId="5DAB0F87" w14:textId="77777777" w:rsidR="00842139" w:rsidRDefault="00842139" w:rsidP="00842139">
      <w:pPr>
        <w:rPr>
          <w:rFonts w:cstheme="minorHAnsi"/>
          <w:b/>
          <w:bCs/>
        </w:rPr>
      </w:pPr>
    </w:p>
    <w:p w14:paraId="68A8F6F3" w14:textId="4EEDF574" w:rsidR="00842139" w:rsidRPr="00842139" w:rsidRDefault="00842139" w:rsidP="00842139">
      <w:pPr>
        <w:ind w:firstLine="708"/>
        <w:rPr>
          <w:rFonts w:cstheme="minorHAnsi"/>
        </w:rPr>
      </w:pPr>
      <w:r>
        <w:rPr>
          <w:rFonts w:cstheme="minorHAnsi"/>
        </w:rPr>
        <w:t>KL/</w:t>
      </w:r>
      <w:r w:rsidR="00F02014">
        <w:rPr>
          <w:rFonts w:cstheme="minorHAnsi"/>
        </w:rPr>
        <w:t>70/15/PG/2026</w:t>
      </w:r>
    </w:p>
    <w:sectPr w:rsidR="00842139" w:rsidRPr="00842139" w:rsidSect="00B91BB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53A25" w14:textId="77777777" w:rsidR="00976D7C" w:rsidRDefault="00976D7C" w:rsidP="00CA2841">
      <w:pPr>
        <w:spacing w:after="0" w:line="240" w:lineRule="auto"/>
      </w:pPr>
      <w:r>
        <w:separator/>
      </w:r>
    </w:p>
  </w:endnote>
  <w:endnote w:type="continuationSeparator" w:id="0">
    <w:p w14:paraId="5BEB1716" w14:textId="77777777" w:rsidR="00976D7C" w:rsidRDefault="00976D7C" w:rsidP="00CA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53F1" w14:textId="77777777" w:rsidR="00976D7C" w:rsidRDefault="00976D7C" w:rsidP="00CA2841">
      <w:pPr>
        <w:spacing w:after="0" w:line="240" w:lineRule="auto"/>
      </w:pPr>
      <w:r>
        <w:separator/>
      </w:r>
    </w:p>
  </w:footnote>
  <w:footnote w:type="continuationSeparator" w:id="0">
    <w:p w14:paraId="567F0D47" w14:textId="77777777" w:rsidR="00976D7C" w:rsidRDefault="00976D7C" w:rsidP="00CA2841">
      <w:pPr>
        <w:spacing w:after="0" w:line="240" w:lineRule="auto"/>
      </w:pPr>
      <w:r>
        <w:continuationSeparator/>
      </w:r>
    </w:p>
  </w:footnote>
  <w:footnote w:id="1">
    <w:p w14:paraId="37698F7B" w14:textId="77777777" w:rsidR="00717860" w:rsidRPr="00C162B3" w:rsidRDefault="00717860" w:rsidP="00C162B3">
      <w:pPr>
        <w:pStyle w:val="Tekstprzypisudolnego"/>
        <w:jc w:val="both"/>
        <w:rPr>
          <w:rFonts w:ascii="Arial" w:hAnsi="Arial" w:cs="Arial"/>
          <w:sz w:val="16"/>
          <w:szCs w:val="16"/>
        </w:rPr>
      </w:pPr>
      <w:r w:rsidRPr="00C162B3">
        <w:rPr>
          <w:rStyle w:val="Odwoanieprzypisudolnego"/>
          <w:rFonts w:ascii="Arial" w:hAnsi="Arial" w:cs="Arial"/>
          <w:sz w:val="16"/>
          <w:szCs w:val="16"/>
        </w:rPr>
        <w:footnoteRef/>
      </w:r>
      <w:r w:rsidRPr="00C162B3">
        <w:rPr>
          <w:rFonts w:ascii="Arial" w:hAnsi="Arial" w:cs="Arial"/>
          <w:sz w:val="16"/>
          <w:szCs w:val="16"/>
        </w:rPr>
        <w:t xml:space="preserve"> </w:t>
      </w:r>
      <w:proofErr w:type="spellStart"/>
      <w:r w:rsidRPr="00C162B3">
        <w:rPr>
          <w:rFonts w:ascii="Arial" w:hAnsi="Arial" w:cs="Arial"/>
          <w:sz w:val="16"/>
          <w:szCs w:val="16"/>
        </w:rPr>
        <w:t>t.j</w:t>
      </w:r>
      <w:proofErr w:type="spellEnd"/>
      <w:r w:rsidRPr="00C162B3">
        <w:rPr>
          <w:rFonts w:ascii="Arial" w:hAnsi="Arial" w:cs="Arial"/>
          <w:sz w:val="16"/>
          <w:szCs w:val="16"/>
        </w:rPr>
        <w:t xml:space="preserve">. Dz. U. z 2024 r. poz. 1112 z </w:t>
      </w:r>
      <w:proofErr w:type="spellStart"/>
      <w:r w:rsidRPr="00C162B3">
        <w:rPr>
          <w:rFonts w:ascii="Arial" w:hAnsi="Arial" w:cs="Arial"/>
          <w:sz w:val="16"/>
          <w:szCs w:val="16"/>
        </w:rPr>
        <w:t>późn</w:t>
      </w:r>
      <w:proofErr w:type="spellEnd"/>
      <w:r w:rsidRPr="00C162B3">
        <w:rPr>
          <w:rFonts w:ascii="Arial" w:hAnsi="Arial" w:cs="Arial"/>
          <w:sz w:val="16"/>
          <w:szCs w:val="16"/>
        </w:rPr>
        <w:t>. zm.</w:t>
      </w:r>
    </w:p>
  </w:footnote>
  <w:footnote w:id="2">
    <w:p w14:paraId="67B223FE" w14:textId="77777777" w:rsidR="00717860" w:rsidRPr="00C162B3" w:rsidRDefault="00717860" w:rsidP="00C162B3">
      <w:pPr>
        <w:pStyle w:val="Tekstprzypisudolnego"/>
        <w:jc w:val="both"/>
        <w:rPr>
          <w:rFonts w:ascii="Arial" w:hAnsi="Arial" w:cs="Arial"/>
          <w:sz w:val="16"/>
          <w:szCs w:val="16"/>
        </w:rPr>
      </w:pPr>
      <w:r w:rsidRPr="00C162B3">
        <w:rPr>
          <w:rStyle w:val="Odwoanieprzypisudolnego"/>
          <w:rFonts w:ascii="Arial" w:hAnsi="Arial" w:cs="Arial"/>
          <w:sz w:val="16"/>
          <w:szCs w:val="16"/>
        </w:rPr>
        <w:footnoteRef/>
      </w:r>
      <w:r w:rsidRPr="00C162B3">
        <w:rPr>
          <w:rFonts w:ascii="Arial" w:hAnsi="Arial" w:cs="Arial"/>
          <w:sz w:val="16"/>
          <w:szCs w:val="16"/>
        </w:rPr>
        <w:t xml:space="preserve"> </w:t>
      </w:r>
      <w:proofErr w:type="spellStart"/>
      <w:r w:rsidRPr="00C162B3">
        <w:rPr>
          <w:rFonts w:ascii="Arial" w:hAnsi="Arial" w:cs="Arial"/>
          <w:sz w:val="16"/>
          <w:szCs w:val="16"/>
        </w:rPr>
        <w:t>t.j</w:t>
      </w:r>
      <w:proofErr w:type="spellEnd"/>
      <w:r w:rsidRPr="00C162B3">
        <w:rPr>
          <w:rFonts w:ascii="Arial" w:hAnsi="Arial" w:cs="Arial"/>
          <w:sz w:val="16"/>
          <w:szCs w:val="16"/>
        </w:rPr>
        <w:t xml:space="preserve">. Dz. U. z 2024 r. poz. 1130 z </w:t>
      </w:r>
      <w:proofErr w:type="spellStart"/>
      <w:r w:rsidRPr="00C162B3">
        <w:rPr>
          <w:rFonts w:ascii="Arial" w:hAnsi="Arial" w:cs="Arial"/>
          <w:sz w:val="16"/>
          <w:szCs w:val="16"/>
        </w:rPr>
        <w:t>późn</w:t>
      </w:r>
      <w:proofErr w:type="spellEnd"/>
      <w:r w:rsidRPr="00C162B3">
        <w:rPr>
          <w:rFonts w:ascii="Arial" w:hAnsi="Arial" w:cs="Arial"/>
          <w:sz w:val="16"/>
          <w:szCs w:val="16"/>
        </w:rPr>
        <w:t>. zm.</w:t>
      </w:r>
    </w:p>
  </w:footnote>
  <w:footnote w:id="3">
    <w:p w14:paraId="2723114D" w14:textId="77777777" w:rsidR="007D66AA" w:rsidRPr="00C162B3" w:rsidRDefault="007D66AA" w:rsidP="00C162B3">
      <w:pPr>
        <w:pStyle w:val="Tekstprzypisudolnego"/>
        <w:jc w:val="both"/>
        <w:rPr>
          <w:rFonts w:ascii="Arial" w:hAnsi="Arial" w:cs="Arial"/>
          <w:sz w:val="16"/>
          <w:szCs w:val="16"/>
        </w:rPr>
      </w:pPr>
      <w:r w:rsidRPr="00C162B3">
        <w:rPr>
          <w:rStyle w:val="Odwoanieprzypisudolnego"/>
          <w:rFonts w:ascii="Arial" w:hAnsi="Arial" w:cs="Arial"/>
          <w:sz w:val="16"/>
          <w:szCs w:val="16"/>
        </w:rPr>
        <w:footnoteRef/>
      </w:r>
      <w:r w:rsidRPr="00C162B3">
        <w:rPr>
          <w:rFonts w:ascii="Arial" w:hAnsi="Arial" w:cs="Arial"/>
          <w:sz w:val="16"/>
          <w:szCs w:val="16"/>
        </w:rPr>
        <w:t xml:space="preserve"> Dz. U. UE. L. z 2012 r. Nr 26, str. 1 z </w:t>
      </w:r>
      <w:proofErr w:type="spellStart"/>
      <w:r w:rsidRPr="00C162B3">
        <w:rPr>
          <w:rFonts w:ascii="Arial" w:hAnsi="Arial" w:cs="Arial"/>
          <w:sz w:val="16"/>
          <w:szCs w:val="16"/>
        </w:rPr>
        <w:t>późn</w:t>
      </w:r>
      <w:proofErr w:type="spellEnd"/>
      <w:r w:rsidRPr="00C162B3">
        <w:rPr>
          <w:rFonts w:ascii="Arial" w:hAnsi="Arial" w:cs="Arial"/>
          <w:sz w:val="16"/>
          <w:szCs w:val="16"/>
        </w:rPr>
        <w:t>. zm.</w:t>
      </w:r>
    </w:p>
  </w:footnote>
  <w:footnote w:id="4">
    <w:p w14:paraId="075B87D3" w14:textId="77777777" w:rsidR="007D66AA" w:rsidRPr="00312CAC" w:rsidRDefault="007D66AA" w:rsidP="00312CAC">
      <w:pPr>
        <w:pStyle w:val="Tekstprzypisudolnego"/>
        <w:jc w:val="both"/>
        <w:rPr>
          <w:rFonts w:ascii="Arial" w:hAnsi="Arial" w:cs="Arial"/>
          <w:sz w:val="16"/>
          <w:szCs w:val="16"/>
        </w:rPr>
      </w:pPr>
      <w:r w:rsidRPr="00312CAC">
        <w:rPr>
          <w:rStyle w:val="Odwoanieprzypisudolnego"/>
          <w:rFonts w:ascii="Arial" w:hAnsi="Arial" w:cs="Arial"/>
          <w:sz w:val="16"/>
          <w:szCs w:val="16"/>
        </w:rPr>
        <w:footnoteRef/>
      </w:r>
      <w:r w:rsidRPr="00312CAC">
        <w:rPr>
          <w:rFonts w:ascii="Arial" w:hAnsi="Arial" w:cs="Arial"/>
          <w:sz w:val="16"/>
          <w:szCs w:val="16"/>
        </w:rPr>
        <w:t xml:space="preserve"> Dz. U. poz. 1839 z </w:t>
      </w:r>
      <w:proofErr w:type="spellStart"/>
      <w:r w:rsidRPr="00312CAC">
        <w:rPr>
          <w:rFonts w:ascii="Arial" w:hAnsi="Arial" w:cs="Arial"/>
          <w:sz w:val="16"/>
          <w:szCs w:val="16"/>
        </w:rPr>
        <w:t>późn</w:t>
      </w:r>
      <w:proofErr w:type="spellEnd"/>
      <w:r w:rsidRPr="00312CAC">
        <w:rPr>
          <w:rFonts w:ascii="Arial" w:hAnsi="Arial" w:cs="Arial"/>
          <w:sz w:val="16"/>
          <w:szCs w:val="16"/>
        </w:rPr>
        <w:t>.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A051F"/>
    <w:multiLevelType w:val="hybridMultilevel"/>
    <w:tmpl w:val="26807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2665B87"/>
    <w:multiLevelType w:val="hybridMultilevel"/>
    <w:tmpl w:val="02248D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49F13B5"/>
    <w:multiLevelType w:val="hybridMultilevel"/>
    <w:tmpl w:val="679641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2036609"/>
    <w:multiLevelType w:val="hybridMultilevel"/>
    <w:tmpl w:val="679641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2B45015"/>
    <w:multiLevelType w:val="hybridMultilevel"/>
    <w:tmpl w:val="AACE5498"/>
    <w:lvl w:ilvl="0" w:tplc="04150011">
      <w:start w:val="1"/>
      <w:numFmt w:val="decimal"/>
      <w:lvlText w:val="%1)"/>
      <w:lvlJc w:val="left"/>
      <w:pPr>
        <w:ind w:left="8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5F3D15"/>
    <w:multiLevelType w:val="hybridMultilevel"/>
    <w:tmpl w:val="679641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4872471">
    <w:abstractNumId w:val="4"/>
  </w:num>
  <w:num w:numId="2" w16cid:durableId="1996714934">
    <w:abstractNumId w:val="3"/>
  </w:num>
  <w:num w:numId="3" w16cid:durableId="465123952">
    <w:abstractNumId w:val="5"/>
  </w:num>
  <w:num w:numId="4" w16cid:durableId="794105587">
    <w:abstractNumId w:val="2"/>
  </w:num>
  <w:num w:numId="5" w16cid:durableId="2061053901">
    <w:abstractNumId w:val="0"/>
  </w:num>
  <w:num w:numId="6" w16cid:durableId="1766993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1"/>
    <w:rsid w:val="00010F9A"/>
    <w:rsid w:val="000226D5"/>
    <w:rsid w:val="00051798"/>
    <w:rsid w:val="00053616"/>
    <w:rsid w:val="00061358"/>
    <w:rsid w:val="000A3207"/>
    <w:rsid w:val="000C1295"/>
    <w:rsid w:val="000C30EB"/>
    <w:rsid w:val="000D60F3"/>
    <w:rsid w:val="000E38AF"/>
    <w:rsid w:val="000F2A3F"/>
    <w:rsid w:val="00102214"/>
    <w:rsid w:val="00106E8F"/>
    <w:rsid w:val="00131299"/>
    <w:rsid w:val="00134371"/>
    <w:rsid w:val="00141170"/>
    <w:rsid w:val="00155664"/>
    <w:rsid w:val="00173E53"/>
    <w:rsid w:val="001813CF"/>
    <w:rsid w:val="001844CF"/>
    <w:rsid w:val="00187721"/>
    <w:rsid w:val="0019568F"/>
    <w:rsid w:val="001A4C06"/>
    <w:rsid w:val="001B2D47"/>
    <w:rsid w:val="001B734F"/>
    <w:rsid w:val="001D5252"/>
    <w:rsid w:val="001E4824"/>
    <w:rsid w:val="001F6727"/>
    <w:rsid w:val="00200AD5"/>
    <w:rsid w:val="0020413E"/>
    <w:rsid w:val="00206951"/>
    <w:rsid w:val="00227049"/>
    <w:rsid w:val="0024572E"/>
    <w:rsid w:val="00263AFB"/>
    <w:rsid w:val="002712FB"/>
    <w:rsid w:val="002933A0"/>
    <w:rsid w:val="002D451A"/>
    <w:rsid w:val="002D7DEA"/>
    <w:rsid w:val="002F3846"/>
    <w:rsid w:val="00330923"/>
    <w:rsid w:val="0034288F"/>
    <w:rsid w:val="0035482E"/>
    <w:rsid w:val="00354ED4"/>
    <w:rsid w:val="00381AB3"/>
    <w:rsid w:val="00384EE7"/>
    <w:rsid w:val="003B13C3"/>
    <w:rsid w:val="003C7667"/>
    <w:rsid w:val="003D43D7"/>
    <w:rsid w:val="003E3E69"/>
    <w:rsid w:val="00427AB9"/>
    <w:rsid w:val="00435D45"/>
    <w:rsid w:val="00493E0C"/>
    <w:rsid w:val="004D7B61"/>
    <w:rsid w:val="004E6D01"/>
    <w:rsid w:val="004F2D1D"/>
    <w:rsid w:val="0057089B"/>
    <w:rsid w:val="005C32EF"/>
    <w:rsid w:val="005E4CCB"/>
    <w:rsid w:val="005F2419"/>
    <w:rsid w:val="00607F82"/>
    <w:rsid w:val="0061479D"/>
    <w:rsid w:val="00622ABF"/>
    <w:rsid w:val="006502C0"/>
    <w:rsid w:val="0065784C"/>
    <w:rsid w:val="00672FA9"/>
    <w:rsid w:val="006801CA"/>
    <w:rsid w:val="00690B4C"/>
    <w:rsid w:val="00691946"/>
    <w:rsid w:val="006A3F18"/>
    <w:rsid w:val="006B54E5"/>
    <w:rsid w:val="006D16EB"/>
    <w:rsid w:val="006D5CC5"/>
    <w:rsid w:val="00715F79"/>
    <w:rsid w:val="00717860"/>
    <w:rsid w:val="0072058B"/>
    <w:rsid w:val="00721D6A"/>
    <w:rsid w:val="00726E6F"/>
    <w:rsid w:val="00730045"/>
    <w:rsid w:val="007433E2"/>
    <w:rsid w:val="00773973"/>
    <w:rsid w:val="00773DAD"/>
    <w:rsid w:val="00797A85"/>
    <w:rsid w:val="007A676D"/>
    <w:rsid w:val="007D66AA"/>
    <w:rsid w:val="007F56F0"/>
    <w:rsid w:val="00811558"/>
    <w:rsid w:val="00833395"/>
    <w:rsid w:val="00842139"/>
    <w:rsid w:val="00850CB2"/>
    <w:rsid w:val="00894E5C"/>
    <w:rsid w:val="008B1756"/>
    <w:rsid w:val="008B766F"/>
    <w:rsid w:val="008C7C8A"/>
    <w:rsid w:val="008F62BC"/>
    <w:rsid w:val="0090574C"/>
    <w:rsid w:val="00934B37"/>
    <w:rsid w:val="00976D7C"/>
    <w:rsid w:val="009B5AD6"/>
    <w:rsid w:val="009C3F96"/>
    <w:rsid w:val="009E3790"/>
    <w:rsid w:val="009E4F0F"/>
    <w:rsid w:val="009E504D"/>
    <w:rsid w:val="009F626B"/>
    <w:rsid w:val="00A01497"/>
    <w:rsid w:val="00A15226"/>
    <w:rsid w:val="00A305B6"/>
    <w:rsid w:val="00AA1730"/>
    <w:rsid w:val="00AD4F3E"/>
    <w:rsid w:val="00AE377C"/>
    <w:rsid w:val="00AF2643"/>
    <w:rsid w:val="00B3772D"/>
    <w:rsid w:val="00B458CE"/>
    <w:rsid w:val="00B829F8"/>
    <w:rsid w:val="00B86BF1"/>
    <w:rsid w:val="00B91BB7"/>
    <w:rsid w:val="00C05A9C"/>
    <w:rsid w:val="00C128A2"/>
    <w:rsid w:val="00C521C4"/>
    <w:rsid w:val="00C93278"/>
    <w:rsid w:val="00CA2841"/>
    <w:rsid w:val="00CD3075"/>
    <w:rsid w:val="00CE625A"/>
    <w:rsid w:val="00CE742C"/>
    <w:rsid w:val="00CF3584"/>
    <w:rsid w:val="00D113E5"/>
    <w:rsid w:val="00D1338E"/>
    <w:rsid w:val="00D35962"/>
    <w:rsid w:val="00D45CD4"/>
    <w:rsid w:val="00D6157C"/>
    <w:rsid w:val="00D84400"/>
    <w:rsid w:val="00DC2E18"/>
    <w:rsid w:val="00E40E3D"/>
    <w:rsid w:val="00EB31B4"/>
    <w:rsid w:val="00EC4C43"/>
    <w:rsid w:val="00EE0F2E"/>
    <w:rsid w:val="00EF106E"/>
    <w:rsid w:val="00EF494C"/>
    <w:rsid w:val="00F02014"/>
    <w:rsid w:val="00F04364"/>
    <w:rsid w:val="00F16174"/>
    <w:rsid w:val="00F46610"/>
    <w:rsid w:val="00F5678E"/>
    <w:rsid w:val="00F867B0"/>
    <w:rsid w:val="00FC5765"/>
    <w:rsid w:val="00FD7BFE"/>
    <w:rsid w:val="00FE53FA"/>
    <w:rsid w:val="6BA26306"/>
    <w:rsid w:val="7CD312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3F60"/>
  <w15:chartTrackingRefBased/>
  <w15:docId w15:val="{6BE2EF6E-7A57-45BA-8729-04A92DBE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link w:val="TekstprzypisudolnegoZnak"/>
    <w:uiPriority w:val="99"/>
    <w:semiHidden/>
    <w:unhideWhenUsed/>
    <w:rsid w:val="7CD31248"/>
    <w:pPr>
      <w:spacing w:after="0" w:line="240" w:lineRule="auto"/>
    </w:pPr>
    <w:rPr>
      <w:sz w:val="20"/>
      <w:szCs w:val="20"/>
    </w:rPr>
  </w:style>
  <w:style w:type="character" w:customStyle="1" w:styleId="TekstprzypisudolnegoZnak">
    <w:name w:val="Tekst przypisu dolnego Znak"/>
    <w:link w:val="Tekstprzypisudolnego"/>
    <w:uiPriority w:val="99"/>
    <w:semiHidden/>
    <w:rsid w:val="7CD31248"/>
    <w:rPr>
      <w:sz w:val="20"/>
      <w:szCs w:val="20"/>
    </w:rPr>
  </w:style>
  <w:style w:type="character" w:styleId="Odwoanieprzypisudolnego">
    <w:name w:val="footnote reference"/>
    <w:uiPriority w:val="99"/>
    <w:semiHidden/>
    <w:unhideWhenUsed/>
    <w:rsid w:val="7CD31248"/>
    <w:rPr>
      <w:vertAlign w:val="superscript"/>
    </w:rPr>
  </w:style>
  <w:style w:type="table" w:styleId="Tabela-Siatka">
    <w:name w:val="Table Grid"/>
    <w:basedOn w:val="Standardowy"/>
    <w:uiPriority w:val="39"/>
    <w:rsid w:val="00CA2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7CD31248"/>
    <w:rPr>
      <w:sz w:val="16"/>
      <w:szCs w:val="16"/>
    </w:rPr>
  </w:style>
  <w:style w:type="paragraph" w:styleId="Tekstkomentarza">
    <w:name w:val="annotation text"/>
    <w:link w:val="TekstkomentarzaZnak"/>
    <w:uiPriority w:val="99"/>
    <w:unhideWhenUsed/>
    <w:rsid w:val="7CD31248"/>
    <w:pPr>
      <w:spacing w:line="240" w:lineRule="auto"/>
    </w:pPr>
    <w:rPr>
      <w:sz w:val="20"/>
      <w:szCs w:val="20"/>
    </w:rPr>
  </w:style>
  <w:style w:type="character" w:customStyle="1" w:styleId="TekstkomentarzaZnak">
    <w:name w:val="Tekst komentarza Znak"/>
    <w:link w:val="Tekstkomentarza"/>
    <w:uiPriority w:val="99"/>
    <w:rsid w:val="7CD31248"/>
    <w:rPr>
      <w:sz w:val="20"/>
      <w:szCs w:val="20"/>
    </w:rPr>
  </w:style>
  <w:style w:type="paragraph" w:styleId="Tematkomentarza">
    <w:name w:val="annotation subject"/>
    <w:basedOn w:val="Tekstkomentarza"/>
    <w:next w:val="Tekstkomentarza"/>
    <w:link w:val="TematkomentarzaZnak"/>
    <w:uiPriority w:val="99"/>
    <w:semiHidden/>
    <w:unhideWhenUsed/>
    <w:rsid w:val="004F2D1D"/>
    <w:rPr>
      <w:b/>
      <w:bCs/>
    </w:rPr>
  </w:style>
  <w:style w:type="character" w:customStyle="1" w:styleId="TematkomentarzaZnak">
    <w:name w:val="Temat komentarza Znak"/>
    <w:basedOn w:val="TekstkomentarzaZnak"/>
    <w:link w:val="Tematkomentarza"/>
    <w:uiPriority w:val="99"/>
    <w:semiHidden/>
    <w:rsid w:val="004F2D1D"/>
    <w:rPr>
      <w:b/>
      <w:bCs/>
      <w:sz w:val="20"/>
      <w:szCs w:val="20"/>
    </w:rPr>
  </w:style>
  <w:style w:type="paragraph" w:styleId="Akapitzlist">
    <w:name w:val="List Paragraph"/>
    <w:uiPriority w:val="34"/>
    <w:qFormat/>
    <w:rsid w:val="7CD31248"/>
    <w:pPr>
      <w:ind w:left="720"/>
      <w:contextualSpacing/>
    </w:pPr>
  </w:style>
  <w:style w:type="character" w:styleId="Hipercze">
    <w:name w:val="Hyperlink"/>
    <w:uiPriority w:val="99"/>
    <w:unhideWhenUsed/>
    <w:rsid w:val="7CD31248"/>
    <w:rPr>
      <w:color w:val="0563C1"/>
      <w:u w:val="single"/>
    </w:rPr>
  </w:style>
  <w:style w:type="paragraph" w:customStyle="1" w:styleId="ZPKTzmpktartykuempunktem">
    <w:name w:val="Z/PKT – zm. pkt artykułem (punktem)"/>
    <w:basedOn w:val="Normalny"/>
    <w:link w:val="ZPKTzmpktartykuempunktemZnak"/>
    <w:uiPriority w:val="31"/>
    <w:qFormat/>
    <w:rsid w:val="00717860"/>
    <w:pPr>
      <w:widowControl w:val="0"/>
      <w:spacing w:after="0" w:line="360" w:lineRule="auto"/>
      <w:ind w:left="1020" w:hanging="510"/>
      <w:jc w:val="both"/>
    </w:pPr>
    <w:rPr>
      <w:rFonts w:ascii="Times New Roman" w:eastAsiaTheme="minorEastAsia" w:hAnsi="Times New Roman" w:cs="Arial"/>
      <w:bCs/>
      <w:sz w:val="24"/>
      <w:szCs w:val="20"/>
      <w:lang w:eastAsia="en-GB"/>
    </w:rPr>
  </w:style>
  <w:style w:type="character" w:customStyle="1" w:styleId="ZPKTzmpktartykuempunktemZnak">
    <w:name w:val="Z/PKT – zm. pkt artykułem (punktem) Znak"/>
    <w:link w:val="ZPKTzmpktartykuempunktem"/>
    <w:uiPriority w:val="31"/>
    <w:rsid w:val="00717860"/>
    <w:rPr>
      <w:rFonts w:ascii="Times New Roman" w:eastAsiaTheme="minorEastAsia" w:hAnsi="Times New Roman" w:cs="Arial"/>
      <w:bCs/>
      <w:sz w:val="24"/>
      <w:szCs w:val="20"/>
      <w:lang w:eastAsia="en-GB"/>
    </w:rPr>
  </w:style>
  <w:style w:type="paragraph" w:customStyle="1" w:styleId="LITlitera">
    <w:name w:val="LIT – litera"/>
    <w:basedOn w:val="Normalny"/>
    <w:uiPriority w:val="14"/>
    <w:qFormat/>
    <w:rsid w:val="00D1338E"/>
    <w:pPr>
      <w:widowControl w:val="0"/>
      <w:spacing w:after="0" w:line="360" w:lineRule="auto"/>
      <w:ind w:left="986" w:hanging="476"/>
      <w:jc w:val="both"/>
    </w:pPr>
    <w:rPr>
      <w:rFonts w:ascii="Times New Roman" w:eastAsiaTheme="minorEastAsia" w:hAnsi="Times New Roman" w:cs="Arial"/>
      <w:bCs/>
      <w:sz w:val="24"/>
      <w:szCs w:val="20"/>
      <w:lang w:eastAsia="en-GB"/>
    </w:rPr>
  </w:style>
  <w:style w:type="paragraph" w:styleId="Cytat">
    <w:name w:val="Quote"/>
    <w:basedOn w:val="Normalny"/>
    <w:next w:val="Normalny"/>
    <w:link w:val="CytatZnak"/>
    <w:uiPriority w:val="29"/>
    <w:qFormat/>
    <w:rsid w:val="0057089B"/>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57089B"/>
    <w:rPr>
      <w:i/>
      <w:iCs/>
      <w:color w:val="404040" w:themeColor="text1" w:themeTint="BF"/>
      <w:kern w:val="2"/>
      <w14:ligatures w14:val="standardContextual"/>
    </w:rPr>
  </w:style>
  <w:style w:type="paragraph" w:customStyle="1" w:styleId="PKTpunkt">
    <w:name w:val="PKT – punkt"/>
    <w:link w:val="PKTpunktZnak"/>
    <w:uiPriority w:val="13"/>
    <w:qFormat/>
    <w:rsid w:val="005E4CCB"/>
    <w:pPr>
      <w:widowControl w:val="0"/>
      <w:spacing w:after="0" w:line="360" w:lineRule="auto"/>
      <w:ind w:left="510" w:hanging="510"/>
      <w:jc w:val="both"/>
    </w:pPr>
    <w:rPr>
      <w:rFonts w:ascii="Times New Roman" w:eastAsiaTheme="minorEastAsia" w:hAnsi="Times New Roman" w:cs="Arial"/>
      <w:bCs/>
      <w:sz w:val="24"/>
      <w:szCs w:val="20"/>
      <w:lang w:eastAsia="en-GB"/>
    </w:rPr>
  </w:style>
  <w:style w:type="character" w:customStyle="1" w:styleId="PKTpunktZnak">
    <w:name w:val="PKT – punkt Znak"/>
    <w:link w:val="PKTpunkt"/>
    <w:uiPriority w:val="13"/>
    <w:locked/>
    <w:rsid w:val="005E4CCB"/>
    <w:rPr>
      <w:rFonts w:ascii="Times New Roman" w:eastAsiaTheme="minorEastAsia" w:hAnsi="Times New Roman" w:cs="Arial"/>
      <w:bCs/>
      <w:sz w:val="24"/>
      <w:szCs w:val="20"/>
      <w:lang w:eastAsia="en-GB"/>
    </w:rPr>
  </w:style>
  <w:style w:type="paragraph" w:customStyle="1" w:styleId="ZLITUSTzmustliter">
    <w:name w:val="Z_LIT/UST(§) – zm. ust. (§) literą"/>
    <w:basedOn w:val="Normalny"/>
    <w:uiPriority w:val="46"/>
    <w:qFormat/>
    <w:rsid w:val="006A3F18"/>
    <w:pPr>
      <w:widowControl w:val="0"/>
      <w:suppressAutoHyphens/>
      <w:autoSpaceDE w:val="0"/>
      <w:autoSpaceDN w:val="0"/>
      <w:adjustRightInd w:val="0"/>
      <w:spacing w:after="0" w:line="360" w:lineRule="auto"/>
      <w:ind w:left="987" w:firstLine="510"/>
      <w:jc w:val="both"/>
    </w:pPr>
    <w:rPr>
      <w:rFonts w:ascii="Times New Roman" w:eastAsiaTheme="minorEastAsia" w:hAnsi="Times New Roman" w:cs="Arial"/>
      <w:bCs/>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pl&amp;rs=pl-PL&amp;wopisrc=https%3A%2F%2Flewiatan-my.sharepoint.com%2Fpersonal%2Fpgradzik_lewiatan_org%2F_vti_bin%2Fwopi.ashx%2Ffiles%2F1d9be6b8385040efaf2657af353846b6&amp;wdenableroaming=1&amp;mscc=1&amp;wdodb=1&amp;hid=F497EDA1-A089-F000-2567-6FC7E07C1A13.0&amp;uih=sharepointcom&amp;wdlcid=pl&amp;jsapi=1&amp;jsapiver=v2&amp;corrid=13cbbc36-7856-e8a3-f5fb-21358c61b700&amp;usid=13cbbc36-7856-e8a3-f5fb-21358c61b700&amp;newsession=1&amp;sftc=1&amp;uihit=docaspx&amp;muv=1&amp;ats=PairwiseBroker&amp;cac=1&amp;sams=1&amp;mtf=1&amp;sfp=1&amp;sdp=1&amp;hch=1&amp;hwfh=1&amp;dchat=1&amp;sc=%7B%22pmo%22%3A%22https%3A%2F%2Flewiatan-my.sharepoint.com%22%2C%22pmshare%22%3Atrue%7D&amp;ctp=LeastProtected&amp;rct=Normal&amp;wdorigin=Sharing.ClientRedirect&amp;afdflight=88&amp;csiro=1&amp;instantedit=1&amp;wopicomplete=1&amp;wdredirectionreason=Unified_SingleFlus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c-word-edit.officeapps.live.com/we/wordeditorframe.aspx?ui=pl&amp;rs=pl-PL&amp;wopisrc=https%3A%2F%2Flewiatan-my.sharepoint.com%2Fpersonal%2Fpgradzik_lewiatan_org%2F_vti_bin%2Fwopi.ashx%2Ffiles%2F1d9be6b8385040efaf2657af353846b6&amp;wdenableroaming=1&amp;mscc=1&amp;wdodb=1&amp;hid=F497EDA1-A089-F000-2567-6FC7E07C1A13.0&amp;uih=sharepointcom&amp;wdlcid=pl&amp;jsapi=1&amp;jsapiver=v2&amp;corrid=13cbbc36-7856-e8a3-f5fb-21358c61b700&amp;usid=13cbbc36-7856-e8a3-f5fb-21358c61b700&amp;newsession=1&amp;sftc=1&amp;uihit=docaspx&amp;muv=1&amp;ats=PairwiseBroker&amp;cac=1&amp;sams=1&amp;mtf=1&amp;sfp=1&amp;sdp=1&amp;hch=1&amp;hwfh=1&amp;dchat=1&amp;sc=%7B%22pmo%22%3A%22https%3A%2F%2Flewiatan-my.sharepoint.com%22%2C%22pmshare%22%3Atrue%7D&amp;ctp=LeastProtected&amp;rct=Normal&amp;wdorigin=Sharing.ClientRedirect&amp;afdflight=88&amp;csiro=1&amp;instantedit=1&amp;wopicomplete=1&amp;wdredirectionreason=Unified_SingleFlus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8A9B-02CF-49B8-B19D-07AFA93A7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21</Pages>
  <Words>5251</Words>
  <Characters>31507</Characters>
  <Application>Microsoft Office Word</Application>
  <DocSecurity>0</DocSecurity>
  <Lines>262</Lines>
  <Paragraphs>73</Paragraphs>
  <ScaleCrop>false</ScaleCrop>
  <Company/>
  <LinksUpToDate>false</LinksUpToDate>
  <CharactersWithSpaces>36685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Wójcikiewicz-Kawa Agata</dc:creator>
  <cp:keywords/>
  <dc:description/>
  <cp:lastModifiedBy>Magdalena Widlicka</cp:lastModifiedBy>
  <cp:revision>115</cp:revision>
  <dcterms:created xsi:type="dcterms:W3CDTF">2025-03-20T12:30:00Z</dcterms:created>
  <dcterms:modified xsi:type="dcterms:W3CDTF">2026-01-28T18:03:00Z</dcterms:modified>
</cp:coreProperties>
</file>