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28759C" w14:textId="0FAC52F1" w:rsidR="00C93278" w:rsidRPr="008B766F" w:rsidRDefault="2F964CCD" w:rsidP="2F964CCD">
      <w:pPr>
        <w:spacing w:after="0" w:line="240" w:lineRule="auto"/>
        <w:jc w:val="center"/>
        <w:rPr>
          <w:rFonts w:ascii="Lato" w:eastAsia="Lato" w:hAnsi="Lato" w:cs="Lato"/>
          <w:b/>
          <w:bCs/>
          <w:sz w:val="20"/>
          <w:szCs w:val="20"/>
        </w:rPr>
      </w:pPr>
      <w:bookmarkStart w:id="0" w:name="_Hlk107398740"/>
      <w:r w:rsidRPr="2F964CCD">
        <w:rPr>
          <w:rFonts w:ascii="Lato" w:eastAsia="Lato" w:hAnsi="Lato" w:cs="Lato"/>
          <w:b/>
          <w:bCs/>
          <w:sz w:val="20"/>
          <w:szCs w:val="20"/>
        </w:rPr>
        <w:t xml:space="preserve">Uwagi </w:t>
      </w:r>
      <w:r w:rsidR="00CB2C23">
        <w:rPr>
          <w:rFonts w:ascii="Lato" w:eastAsia="Lato" w:hAnsi="Lato" w:cs="Lato"/>
          <w:b/>
          <w:bCs/>
          <w:sz w:val="20"/>
          <w:szCs w:val="20"/>
        </w:rPr>
        <w:t>Konfederacji Lewiatan</w:t>
      </w:r>
    </w:p>
    <w:p w14:paraId="41592255" w14:textId="77777777" w:rsidR="00F05557" w:rsidRDefault="2F964CCD" w:rsidP="2F964CCD">
      <w:pPr>
        <w:spacing w:after="0" w:line="240" w:lineRule="auto"/>
        <w:jc w:val="center"/>
        <w:rPr>
          <w:rFonts w:ascii="Lato" w:eastAsia="Lato" w:hAnsi="Lato" w:cs="Lato"/>
          <w:b/>
          <w:bCs/>
          <w:sz w:val="20"/>
          <w:szCs w:val="20"/>
        </w:rPr>
      </w:pPr>
      <w:r w:rsidRPr="2F964CCD">
        <w:rPr>
          <w:rFonts w:ascii="Lato" w:eastAsia="Lato" w:hAnsi="Lato" w:cs="Lato"/>
          <w:b/>
          <w:bCs/>
          <w:sz w:val="20"/>
          <w:szCs w:val="20"/>
        </w:rPr>
        <w:t>do projektu</w:t>
      </w:r>
      <w:bookmarkStart w:id="1" w:name="_Hlk163464623"/>
      <w:r w:rsidRPr="2F964CCD">
        <w:rPr>
          <w:rFonts w:ascii="Lato" w:eastAsia="Lato" w:hAnsi="Lato" w:cs="Lato"/>
          <w:b/>
          <w:bCs/>
          <w:sz w:val="20"/>
          <w:szCs w:val="20"/>
        </w:rPr>
        <w:t xml:space="preserve"> rozporządzenia Ministra Klimatu i Środowiska w sprawie sposobu przygotowania projektu </w:t>
      </w:r>
    </w:p>
    <w:p w14:paraId="653DA768" w14:textId="120E1570" w:rsidR="00894E5C" w:rsidRPr="00894E5C" w:rsidRDefault="2F964CCD" w:rsidP="2F964CCD">
      <w:pPr>
        <w:spacing w:after="0" w:line="240" w:lineRule="auto"/>
        <w:jc w:val="center"/>
        <w:rPr>
          <w:rFonts w:ascii="Lato" w:eastAsia="Lato" w:hAnsi="Lato" w:cs="Lato"/>
          <w:b/>
          <w:bCs/>
          <w:sz w:val="20"/>
          <w:szCs w:val="20"/>
        </w:rPr>
      </w:pPr>
      <w:r w:rsidRPr="2F964CCD">
        <w:rPr>
          <w:rFonts w:ascii="Lato" w:eastAsia="Lato" w:hAnsi="Lato" w:cs="Lato"/>
          <w:b/>
          <w:bCs/>
          <w:sz w:val="20"/>
          <w:szCs w:val="20"/>
        </w:rPr>
        <w:t xml:space="preserve">planu obszarów przyspieszonego rozwoju instalacji odnawialnego źródła energii </w:t>
      </w:r>
    </w:p>
    <w:bookmarkEnd w:id="1"/>
    <w:p w14:paraId="304455B3" w14:textId="3FDB40CB" w:rsidR="00CA2841" w:rsidRPr="008B766F" w:rsidRDefault="2F964CCD" w:rsidP="2F964CCD">
      <w:pPr>
        <w:spacing w:after="0" w:line="240" w:lineRule="auto"/>
        <w:jc w:val="center"/>
        <w:rPr>
          <w:rFonts w:ascii="Lato" w:eastAsia="Lato" w:hAnsi="Lato" w:cs="Lato"/>
          <w:b/>
          <w:bCs/>
          <w:sz w:val="20"/>
          <w:szCs w:val="20"/>
        </w:rPr>
      </w:pPr>
      <w:r w:rsidRPr="7D1319A4">
        <w:rPr>
          <w:rFonts w:ascii="Lato" w:eastAsia="Lato" w:hAnsi="Lato" w:cs="Lato"/>
          <w:b/>
          <w:bCs/>
          <w:sz w:val="20"/>
          <w:szCs w:val="20"/>
        </w:rPr>
        <w:t>(nr 1281 w Wykazie prac legislacyjnych Ministra Klimatu i Środowiska)</w:t>
      </w:r>
    </w:p>
    <w:p w14:paraId="711D6FEE" w14:textId="77777777" w:rsidR="00CA2841" w:rsidRPr="008B766F" w:rsidRDefault="00CA2841" w:rsidP="2F964CCD">
      <w:pPr>
        <w:spacing w:after="0" w:line="240" w:lineRule="auto"/>
        <w:rPr>
          <w:rFonts w:ascii="Lato" w:eastAsia="Lato" w:hAnsi="Lato" w:cs="Lato"/>
          <w:sz w:val="20"/>
          <w:szCs w:val="20"/>
        </w:rPr>
      </w:pPr>
    </w:p>
    <w:tbl>
      <w:tblPr>
        <w:tblStyle w:val="Tabela-Siatka"/>
        <w:tblpPr w:leftFromText="142" w:rightFromText="142" w:vertAnchor="text" w:horzAnchor="margin" w:tblpXSpec="center" w:tblpY="58"/>
        <w:tblW w:w="15740" w:type="dxa"/>
        <w:tblLayout w:type="fixed"/>
        <w:tblLook w:val="04A0" w:firstRow="1" w:lastRow="0" w:firstColumn="1" w:lastColumn="0" w:noHBand="0" w:noVBand="1"/>
      </w:tblPr>
      <w:tblGrid>
        <w:gridCol w:w="562"/>
        <w:gridCol w:w="1701"/>
        <w:gridCol w:w="2694"/>
        <w:gridCol w:w="5103"/>
        <w:gridCol w:w="4252"/>
        <w:gridCol w:w="1428"/>
      </w:tblGrid>
      <w:tr w:rsidR="0090574C" w:rsidRPr="008B766F" w14:paraId="47E9ED08" w14:textId="77777777" w:rsidTr="2F964CCD">
        <w:trPr>
          <w:trHeight w:val="551"/>
          <w:tblHeader/>
        </w:trPr>
        <w:tc>
          <w:tcPr>
            <w:tcW w:w="562" w:type="dxa"/>
          </w:tcPr>
          <w:p w14:paraId="115BF413" w14:textId="6257DDCF" w:rsidR="0090574C" w:rsidRPr="008B766F" w:rsidRDefault="2F964CCD" w:rsidP="2F964CCD">
            <w:pPr>
              <w:jc w:val="center"/>
              <w:rPr>
                <w:rFonts w:ascii="Lato" w:eastAsia="Lato" w:hAnsi="Lato" w:cs="Lato"/>
                <w:b/>
                <w:bCs/>
                <w:sz w:val="20"/>
                <w:szCs w:val="20"/>
              </w:rPr>
            </w:pPr>
            <w:r w:rsidRPr="2F964CCD">
              <w:rPr>
                <w:rFonts w:ascii="Lato" w:eastAsia="Lato" w:hAnsi="Lato" w:cs="Lato"/>
                <w:b/>
                <w:bCs/>
                <w:sz w:val="20"/>
                <w:szCs w:val="20"/>
              </w:rPr>
              <w:t>Lp.</w:t>
            </w:r>
          </w:p>
        </w:tc>
        <w:tc>
          <w:tcPr>
            <w:tcW w:w="1701" w:type="dxa"/>
          </w:tcPr>
          <w:p w14:paraId="0FAF4510" w14:textId="4FD6EB74" w:rsidR="0090574C" w:rsidRPr="008B766F" w:rsidRDefault="2F964CCD" w:rsidP="2F964CCD">
            <w:pPr>
              <w:jc w:val="center"/>
              <w:rPr>
                <w:rFonts w:ascii="Lato" w:eastAsia="Lato" w:hAnsi="Lato" w:cs="Lato"/>
                <w:b/>
                <w:bCs/>
                <w:sz w:val="20"/>
                <w:szCs w:val="20"/>
              </w:rPr>
            </w:pPr>
            <w:r w:rsidRPr="2F964CCD">
              <w:rPr>
                <w:rFonts w:ascii="Lato" w:eastAsia="Lato" w:hAnsi="Lato" w:cs="Lato"/>
                <w:b/>
                <w:bCs/>
                <w:sz w:val="20"/>
                <w:szCs w:val="20"/>
              </w:rPr>
              <w:t>Podmiot wnoszący uwagę</w:t>
            </w:r>
          </w:p>
        </w:tc>
        <w:tc>
          <w:tcPr>
            <w:tcW w:w="2694" w:type="dxa"/>
          </w:tcPr>
          <w:p w14:paraId="51F92737" w14:textId="48E4A866" w:rsidR="0090574C" w:rsidRPr="008B766F" w:rsidRDefault="0090574C" w:rsidP="2F964CCD">
            <w:pPr>
              <w:jc w:val="center"/>
              <w:rPr>
                <w:rFonts w:ascii="Lato" w:eastAsia="Lato" w:hAnsi="Lato" w:cs="Lato"/>
                <w:b/>
                <w:bCs/>
                <w:sz w:val="20"/>
                <w:szCs w:val="20"/>
              </w:rPr>
            </w:pPr>
            <w:r w:rsidRPr="2F964CCD">
              <w:rPr>
                <w:rFonts w:ascii="Lato" w:eastAsia="Lato" w:hAnsi="Lato" w:cs="Lato"/>
                <w:b/>
                <w:bCs/>
                <w:sz w:val="20"/>
                <w:szCs w:val="20"/>
              </w:rPr>
              <w:t>Jednostka redakcyjna, do której wnoszon</w:t>
            </w:r>
            <w:r w:rsidR="00B91BB7" w:rsidRPr="2F964CCD">
              <w:rPr>
                <w:rFonts w:ascii="Lato" w:eastAsia="Lato" w:hAnsi="Lato" w:cs="Lato"/>
                <w:b/>
                <w:bCs/>
                <w:sz w:val="20"/>
                <w:szCs w:val="20"/>
              </w:rPr>
              <w:t>a jest</w:t>
            </w:r>
            <w:r w:rsidRPr="2F964CCD">
              <w:rPr>
                <w:rFonts w:ascii="Lato" w:eastAsia="Lato" w:hAnsi="Lato" w:cs="Lato"/>
                <w:b/>
                <w:bCs/>
                <w:sz w:val="20"/>
                <w:szCs w:val="20"/>
              </w:rPr>
              <w:t xml:space="preserve"> uwag</w:t>
            </w:r>
            <w:r w:rsidR="00B91BB7" w:rsidRPr="2F964CCD">
              <w:rPr>
                <w:rFonts w:ascii="Lato" w:eastAsia="Lato" w:hAnsi="Lato" w:cs="Lato"/>
                <w:b/>
                <w:bCs/>
                <w:sz w:val="20"/>
                <w:szCs w:val="20"/>
              </w:rPr>
              <w:t>a</w:t>
            </w:r>
            <w:r w:rsidR="004F2D1D" w:rsidRPr="2F964CCD">
              <w:rPr>
                <w:rStyle w:val="Odwoanieprzypisudolnego"/>
                <w:rFonts w:ascii="Lato" w:eastAsia="Lato" w:hAnsi="Lato" w:cs="Lato"/>
                <w:b/>
                <w:bCs/>
                <w:sz w:val="20"/>
                <w:szCs w:val="20"/>
              </w:rPr>
              <w:footnoteReference w:customMarkFollows="1" w:id="1"/>
              <w:t>1)</w:t>
            </w:r>
          </w:p>
        </w:tc>
        <w:tc>
          <w:tcPr>
            <w:tcW w:w="5103" w:type="dxa"/>
          </w:tcPr>
          <w:p w14:paraId="74AACE5A" w14:textId="0BDDBBD7" w:rsidR="0090574C" w:rsidRPr="008B766F" w:rsidRDefault="2F964CCD" w:rsidP="2F964CCD">
            <w:pPr>
              <w:jc w:val="center"/>
              <w:rPr>
                <w:rFonts w:ascii="Lato" w:eastAsia="Lato" w:hAnsi="Lato" w:cs="Lato"/>
                <w:b/>
                <w:bCs/>
                <w:sz w:val="20"/>
                <w:szCs w:val="20"/>
              </w:rPr>
            </w:pPr>
            <w:r w:rsidRPr="2F964CCD">
              <w:rPr>
                <w:rFonts w:ascii="Lato" w:eastAsia="Lato" w:hAnsi="Lato" w:cs="Lato"/>
                <w:b/>
                <w:bCs/>
                <w:sz w:val="20"/>
                <w:szCs w:val="20"/>
              </w:rPr>
              <w:t>Treść uwagi</w:t>
            </w:r>
          </w:p>
        </w:tc>
        <w:tc>
          <w:tcPr>
            <w:tcW w:w="4252" w:type="dxa"/>
          </w:tcPr>
          <w:p w14:paraId="7C9E6D74" w14:textId="597CDAA9" w:rsidR="0090574C" w:rsidRPr="008B766F" w:rsidRDefault="2F964CCD" w:rsidP="2F964CCD">
            <w:pPr>
              <w:jc w:val="center"/>
              <w:rPr>
                <w:rFonts w:ascii="Lato" w:eastAsia="Lato" w:hAnsi="Lato" w:cs="Lato"/>
                <w:b/>
                <w:bCs/>
                <w:sz w:val="20"/>
                <w:szCs w:val="20"/>
              </w:rPr>
            </w:pPr>
            <w:r w:rsidRPr="2F964CCD">
              <w:rPr>
                <w:rFonts w:ascii="Lato" w:eastAsia="Lato" w:hAnsi="Lato" w:cs="Lato"/>
                <w:b/>
                <w:bCs/>
                <w:sz w:val="20"/>
                <w:szCs w:val="20"/>
              </w:rPr>
              <w:t>Propozycja brzmienia przepisu</w:t>
            </w:r>
          </w:p>
        </w:tc>
        <w:tc>
          <w:tcPr>
            <w:tcW w:w="1428" w:type="dxa"/>
          </w:tcPr>
          <w:p w14:paraId="2C049C38" w14:textId="382C7B91" w:rsidR="0090574C" w:rsidRPr="008B766F" w:rsidRDefault="2F964CCD" w:rsidP="2F964CCD">
            <w:pPr>
              <w:jc w:val="center"/>
              <w:rPr>
                <w:rFonts w:ascii="Lato" w:eastAsia="Lato" w:hAnsi="Lato" w:cs="Lato"/>
                <w:b/>
                <w:bCs/>
                <w:sz w:val="20"/>
                <w:szCs w:val="20"/>
              </w:rPr>
            </w:pPr>
            <w:r w:rsidRPr="2F964CCD">
              <w:rPr>
                <w:rFonts w:ascii="Lato" w:eastAsia="Lato" w:hAnsi="Lato" w:cs="Lato"/>
                <w:b/>
                <w:bCs/>
                <w:sz w:val="20"/>
                <w:szCs w:val="20"/>
              </w:rPr>
              <w:t>Stanowisko do uwagi</w:t>
            </w:r>
          </w:p>
        </w:tc>
      </w:tr>
      <w:tr w:rsidR="2F964CCD" w14:paraId="6AF10362" w14:textId="77777777" w:rsidTr="2F964CCD">
        <w:trPr>
          <w:trHeight w:val="300"/>
        </w:trPr>
        <w:tc>
          <w:tcPr>
            <w:tcW w:w="562" w:type="dxa"/>
          </w:tcPr>
          <w:p w14:paraId="500D8A96" w14:textId="0B0D393E" w:rsidR="2F964CCD" w:rsidRDefault="0050052A" w:rsidP="2F964CCD">
            <w:pPr>
              <w:jc w:val="center"/>
              <w:rPr>
                <w:rFonts w:ascii="Lato" w:eastAsia="Lato" w:hAnsi="Lato" w:cs="Lato"/>
                <w:sz w:val="20"/>
                <w:szCs w:val="20"/>
              </w:rPr>
            </w:pPr>
            <w:r>
              <w:rPr>
                <w:rFonts w:ascii="Lato" w:eastAsia="Lato" w:hAnsi="Lato" w:cs="Lato"/>
                <w:sz w:val="20"/>
                <w:szCs w:val="20"/>
              </w:rPr>
              <w:t>1</w:t>
            </w:r>
          </w:p>
        </w:tc>
        <w:tc>
          <w:tcPr>
            <w:tcW w:w="1701" w:type="dxa"/>
          </w:tcPr>
          <w:p w14:paraId="49067D84" w14:textId="60F69435" w:rsidR="2F964CCD" w:rsidRDefault="2F964CCD" w:rsidP="2F964CCD">
            <w:pPr>
              <w:jc w:val="both"/>
              <w:rPr>
                <w:rFonts w:ascii="Lato" w:eastAsia="Lato" w:hAnsi="Lato" w:cs="Lato"/>
                <w:sz w:val="20"/>
                <w:szCs w:val="20"/>
              </w:rPr>
            </w:pPr>
          </w:p>
        </w:tc>
        <w:tc>
          <w:tcPr>
            <w:tcW w:w="2694" w:type="dxa"/>
          </w:tcPr>
          <w:p w14:paraId="7E1AE99B" w14:textId="62155959" w:rsidR="2F964CCD" w:rsidRDefault="2F964CCD" w:rsidP="2F964CCD">
            <w:pPr>
              <w:jc w:val="both"/>
              <w:rPr>
                <w:rFonts w:ascii="Lato" w:eastAsia="Lato" w:hAnsi="Lato" w:cs="Lato"/>
                <w:sz w:val="20"/>
                <w:szCs w:val="20"/>
              </w:rPr>
            </w:pPr>
            <w:r w:rsidRPr="2F964CCD">
              <w:rPr>
                <w:rFonts w:ascii="Lato" w:eastAsia="Lato" w:hAnsi="Lato" w:cs="Lato"/>
                <w:sz w:val="20"/>
                <w:szCs w:val="20"/>
              </w:rPr>
              <w:t>§ 2 Rozporządzenia</w:t>
            </w:r>
          </w:p>
        </w:tc>
        <w:tc>
          <w:tcPr>
            <w:tcW w:w="5103" w:type="dxa"/>
          </w:tcPr>
          <w:p w14:paraId="13673643" w14:textId="26FAB949" w:rsidR="2F964CCD" w:rsidRDefault="2F964CCD" w:rsidP="2F964CCD">
            <w:pPr>
              <w:spacing w:line="300" w:lineRule="auto"/>
              <w:rPr>
                <w:rFonts w:ascii="Lato" w:eastAsia="Lato" w:hAnsi="Lato" w:cs="Lato"/>
                <w:sz w:val="20"/>
                <w:szCs w:val="20"/>
              </w:rPr>
            </w:pPr>
            <w:r w:rsidRPr="2F964CCD">
              <w:rPr>
                <w:rFonts w:ascii="Lato" w:eastAsia="Lato" w:hAnsi="Lato" w:cs="Lato"/>
                <w:sz w:val="20"/>
                <w:szCs w:val="20"/>
              </w:rPr>
              <w:t>Zaleca się, aby zapis w § 2 uwzględniał także magazyny energii (w szczególności magazyny współpracujące z instalacjami OZE). Wyłączenie magazynów energii z definicji może prowadzić do niejednoznaczności przy planowaniu obszarów i utrudniać integrację instalacji OZE z systemami magazynowania niezbędnymi dla stabilności sieci i optymalnego wykorzystania energii.</w:t>
            </w:r>
          </w:p>
        </w:tc>
        <w:tc>
          <w:tcPr>
            <w:tcW w:w="4252" w:type="dxa"/>
          </w:tcPr>
          <w:p w14:paraId="06820901" w14:textId="26413548" w:rsidR="2F964CCD" w:rsidRDefault="2F964CCD" w:rsidP="2F964CCD">
            <w:pPr>
              <w:spacing w:line="300" w:lineRule="auto"/>
              <w:rPr>
                <w:rFonts w:ascii="Lato" w:eastAsia="Lato" w:hAnsi="Lato" w:cs="Lato"/>
                <w:i/>
                <w:iCs/>
                <w:sz w:val="20"/>
                <w:szCs w:val="20"/>
              </w:rPr>
            </w:pPr>
            <w:r w:rsidRPr="2F964CCD">
              <w:rPr>
                <w:rFonts w:ascii="Lato" w:eastAsia="Lato" w:hAnsi="Lato" w:cs="Lato"/>
                <w:sz w:val="20"/>
                <w:szCs w:val="20"/>
              </w:rPr>
              <w:t>Zamienić ust. 1 na:</w:t>
            </w:r>
            <w:r>
              <w:br/>
            </w:r>
            <w:r>
              <w:br/>
            </w:r>
            <w:r w:rsidRPr="2F964CCD">
              <w:rPr>
                <w:rFonts w:ascii="Lato" w:eastAsia="Lato" w:hAnsi="Lato" w:cs="Lato"/>
                <w:i/>
                <w:iCs/>
                <w:sz w:val="20"/>
                <w:szCs w:val="20"/>
              </w:rPr>
              <w:t>“obszar przyspieszonego rozwoju instalacji odnawialnego źródła energii – obszar przyspieszonego rozwoju instalacji odnawialnego źródła energii oraz magazynów energii elektrycznej;</w:t>
            </w:r>
          </w:p>
        </w:tc>
        <w:tc>
          <w:tcPr>
            <w:tcW w:w="1428" w:type="dxa"/>
          </w:tcPr>
          <w:p w14:paraId="66DD382C" w14:textId="258960EF" w:rsidR="2F964CCD" w:rsidRDefault="2F964CCD" w:rsidP="2F964CCD">
            <w:pPr>
              <w:jc w:val="both"/>
              <w:rPr>
                <w:rFonts w:ascii="Lato" w:eastAsia="Lato" w:hAnsi="Lato" w:cs="Lato"/>
                <w:sz w:val="20"/>
                <w:szCs w:val="20"/>
              </w:rPr>
            </w:pPr>
          </w:p>
        </w:tc>
      </w:tr>
      <w:tr w:rsidR="0E0050FF" w14:paraId="454667B9" w14:textId="77777777" w:rsidTr="2F964CCD">
        <w:trPr>
          <w:trHeight w:val="300"/>
        </w:trPr>
        <w:tc>
          <w:tcPr>
            <w:tcW w:w="562" w:type="dxa"/>
          </w:tcPr>
          <w:p w14:paraId="21A1B2D2" w14:textId="2DF84FE1" w:rsidR="0E0050FF" w:rsidRDefault="0050052A" w:rsidP="2F964CCD">
            <w:pPr>
              <w:jc w:val="center"/>
              <w:rPr>
                <w:rFonts w:ascii="Lato" w:eastAsia="Lato" w:hAnsi="Lato" w:cs="Lato"/>
                <w:sz w:val="20"/>
                <w:szCs w:val="20"/>
              </w:rPr>
            </w:pPr>
            <w:r>
              <w:rPr>
                <w:rFonts w:ascii="Lato" w:eastAsia="Lato" w:hAnsi="Lato" w:cs="Lato"/>
                <w:sz w:val="20"/>
                <w:szCs w:val="20"/>
              </w:rPr>
              <w:t>2</w:t>
            </w:r>
          </w:p>
        </w:tc>
        <w:tc>
          <w:tcPr>
            <w:tcW w:w="1701" w:type="dxa"/>
          </w:tcPr>
          <w:p w14:paraId="6EFA81AE" w14:textId="16619A43" w:rsidR="0E0050FF" w:rsidRDefault="0E0050FF" w:rsidP="2F964CCD">
            <w:pPr>
              <w:jc w:val="both"/>
              <w:rPr>
                <w:rFonts w:ascii="Lato" w:eastAsia="Lato" w:hAnsi="Lato" w:cs="Lato"/>
                <w:sz w:val="20"/>
                <w:szCs w:val="20"/>
              </w:rPr>
            </w:pPr>
          </w:p>
        </w:tc>
        <w:tc>
          <w:tcPr>
            <w:tcW w:w="2694" w:type="dxa"/>
          </w:tcPr>
          <w:p w14:paraId="06BFC64D" w14:textId="31069E98" w:rsidR="0E0050FF" w:rsidRDefault="2F964CCD" w:rsidP="0E0050FF">
            <w:pPr>
              <w:jc w:val="both"/>
              <w:rPr>
                <w:rFonts w:ascii="Lato" w:eastAsia="Lato" w:hAnsi="Lato" w:cs="Lato"/>
                <w:sz w:val="20"/>
                <w:szCs w:val="20"/>
              </w:rPr>
            </w:pPr>
            <w:r w:rsidRPr="2F964CCD">
              <w:rPr>
                <w:rFonts w:ascii="Lato" w:eastAsia="Lato" w:hAnsi="Lato" w:cs="Lato"/>
                <w:sz w:val="20"/>
                <w:szCs w:val="20"/>
              </w:rPr>
              <w:t xml:space="preserve">§ 3 Rozporządzenia oraz </w:t>
            </w:r>
            <w:r w:rsidR="0E0050FF">
              <w:br/>
            </w:r>
            <w:r w:rsidRPr="2F964CCD">
              <w:rPr>
                <w:rFonts w:ascii="Lato" w:eastAsia="Lato" w:hAnsi="Lato" w:cs="Lato"/>
                <w:sz w:val="20"/>
                <w:szCs w:val="20"/>
              </w:rPr>
              <w:t xml:space="preserve">pkt. 2 § 6  </w:t>
            </w:r>
          </w:p>
          <w:p w14:paraId="05F44ED6" w14:textId="0D98B626" w:rsidR="0E0050FF" w:rsidRDefault="0E0050FF" w:rsidP="2F964CCD">
            <w:pPr>
              <w:jc w:val="both"/>
              <w:rPr>
                <w:rFonts w:ascii="Lato" w:eastAsia="Lato" w:hAnsi="Lato" w:cs="Lato"/>
                <w:b/>
                <w:bCs/>
                <w:sz w:val="20"/>
                <w:szCs w:val="20"/>
              </w:rPr>
            </w:pPr>
          </w:p>
        </w:tc>
        <w:tc>
          <w:tcPr>
            <w:tcW w:w="5103" w:type="dxa"/>
          </w:tcPr>
          <w:p w14:paraId="6960F95A" w14:textId="447B9785" w:rsidR="0E0050FF" w:rsidRDefault="2F964CCD" w:rsidP="0E0050FF">
            <w:pPr>
              <w:spacing w:line="300" w:lineRule="auto"/>
              <w:rPr>
                <w:rFonts w:ascii="Lato" w:eastAsia="Lato" w:hAnsi="Lato" w:cs="Lato"/>
                <w:sz w:val="20"/>
                <w:szCs w:val="20"/>
              </w:rPr>
            </w:pPr>
            <w:r w:rsidRPr="2F964CCD">
              <w:rPr>
                <w:rFonts w:ascii="Lato" w:eastAsia="Lato" w:hAnsi="Lato" w:cs="Lato"/>
                <w:sz w:val="20"/>
                <w:szCs w:val="20"/>
              </w:rPr>
              <w:t>Projektowane brzmienie § 3 posługuje się katalogiem otwartym i wskazuje jedynie miejscowy plan zagospodarowania przestrzennego jako przykład dokumentu uwzględnianego przy sporządzaniu planu OPRO. Rozwiązanie to nie zapewnia wystarczającej precyzji i może prowadzić do rozbieżności interpretacyjnych co do zakresu materiałów stanowiących podstawę planu. Należy zauważyć, że ustalenia MPZP – poza aspektem lokalizacyjnym – w ograniczonym stopniu odnoszą się do merytorycznej zawartości planu OPRO, który opiera się na analizie potencjału OZE oraz uwarunkowań środowiskowych i strategicznych.</w:t>
            </w:r>
          </w:p>
          <w:p w14:paraId="6F9E1057" w14:textId="7677FDB7" w:rsidR="0E0050FF" w:rsidRDefault="0E0050FF" w:rsidP="0E0050FF">
            <w:pPr>
              <w:spacing w:line="300" w:lineRule="auto"/>
              <w:rPr>
                <w:rFonts w:ascii="Lato" w:eastAsia="Lato" w:hAnsi="Lato" w:cs="Lato"/>
                <w:sz w:val="20"/>
                <w:szCs w:val="20"/>
              </w:rPr>
            </w:pPr>
          </w:p>
          <w:p w14:paraId="41D26ECB" w14:textId="1E07F3C4" w:rsidR="0E0050FF" w:rsidRDefault="2F964CCD" w:rsidP="0E0050FF">
            <w:pPr>
              <w:spacing w:line="300" w:lineRule="auto"/>
              <w:rPr>
                <w:rFonts w:ascii="Lato" w:eastAsia="Lato" w:hAnsi="Lato" w:cs="Lato"/>
                <w:sz w:val="20"/>
                <w:szCs w:val="20"/>
              </w:rPr>
            </w:pPr>
            <w:r w:rsidRPr="2F964CCD">
              <w:rPr>
                <w:rFonts w:ascii="Lato" w:eastAsia="Lato" w:hAnsi="Lato" w:cs="Lato"/>
                <w:sz w:val="20"/>
                <w:szCs w:val="20"/>
              </w:rPr>
              <w:t xml:space="preserve">Zasadne jest zatem wprowadzenie zamkniętego katalogu dokumentów obejmującego te akty planistyczne i analityczne, które rzeczywiście mają kluczowe znaczenie dla sporządzania planu OPRO i wynikają z ustawy o OZE. Takie doprecyzowanie </w:t>
            </w:r>
            <w:r w:rsidRPr="2F964CCD">
              <w:rPr>
                <w:rFonts w:ascii="Lato" w:eastAsia="Lato" w:hAnsi="Lato" w:cs="Lato"/>
                <w:sz w:val="20"/>
                <w:szCs w:val="20"/>
              </w:rPr>
              <w:lastRenderedPageBreak/>
              <w:t>zwiększy przejrzystość regulacji, ograniczy uznaniowość organów oraz zapewni jednolitą praktykę w skali kraju.</w:t>
            </w:r>
            <w:r w:rsidR="0E0050FF">
              <w:br/>
            </w:r>
            <w:r w:rsidR="0E0050FF">
              <w:br/>
            </w:r>
            <w:r w:rsidRPr="2F964CCD">
              <w:rPr>
                <w:rFonts w:ascii="Lato" w:eastAsia="Lato" w:hAnsi="Lato" w:cs="Lato"/>
                <w:sz w:val="20"/>
                <w:szCs w:val="20"/>
              </w:rPr>
              <w:t>Tym samym należy dostosować brzmienie pkt. 2 § 6 aby odnosił się do zamkniętego katalogu dokumentów wskazanych w proponowanym nowym brzmieniu § 3 Rozporządzenia</w:t>
            </w:r>
          </w:p>
        </w:tc>
        <w:tc>
          <w:tcPr>
            <w:tcW w:w="4252" w:type="dxa"/>
          </w:tcPr>
          <w:p w14:paraId="60B3D61A" w14:textId="545D679F" w:rsidR="0E0050FF" w:rsidRDefault="2F964CCD" w:rsidP="2F964CCD">
            <w:pPr>
              <w:spacing w:line="300" w:lineRule="auto"/>
              <w:rPr>
                <w:rFonts w:ascii="Lato" w:eastAsia="Lato" w:hAnsi="Lato" w:cs="Lato"/>
                <w:i/>
                <w:iCs/>
                <w:sz w:val="20"/>
                <w:szCs w:val="20"/>
              </w:rPr>
            </w:pPr>
            <w:r w:rsidRPr="2F964CCD">
              <w:rPr>
                <w:rFonts w:ascii="Lato" w:eastAsia="Lato" w:hAnsi="Lato" w:cs="Lato"/>
                <w:i/>
                <w:iCs/>
                <w:sz w:val="20"/>
                <w:szCs w:val="20"/>
              </w:rPr>
              <w:lastRenderedPageBreak/>
              <w:t>§ 3. Przygotowując projekt planu obszarów przyspieszonego rozwoju OZE, marszałek województwa uwzględnia dokumenty, właściwe dla granic projektowanego obszaru oraz rodzaju odnawialnego źródła energii, dla którego sporządzany jest plan:</w:t>
            </w:r>
          </w:p>
          <w:p w14:paraId="78B7B9E2" w14:textId="354BB57E" w:rsidR="0E0050FF" w:rsidRDefault="2F964CCD" w:rsidP="2F964CCD">
            <w:pPr>
              <w:pStyle w:val="Akapitzlist"/>
              <w:numPr>
                <w:ilvl w:val="0"/>
                <w:numId w:val="6"/>
              </w:numPr>
              <w:spacing w:line="300" w:lineRule="auto"/>
              <w:rPr>
                <w:rFonts w:ascii="Lato" w:eastAsia="Lato" w:hAnsi="Lato" w:cs="Lato"/>
                <w:i/>
                <w:iCs/>
                <w:sz w:val="20"/>
                <w:szCs w:val="20"/>
              </w:rPr>
            </w:pPr>
            <w:r w:rsidRPr="2F964CCD">
              <w:rPr>
                <w:rFonts w:ascii="Lato" w:eastAsia="Lato" w:hAnsi="Lato" w:cs="Lato"/>
                <w:i/>
                <w:iCs/>
                <w:sz w:val="20"/>
                <w:szCs w:val="20"/>
              </w:rPr>
              <w:t>miejscowy plan zagospodarowania przestrzennego</w:t>
            </w:r>
          </w:p>
          <w:p w14:paraId="3602088F" w14:textId="53E33C87" w:rsidR="0E0050FF" w:rsidRDefault="2F964CCD" w:rsidP="2F964CCD">
            <w:pPr>
              <w:pStyle w:val="Akapitzlist"/>
              <w:numPr>
                <w:ilvl w:val="0"/>
                <w:numId w:val="6"/>
              </w:numPr>
              <w:spacing w:line="300" w:lineRule="auto"/>
              <w:rPr>
                <w:rFonts w:ascii="Lato" w:eastAsia="Lato" w:hAnsi="Lato" w:cs="Lato"/>
                <w:i/>
                <w:iCs/>
                <w:sz w:val="20"/>
                <w:szCs w:val="20"/>
              </w:rPr>
            </w:pPr>
            <w:r w:rsidRPr="2F964CCD">
              <w:rPr>
                <w:rFonts w:ascii="Lato" w:eastAsia="Lato" w:hAnsi="Lato" w:cs="Lato"/>
                <w:i/>
                <w:iCs/>
                <w:sz w:val="20"/>
                <w:szCs w:val="20"/>
              </w:rPr>
              <w:t>strategia rozwoju województwa;</w:t>
            </w:r>
          </w:p>
          <w:p w14:paraId="0C426B85" w14:textId="219081D2" w:rsidR="0E0050FF" w:rsidRDefault="2F964CCD" w:rsidP="2F964CCD">
            <w:pPr>
              <w:pStyle w:val="Akapitzlist"/>
              <w:numPr>
                <w:ilvl w:val="0"/>
                <w:numId w:val="6"/>
              </w:numPr>
              <w:spacing w:line="300" w:lineRule="auto"/>
              <w:rPr>
                <w:rFonts w:ascii="Lato" w:eastAsia="Lato" w:hAnsi="Lato" w:cs="Lato"/>
                <w:i/>
                <w:iCs/>
                <w:sz w:val="20"/>
                <w:szCs w:val="20"/>
              </w:rPr>
            </w:pPr>
            <w:r w:rsidRPr="2F964CCD">
              <w:rPr>
                <w:rFonts w:ascii="Lato" w:eastAsia="Lato" w:hAnsi="Lato" w:cs="Lato"/>
                <w:i/>
                <w:iCs/>
                <w:sz w:val="20"/>
                <w:szCs w:val="20"/>
              </w:rPr>
              <w:t>plan zagospodarowania przestrzennego województwa;</w:t>
            </w:r>
          </w:p>
          <w:p w14:paraId="2801F121" w14:textId="52CD0ABA" w:rsidR="0E0050FF" w:rsidRDefault="2F964CCD" w:rsidP="2F964CCD">
            <w:pPr>
              <w:pStyle w:val="Akapitzlist"/>
              <w:numPr>
                <w:ilvl w:val="0"/>
                <w:numId w:val="6"/>
              </w:numPr>
              <w:spacing w:line="300" w:lineRule="auto"/>
              <w:rPr>
                <w:rFonts w:ascii="Lato" w:eastAsia="Lato" w:hAnsi="Lato" w:cs="Lato"/>
                <w:i/>
                <w:iCs/>
                <w:sz w:val="20"/>
                <w:szCs w:val="20"/>
              </w:rPr>
            </w:pPr>
            <w:r w:rsidRPr="2F964CCD">
              <w:rPr>
                <w:rFonts w:ascii="Lato" w:eastAsia="Lato" w:hAnsi="Lato" w:cs="Lato"/>
                <w:i/>
                <w:iCs/>
                <w:sz w:val="20"/>
                <w:szCs w:val="20"/>
              </w:rPr>
              <w:t>audyt krajobrazowy;</w:t>
            </w:r>
          </w:p>
          <w:p w14:paraId="55604DDD" w14:textId="68E7A70B" w:rsidR="0E0050FF" w:rsidRDefault="2F964CCD" w:rsidP="2F964CCD">
            <w:pPr>
              <w:pStyle w:val="Akapitzlist"/>
              <w:numPr>
                <w:ilvl w:val="0"/>
                <w:numId w:val="6"/>
              </w:numPr>
              <w:spacing w:line="300" w:lineRule="auto"/>
              <w:rPr>
                <w:rFonts w:ascii="Lato" w:eastAsia="Lato" w:hAnsi="Lato" w:cs="Lato"/>
                <w:i/>
                <w:iCs/>
                <w:sz w:val="20"/>
                <w:szCs w:val="20"/>
              </w:rPr>
            </w:pPr>
            <w:r w:rsidRPr="2F964CCD">
              <w:rPr>
                <w:rFonts w:ascii="Lato" w:eastAsia="Lato" w:hAnsi="Lato" w:cs="Lato"/>
                <w:i/>
                <w:iCs/>
                <w:sz w:val="20"/>
                <w:szCs w:val="20"/>
              </w:rPr>
              <w:t>mapy potencjału odnawialnego źródła energii, o których mowa w art. 2 pkt 18a ustawy;</w:t>
            </w:r>
          </w:p>
          <w:p w14:paraId="230CE5B2" w14:textId="7FF027DB" w:rsidR="0E0050FF" w:rsidRDefault="2F964CCD" w:rsidP="2F964CCD">
            <w:pPr>
              <w:pStyle w:val="Akapitzlist"/>
              <w:numPr>
                <w:ilvl w:val="0"/>
                <w:numId w:val="6"/>
              </w:numPr>
              <w:spacing w:line="300" w:lineRule="auto"/>
              <w:rPr>
                <w:rFonts w:ascii="Lato" w:eastAsia="Lato" w:hAnsi="Lato" w:cs="Lato"/>
                <w:i/>
                <w:iCs/>
                <w:sz w:val="20"/>
                <w:szCs w:val="20"/>
              </w:rPr>
            </w:pPr>
            <w:r w:rsidRPr="2F964CCD">
              <w:rPr>
                <w:rFonts w:ascii="Lato" w:eastAsia="Lato" w:hAnsi="Lato" w:cs="Lato"/>
                <w:i/>
                <w:iCs/>
                <w:sz w:val="20"/>
                <w:szCs w:val="20"/>
              </w:rPr>
              <w:t>mapy wrażliwości przyrody, o których mowa w art. 2 pkt 18b ustawy;</w:t>
            </w:r>
          </w:p>
        </w:tc>
        <w:tc>
          <w:tcPr>
            <w:tcW w:w="1428" w:type="dxa"/>
          </w:tcPr>
          <w:p w14:paraId="7DDDFA82" w14:textId="7F3A7D80" w:rsidR="0E0050FF" w:rsidRDefault="0E0050FF" w:rsidP="2F964CCD">
            <w:pPr>
              <w:jc w:val="both"/>
              <w:rPr>
                <w:rFonts w:ascii="Lato" w:eastAsia="Lato" w:hAnsi="Lato" w:cs="Lato"/>
                <w:sz w:val="20"/>
                <w:szCs w:val="20"/>
              </w:rPr>
            </w:pPr>
          </w:p>
        </w:tc>
      </w:tr>
      <w:tr w:rsidR="0090574C" w:rsidRPr="008B766F" w14:paraId="27D19DF6" w14:textId="77777777" w:rsidTr="0050052A">
        <w:trPr>
          <w:trHeight w:val="2942"/>
        </w:trPr>
        <w:tc>
          <w:tcPr>
            <w:tcW w:w="562" w:type="dxa"/>
          </w:tcPr>
          <w:p w14:paraId="743719D4" w14:textId="3E0B0864" w:rsidR="0090574C" w:rsidRPr="008B766F" w:rsidRDefault="0050052A" w:rsidP="2F964CCD">
            <w:pPr>
              <w:jc w:val="center"/>
              <w:rPr>
                <w:rFonts w:ascii="Lato" w:eastAsia="Lato" w:hAnsi="Lato" w:cs="Lato"/>
                <w:sz w:val="20"/>
                <w:szCs w:val="20"/>
              </w:rPr>
            </w:pPr>
            <w:r>
              <w:rPr>
                <w:rFonts w:ascii="Lato" w:eastAsia="Lato" w:hAnsi="Lato" w:cs="Lato"/>
                <w:sz w:val="20"/>
                <w:szCs w:val="20"/>
              </w:rPr>
              <w:t>3</w:t>
            </w:r>
          </w:p>
        </w:tc>
        <w:tc>
          <w:tcPr>
            <w:tcW w:w="1701" w:type="dxa"/>
          </w:tcPr>
          <w:p w14:paraId="00E6D6A0" w14:textId="6336788C" w:rsidR="0090574C" w:rsidRPr="008B766F" w:rsidRDefault="0090574C" w:rsidP="2F964CCD">
            <w:pPr>
              <w:jc w:val="both"/>
              <w:rPr>
                <w:rFonts w:ascii="Lato" w:eastAsia="Lato" w:hAnsi="Lato" w:cs="Lato"/>
                <w:sz w:val="20"/>
                <w:szCs w:val="20"/>
              </w:rPr>
            </w:pPr>
          </w:p>
        </w:tc>
        <w:tc>
          <w:tcPr>
            <w:tcW w:w="2694" w:type="dxa"/>
          </w:tcPr>
          <w:p w14:paraId="32C46E4D" w14:textId="108F02B4" w:rsidR="0090574C" w:rsidRPr="008B766F" w:rsidRDefault="2F964CCD" w:rsidP="0E0050FF">
            <w:pPr>
              <w:jc w:val="both"/>
              <w:rPr>
                <w:rFonts w:ascii="Lato" w:eastAsia="Lato" w:hAnsi="Lato" w:cs="Lato"/>
                <w:sz w:val="20"/>
                <w:szCs w:val="20"/>
              </w:rPr>
            </w:pPr>
            <w:r w:rsidRPr="2F964CCD">
              <w:rPr>
                <w:rFonts w:ascii="Lato" w:eastAsia="Lato" w:hAnsi="Lato" w:cs="Lato"/>
                <w:sz w:val="20"/>
                <w:szCs w:val="20"/>
              </w:rPr>
              <w:t>§ 4 Rozporządzenia</w:t>
            </w:r>
          </w:p>
        </w:tc>
        <w:tc>
          <w:tcPr>
            <w:tcW w:w="5103" w:type="dxa"/>
          </w:tcPr>
          <w:p w14:paraId="40622015" w14:textId="3604ADBA" w:rsidR="0090574C" w:rsidRPr="008B766F" w:rsidRDefault="2F964CCD" w:rsidP="0E0050FF">
            <w:pPr>
              <w:spacing w:after="160" w:line="257" w:lineRule="auto"/>
              <w:rPr>
                <w:rFonts w:ascii="Lato" w:eastAsia="Lato" w:hAnsi="Lato" w:cs="Lato"/>
                <w:sz w:val="20"/>
                <w:szCs w:val="20"/>
              </w:rPr>
            </w:pPr>
            <w:r w:rsidRPr="2F964CCD">
              <w:rPr>
                <w:rFonts w:ascii="Lato" w:eastAsia="Lato" w:hAnsi="Lato" w:cs="Lato"/>
                <w:sz w:val="20"/>
                <w:szCs w:val="20"/>
              </w:rPr>
              <w:t>Projektowane brzmienie § 4 projektu nie precyzuje minimalnego zakresu ani standardu ustaleń środowiskowych, które powinny znaleźć się w części tekstowej planu OPRO. Brak takiego doprecyzowania budzi istotne wątpliwości branży, szczególnie w kontekście przewidywalności i skuteczności całego mechanizmu OPRO.</w:t>
            </w:r>
          </w:p>
          <w:p w14:paraId="614BF382" w14:textId="16175E45" w:rsidR="0090574C" w:rsidRPr="008B766F" w:rsidRDefault="2F964CCD" w:rsidP="2F964CCD">
            <w:pPr>
              <w:spacing w:before="240" w:after="240" w:line="300" w:lineRule="auto"/>
              <w:rPr>
                <w:rFonts w:ascii="Lato" w:eastAsia="Lato" w:hAnsi="Lato" w:cs="Lato"/>
                <w:sz w:val="20"/>
                <w:szCs w:val="20"/>
              </w:rPr>
            </w:pPr>
            <w:r w:rsidRPr="2F964CCD">
              <w:rPr>
                <w:rFonts w:ascii="Lato" w:eastAsia="Lato" w:hAnsi="Lato" w:cs="Lato"/>
                <w:sz w:val="20"/>
                <w:szCs w:val="20"/>
              </w:rPr>
              <w:t>Nie jest jasne, czy „ustalenia dotyczące obszarów przyspieszonego rozwoju” obejmują wyłącznie środki łagodzące i ograniczenia z art. 160g ust. 3 pkt 3 ustawy o OZE – czyli te, które stanowią podstawę oceny przez RDOŚ i ewentualnego sprzeciwu.</w:t>
            </w:r>
          </w:p>
          <w:p w14:paraId="2F2C0C57" w14:textId="1959E4FB" w:rsidR="0090574C" w:rsidRPr="008B766F" w:rsidRDefault="2F964CCD" w:rsidP="0E0050FF">
            <w:pPr>
              <w:spacing w:after="160" w:line="257" w:lineRule="auto"/>
              <w:rPr>
                <w:rFonts w:ascii="Lato" w:eastAsia="Lato" w:hAnsi="Lato" w:cs="Lato"/>
                <w:sz w:val="20"/>
                <w:szCs w:val="20"/>
              </w:rPr>
            </w:pPr>
            <w:r w:rsidRPr="2F964CCD">
              <w:rPr>
                <w:rFonts w:ascii="Lato" w:eastAsia="Lato" w:hAnsi="Lato" w:cs="Lato"/>
                <w:sz w:val="20"/>
                <w:szCs w:val="20"/>
              </w:rPr>
              <w:t xml:space="preserve">Nieprecyzyjne określenie zawartości planu OPRO oznacza ryzyko, że zakres wymaganych ustaleń środowiskowych będzie interpretowany uznaniowo. W efekcie może dojść do sytuacji, w której RDOŚ – mimo wcześniejszego udziału w konsultacjach – będzie miał podstawy do zakwestionowania inwestycji z powodu niezgodności z planem, którego treść sama w sobie nie została wystarczająco doprecyzowana. </w:t>
            </w:r>
          </w:p>
          <w:p w14:paraId="473A40F5" w14:textId="4AD26284" w:rsidR="0090574C" w:rsidRPr="008B766F" w:rsidRDefault="2F964CCD" w:rsidP="2F964CCD">
            <w:pPr>
              <w:spacing w:before="240" w:after="240" w:line="300" w:lineRule="auto"/>
              <w:rPr>
                <w:rFonts w:ascii="Lato" w:eastAsia="Lato" w:hAnsi="Lato" w:cs="Lato"/>
                <w:sz w:val="20"/>
                <w:szCs w:val="20"/>
              </w:rPr>
            </w:pPr>
            <w:r w:rsidRPr="2F964CCD">
              <w:rPr>
                <w:rFonts w:ascii="Lato" w:eastAsia="Lato" w:hAnsi="Lato" w:cs="Lato"/>
                <w:sz w:val="20"/>
                <w:szCs w:val="20"/>
              </w:rPr>
              <w:t xml:space="preserve">Z tych względów § 4 powinien zostać sformułowany maksymalnie precyzyjnie – w szczególności przez wyraźne wskazanie, że część tekstowa planu OPRO </w:t>
            </w:r>
            <w:r w:rsidRPr="2F964CCD">
              <w:rPr>
                <w:rFonts w:ascii="Lato" w:eastAsia="Lato" w:hAnsi="Lato" w:cs="Lato"/>
                <w:sz w:val="20"/>
                <w:szCs w:val="20"/>
              </w:rPr>
              <w:lastRenderedPageBreak/>
              <w:t>musi zawierać ustalenia środowiskowe zgodne z art. 160g ust. 3 pkt 3 ustawy o OZE. Warto rozważyć, czy samo odesłanie do tego przepisu wystarczy, czy należy uwzględnić także inne przepisy ustawy o OZE i akty wykonawcze wpływające na zakres ustaleń. Wprowadzenie minimalnego standardu treści ograniczy ryzyko rozbieżności interpretacyjnych, zwiększy przewidywalność i pozwoli OPRO realnie wspierać rozwój OZE.</w:t>
            </w:r>
          </w:p>
        </w:tc>
        <w:tc>
          <w:tcPr>
            <w:tcW w:w="4252" w:type="dxa"/>
          </w:tcPr>
          <w:p w14:paraId="72530CAA" w14:textId="316CBC51" w:rsidR="0090574C" w:rsidRPr="008B766F" w:rsidRDefault="0090574C" w:rsidP="2F964CCD">
            <w:pPr>
              <w:jc w:val="both"/>
              <w:rPr>
                <w:rFonts w:ascii="Lato" w:eastAsia="Lato" w:hAnsi="Lato" w:cs="Lato"/>
                <w:b/>
                <w:bCs/>
                <w:sz w:val="20"/>
                <w:szCs w:val="20"/>
              </w:rPr>
            </w:pPr>
          </w:p>
        </w:tc>
        <w:tc>
          <w:tcPr>
            <w:tcW w:w="1428" w:type="dxa"/>
          </w:tcPr>
          <w:p w14:paraId="330A28F2" w14:textId="77777777" w:rsidR="0090574C" w:rsidRPr="008B766F" w:rsidRDefault="0090574C" w:rsidP="2F964CCD">
            <w:pPr>
              <w:jc w:val="both"/>
              <w:rPr>
                <w:rFonts w:ascii="Lato" w:eastAsia="Lato" w:hAnsi="Lato" w:cs="Lato"/>
                <w:sz w:val="20"/>
                <w:szCs w:val="20"/>
              </w:rPr>
            </w:pPr>
          </w:p>
        </w:tc>
      </w:tr>
      <w:tr w:rsidR="0090574C" w:rsidRPr="008B766F" w14:paraId="574FF95B" w14:textId="77777777" w:rsidTr="2F964CCD">
        <w:tc>
          <w:tcPr>
            <w:tcW w:w="562" w:type="dxa"/>
          </w:tcPr>
          <w:p w14:paraId="590D690B" w14:textId="410CF8A8" w:rsidR="0090574C" w:rsidRPr="008B766F" w:rsidRDefault="2F964CCD" w:rsidP="2F964CCD">
            <w:pPr>
              <w:jc w:val="center"/>
              <w:rPr>
                <w:rFonts w:ascii="Lato" w:eastAsia="Lato" w:hAnsi="Lato" w:cs="Lato"/>
                <w:sz w:val="20"/>
                <w:szCs w:val="20"/>
              </w:rPr>
            </w:pPr>
            <w:r w:rsidRPr="2F964CCD">
              <w:rPr>
                <w:rFonts w:ascii="Lato" w:eastAsia="Lato" w:hAnsi="Lato" w:cs="Lato"/>
                <w:sz w:val="20"/>
                <w:szCs w:val="20"/>
              </w:rPr>
              <w:t>4</w:t>
            </w:r>
          </w:p>
        </w:tc>
        <w:tc>
          <w:tcPr>
            <w:tcW w:w="1701" w:type="dxa"/>
          </w:tcPr>
          <w:p w14:paraId="7283C367" w14:textId="2C7112EC" w:rsidR="0090574C" w:rsidRPr="008B766F" w:rsidRDefault="2F964CCD" w:rsidP="2F964CCD">
            <w:pPr>
              <w:jc w:val="both"/>
              <w:rPr>
                <w:rFonts w:ascii="Lato" w:eastAsia="Lato" w:hAnsi="Lato" w:cs="Lato"/>
                <w:sz w:val="20"/>
                <w:szCs w:val="20"/>
              </w:rPr>
            </w:pPr>
            <w:r w:rsidRPr="2F964CCD">
              <w:rPr>
                <w:rFonts w:ascii="Lato" w:eastAsia="Lato" w:hAnsi="Lato" w:cs="Lato"/>
                <w:sz w:val="20"/>
                <w:szCs w:val="20"/>
              </w:rPr>
              <w:t>TRMEW</w:t>
            </w:r>
          </w:p>
        </w:tc>
        <w:tc>
          <w:tcPr>
            <w:tcW w:w="2694" w:type="dxa"/>
          </w:tcPr>
          <w:p w14:paraId="68CD7780" w14:textId="3BBE32BD" w:rsidR="0090574C" w:rsidRPr="008B766F" w:rsidRDefault="2F964CCD" w:rsidP="0E0050FF">
            <w:pPr>
              <w:jc w:val="both"/>
              <w:rPr>
                <w:rFonts w:ascii="Lato" w:eastAsia="Lato" w:hAnsi="Lato" w:cs="Lato"/>
                <w:sz w:val="20"/>
                <w:szCs w:val="20"/>
              </w:rPr>
            </w:pPr>
            <w:r w:rsidRPr="2F964CCD">
              <w:rPr>
                <w:rFonts w:ascii="Lato" w:eastAsia="Lato" w:hAnsi="Lato" w:cs="Lato"/>
                <w:sz w:val="20"/>
                <w:szCs w:val="20"/>
              </w:rPr>
              <w:t>§ 3 Rozporządzenia</w:t>
            </w:r>
          </w:p>
          <w:p w14:paraId="43EC42A6" w14:textId="77AED90F" w:rsidR="0090574C" w:rsidRPr="008B766F" w:rsidRDefault="0090574C" w:rsidP="2F964CCD">
            <w:pPr>
              <w:jc w:val="both"/>
              <w:rPr>
                <w:rFonts w:ascii="Lato" w:eastAsia="Lato" w:hAnsi="Lato" w:cs="Lato"/>
                <w:sz w:val="20"/>
                <w:szCs w:val="20"/>
              </w:rPr>
            </w:pPr>
          </w:p>
        </w:tc>
        <w:tc>
          <w:tcPr>
            <w:tcW w:w="5103" w:type="dxa"/>
          </w:tcPr>
          <w:p w14:paraId="6C2B5C3A" w14:textId="39D8A330" w:rsidR="0090574C" w:rsidRPr="008B766F" w:rsidRDefault="2F964CCD" w:rsidP="0050052A">
            <w:pPr>
              <w:spacing w:after="240"/>
              <w:jc w:val="both"/>
              <w:rPr>
                <w:rFonts w:ascii="Lato" w:eastAsia="Lato" w:hAnsi="Lato" w:cs="Lato"/>
                <w:sz w:val="20"/>
                <w:szCs w:val="20"/>
              </w:rPr>
            </w:pPr>
            <w:r w:rsidRPr="2F964CCD">
              <w:rPr>
                <w:rFonts w:ascii="Lato" w:eastAsia="Lato" w:hAnsi="Lato" w:cs="Lato"/>
                <w:sz w:val="20"/>
                <w:szCs w:val="20"/>
              </w:rPr>
              <w:t>Proponujemy uzupełnienie paragrafu 3 rozporządzenia, mówiącego o konieczności uwzględniania ustaleń miejscowego planu zagospodarowania przestrzennego w projektowanym planie obszaru przyspieszonego rozwoju instalacji odnawialnego źródła energii o zapis mówiący o konieczności szczególnego postępowania w przypadku obszarów przyspieszonego rozwoju OZE dla hydroenergii ze względu na specyfikę tej technologii. Mianowicie w przypadku opracowywania projektu planu OPRO dla tej technologii powinno się uwzględniać możliwość wykorzystania na cele energetyczne istniejących urządzeń wodnych, nawet jeśli ustalenia miejscowego planu zagospodarowania przestrzennego, w granicach którego położony jest projektowany OPRO wskazują na inne niż produkcja energii przeznaczenie terenu. Przeciwskazaniem dla takiej sytuacji powinien być tylko wyraźny zakaz lokalizacji instalacji wykorzystujących hydroenergię w MPZP.</w:t>
            </w:r>
          </w:p>
          <w:p w14:paraId="479C0F24" w14:textId="63D8CEA4" w:rsidR="0090574C" w:rsidRPr="008B766F" w:rsidRDefault="2F964CCD" w:rsidP="2F964CCD">
            <w:pPr>
              <w:spacing w:before="240" w:after="240"/>
              <w:jc w:val="both"/>
              <w:rPr>
                <w:rFonts w:ascii="Lato" w:eastAsia="Lato" w:hAnsi="Lato" w:cs="Lato"/>
                <w:sz w:val="20"/>
                <w:szCs w:val="20"/>
              </w:rPr>
            </w:pPr>
            <w:r w:rsidRPr="2F964CCD">
              <w:rPr>
                <w:rFonts w:ascii="Lato" w:eastAsia="Lato" w:hAnsi="Lato" w:cs="Lato"/>
                <w:sz w:val="20"/>
                <w:szCs w:val="20"/>
              </w:rPr>
              <w:t xml:space="preserve">Zgodnie z uzasadnieniem projektu rozporządzenia „Dyrektywa RED III wprowadziła m.in. potrzebę zmapowania obszarów niezbędnych do wniesienia krajowych wkładów w realizację ogólnego celu unijnego w zakresie energii odnawialnej wyznaczonego na 2030 r. oraz określenia krajowego potencjału i dostępnego obszaru lądowego, podpowierzchniowego, wód morskich lub wód śródlądowych, który jest niezbędny do lokalizowania instalacji OZE, a także powiązanej z nimi </w:t>
            </w:r>
            <w:r w:rsidRPr="2F964CCD">
              <w:rPr>
                <w:rFonts w:ascii="Lato" w:eastAsia="Lato" w:hAnsi="Lato" w:cs="Lato"/>
                <w:sz w:val="20"/>
                <w:szCs w:val="20"/>
              </w:rPr>
              <w:lastRenderedPageBreak/>
              <w:t>infrastruktury, takiej jak instalacje sieciowe i magazynowe. Zgodnie z przyjętymi rozwiązaniami w ustawie OZE, mapy potencjału odnawialnego źródła energii opracowane przez ministra właściwego do</w:t>
            </w:r>
            <w:r w:rsidRPr="2F964CCD">
              <w:rPr>
                <w:rFonts w:ascii="Lato" w:eastAsia="Lato" w:hAnsi="Lato" w:cs="Lato"/>
                <w:color w:val="215E99"/>
                <w:sz w:val="20"/>
                <w:szCs w:val="20"/>
              </w:rPr>
              <w:t xml:space="preserve"> </w:t>
            </w:r>
            <w:r w:rsidRPr="2F964CCD">
              <w:rPr>
                <w:rFonts w:ascii="Lato" w:eastAsia="Lato" w:hAnsi="Lato" w:cs="Lato"/>
                <w:sz w:val="20"/>
                <w:szCs w:val="20"/>
              </w:rPr>
              <w:t xml:space="preserve">spraw klimatu stanowią podstawę do wyznaczania obszarów przyspieszonego rozwoju instalacji odnawianego źródła energii. Dla tych obszarów samorząd województwa będzie sporządzał plany obszarów przyspieszonego rozwoju OZE uchwalane przez sejmik województwa.” </w:t>
            </w:r>
          </w:p>
          <w:p w14:paraId="697C73EA" w14:textId="427E83B1" w:rsidR="0090574C" w:rsidRPr="008B766F" w:rsidRDefault="2F964CCD" w:rsidP="2F964CCD">
            <w:pPr>
              <w:spacing w:before="240" w:after="240"/>
              <w:jc w:val="both"/>
              <w:rPr>
                <w:rFonts w:ascii="Lato" w:eastAsia="Lato" w:hAnsi="Lato" w:cs="Lato"/>
                <w:sz w:val="20"/>
                <w:szCs w:val="20"/>
              </w:rPr>
            </w:pPr>
            <w:r w:rsidRPr="2F964CCD">
              <w:rPr>
                <w:rFonts w:ascii="Lato" w:eastAsia="Lato" w:hAnsi="Lato" w:cs="Lato"/>
                <w:sz w:val="20"/>
                <w:szCs w:val="20"/>
              </w:rPr>
              <w:t>Zgodnie z powyższym plan obszarów przyspieszonego rozwoju OZE powinien więc w sposób jednoznaczny zabezpieczać pełne spektrum potencjału energetyki odnawialnej. W odniesieniu do energetyki wodnej oznacza to konieczność zabezpieczenia potencjału cieków wodnych oraz istniejących obiektów hydrotechnicznych. Projekt rozporządzenia ma charakter technicznie neutralny, jednak w praktyce nie uwzględnia specyfiki energetyki wodnej, która jest nierozerwalnie związana z hydrologią cieków, istniejącą infrastrukturą piętrzącą oraz funkcjami wielozadaniowymi obiektów hydrotechnicznych. Brak takiego zróżnicowania rodzi ryzyko pomijania potencjału elektrowni wodnych już na etapie planistycznym.</w:t>
            </w:r>
          </w:p>
          <w:p w14:paraId="08DF4024" w14:textId="0CD53A42" w:rsidR="0090574C" w:rsidRPr="008B766F" w:rsidRDefault="2F964CCD" w:rsidP="2F964CCD">
            <w:pPr>
              <w:spacing w:before="240" w:after="240"/>
              <w:jc w:val="both"/>
              <w:rPr>
                <w:rFonts w:ascii="Lato" w:eastAsia="Lato" w:hAnsi="Lato" w:cs="Lato"/>
                <w:b/>
                <w:bCs/>
                <w:sz w:val="20"/>
                <w:szCs w:val="20"/>
              </w:rPr>
            </w:pPr>
            <w:r w:rsidRPr="2F964CCD">
              <w:rPr>
                <w:rFonts w:ascii="Lato" w:eastAsia="Lato" w:hAnsi="Lato" w:cs="Lato"/>
                <w:sz w:val="20"/>
                <w:szCs w:val="20"/>
              </w:rPr>
              <w:t>Kluczową kwestią zatem jest uzupełnienie § 3 projektu, który wskazuje szczególne uwzględnienie MPZP.  W obecnym brzmieniu par. 3 rozporządzenia plan OPRO – którego celem jest zabezpieczenie krajowego potencjału OZE – zostaje wtórnie uzależniony od dokumentów planistycznych sporządzanych według odmiennych celów i horyzontów czasowych, w szczególności od planów ogólnych gmin i MPZP. Plany te, będące obecnie w fazie intensywnego opracowywania, nie są tworzone z perspektywy</w:t>
            </w:r>
            <w:r w:rsidRPr="2F964CCD">
              <w:rPr>
                <w:rFonts w:ascii="Lato" w:eastAsia="Lato" w:hAnsi="Lato" w:cs="Lato"/>
                <w:color w:val="215E99"/>
                <w:sz w:val="20"/>
                <w:szCs w:val="20"/>
              </w:rPr>
              <w:t xml:space="preserve"> </w:t>
            </w:r>
            <w:r w:rsidRPr="2F964CCD">
              <w:rPr>
                <w:rFonts w:ascii="Lato" w:eastAsia="Lato" w:hAnsi="Lato" w:cs="Lato"/>
                <w:sz w:val="20"/>
                <w:szCs w:val="20"/>
              </w:rPr>
              <w:t xml:space="preserve">realizacji celów polityki energetycznej państwa ani dyrektywy RED III, lecz w pierwszej kolejności z myślą o porządkowaniu funkcji przestrzennych i ograniczaniu potencjalnych konfliktów lokalnych. W konsekwencji obserwowany jest systemowy trend ograniczania lub całkowitego </w:t>
            </w:r>
            <w:r w:rsidRPr="2F964CCD">
              <w:rPr>
                <w:rFonts w:ascii="Lato" w:eastAsia="Lato" w:hAnsi="Lato" w:cs="Lato"/>
                <w:sz w:val="20"/>
                <w:szCs w:val="20"/>
              </w:rPr>
              <w:lastRenderedPageBreak/>
              <w:t xml:space="preserve">wykluczania funkcji energetyki wodnej z dokumentów planistycznych gmin, niezależnie od istnienia historycznych i czynnych obiektów hydrotechnicznych, </w:t>
            </w:r>
            <w:r w:rsidRPr="2F964CCD">
              <w:rPr>
                <w:rFonts w:ascii="Lato" w:eastAsia="Lato" w:hAnsi="Lato" w:cs="Lato"/>
                <w:b/>
                <w:bCs/>
                <w:sz w:val="20"/>
                <w:szCs w:val="20"/>
              </w:rPr>
              <w:t>Tym samym § 3 projektu rozporządzenia, poprzez bezpośrednie odesłanie do ustaleń MPZP – a pośrednio do planów ogólnych – tworzy mechanizm, w którym dokument o charakterze strategicznym i sektorowym (OPRO) zostaje podporządkowany dokumentowi o charakterze ogólnym i lokalnym, sporządzanemu bez obowiązku bilansowania krajowych potrzeb w zakresie OZE.</w:t>
            </w:r>
          </w:p>
          <w:p w14:paraId="2E063EBD" w14:textId="5D099DF5" w:rsidR="0090574C" w:rsidRPr="008B766F" w:rsidRDefault="2F964CCD" w:rsidP="2F964CCD">
            <w:pPr>
              <w:spacing w:before="240" w:after="240"/>
              <w:jc w:val="both"/>
              <w:rPr>
                <w:rFonts w:ascii="Lato" w:eastAsia="Lato" w:hAnsi="Lato" w:cs="Lato"/>
                <w:sz w:val="20"/>
                <w:szCs w:val="20"/>
              </w:rPr>
            </w:pPr>
            <w:r w:rsidRPr="2F964CCD">
              <w:rPr>
                <w:rFonts w:ascii="Lato" w:eastAsia="Lato" w:hAnsi="Lato" w:cs="Lato"/>
                <w:sz w:val="20"/>
                <w:szCs w:val="20"/>
              </w:rPr>
              <w:t>Dla energetyki wodnej rodzi to fundamentalny impas planistyczny; z jednej strony dyrektywa RED III oraz ustawa OZE nakazują identyfikację i zabezpieczenie potencjału wód śródlądowych dla realizacji celów energetycznych, a z drugiej strony projektowane rozporządzenie nie przewiduje żadnego mechanizmu korekcyjnego ani wyjątku dla instalacji opartych na istniejącej infrastrukturze hydrotechnicznej. W efekcie istnieje realne ryzyko, że cieki wodne oraz obiekty hydrotechniczne zostaną trwale wykluczone z OPRO na etapie planistycznym, a realizacja celu, jakim jest przyspieszony rozwój OZE, zostanie ograniczona w odniesieniu do jednego z najbardziej stabilnych i regulacyjnych źródeł energii odnawialnej.</w:t>
            </w:r>
          </w:p>
          <w:p w14:paraId="59C5BA70" w14:textId="70DC3D42" w:rsidR="0090574C" w:rsidRPr="008B766F" w:rsidRDefault="2F964CCD" w:rsidP="2F964CCD">
            <w:pPr>
              <w:spacing w:before="240" w:after="240"/>
              <w:jc w:val="both"/>
              <w:rPr>
                <w:rFonts w:ascii="Lato" w:eastAsia="Lato" w:hAnsi="Lato" w:cs="Lato"/>
                <w:sz w:val="20"/>
                <w:szCs w:val="20"/>
              </w:rPr>
            </w:pPr>
            <w:r w:rsidRPr="2F964CCD">
              <w:rPr>
                <w:rFonts w:ascii="Lato" w:eastAsia="Lato" w:hAnsi="Lato" w:cs="Lato"/>
                <w:sz w:val="20"/>
                <w:szCs w:val="20"/>
              </w:rPr>
              <w:t xml:space="preserve">Z tego względu zasadne jest doprecyzowanie § 3 projektu rozporządzenia w sposób wskazany na wstępie. </w:t>
            </w:r>
          </w:p>
        </w:tc>
        <w:tc>
          <w:tcPr>
            <w:tcW w:w="4252" w:type="dxa"/>
          </w:tcPr>
          <w:p w14:paraId="37A11364" w14:textId="4A7AD642" w:rsidR="0090574C" w:rsidRPr="008B766F" w:rsidRDefault="2F964CCD" w:rsidP="2F964CCD">
            <w:pPr>
              <w:jc w:val="both"/>
              <w:rPr>
                <w:rFonts w:ascii="Lato" w:eastAsia="Lato" w:hAnsi="Lato" w:cs="Lato"/>
                <w:sz w:val="20"/>
                <w:szCs w:val="20"/>
              </w:rPr>
            </w:pPr>
            <w:r w:rsidRPr="2F964CCD">
              <w:rPr>
                <w:rFonts w:ascii="Lato" w:eastAsia="Lato" w:hAnsi="Lato" w:cs="Lato"/>
                <w:sz w:val="20"/>
                <w:szCs w:val="20"/>
              </w:rPr>
              <w:lastRenderedPageBreak/>
              <w:t>W par. 3 Rozporządzenia proponujemy dodać ust. 2 w brzmieniu:</w:t>
            </w:r>
          </w:p>
          <w:p w14:paraId="7B04C2A9" w14:textId="5DD67FDC" w:rsidR="0090574C" w:rsidRPr="008B766F" w:rsidRDefault="2F964CCD" w:rsidP="2F964CCD">
            <w:pPr>
              <w:jc w:val="both"/>
              <w:rPr>
                <w:rFonts w:ascii="Lato" w:eastAsia="Lato" w:hAnsi="Lato" w:cs="Lato"/>
                <w:sz w:val="20"/>
                <w:szCs w:val="20"/>
              </w:rPr>
            </w:pPr>
            <w:r w:rsidRPr="2F964CCD">
              <w:rPr>
                <w:rFonts w:ascii="Lato" w:eastAsia="Lato" w:hAnsi="Lato" w:cs="Lato"/>
                <w:sz w:val="20"/>
                <w:szCs w:val="20"/>
              </w:rPr>
              <w:t>§ 3.2 Przygotowując projekt planu obszarów przyspieszonego rozwoju OZE dla hydroenergii marszałek województwa uwzględnia możliwość wykorzystania na cele energetyczne istniejących urządzeń wodnych, o których mowa w art. 16 pkt 65 ustawy z dnia 20 lipca 2017 r. – Prawo wodne (Dz. U. z 2021 r. poz. 2233), nawet jeśli ustalenia miejscowego planu zagospodarowania przestrzennego, w granicach którego położony jest projektowany obszar przyspieszonego rozwoju instalacji odnawialnego źródła energii wskazują na inne niż produkcyjne przeznaczenie terenu, chyba że ustalenia planu miejscowego zakazują lokalizacji instalacji wykorzystujących hydroenergię.</w:t>
            </w:r>
          </w:p>
          <w:p w14:paraId="7B89471A" w14:textId="7847E27E" w:rsidR="0090574C" w:rsidRPr="008B766F" w:rsidRDefault="0090574C" w:rsidP="2F964CCD">
            <w:pPr>
              <w:jc w:val="both"/>
              <w:rPr>
                <w:rFonts w:ascii="Lato" w:eastAsia="Lato" w:hAnsi="Lato" w:cs="Lato"/>
                <w:sz w:val="20"/>
                <w:szCs w:val="20"/>
              </w:rPr>
            </w:pPr>
          </w:p>
          <w:p w14:paraId="118E3641" w14:textId="3F7D229D" w:rsidR="0090574C" w:rsidRPr="008B766F" w:rsidRDefault="0090574C" w:rsidP="2F964CCD">
            <w:pPr>
              <w:jc w:val="both"/>
              <w:rPr>
                <w:rFonts w:ascii="Lato" w:eastAsia="Lato" w:hAnsi="Lato" w:cs="Lato"/>
                <w:sz w:val="20"/>
                <w:szCs w:val="20"/>
              </w:rPr>
            </w:pPr>
          </w:p>
        </w:tc>
        <w:tc>
          <w:tcPr>
            <w:tcW w:w="1428" w:type="dxa"/>
          </w:tcPr>
          <w:p w14:paraId="17C40DBE" w14:textId="77777777" w:rsidR="0090574C" w:rsidRPr="008B766F" w:rsidRDefault="0090574C" w:rsidP="2F964CCD">
            <w:pPr>
              <w:jc w:val="both"/>
              <w:rPr>
                <w:rFonts w:ascii="Lato" w:eastAsia="Lato" w:hAnsi="Lato" w:cs="Lato"/>
                <w:sz w:val="20"/>
                <w:szCs w:val="20"/>
              </w:rPr>
            </w:pPr>
          </w:p>
        </w:tc>
      </w:tr>
      <w:tr w:rsidR="00B91BB7" w:rsidRPr="008B766F" w14:paraId="597EDC07" w14:textId="77777777" w:rsidTr="2F964CCD">
        <w:tc>
          <w:tcPr>
            <w:tcW w:w="562" w:type="dxa"/>
          </w:tcPr>
          <w:p w14:paraId="513652BE" w14:textId="4F6232C6" w:rsidR="00B91BB7" w:rsidRPr="008B766F" w:rsidRDefault="2F964CCD" w:rsidP="2F964CCD">
            <w:pPr>
              <w:jc w:val="center"/>
              <w:rPr>
                <w:rFonts w:ascii="Lato" w:eastAsia="Lato" w:hAnsi="Lato" w:cs="Lato"/>
                <w:sz w:val="20"/>
                <w:szCs w:val="20"/>
              </w:rPr>
            </w:pPr>
            <w:r w:rsidRPr="2F964CCD">
              <w:rPr>
                <w:rFonts w:ascii="Lato" w:eastAsia="Lato" w:hAnsi="Lato" w:cs="Lato"/>
                <w:sz w:val="20"/>
                <w:szCs w:val="20"/>
              </w:rPr>
              <w:lastRenderedPageBreak/>
              <w:t>5</w:t>
            </w:r>
          </w:p>
        </w:tc>
        <w:tc>
          <w:tcPr>
            <w:tcW w:w="1701" w:type="dxa"/>
          </w:tcPr>
          <w:p w14:paraId="2C112C99" w14:textId="58FA7653" w:rsidR="00B91BB7" w:rsidRPr="008B766F" w:rsidRDefault="2F964CCD" w:rsidP="2F964CCD">
            <w:pPr>
              <w:jc w:val="both"/>
              <w:rPr>
                <w:rFonts w:ascii="Lato" w:eastAsia="Lato" w:hAnsi="Lato" w:cs="Lato"/>
                <w:sz w:val="20"/>
                <w:szCs w:val="20"/>
              </w:rPr>
            </w:pPr>
            <w:r w:rsidRPr="2F964CCD">
              <w:rPr>
                <w:rFonts w:ascii="Lato" w:eastAsia="Lato" w:hAnsi="Lato" w:cs="Lato"/>
                <w:sz w:val="20"/>
                <w:szCs w:val="20"/>
              </w:rPr>
              <w:t>European Energy</w:t>
            </w:r>
          </w:p>
        </w:tc>
        <w:tc>
          <w:tcPr>
            <w:tcW w:w="2694" w:type="dxa"/>
          </w:tcPr>
          <w:p w14:paraId="29E8C0CD" w14:textId="2A516EF9" w:rsidR="00B91BB7" w:rsidRPr="008B766F" w:rsidRDefault="2F964CCD" w:rsidP="2F964CCD">
            <w:pPr>
              <w:jc w:val="both"/>
              <w:rPr>
                <w:rFonts w:ascii="Lato" w:eastAsia="Lato" w:hAnsi="Lato" w:cs="Lato"/>
                <w:sz w:val="20"/>
                <w:szCs w:val="20"/>
              </w:rPr>
            </w:pPr>
            <w:r w:rsidRPr="2F964CCD">
              <w:rPr>
                <w:rFonts w:ascii="Lato" w:eastAsia="Lato" w:hAnsi="Lato" w:cs="Lato"/>
                <w:sz w:val="20"/>
                <w:szCs w:val="20"/>
              </w:rPr>
              <w:t>pkt 4 § 6, pkt 5 § 6</w:t>
            </w:r>
          </w:p>
        </w:tc>
        <w:tc>
          <w:tcPr>
            <w:tcW w:w="5103" w:type="dxa"/>
          </w:tcPr>
          <w:p w14:paraId="60EE1E8C" w14:textId="15B81425" w:rsidR="00B91BB7" w:rsidRPr="008B766F" w:rsidRDefault="2F964CCD" w:rsidP="0050052A">
            <w:pPr>
              <w:spacing w:after="240"/>
              <w:jc w:val="both"/>
              <w:rPr>
                <w:rFonts w:ascii="Lato" w:eastAsia="Lato" w:hAnsi="Lato" w:cs="Lato"/>
                <w:sz w:val="20"/>
                <w:szCs w:val="20"/>
              </w:rPr>
            </w:pPr>
            <w:r w:rsidRPr="2F964CCD">
              <w:rPr>
                <w:rFonts w:ascii="Lato" w:eastAsia="Lato" w:hAnsi="Lato" w:cs="Lato"/>
                <w:sz w:val="20"/>
                <w:szCs w:val="20"/>
              </w:rPr>
              <w:t xml:space="preserve">Wnosimy prośbę o doprecyzowanie przepisów dotyczących uzgodnień i opiniowania projektu planu obszarów przyspieszonego rozwoju OZE poprzez wyraźne wskazanie obowiązku przeprowadzenia konsultacji publicznych oraz aktywnego uwzględnienia udziału inwestorów OZE zainteresowanych objęciem planem. Zapewnienie jawności procesu konsultacyjnego oraz udziału podmiotów inwestujących w OZE zwiększy przejrzystość, jakość decyzji planistycznych i umożliwi </w:t>
            </w:r>
            <w:r w:rsidRPr="2F964CCD">
              <w:rPr>
                <w:rFonts w:ascii="Lato" w:eastAsia="Lato" w:hAnsi="Lato" w:cs="Lato"/>
                <w:sz w:val="20"/>
                <w:szCs w:val="20"/>
              </w:rPr>
              <w:lastRenderedPageBreak/>
              <w:t>lepsze uwzględnienie aspektów technicznych i ekonomicznych istotnych dla realizacji projektów OZE.</w:t>
            </w:r>
          </w:p>
          <w:p w14:paraId="61393C6E" w14:textId="3C2D89DB" w:rsidR="00B91BB7" w:rsidRPr="008B766F" w:rsidRDefault="00B91BB7" w:rsidP="2F964CCD">
            <w:pPr>
              <w:jc w:val="both"/>
              <w:rPr>
                <w:rFonts w:ascii="Lato" w:eastAsia="Lato" w:hAnsi="Lato" w:cs="Lato"/>
                <w:sz w:val="20"/>
                <w:szCs w:val="20"/>
              </w:rPr>
            </w:pPr>
          </w:p>
        </w:tc>
        <w:tc>
          <w:tcPr>
            <w:tcW w:w="4252" w:type="dxa"/>
          </w:tcPr>
          <w:p w14:paraId="6BD03E7F" w14:textId="77777777" w:rsidR="00B91BB7" w:rsidRPr="008B766F" w:rsidRDefault="00B91BB7" w:rsidP="2F964CCD">
            <w:pPr>
              <w:jc w:val="both"/>
              <w:rPr>
                <w:rFonts w:ascii="Lato" w:eastAsia="Lato" w:hAnsi="Lato" w:cs="Lato"/>
                <w:sz w:val="20"/>
                <w:szCs w:val="20"/>
              </w:rPr>
            </w:pPr>
          </w:p>
        </w:tc>
        <w:tc>
          <w:tcPr>
            <w:tcW w:w="1428" w:type="dxa"/>
          </w:tcPr>
          <w:p w14:paraId="2EFA759D" w14:textId="77777777" w:rsidR="00B91BB7" w:rsidRPr="008B766F" w:rsidRDefault="00B91BB7" w:rsidP="2F964CCD">
            <w:pPr>
              <w:jc w:val="both"/>
              <w:rPr>
                <w:rFonts w:ascii="Lato" w:eastAsia="Lato" w:hAnsi="Lato" w:cs="Lato"/>
                <w:sz w:val="20"/>
                <w:szCs w:val="20"/>
              </w:rPr>
            </w:pPr>
          </w:p>
        </w:tc>
      </w:tr>
      <w:bookmarkEnd w:id="0"/>
    </w:tbl>
    <w:p w14:paraId="4A485AB3" w14:textId="77777777" w:rsidR="00CA2841" w:rsidRPr="008B766F" w:rsidRDefault="00CA2841" w:rsidP="2F964CCD">
      <w:pPr>
        <w:spacing w:after="0" w:line="240" w:lineRule="auto"/>
        <w:rPr>
          <w:rFonts w:ascii="Lato" w:eastAsia="Lato" w:hAnsi="Lato" w:cs="Lato"/>
          <w:sz w:val="20"/>
          <w:szCs w:val="20"/>
        </w:rPr>
      </w:pPr>
    </w:p>
    <w:sectPr w:rsidR="00CA2841" w:rsidRPr="008B766F" w:rsidSect="00B91BB7">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CB0D27" w14:textId="77777777" w:rsidR="007866FF" w:rsidRDefault="007866FF" w:rsidP="00CA2841">
      <w:pPr>
        <w:spacing w:after="0" w:line="240" w:lineRule="auto"/>
      </w:pPr>
      <w:r>
        <w:separator/>
      </w:r>
    </w:p>
  </w:endnote>
  <w:endnote w:type="continuationSeparator" w:id="0">
    <w:p w14:paraId="462C90A7" w14:textId="77777777" w:rsidR="007866FF" w:rsidRDefault="007866FF" w:rsidP="00CA28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E618E9" w14:textId="77777777" w:rsidR="007866FF" w:rsidRDefault="007866FF" w:rsidP="00CA2841">
      <w:pPr>
        <w:spacing w:after="0" w:line="240" w:lineRule="auto"/>
      </w:pPr>
      <w:r>
        <w:separator/>
      </w:r>
    </w:p>
  </w:footnote>
  <w:footnote w:type="continuationSeparator" w:id="0">
    <w:p w14:paraId="4FCDEDF3" w14:textId="77777777" w:rsidR="007866FF" w:rsidRDefault="007866FF" w:rsidP="00CA2841">
      <w:pPr>
        <w:spacing w:after="0" w:line="240" w:lineRule="auto"/>
      </w:pPr>
      <w:r>
        <w:continuationSeparator/>
      </w:r>
    </w:p>
  </w:footnote>
  <w:footnote w:id="1">
    <w:p w14:paraId="722C9D04" w14:textId="76DFC1E6" w:rsidR="004F2D1D" w:rsidRPr="00EF494C" w:rsidRDefault="004F2D1D">
      <w:pPr>
        <w:pStyle w:val="Tekstprzypisudolnego"/>
        <w:rPr>
          <w:rFonts w:ascii="Lato" w:hAnsi="Lato" w:cs="Times New Roman"/>
          <w:sz w:val="22"/>
          <w:szCs w:val="22"/>
        </w:rPr>
      </w:pPr>
      <w:r w:rsidRPr="00EF494C">
        <w:rPr>
          <w:rStyle w:val="Odwoanieprzypisudolnego"/>
          <w:rFonts w:ascii="Lato" w:hAnsi="Lato" w:cs="Times New Roman"/>
        </w:rPr>
        <w:t>1)</w:t>
      </w:r>
      <w:r w:rsidRPr="00EF494C">
        <w:rPr>
          <w:rFonts w:ascii="Lato" w:hAnsi="Lato" w:cs="Times New Roman"/>
        </w:rPr>
        <w:t xml:space="preserve"> </w:t>
      </w:r>
      <w:r w:rsidR="00B91BB7" w:rsidRPr="00EF494C">
        <w:rPr>
          <w:rFonts w:ascii="Lato" w:hAnsi="Lato" w:cs="Times New Roman"/>
        </w:rPr>
        <w:t>W przypadku aktu nowelizującego n</w:t>
      </w:r>
      <w:r w:rsidRPr="00EF494C">
        <w:rPr>
          <w:rFonts w:ascii="Lato" w:hAnsi="Lato" w:cs="Times New Roman"/>
        </w:rPr>
        <w:t xml:space="preserve">ależy wskazać jednostkę redakcyjną projektu </w:t>
      </w:r>
      <w:r w:rsidR="00EB31B4" w:rsidRPr="00EF494C">
        <w:rPr>
          <w:rFonts w:ascii="Lato" w:hAnsi="Lato" w:cs="Times New Roman"/>
        </w:rPr>
        <w:t>oraz jednostkę redakcyjną zmienianego aktu prawnego.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545FB8"/>
    <w:multiLevelType w:val="hybridMultilevel"/>
    <w:tmpl w:val="FFFFFFFF"/>
    <w:lvl w:ilvl="0" w:tplc="64A2F110">
      <w:start w:val="1"/>
      <w:numFmt w:val="bullet"/>
      <w:lvlText w:val=""/>
      <w:lvlJc w:val="left"/>
      <w:pPr>
        <w:ind w:left="720" w:hanging="360"/>
      </w:pPr>
      <w:rPr>
        <w:rFonts w:ascii="Symbol" w:hAnsi="Symbol" w:hint="default"/>
      </w:rPr>
    </w:lvl>
    <w:lvl w:ilvl="1" w:tplc="BBAA0FB2">
      <w:start w:val="1"/>
      <w:numFmt w:val="bullet"/>
      <w:lvlText w:val="o"/>
      <w:lvlJc w:val="left"/>
      <w:pPr>
        <w:ind w:left="1440" w:hanging="360"/>
      </w:pPr>
      <w:rPr>
        <w:rFonts w:ascii="Courier New" w:hAnsi="Courier New" w:hint="default"/>
      </w:rPr>
    </w:lvl>
    <w:lvl w:ilvl="2" w:tplc="841C8428">
      <w:start w:val="1"/>
      <w:numFmt w:val="bullet"/>
      <w:lvlText w:val=""/>
      <w:lvlJc w:val="left"/>
      <w:pPr>
        <w:ind w:left="2160" w:hanging="360"/>
      </w:pPr>
      <w:rPr>
        <w:rFonts w:ascii="Wingdings" w:hAnsi="Wingdings" w:hint="default"/>
      </w:rPr>
    </w:lvl>
    <w:lvl w:ilvl="3" w:tplc="877AFE44">
      <w:start w:val="1"/>
      <w:numFmt w:val="bullet"/>
      <w:lvlText w:val=""/>
      <w:lvlJc w:val="left"/>
      <w:pPr>
        <w:ind w:left="2880" w:hanging="360"/>
      </w:pPr>
      <w:rPr>
        <w:rFonts w:ascii="Symbol" w:hAnsi="Symbol" w:hint="default"/>
      </w:rPr>
    </w:lvl>
    <w:lvl w:ilvl="4" w:tplc="0EB6B2C6">
      <w:start w:val="1"/>
      <w:numFmt w:val="bullet"/>
      <w:lvlText w:val="o"/>
      <w:lvlJc w:val="left"/>
      <w:pPr>
        <w:ind w:left="3600" w:hanging="360"/>
      </w:pPr>
      <w:rPr>
        <w:rFonts w:ascii="Courier New" w:hAnsi="Courier New" w:hint="default"/>
      </w:rPr>
    </w:lvl>
    <w:lvl w:ilvl="5" w:tplc="F244CAD0">
      <w:start w:val="1"/>
      <w:numFmt w:val="bullet"/>
      <w:lvlText w:val=""/>
      <w:lvlJc w:val="left"/>
      <w:pPr>
        <w:ind w:left="4320" w:hanging="360"/>
      </w:pPr>
      <w:rPr>
        <w:rFonts w:ascii="Wingdings" w:hAnsi="Wingdings" w:hint="default"/>
      </w:rPr>
    </w:lvl>
    <w:lvl w:ilvl="6" w:tplc="3FD2ED8A">
      <w:start w:val="1"/>
      <w:numFmt w:val="bullet"/>
      <w:lvlText w:val=""/>
      <w:lvlJc w:val="left"/>
      <w:pPr>
        <w:ind w:left="5040" w:hanging="360"/>
      </w:pPr>
      <w:rPr>
        <w:rFonts w:ascii="Symbol" w:hAnsi="Symbol" w:hint="default"/>
      </w:rPr>
    </w:lvl>
    <w:lvl w:ilvl="7" w:tplc="853243C0">
      <w:start w:val="1"/>
      <w:numFmt w:val="bullet"/>
      <w:lvlText w:val="o"/>
      <w:lvlJc w:val="left"/>
      <w:pPr>
        <w:ind w:left="5760" w:hanging="360"/>
      </w:pPr>
      <w:rPr>
        <w:rFonts w:ascii="Courier New" w:hAnsi="Courier New" w:hint="default"/>
      </w:rPr>
    </w:lvl>
    <w:lvl w:ilvl="8" w:tplc="AFC0DC84">
      <w:start w:val="1"/>
      <w:numFmt w:val="bullet"/>
      <w:lvlText w:val=""/>
      <w:lvlJc w:val="left"/>
      <w:pPr>
        <w:ind w:left="6480" w:hanging="360"/>
      </w:pPr>
      <w:rPr>
        <w:rFonts w:ascii="Wingdings" w:hAnsi="Wingdings" w:hint="default"/>
      </w:rPr>
    </w:lvl>
  </w:abstractNum>
  <w:abstractNum w:abstractNumId="1" w15:restartNumberingAfterBreak="0">
    <w:nsid w:val="5E5B2ED5"/>
    <w:multiLevelType w:val="hybridMultilevel"/>
    <w:tmpl w:val="FFFFFFFF"/>
    <w:lvl w:ilvl="0" w:tplc="E7B21A9E">
      <w:start w:val="1"/>
      <w:numFmt w:val="bullet"/>
      <w:lvlText w:val=""/>
      <w:lvlJc w:val="left"/>
      <w:pPr>
        <w:ind w:left="720" w:hanging="360"/>
      </w:pPr>
      <w:rPr>
        <w:rFonts w:ascii="Symbol" w:hAnsi="Symbol" w:hint="default"/>
      </w:rPr>
    </w:lvl>
    <w:lvl w:ilvl="1" w:tplc="821E280A">
      <w:start w:val="1"/>
      <w:numFmt w:val="bullet"/>
      <w:lvlText w:val="o"/>
      <w:lvlJc w:val="left"/>
      <w:pPr>
        <w:ind w:left="1440" w:hanging="360"/>
      </w:pPr>
      <w:rPr>
        <w:rFonts w:ascii="Courier New" w:hAnsi="Courier New" w:hint="default"/>
      </w:rPr>
    </w:lvl>
    <w:lvl w:ilvl="2" w:tplc="5DFC241E">
      <w:start w:val="1"/>
      <w:numFmt w:val="bullet"/>
      <w:lvlText w:val=""/>
      <w:lvlJc w:val="left"/>
      <w:pPr>
        <w:ind w:left="2160" w:hanging="360"/>
      </w:pPr>
      <w:rPr>
        <w:rFonts w:ascii="Wingdings" w:hAnsi="Wingdings" w:hint="default"/>
      </w:rPr>
    </w:lvl>
    <w:lvl w:ilvl="3" w:tplc="F03CF0DE">
      <w:start w:val="1"/>
      <w:numFmt w:val="bullet"/>
      <w:lvlText w:val=""/>
      <w:lvlJc w:val="left"/>
      <w:pPr>
        <w:ind w:left="2880" w:hanging="360"/>
      </w:pPr>
      <w:rPr>
        <w:rFonts w:ascii="Symbol" w:hAnsi="Symbol" w:hint="default"/>
      </w:rPr>
    </w:lvl>
    <w:lvl w:ilvl="4" w:tplc="0A1EA268">
      <w:start w:val="1"/>
      <w:numFmt w:val="bullet"/>
      <w:lvlText w:val="o"/>
      <w:lvlJc w:val="left"/>
      <w:pPr>
        <w:ind w:left="3600" w:hanging="360"/>
      </w:pPr>
      <w:rPr>
        <w:rFonts w:ascii="Courier New" w:hAnsi="Courier New" w:hint="default"/>
      </w:rPr>
    </w:lvl>
    <w:lvl w:ilvl="5" w:tplc="01543CB6">
      <w:start w:val="1"/>
      <w:numFmt w:val="bullet"/>
      <w:lvlText w:val=""/>
      <w:lvlJc w:val="left"/>
      <w:pPr>
        <w:ind w:left="4320" w:hanging="360"/>
      </w:pPr>
      <w:rPr>
        <w:rFonts w:ascii="Wingdings" w:hAnsi="Wingdings" w:hint="default"/>
      </w:rPr>
    </w:lvl>
    <w:lvl w:ilvl="6" w:tplc="97786C64">
      <w:start w:val="1"/>
      <w:numFmt w:val="bullet"/>
      <w:lvlText w:val=""/>
      <w:lvlJc w:val="left"/>
      <w:pPr>
        <w:ind w:left="5040" w:hanging="360"/>
      </w:pPr>
      <w:rPr>
        <w:rFonts w:ascii="Symbol" w:hAnsi="Symbol" w:hint="default"/>
      </w:rPr>
    </w:lvl>
    <w:lvl w:ilvl="7" w:tplc="D890A7C6">
      <w:start w:val="1"/>
      <w:numFmt w:val="bullet"/>
      <w:lvlText w:val="o"/>
      <w:lvlJc w:val="left"/>
      <w:pPr>
        <w:ind w:left="5760" w:hanging="360"/>
      </w:pPr>
      <w:rPr>
        <w:rFonts w:ascii="Courier New" w:hAnsi="Courier New" w:hint="default"/>
      </w:rPr>
    </w:lvl>
    <w:lvl w:ilvl="8" w:tplc="F1A00CC8">
      <w:start w:val="1"/>
      <w:numFmt w:val="bullet"/>
      <w:lvlText w:val=""/>
      <w:lvlJc w:val="left"/>
      <w:pPr>
        <w:ind w:left="6480" w:hanging="360"/>
      </w:pPr>
      <w:rPr>
        <w:rFonts w:ascii="Wingdings" w:hAnsi="Wingdings" w:hint="default"/>
      </w:rPr>
    </w:lvl>
  </w:abstractNum>
  <w:abstractNum w:abstractNumId="2" w15:restartNumberingAfterBreak="0">
    <w:nsid w:val="63BB8740"/>
    <w:multiLevelType w:val="hybridMultilevel"/>
    <w:tmpl w:val="FFFFFFFF"/>
    <w:lvl w:ilvl="0" w:tplc="EC24CABA">
      <w:start w:val="1"/>
      <w:numFmt w:val="decimal"/>
      <w:lvlText w:val="%1)"/>
      <w:lvlJc w:val="left"/>
      <w:pPr>
        <w:ind w:left="720" w:hanging="360"/>
      </w:pPr>
    </w:lvl>
    <w:lvl w:ilvl="1" w:tplc="ECBECBB0">
      <w:start w:val="1"/>
      <w:numFmt w:val="lowerLetter"/>
      <w:lvlText w:val="%2."/>
      <w:lvlJc w:val="left"/>
      <w:pPr>
        <w:ind w:left="1440" w:hanging="360"/>
      </w:pPr>
    </w:lvl>
    <w:lvl w:ilvl="2" w:tplc="D3AC0A28">
      <w:start w:val="1"/>
      <w:numFmt w:val="lowerRoman"/>
      <w:lvlText w:val="%3."/>
      <w:lvlJc w:val="right"/>
      <w:pPr>
        <w:ind w:left="2160" w:hanging="180"/>
      </w:pPr>
    </w:lvl>
    <w:lvl w:ilvl="3" w:tplc="084CAA38">
      <w:start w:val="1"/>
      <w:numFmt w:val="decimal"/>
      <w:lvlText w:val="%4."/>
      <w:lvlJc w:val="left"/>
      <w:pPr>
        <w:ind w:left="2880" w:hanging="360"/>
      </w:pPr>
    </w:lvl>
    <w:lvl w:ilvl="4" w:tplc="C01EE4FE">
      <w:start w:val="1"/>
      <w:numFmt w:val="lowerLetter"/>
      <w:lvlText w:val="%5."/>
      <w:lvlJc w:val="left"/>
      <w:pPr>
        <w:ind w:left="3600" w:hanging="360"/>
      </w:pPr>
    </w:lvl>
    <w:lvl w:ilvl="5" w:tplc="819255D6">
      <w:start w:val="1"/>
      <w:numFmt w:val="lowerRoman"/>
      <w:lvlText w:val="%6."/>
      <w:lvlJc w:val="right"/>
      <w:pPr>
        <w:ind w:left="4320" w:hanging="180"/>
      </w:pPr>
    </w:lvl>
    <w:lvl w:ilvl="6" w:tplc="750A8960">
      <w:start w:val="1"/>
      <w:numFmt w:val="decimal"/>
      <w:lvlText w:val="%7."/>
      <w:lvlJc w:val="left"/>
      <w:pPr>
        <w:ind w:left="5040" w:hanging="360"/>
      </w:pPr>
    </w:lvl>
    <w:lvl w:ilvl="7" w:tplc="D0C6BB0E">
      <w:start w:val="1"/>
      <w:numFmt w:val="lowerLetter"/>
      <w:lvlText w:val="%8."/>
      <w:lvlJc w:val="left"/>
      <w:pPr>
        <w:ind w:left="5760" w:hanging="360"/>
      </w:pPr>
    </w:lvl>
    <w:lvl w:ilvl="8" w:tplc="A372B8BA">
      <w:start w:val="1"/>
      <w:numFmt w:val="lowerRoman"/>
      <w:lvlText w:val="%9."/>
      <w:lvlJc w:val="right"/>
      <w:pPr>
        <w:ind w:left="6480" w:hanging="180"/>
      </w:pPr>
    </w:lvl>
  </w:abstractNum>
  <w:abstractNum w:abstractNumId="3" w15:restartNumberingAfterBreak="0">
    <w:nsid w:val="668D3595"/>
    <w:multiLevelType w:val="hybridMultilevel"/>
    <w:tmpl w:val="FFFFFFFF"/>
    <w:lvl w:ilvl="0" w:tplc="A04297C4">
      <w:start w:val="1"/>
      <w:numFmt w:val="bullet"/>
      <w:lvlText w:val=""/>
      <w:lvlJc w:val="left"/>
      <w:pPr>
        <w:ind w:left="720" w:hanging="360"/>
      </w:pPr>
      <w:rPr>
        <w:rFonts w:ascii="Symbol" w:hAnsi="Symbol" w:hint="default"/>
      </w:rPr>
    </w:lvl>
    <w:lvl w:ilvl="1" w:tplc="D8526BE4">
      <w:start w:val="1"/>
      <w:numFmt w:val="bullet"/>
      <w:lvlText w:val="o"/>
      <w:lvlJc w:val="left"/>
      <w:pPr>
        <w:ind w:left="1440" w:hanging="360"/>
      </w:pPr>
      <w:rPr>
        <w:rFonts w:ascii="Courier New" w:hAnsi="Courier New" w:hint="default"/>
      </w:rPr>
    </w:lvl>
    <w:lvl w:ilvl="2" w:tplc="6E16CE22">
      <w:start w:val="1"/>
      <w:numFmt w:val="bullet"/>
      <w:lvlText w:val=""/>
      <w:lvlJc w:val="left"/>
      <w:pPr>
        <w:ind w:left="2160" w:hanging="360"/>
      </w:pPr>
      <w:rPr>
        <w:rFonts w:ascii="Wingdings" w:hAnsi="Wingdings" w:hint="default"/>
      </w:rPr>
    </w:lvl>
    <w:lvl w:ilvl="3" w:tplc="974A8944">
      <w:start w:val="1"/>
      <w:numFmt w:val="bullet"/>
      <w:lvlText w:val=""/>
      <w:lvlJc w:val="left"/>
      <w:pPr>
        <w:ind w:left="2880" w:hanging="360"/>
      </w:pPr>
      <w:rPr>
        <w:rFonts w:ascii="Symbol" w:hAnsi="Symbol" w:hint="default"/>
      </w:rPr>
    </w:lvl>
    <w:lvl w:ilvl="4" w:tplc="66D2E7DA">
      <w:start w:val="1"/>
      <w:numFmt w:val="bullet"/>
      <w:lvlText w:val="o"/>
      <w:lvlJc w:val="left"/>
      <w:pPr>
        <w:ind w:left="3600" w:hanging="360"/>
      </w:pPr>
      <w:rPr>
        <w:rFonts w:ascii="Courier New" w:hAnsi="Courier New" w:hint="default"/>
      </w:rPr>
    </w:lvl>
    <w:lvl w:ilvl="5" w:tplc="167264F8">
      <w:start w:val="1"/>
      <w:numFmt w:val="bullet"/>
      <w:lvlText w:val=""/>
      <w:lvlJc w:val="left"/>
      <w:pPr>
        <w:ind w:left="4320" w:hanging="360"/>
      </w:pPr>
      <w:rPr>
        <w:rFonts w:ascii="Wingdings" w:hAnsi="Wingdings" w:hint="default"/>
      </w:rPr>
    </w:lvl>
    <w:lvl w:ilvl="6" w:tplc="F3664FBE">
      <w:start w:val="1"/>
      <w:numFmt w:val="bullet"/>
      <w:lvlText w:val=""/>
      <w:lvlJc w:val="left"/>
      <w:pPr>
        <w:ind w:left="5040" w:hanging="360"/>
      </w:pPr>
      <w:rPr>
        <w:rFonts w:ascii="Symbol" w:hAnsi="Symbol" w:hint="default"/>
      </w:rPr>
    </w:lvl>
    <w:lvl w:ilvl="7" w:tplc="8F701F12">
      <w:start w:val="1"/>
      <w:numFmt w:val="bullet"/>
      <w:lvlText w:val="o"/>
      <w:lvlJc w:val="left"/>
      <w:pPr>
        <w:ind w:left="5760" w:hanging="360"/>
      </w:pPr>
      <w:rPr>
        <w:rFonts w:ascii="Courier New" w:hAnsi="Courier New" w:hint="default"/>
      </w:rPr>
    </w:lvl>
    <w:lvl w:ilvl="8" w:tplc="6AA6E166">
      <w:start w:val="1"/>
      <w:numFmt w:val="bullet"/>
      <w:lvlText w:val=""/>
      <w:lvlJc w:val="left"/>
      <w:pPr>
        <w:ind w:left="6480" w:hanging="360"/>
      </w:pPr>
      <w:rPr>
        <w:rFonts w:ascii="Wingdings" w:hAnsi="Wingdings" w:hint="default"/>
      </w:rPr>
    </w:lvl>
  </w:abstractNum>
  <w:abstractNum w:abstractNumId="4" w15:restartNumberingAfterBreak="0">
    <w:nsid w:val="7C850E55"/>
    <w:multiLevelType w:val="hybridMultilevel"/>
    <w:tmpl w:val="FFFFFFFF"/>
    <w:lvl w:ilvl="0" w:tplc="A980048C">
      <w:start w:val="1"/>
      <w:numFmt w:val="bullet"/>
      <w:lvlText w:val=""/>
      <w:lvlJc w:val="left"/>
      <w:pPr>
        <w:ind w:left="720" w:hanging="360"/>
      </w:pPr>
      <w:rPr>
        <w:rFonts w:ascii="Symbol" w:hAnsi="Symbol" w:hint="default"/>
      </w:rPr>
    </w:lvl>
    <w:lvl w:ilvl="1" w:tplc="E772A83E">
      <w:start w:val="1"/>
      <w:numFmt w:val="bullet"/>
      <w:lvlText w:val="o"/>
      <w:lvlJc w:val="left"/>
      <w:pPr>
        <w:ind w:left="1440" w:hanging="360"/>
      </w:pPr>
      <w:rPr>
        <w:rFonts w:ascii="Courier New" w:hAnsi="Courier New" w:hint="default"/>
      </w:rPr>
    </w:lvl>
    <w:lvl w:ilvl="2" w:tplc="F892AB76">
      <w:start w:val="1"/>
      <w:numFmt w:val="bullet"/>
      <w:lvlText w:val=""/>
      <w:lvlJc w:val="left"/>
      <w:pPr>
        <w:ind w:left="2160" w:hanging="360"/>
      </w:pPr>
      <w:rPr>
        <w:rFonts w:ascii="Wingdings" w:hAnsi="Wingdings" w:hint="default"/>
      </w:rPr>
    </w:lvl>
    <w:lvl w:ilvl="3" w:tplc="52EEE028">
      <w:start w:val="1"/>
      <w:numFmt w:val="bullet"/>
      <w:lvlText w:val=""/>
      <w:lvlJc w:val="left"/>
      <w:pPr>
        <w:ind w:left="2880" w:hanging="360"/>
      </w:pPr>
      <w:rPr>
        <w:rFonts w:ascii="Symbol" w:hAnsi="Symbol" w:hint="default"/>
      </w:rPr>
    </w:lvl>
    <w:lvl w:ilvl="4" w:tplc="F640887A">
      <w:start w:val="1"/>
      <w:numFmt w:val="bullet"/>
      <w:lvlText w:val="o"/>
      <w:lvlJc w:val="left"/>
      <w:pPr>
        <w:ind w:left="3600" w:hanging="360"/>
      </w:pPr>
      <w:rPr>
        <w:rFonts w:ascii="Courier New" w:hAnsi="Courier New" w:hint="default"/>
      </w:rPr>
    </w:lvl>
    <w:lvl w:ilvl="5" w:tplc="562C57A8">
      <w:start w:val="1"/>
      <w:numFmt w:val="bullet"/>
      <w:lvlText w:val=""/>
      <w:lvlJc w:val="left"/>
      <w:pPr>
        <w:ind w:left="4320" w:hanging="360"/>
      </w:pPr>
      <w:rPr>
        <w:rFonts w:ascii="Wingdings" w:hAnsi="Wingdings" w:hint="default"/>
      </w:rPr>
    </w:lvl>
    <w:lvl w:ilvl="6" w:tplc="26784E8A">
      <w:start w:val="1"/>
      <w:numFmt w:val="bullet"/>
      <w:lvlText w:val=""/>
      <w:lvlJc w:val="left"/>
      <w:pPr>
        <w:ind w:left="5040" w:hanging="360"/>
      </w:pPr>
      <w:rPr>
        <w:rFonts w:ascii="Symbol" w:hAnsi="Symbol" w:hint="default"/>
      </w:rPr>
    </w:lvl>
    <w:lvl w:ilvl="7" w:tplc="628AAB38">
      <w:start w:val="1"/>
      <w:numFmt w:val="bullet"/>
      <w:lvlText w:val="o"/>
      <w:lvlJc w:val="left"/>
      <w:pPr>
        <w:ind w:left="5760" w:hanging="360"/>
      </w:pPr>
      <w:rPr>
        <w:rFonts w:ascii="Courier New" w:hAnsi="Courier New" w:hint="default"/>
      </w:rPr>
    </w:lvl>
    <w:lvl w:ilvl="8" w:tplc="01A42D06">
      <w:start w:val="1"/>
      <w:numFmt w:val="bullet"/>
      <w:lvlText w:val=""/>
      <w:lvlJc w:val="left"/>
      <w:pPr>
        <w:ind w:left="6480" w:hanging="360"/>
      </w:pPr>
      <w:rPr>
        <w:rFonts w:ascii="Wingdings" w:hAnsi="Wingdings" w:hint="default"/>
      </w:rPr>
    </w:lvl>
  </w:abstractNum>
  <w:abstractNum w:abstractNumId="5" w15:restartNumberingAfterBreak="0">
    <w:nsid w:val="7EC98F79"/>
    <w:multiLevelType w:val="hybridMultilevel"/>
    <w:tmpl w:val="FFFFFFFF"/>
    <w:lvl w:ilvl="0" w:tplc="3C82CFE2">
      <w:start w:val="1"/>
      <w:numFmt w:val="bullet"/>
      <w:lvlText w:val=""/>
      <w:lvlJc w:val="left"/>
      <w:pPr>
        <w:ind w:left="720" w:hanging="360"/>
      </w:pPr>
      <w:rPr>
        <w:rFonts w:ascii="Symbol" w:hAnsi="Symbol" w:hint="default"/>
      </w:rPr>
    </w:lvl>
    <w:lvl w:ilvl="1" w:tplc="B30C83C4">
      <w:start w:val="1"/>
      <w:numFmt w:val="bullet"/>
      <w:lvlText w:val=""/>
      <w:lvlJc w:val="left"/>
      <w:pPr>
        <w:ind w:left="1440" w:hanging="360"/>
      </w:pPr>
      <w:rPr>
        <w:rFonts w:ascii="Symbol" w:hAnsi="Symbol" w:hint="default"/>
      </w:rPr>
    </w:lvl>
    <w:lvl w:ilvl="2" w:tplc="6D4C54C8">
      <w:start w:val="1"/>
      <w:numFmt w:val="bullet"/>
      <w:lvlText w:val=""/>
      <w:lvlJc w:val="left"/>
      <w:pPr>
        <w:ind w:left="2160" w:hanging="360"/>
      </w:pPr>
      <w:rPr>
        <w:rFonts w:ascii="Wingdings" w:hAnsi="Wingdings" w:hint="default"/>
      </w:rPr>
    </w:lvl>
    <w:lvl w:ilvl="3" w:tplc="E5DE3D50">
      <w:start w:val="1"/>
      <w:numFmt w:val="bullet"/>
      <w:lvlText w:val=""/>
      <w:lvlJc w:val="left"/>
      <w:pPr>
        <w:ind w:left="2880" w:hanging="360"/>
      </w:pPr>
      <w:rPr>
        <w:rFonts w:ascii="Symbol" w:hAnsi="Symbol" w:hint="default"/>
      </w:rPr>
    </w:lvl>
    <w:lvl w:ilvl="4" w:tplc="A906EBDC">
      <w:start w:val="1"/>
      <w:numFmt w:val="bullet"/>
      <w:lvlText w:val="o"/>
      <w:lvlJc w:val="left"/>
      <w:pPr>
        <w:ind w:left="3600" w:hanging="360"/>
      </w:pPr>
      <w:rPr>
        <w:rFonts w:ascii="Courier New" w:hAnsi="Courier New" w:hint="default"/>
      </w:rPr>
    </w:lvl>
    <w:lvl w:ilvl="5" w:tplc="09901B8C">
      <w:start w:val="1"/>
      <w:numFmt w:val="bullet"/>
      <w:lvlText w:val=""/>
      <w:lvlJc w:val="left"/>
      <w:pPr>
        <w:ind w:left="4320" w:hanging="360"/>
      </w:pPr>
      <w:rPr>
        <w:rFonts w:ascii="Wingdings" w:hAnsi="Wingdings" w:hint="default"/>
      </w:rPr>
    </w:lvl>
    <w:lvl w:ilvl="6" w:tplc="3968C212">
      <w:start w:val="1"/>
      <w:numFmt w:val="bullet"/>
      <w:lvlText w:val=""/>
      <w:lvlJc w:val="left"/>
      <w:pPr>
        <w:ind w:left="5040" w:hanging="360"/>
      </w:pPr>
      <w:rPr>
        <w:rFonts w:ascii="Symbol" w:hAnsi="Symbol" w:hint="default"/>
      </w:rPr>
    </w:lvl>
    <w:lvl w:ilvl="7" w:tplc="D7D8FDEA">
      <w:start w:val="1"/>
      <w:numFmt w:val="bullet"/>
      <w:lvlText w:val="o"/>
      <w:lvlJc w:val="left"/>
      <w:pPr>
        <w:ind w:left="5760" w:hanging="360"/>
      </w:pPr>
      <w:rPr>
        <w:rFonts w:ascii="Courier New" w:hAnsi="Courier New" w:hint="default"/>
      </w:rPr>
    </w:lvl>
    <w:lvl w:ilvl="8" w:tplc="BD8A0BDC">
      <w:start w:val="1"/>
      <w:numFmt w:val="bullet"/>
      <w:lvlText w:val=""/>
      <w:lvlJc w:val="left"/>
      <w:pPr>
        <w:ind w:left="6480" w:hanging="360"/>
      </w:pPr>
      <w:rPr>
        <w:rFonts w:ascii="Wingdings" w:hAnsi="Wingdings" w:hint="default"/>
      </w:rPr>
    </w:lvl>
  </w:abstractNum>
  <w:num w:numId="1" w16cid:durableId="931084653">
    <w:abstractNumId w:val="5"/>
  </w:num>
  <w:num w:numId="2" w16cid:durableId="596518773">
    <w:abstractNumId w:val="0"/>
  </w:num>
  <w:num w:numId="3" w16cid:durableId="990600243">
    <w:abstractNumId w:val="4"/>
  </w:num>
  <w:num w:numId="4" w16cid:durableId="109470885">
    <w:abstractNumId w:val="1"/>
  </w:num>
  <w:num w:numId="5" w16cid:durableId="562259471">
    <w:abstractNumId w:val="3"/>
  </w:num>
  <w:num w:numId="6" w16cid:durableId="15966677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841"/>
    <w:rsid w:val="000C161E"/>
    <w:rsid w:val="0019568F"/>
    <w:rsid w:val="001B734F"/>
    <w:rsid w:val="001E4824"/>
    <w:rsid w:val="00435D45"/>
    <w:rsid w:val="004660E0"/>
    <w:rsid w:val="004F2D1D"/>
    <w:rsid w:val="0050052A"/>
    <w:rsid w:val="005317CD"/>
    <w:rsid w:val="0065784C"/>
    <w:rsid w:val="007674F4"/>
    <w:rsid w:val="00773DAD"/>
    <w:rsid w:val="00780255"/>
    <w:rsid w:val="007866FF"/>
    <w:rsid w:val="007B75F2"/>
    <w:rsid w:val="00894E5C"/>
    <w:rsid w:val="008B1756"/>
    <w:rsid w:val="008B766F"/>
    <w:rsid w:val="0090574C"/>
    <w:rsid w:val="009452B9"/>
    <w:rsid w:val="009B5AD6"/>
    <w:rsid w:val="009E504D"/>
    <w:rsid w:val="00A957A2"/>
    <w:rsid w:val="00B829F8"/>
    <w:rsid w:val="00B91BB7"/>
    <w:rsid w:val="00BF3C6E"/>
    <w:rsid w:val="00C93278"/>
    <w:rsid w:val="00CA2841"/>
    <w:rsid w:val="00CB2C23"/>
    <w:rsid w:val="00CD3075"/>
    <w:rsid w:val="00D35962"/>
    <w:rsid w:val="00E40E3D"/>
    <w:rsid w:val="00E93C9E"/>
    <w:rsid w:val="00EB31B4"/>
    <w:rsid w:val="00EC4C43"/>
    <w:rsid w:val="00EF494C"/>
    <w:rsid w:val="00F05557"/>
    <w:rsid w:val="0E0050FF"/>
    <w:rsid w:val="2F964CCD"/>
    <w:rsid w:val="72277082"/>
    <w:rsid w:val="7D1319A4"/>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43F60"/>
  <w15:chartTrackingRefBased/>
  <w15:docId w15:val="{6BE2EF6E-7A57-45BA-8729-04A92DBED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link w:val="TekstprzypisudolnegoZnak"/>
    <w:uiPriority w:val="99"/>
    <w:semiHidden/>
    <w:unhideWhenUsed/>
    <w:rsid w:val="0E0050FF"/>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CA2841"/>
    <w:rPr>
      <w:sz w:val="20"/>
      <w:szCs w:val="20"/>
    </w:rPr>
  </w:style>
  <w:style w:type="character" w:styleId="Odwoanieprzypisudolnego">
    <w:name w:val="footnote reference"/>
    <w:basedOn w:val="Domylnaczcionkaakapitu"/>
    <w:uiPriority w:val="99"/>
    <w:semiHidden/>
    <w:unhideWhenUsed/>
    <w:rsid w:val="00CA2841"/>
    <w:rPr>
      <w:vertAlign w:val="superscript"/>
    </w:rPr>
  </w:style>
  <w:style w:type="table" w:styleId="Tabela-Siatka">
    <w:name w:val="Table Grid"/>
    <w:basedOn w:val="Standardowy"/>
    <w:uiPriority w:val="39"/>
    <w:rsid w:val="00CA28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4F2D1D"/>
    <w:rPr>
      <w:sz w:val="16"/>
      <w:szCs w:val="16"/>
    </w:rPr>
  </w:style>
  <w:style w:type="paragraph" w:styleId="Tekstkomentarza">
    <w:name w:val="annotation text"/>
    <w:link w:val="TekstkomentarzaZnak"/>
    <w:uiPriority w:val="99"/>
    <w:unhideWhenUsed/>
    <w:rsid w:val="0E0050FF"/>
    <w:pPr>
      <w:spacing w:line="240" w:lineRule="auto"/>
    </w:pPr>
    <w:rPr>
      <w:sz w:val="20"/>
      <w:szCs w:val="20"/>
    </w:rPr>
  </w:style>
  <w:style w:type="character" w:customStyle="1" w:styleId="TekstkomentarzaZnak">
    <w:name w:val="Tekst komentarza Znak"/>
    <w:basedOn w:val="Domylnaczcionkaakapitu"/>
    <w:link w:val="Tekstkomentarza"/>
    <w:uiPriority w:val="99"/>
    <w:rsid w:val="004F2D1D"/>
    <w:rPr>
      <w:sz w:val="20"/>
      <w:szCs w:val="20"/>
    </w:rPr>
  </w:style>
  <w:style w:type="paragraph" w:styleId="Tematkomentarza">
    <w:name w:val="annotation subject"/>
    <w:basedOn w:val="Tekstkomentarza"/>
    <w:next w:val="Tekstkomentarza"/>
    <w:link w:val="TematkomentarzaZnak"/>
    <w:uiPriority w:val="99"/>
    <w:semiHidden/>
    <w:unhideWhenUsed/>
    <w:rsid w:val="004F2D1D"/>
    <w:rPr>
      <w:b/>
      <w:bCs/>
    </w:rPr>
  </w:style>
  <w:style w:type="character" w:customStyle="1" w:styleId="TematkomentarzaZnak">
    <w:name w:val="Temat komentarza Znak"/>
    <w:basedOn w:val="TekstkomentarzaZnak"/>
    <w:link w:val="Tematkomentarza"/>
    <w:uiPriority w:val="99"/>
    <w:semiHidden/>
    <w:rsid w:val="004F2D1D"/>
    <w:rPr>
      <w:b/>
      <w:bCs/>
      <w:sz w:val="20"/>
      <w:szCs w:val="20"/>
    </w:rPr>
  </w:style>
  <w:style w:type="paragraph" w:styleId="Akapitzlist">
    <w:name w:val="List Paragraph"/>
    <w:uiPriority w:val="34"/>
    <w:qFormat/>
    <w:rsid w:val="0E0050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468A9B-02CF-49B8-B19D-07AFA93A73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1440</Words>
  <Characters>8646</Characters>
  <Application>Microsoft Office Word</Application>
  <DocSecurity>0</DocSecurity>
  <Lines>72</Lines>
  <Paragraphs>20</Paragraphs>
  <ScaleCrop>false</ScaleCrop>
  <Company/>
  <LinksUpToDate>false</LinksUpToDate>
  <CharactersWithSpaces>10066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Wójcikiewicz-Kawa Agata</dc:creator>
  <cp:keywords/>
  <dc:description/>
  <cp:lastModifiedBy>Magdalena Widlicka</cp:lastModifiedBy>
  <cp:revision>3</cp:revision>
  <dcterms:created xsi:type="dcterms:W3CDTF">2026-02-27T13:28:00Z</dcterms:created>
  <dcterms:modified xsi:type="dcterms:W3CDTF">2026-02-27T14:46:00Z</dcterms:modified>
</cp:coreProperties>
</file>