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2AE26" w14:textId="66A287B3" w:rsidR="001816B8" w:rsidRPr="001B0359" w:rsidRDefault="001816B8" w:rsidP="001816B8">
      <w:pPr>
        <w:spacing w:after="0" w:line="240" w:lineRule="auto"/>
        <w:jc w:val="center"/>
        <w:rPr>
          <w:rFonts w:ascii="Lato" w:hAnsi="Lato" w:cs="Times New Roman"/>
          <w:b/>
          <w:bCs/>
          <w:sz w:val="20"/>
          <w:szCs w:val="20"/>
        </w:rPr>
      </w:pPr>
      <w:bookmarkStart w:id="0" w:name="_Hlk107398740"/>
      <w:r w:rsidRPr="001B0359">
        <w:rPr>
          <w:rFonts w:ascii="Lato" w:hAnsi="Lato" w:cs="Times New Roman"/>
          <w:b/>
          <w:bCs/>
          <w:sz w:val="20"/>
          <w:szCs w:val="20"/>
        </w:rPr>
        <w:t xml:space="preserve">Uwagi </w:t>
      </w:r>
    </w:p>
    <w:p w14:paraId="0F5FD7FA" w14:textId="043CDED5" w:rsidR="001816B8" w:rsidRPr="001B0359" w:rsidRDefault="001816B8" w:rsidP="001816B8">
      <w:pPr>
        <w:spacing w:after="0" w:line="240" w:lineRule="auto"/>
        <w:jc w:val="center"/>
        <w:rPr>
          <w:rFonts w:ascii="Lato" w:hAnsi="Lato" w:cs="Times New Roman"/>
          <w:b/>
          <w:bCs/>
          <w:sz w:val="20"/>
          <w:szCs w:val="20"/>
        </w:rPr>
      </w:pPr>
      <w:r w:rsidRPr="001B0359">
        <w:rPr>
          <w:rFonts w:ascii="Lato" w:hAnsi="Lato" w:cs="Times New Roman"/>
          <w:b/>
          <w:bCs/>
          <w:sz w:val="20"/>
          <w:szCs w:val="20"/>
        </w:rPr>
        <w:t>do projektu</w:t>
      </w:r>
      <w:bookmarkStart w:id="1" w:name="_Hlk163464623"/>
      <w:r w:rsidRPr="001B0359">
        <w:rPr>
          <w:rFonts w:ascii="Lato" w:hAnsi="Lato" w:cs="Times New Roman"/>
          <w:b/>
          <w:bCs/>
          <w:sz w:val="20"/>
          <w:szCs w:val="20"/>
        </w:rPr>
        <w:t xml:space="preserve"> ustawy </w:t>
      </w:r>
      <w:r w:rsidRPr="00647701">
        <w:rPr>
          <w:rFonts w:ascii="Lato" w:hAnsi="Lato" w:cs="Times New Roman"/>
          <w:b/>
          <w:bCs/>
          <w:sz w:val="20"/>
          <w:szCs w:val="20"/>
        </w:rPr>
        <w:t>o zmianie ustawy o podatku dochodowym od osób fizycznych, ustawy o podatku dochodowym od osób prawnych oraz niektórych innych ustaw_UD116_wersja</w:t>
      </w:r>
      <w:bookmarkEnd w:id="1"/>
      <w:r w:rsidR="00B7017E">
        <w:rPr>
          <w:rFonts w:ascii="Lato" w:hAnsi="Lato" w:cs="Times New Roman"/>
          <w:b/>
          <w:bCs/>
          <w:sz w:val="20"/>
          <w:szCs w:val="20"/>
        </w:rPr>
        <w:t xml:space="preserve"> z 16 marca 2026 r.</w:t>
      </w:r>
    </w:p>
    <w:p w14:paraId="6AED4226" w14:textId="77777777" w:rsidR="001816B8" w:rsidRPr="001B0359" w:rsidRDefault="001816B8" w:rsidP="001816B8">
      <w:pPr>
        <w:spacing w:after="0" w:line="240" w:lineRule="auto"/>
        <w:rPr>
          <w:rFonts w:ascii="Lato" w:hAnsi="Lato" w:cs="Times New Roman"/>
          <w:sz w:val="20"/>
          <w:szCs w:val="20"/>
        </w:rPr>
      </w:pPr>
    </w:p>
    <w:tbl>
      <w:tblPr>
        <w:tblStyle w:val="Tabela-Siatka"/>
        <w:tblpPr w:leftFromText="142" w:rightFromText="142" w:vertAnchor="text" w:horzAnchor="margin" w:tblpXSpec="center" w:tblpY="58"/>
        <w:tblW w:w="16024" w:type="dxa"/>
        <w:tblLayout w:type="fixed"/>
        <w:tblLook w:val="04A0" w:firstRow="1" w:lastRow="0" w:firstColumn="1" w:lastColumn="0" w:noHBand="0" w:noVBand="1"/>
      </w:tblPr>
      <w:tblGrid>
        <w:gridCol w:w="846"/>
        <w:gridCol w:w="1560"/>
        <w:gridCol w:w="1985"/>
        <w:gridCol w:w="6236"/>
        <w:gridCol w:w="3969"/>
        <w:gridCol w:w="1428"/>
      </w:tblGrid>
      <w:tr w:rsidR="001816B8" w:rsidRPr="001B0359" w14:paraId="477D5BC3" w14:textId="77777777" w:rsidTr="001B779E">
        <w:trPr>
          <w:trHeight w:val="551"/>
          <w:tblHeader/>
        </w:trPr>
        <w:tc>
          <w:tcPr>
            <w:tcW w:w="846" w:type="dxa"/>
          </w:tcPr>
          <w:p w14:paraId="2B0F8BB7" w14:textId="77777777" w:rsidR="001816B8" w:rsidRPr="001B0359" w:rsidRDefault="001816B8" w:rsidP="001B779E">
            <w:pPr>
              <w:ind w:right="27"/>
              <w:jc w:val="center"/>
              <w:rPr>
                <w:rFonts w:ascii="Lato" w:hAnsi="Lato" w:cs="Times New Roman"/>
                <w:b/>
                <w:bCs/>
                <w:sz w:val="20"/>
                <w:szCs w:val="20"/>
              </w:rPr>
            </w:pPr>
            <w:r w:rsidRPr="001B0359">
              <w:rPr>
                <w:rFonts w:ascii="Lato" w:hAnsi="Lato" w:cs="Times New Roman"/>
                <w:b/>
                <w:bCs/>
                <w:sz w:val="20"/>
                <w:szCs w:val="20"/>
              </w:rPr>
              <w:t>L.p.</w:t>
            </w:r>
          </w:p>
        </w:tc>
        <w:tc>
          <w:tcPr>
            <w:tcW w:w="1560" w:type="dxa"/>
          </w:tcPr>
          <w:p w14:paraId="0E6FB224" w14:textId="77777777" w:rsidR="001816B8" w:rsidRPr="001B0359" w:rsidRDefault="001816B8" w:rsidP="001B779E">
            <w:pPr>
              <w:jc w:val="center"/>
              <w:rPr>
                <w:rFonts w:ascii="Lato" w:hAnsi="Lato" w:cs="Times New Roman"/>
                <w:b/>
                <w:bCs/>
                <w:sz w:val="20"/>
                <w:szCs w:val="20"/>
              </w:rPr>
            </w:pPr>
            <w:r w:rsidRPr="001B0359">
              <w:rPr>
                <w:rFonts w:ascii="Lato" w:hAnsi="Lato" w:cs="Times New Roman"/>
                <w:b/>
                <w:bCs/>
                <w:sz w:val="20"/>
                <w:szCs w:val="20"/>
              </w:rPr>
              <w:t>Podmiot wnoszący uwagę</w:t>
            </w:r>
          </w:p>
        </w:tc>
        <w:tc>
          <w:tcPr>
            <w:tcW w:w="1985" w:type="dxa"/>
          </w:tcPr>
          <w:p w14:paraId="6E11CD91" w14:textId="533354A0" w:rsidR="001816B8" w:rsidRPr="001B0359" w:rsidRDefault="001816B8" w:rsidP="001B779E">
            <w:pPr>
              <w:jc w:val="center"/>
              <w:rPr>
                <w:rFonts w:ascii="Lato" w:hAnsi="Lato" w:cs="Times New Roman"/>
                <w:b/>
                <w:bCs/>
                <w:sz w:val="20"/>
                <w:szCs w:val="20"/>
              </w:rPr>
            </w:pPr>
            <w:r w:rsidRPr="001B0359">
              <w:rPr>
                <w:rFonts w:ascii="Lato" w:hAnsi="Lato" w:cs="Times New Roman"/>
                <w:b/>
                <w:bCs/>
                <w:sz w:val="20"/>
                <w:szCs w:val="20"/>
              </w:rPr>
              <w:t>Jednostka redakcyjna, do której wnoszona jest uwaga</w:t>
            </w:r>
          </w:p>
        </w:tc>
        <w:tc>
          <w:tcPr>
            <w:tcW w:w="6236" w:type="dxa"/>
          </w:tcPr>
          <w:p w14:paraId="3C08203F" w14:textId="77777777" w:rsidR="001816B8" w:rsidRPr="00283377" w:rsidRDefault="001816B8" w:rsidP="001B779E">
            <w:pPr>
              <w:jc w:val="center"/>
              <w:rPr>
                <w:rFonts w:ascii="Lato" w:hAnsi="Lato" w:cs="Times New Roman"/>
                <w:sz w:val="20"/>
                <w:szCs w:val="20"/>
              </w:rPr>
            </w:pPr>
            <w:r w:rsidRPr="00283377">
              <w:rPr>
                <w:rFonts w:ascii="Lato" w:hAnsi="Lato" w:cs="Times New Roman"/>
                <w:sz w:val="20"/>
                <w:szCs w:val="20"/>
              </w:rPr>
              <w:t>Treść uwagi</w:t>
            </w:r>
          </w:p>
        </w:tc>
        <w:tc>
          <w:tcPr>
            <w:tcW w:w="3969" w:type="dxa"/>
          </w:tcPr>
          <w:p w14:paraId="1EC9F25F" w14:textId="77777777" w:rsidR="001816B8" w:rsidRPr="001B0359" w:rsidRDefault="001816B8" w:rsidP="001B779E">
            <w:pPr>
              <w:jc w:val="center"/>
              <w:rPr>
                <w:rFonts w:ascii="Lato" w:hAnsi="Lato" w:cs="Times New Roman"/>
                <w:sz w:val="20"/>
                <w:szCs w:val="20"/>
              </w:rPr>
            </w:pPr>
            <w:r w:rsidRPr="001B0359">
              <w:rPr>
                <w:rFonts w:ascii="Lato" w:hAnsi="Lato" w:cs="Times New Roman"/>
                <w:sz w:val="20"/>
                <w:szCs w:val="20"/>
              </w:rPr>
              <w:t>Propozycja brzmienia przepisu</w:t>
            </w:r>
          </w:p>
        </w:tc>
        <w:tc>
          <w:tcPr>
            <w:tcW w:w="1428" w:type="dxa"/>
          </w:tcPr>
          <w:p w14:paraId="4463E60D" w14:textId="77777777" w:rsidR="001816B8" w:rsidRPr="001B0359" w:rsidRDefault="001816B8" w:rsidP="001B779E">
            <w:pPr>
              <w:jc w:val="center"/>
              <w:rPr>
                <w:rFonts w:ascii="Lato" w:hAnsi="Lato" w:cs="Times New Roman"/>
                <w:b/>
                <w:bCs/>
                <w:sz w:val="20"/>
                <w:szCs w:val="20"/>
              </w:rPr>
            </w:pPr>
            <w:r w:rsidRPr="001B0359">
              <w:rPr>
                <w:rFonts w:ascii="Lato" w:hAnsi="Lato" w:cs="Times New Roman"/>
                <w:b/>
                <w:bCs/>
                <w:sz w:val="20"/>
                <w:szCs w:val="20"/>
              </w:rPr>
              <w:t>Stanowisko do uwagi</w:t>
            </w:r>
          </w:p>
        </w:tc>
      </w:tr>
      <w:bookmarkEnd w:id="0"/>
      <w:tr w:rsidR="001816B8" w:rsidRPr="001816B8" w14:paraId="78501F37" w14:textId="77777777" w:rsidTr="001B779E">
        <w:trPr>
          <w:trHeight w:val="741"/>
        </w:trPr>
        <w:tc>
          <w:tcPr>
            <w:tcW w:w="846" w:type="dxa"/>
          </w:tcPr>
          <w:p w14:paraId="2F3615EB" w14:textId="77777777" w:rsidR="001816B8" w:rsidRPr="001816B8" w:rsidRDefault="001816B8" w:rsidP="001B779E">
            <w:pPr>
              <w:ind w:right="27"/>
              <w:jc w:val="right"/>
              <w:rPr>
                <w:rFonts w:cstheme="minorHAnsi"/>
              </w:rPr>
            </w:pPr>
            <w:r w:rsidRPr="001816B8">
              <w:rPr>
                <w:rFonts w:cstheme="minorHAnsi"/>
              </w:rPr>
              <w:t>1.</w:t>
            </w:r>
          </w:p>
        </w:tc>
        <w:tc>
          <w:tcPr>
            <w:tcW w:w="1560" w:type="dxa"/>
          </w:tcPr>
          <w:p w14:paraId="48F39630"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43D583A8" w14:textId="107FAFFA" w:rsidR="001816B8" w:rsidRPr="001816B8" w:rsidRDefault="001816B8" w:rsidP="001B779E">
            <w:pPr>
              <w:rPr>
                <w:rFonts w:cstheme="minorHAnsi"/>
              </w:rPr>
            </w:pPr>
            <w:r w:rsidRPr="001816B8">
              <w:rPr>
                <w:rFonts w:cstheme="minorHAnsi"/>
              </w:rPr>
              <w:t xml:space="preserve">Art. 2 pkt 6 projektowanej ustawy, wprowadzający zmiany w ustawie z dnia 15 lutego 1992 r. o podatku dochodowym od osób prawnych (Dz. U. z 2025 r. poz. 278, z </w:t>
            </w:r>
            <w:proofErr w:type="spellStart"/>
            <w:r w:rsidRPr="001816B8">
              <w:rPr>
                <w:rFonts w:cstheme="minorHAnsi"/>
              </w:rPr>
              <w:t>późn</w:t>
            </w:r>
            <w:proofErr w:type="spellEnd"/>
            <w:r w:rsidRPr="001816B8">
              <w:rPr>
                <w:rFonts w:cstheme="minorHAnsi"/>
              </w:rPr>
              <w:t>. zm.), propozycja zmian dotyczy art. 12 ust. 4 pkt 12 i art. 12 ust. 11.</w:t>
            </w:r>
          </w:p>
        </w:tc>
        <w:tc>
          <w:tcPr>
            <w:tcW w:w="6236" w:type="dxa"/>
          </w:tcPr>
          <w:p w14:paraId="7128A429" w14:textId="4086D729" w:rsidR="001816B8" w:rsidRPr="001816B8" w:rsidRDefault="001816B8" w:rsidP="001B779E">
            <w:pPr>
              <w:jc w:val="both"/>
              <w:rPr>
                <w:rFonts w:cstheme="minorHAnsi"/>
              </w:rPr>
            </w:pPr>
            <w:r w:rsidRPr="001816B8">
              <w:rPr>
                <w:rFonts w:cstheme="minorHAnsi"/>
              </w:rPr>
              <w:t>Warunek niezaliczenia do przychodów wartości emisyjnej udziałów przydzielonych wspólnikowi spółki przejmowanej lub dzielonej stanowiący, że obecnie przeprowadzana restrukturyzacja musi być pierwszą, wydaje się być sprzeczny z Dyrektywą Rady 2009/133/WE z 19 października 2009 r. w sprawie wspólnego systemu opodatkowania mającego zastosowanie w przypadku łączenia, podziałów, podziałów przez wydzielenia, wnoszenia aktywów i wymiany udziałów dotyczących spółek różnych państw członkowskich oraz przeniesienia statutowej siedziby SE lub SCE z jednego państwa członkowskiego do innego państwa członkowskiego. Stanowisko takie przyjmują sądy administracyjne, czego przykładem są choćby wyroki WSA w Warszawie, Wrocławiu, Gdańsku, Gliwicach i Olsztynie (sygn. akt: III SA/</w:t>
            </w:r>
            <w:proofErr w:type="spellStart"/>
            <w:r w:rsidRPr="001816B8">
              <w:rPr>
                <w:rFonts w:cstheme="minorHAnsi"/>
              </w:rPr>
              <w:t>Wa</w:t>
            </w:r>
            <w:proofErr w:type="spellEnd"/>
            <w:r w:rsidRPr="001816B8">
              <w:rPr>
                <w:rFonts w:cstheme="minorHAnsi"/>
              </w:rPr>
              <w:t xml:space="preserve"> 1657/23, III SA/</w:t>
            </w:r>
            <w:proofErr w:type="spellStart"/>
            <w:r w:rsidRPr="001816B8">
              <w:rPr>
                <w:rFonts w:cstheme="minorHAnsi"/>
              </w:rPr>
              <w:t>Wa</w:t>
            </w:r>
            <w:proofErr w:type="spellEnd"/>
            <w:r w:rsidRPr="001816B8">
              <w:rPr>
                <w:rFonts w:cstheme="minorHAnsi"/>
              </w:rPr>
              <w:t xml:space="preserve"> 1645/23, I SA/</w:t>
            </w:r>
            <w:proofErr w:type="spellStart"/>
            <w:r w:rsidRPr="001816B8">
              <w:rPr>
                <w:rFonts w:cstheme="minorHAnsi"/>
              </w:rPr>
              <w:t>Wr</w:t>
            </w:r>
            <w:proofErr w:type="spellEnd"/>
            <w:r w:rsidRPr="001816B8">
              <w:rPr>
                <w:rFonts w:cstheme="minorHAnsi"/>
              </w:rPr>
              <w:t xml:space="preserve"> 811/22, I SA/Gd 802/23, I SA/</w:t>
            </w:r>
            <w:proofErr w:type="spellStart"/>
            <w:r w:rsidRPr="001816B8">
              <w:rPr>
                <w:rFonts w:cstheme="minorHAnsi"/>
              </w:rPr>
              <w:t>Gl</w:t>
            </w:r>
            <w:proofErr w:type="spellEnd"/>
            <w:r w:rsidRPr="001816B8">
              <w:rPr>
                <w:rFonts w:cstheme="minorHAnsi"/>
              </w:rPr>
              <w:t xml:space="preserve"> 14/23, I SA/Ol 118/23). W związku z powyższym postuluje się usunięcie zawartego w art. 12 ust. 4 pkt 12 lit. a </w:t>
            </w:r>
            <w:r w:rsidR="006E1D50">
              <w:rPr>
                <w:rFonts w:cstheme="minorHAnsi"/>
              </w:rPr>
              <w:t xml:space="preserve">oraz w art. 12 ust. 11 pkt 3 </w:t>
            </w:r>
            <w:r w:rsidRPr="001816B8">
              <w:rPr>
                <w:rFonts w:cstheme="minorHAnsi"/>
              </w:rPr>
              <w:t>ustawy warunku ograniczającego neutralność podatkową podziału lub połączenia spółek tylko do pierwszej restrukturyzacji, podkreślając, że rezygnacja z tego warunku pozwoli uniknąć wieloletnich sporów podatników z organami podatkowymi.</w:t>
            </w:r>
          </w:p>
          <w:p w14:paraId="3F2EBAD2" w14:textId="77777777" w:rsidR="001816B8" w:rsidRPr="001816B8" w:rsidRDefault="001816B8" w:rsidP="001B779E">
            <w:pPr>
              <w:jc w:val="both"/>
              <w:rPr>
                <w:rFonts w:cstheme="minorHAnsi"/>
              </w:rPr>
            </w:pPr>
          </w:p>
        </w:tc>
        <w:tc>
          <w:tcPr>
            <w:tcW w:w="3969" w:type="dxa"/>
          </w:tcPr>
          <w:p w14:paraId="7EC1E2ED" w14:textId="77777777" w:rsidR="001816B8" w:rsidRPr="001816B8" w:rsidRDefault="001816B8" w:rsidP="001B779E">
            <w:pPr>
              <w:jc w:val="both"/>
              <w:rPr>
                <w:rFonts w:cstheme="minorHAnsi"/>
              </w:rPr>
            </w:pPr>
            <w:r w:rsidRPr="001816B8">
              <w:rPr>
                <w:rFonts w:cstheme="minorHAnsi"/>
              </w:rPr>
              <w:t>Dodanie punktów o brzmieniu:</w:t>
            </w:r>
          </w:p>
          <w:p w14:paraId="6F2B99BA" w14:textId="77777777" w:rsidR="001816B8" w:rsidRPr="001816B8" w:rsidRDefault="001816B8" w:rsidP="001B779E">
            <w:pPr>
              <w:jc w:val="both"/>
              <w:rPr>
                <w:rFonts w:cstheme="minorHAnsi"/>
                <w:b/>
                <w:bCs/>
              </w:rPr>
            </w:pPr>
            <w:r w:rsidRPr="001816B8">
              <w:rPr>
                <w:rFonts w:cstheme="minorHAnsi"/>
                <w:b/>
                <w:bCs/>
              </w:rPr>
              <w:t xml:space="preserve">- w art. 12 ust. 4 pkt 12 uchyla się lit. a., </w:t>
            </w:r>
          </w:p>
          <w:p w14:paraId="76B569AE" w14:textId="77777777" w:rsidR="001816B8" w:rsidRPr="001816B8" w:rsidRDefault="001816B8" w:rsidP="001B779E">
            <w:pPr>
              <w:jc w:val="both"/>
              <w:rPr>
                <w:rFonts w:cstheme="minorHAnsi"/>
                <w:b/>
                <w:bCs/>
              </w:rPr>
            </w:pPr>
            <w:r w:rsidRPr="001816B8">
              <w:rPr>
                <w:rFonts w:cstheme="minorHAnsi"/>
                <w:b/>
                <w:bCs/>
              </w:rPr>
              <w:t>- w art. 12 ust. 11 uchyla się pkt 3,</w:t>
            </w:r>
          </w:p>
          <w:p w14:paraId="28A434D2" w14:textId="77777777" w:rsidR="001816B8" w:rsidRPr="001816B8" w:rsidRDefault="001816B8" w:rsidP="001B779E">
            <w:pPr>
              <w:jc w:val="both"/>
              <w:rPr>
                <w:rFonts w:cstheme="minorHAnsi"/>
              </w:rPr>
            </w:pPr>
          </w:p>
        </w:tc>
        <w:tc>
          <w:tcPr>
            <w:tcW w:w="1428" w:type="dxa"/>
          </w:tcPr>
          <w:p w14:paraId="3E8B1276" w14:textId="77777777" w:rsidR="001816B8" w:rsidRPr="001816B8" w:rsidRDefault="001816B8" w:rsidP="001B779E">
            <w:pPr>
              <w:rPr>
                <w:rFonts w:cstheme="minorHAnsi"/>
                <w:color w:val="FF0000"/>
              </w:rPr>
            </w:pPr>
          </w:p>
        </w:tc>
      </w:tr>
      <w:tr w:rsidR="001816B8" w:rsidRPr="001816B8" w14:paraId="44BB5448" w14:textId="77777777" w:rsidTr="001B779E">
        <w:trPr>
          <w:trHeight w:val="741"/>
        </w:trPr>
        <w:tc>
          <w:tcPr>
            <w:tcW w:w="846" w:type="dxa"/>
          </w:tcPr>
          <w:p w14:paraId="34CA85D4" w14:textId="77777777" w:rsidR="001816B8" w:rsidRPr="001816B8" w:rsidRDefault="001816B8" w:rsidP="001B779E">
            <w:pPr>
              <w:ind w:right="27"/>
              <w:jc w:val="right"/>
              <w:rPr>
                <w:rFonts w:cstheme="minorHAnsi"/>
              </w:rPr>
            </w:pPr>
            <w:r w:rsidRPr="001816B8">
              <w:rPr>
                <w:rFonts w:cstheme="minorHAnsi"/>
              </w:rPr>
              <w:t>2.</w:t>
            </w:r>
          </w:p>
        </w:tc>
        <w:tc>
          <w:tcPr>
            <w:tcW w:w="1560" w:type="dxa"/>
          </w:tcPr>
          <w:p w14:paraId="587CF1CD"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4C5532DE" w14:textId="0D8EC94A" w:rsidR="001816B8" w:rsidRPr="001816B8" w:rsidRDefault="001816B8" w:rsidP="001B779E">
            <w:pPr>
              <w:rPr>
                <w:rFonts w:cstheme="minorHAnsi"/>
              </w:rPr>
            </w:pPr>
            <w:r w:rsidRPr="001816B8">
              <w:rPr>
                <w:rFonts w:cstheme="minorHAnsi"/>
              </w:rPr>
              <w:t xml:space="preserve">Art. 2 pkt 14 projektowanej ustawy, wprowadzający zmiany w ustawie z dnia 15 lutego 1992 r. o podatku </w:t>
            </w:r>
            <w:r w:rsidRPr="001816B8">
              <w:rPr>
                <w:rFonts w:cstheme="minorHAnsi"/>
              </w:rPr>
              <w:lastRenderedPageBreak/>
              <w:t xml:space="preserve">dochodowym od osób prawnych (Dz. U. z 2025 r. poz. 278, z </w:t>
            </w:r>
            <w:proofErr w:type="spellStart"/>
            <w:r w:rsidRPr="001816B8">
              <w:rPr>
                <w:rFonts w:cstheme="minorHAnsi"/>
              </w:rPr>
              <w:t>późn</w:t>
            </w:r>
            <w:proofErr w:type="spellEnd"/>
            <w:r w:rsidRPr="001816B8">
              <w:rPr>
                <w:rFonts w:cstheme="minorHAnsi"/>
              </w:rPr>
              <w:t>. zm.), propozycja zmian dotyczy art. 17 ust. 1 pkt 6c.</w:t>
            </w:r>
          </w:p>
        </w:tc>
        <w:tc>
          <w:tcPr>
            <w:tcW w:w="6236" w:type="dxa"/>
          </w:tcPr>
          <w:p w14:paraId="7B8D4FFA" w14:textId="77777777" w:rsidR="001816B8" w:rsidRPr="001816B8" w:rsidRDefault="001816B8" w:rsidP="001B779E">
            <w:pPr>
              <w:jc w:val="both"/>
              <w:rPr>
                <w:rFonts w:cstheme="minorHAnsi"/>
              </w:rPr>
            </w:pPr>
            <w:r w:rsidRPr="001816B8">
              <w:rPr>
                <w:rFonts w:cstheme="minorHAnsi"/>
              </w:rPr>
              <w:lastRenderedPageBreak/>
              <w:t xml:space="preserve">W praktyce stosowania ustawy pojawiają się stanowiska negujące prawo organizacji zajmujących się wykonywaniem zadań pożytku publicznego (w szczególności fundacji)  do zwolnienia z podatku dochodowego od osób prawnych ich dochodów, jeżeli przekazane zostają na cele w tym zakresie w sposób pośredni, tj. na rzecz innych podmiotów – nawet wówczas, gdy cele tych podmiotów odpowiadają celom preferowanym przez ustawodawcę i pokrywają </w:t>
            </w:r>
            <w:r w:rsidRPr="001816B8">
              <w:rPr>
                <w:rFonts w:cstheme="minorHAnsi"/>
              </w:rPr>
              <w:lastRenderedPageBreak/>
              <w:t>się z celami statutowymi wnioskodawcy (np. dla samorządowych instytucji kultury, szpitali, itp.). Ograniczenie takie wydaje się nadmiarowe, jako że bezpośrednia realizacja celu przez podatnika (fundację) nie zawsze jest konieczna ani efektywna, zwłaszcza gdy przekazanie środków innemu podmiotowi, lepiej przygotowanemu do jego realizacji może zapewnić skuteczniejsze osiągnięcie założonych celów. Dlatego też oczekiwanym byłoby literalne dopuszczenie owej pośredniości zarówno w proponowanym do zmiany w przedstawionym projekcie art. 17 ust. 1 pkt 4, jak i w art. 17 ust. 1 pkt 6c.  </w:t>
            </w:r>
          </w:p>
          <w:p w14:paraId="77422825" w14:textId="77777777" w:rsidR="001816B8" w:rsidRPr="001816B8" w:rsidRDefault="001816B8" w:rsidP="001B779E">
            <w:pPr>
              <w:jc w:val="both"/>
              <w:rPr>
                <w:rFonts w:cstheme="minorHAnsi"/>
              </w:rPr>
            </w:pPr>
          </w:p>
        </w:tc>
        <w:tc>
          <w:tcPr>
            <w:tcW w:w="3969" w:type="dxa"/>
          </w:tcPr>
          <w:p w14:paraId="400B1D3C" w14:textId="77777777" w:rsidR="001816B8" w:rsidRPr="001816B8" w:rsidRDefault="001816B8" w:rsidP="001B779E">
            <w:pPr>
              <w:ind w:left="30"/>
              <w:jc w:val="both"/>
              <w:rPr>
                <w:rFonts w:cstheme="minorHAnsi"/>
              </w:rPr>
            </w:pPr>
            <w:r w:rsidRPr="001816B8">
              <w:rPr>
                <w:rFonts w:cstheme="minorHAnsi"/>
              </w:rPr>
              <w:lastRenderedPageBreak/>
              <w:t>Zmianę litery a) pkt 14:</w:t>
            </w:r>
          </w:p>
          <w:p w14:paraId="056D6223" w14:textId="77777777" w:rsidR="001816B8" w:rsidRPr="001816B8" w:rsidRDefault="001816B8" w:rsidP="001816B8">
            <w:pPr>
              <w:pStyle w:val="Akapitzlist"/>
              <w:numPr>
                <w:ilvl w:val="0"/>
                <w:numId w:val="1"/>
              </w:numPr>
              <w:jc w:val="both"/>
              <w:rPr>
                <w:rFonts w:cstheme="minorHAnsi"/>
              </w:rPr>
            </w:pPr>
            <w:r w:rsidRPr="001816B8">
              <w:rPr>
                <w:rFonts w:cstheme="minorHAnsi"/>
              </w:rPr>
              <w:t>Pkt 4 otrzymuje brzmienie:</w:t>
            </w:r>
          </w:p>
          <w:p w14:paraId="505A9C4D" w14:textId="77777777" w:rsidR="001816B8" w:rsidRPr="001816B8" w:rsidRDefault="001816B8" w:rsidP="001B779E">
            <w:pPr>
              <w:pStyle w:val="Akapitzlist"/>
              <w:ind w:left="30"/>
              <w:jc w:val="both"/>
              <w:rPr>
                <w:rFonts w:cstheme="minorHAnsi"/>
              </w:rPr>
            </w:pPr>
            <w:r w:rsidRPr="001816B8">
              <w:rPr>
                <w:rFonts w:cstheme="minorHAnsi"/>
              </w:rPr>
              <w:t xml:space="preserve">„4) dochody podatników, z zastrzeżeniem ust. 1c, których celem statutowym jest działalność w zakresie określonym w art. 4 ustawy z dnia 24 kwietnia 2003 r. o działalności pożytku publicznego i o </w:t>
            </w:r>
            <w:r w:rsidRPr="001816B8">
              <w:rPr>
                <w:rFonts w:cstheme="minorHAnsi"/>
              </w:rPr>
              <w:lastRenderedPageBreak/>
              <w:t xml:space="preserve">wolontariacie – w części przeznaczonej </w:t>
            </w:r>
            <w:r w:rsidRPr="001816B8">
              <w:rPr>
                <w:rFonts w:cstheme="minorHAnsi"/>
                <w:b/>
                <w:bCs/>
              </w:rPr>
              <w:t>bezpośrednio lub pośrednio</w:t>
            </w:r>
            <w:r w:rsidRPr="001816B8">
              <w:rPr>
                <w:rFonts w:cstheme="minorHAnsi"/>
              </w:rPr>
              <w:t xml:space="preserve"> na te cele;”</w:t>
            </w:r>
          </w:p>
          <w:p w14:paraId="3F2B09AB" w14:textId="77777777" w:rsidR="001816B8" w:rsidRPr="001816B8" w:rsidRDefault="001816B8" w:rsidP="001B779E">
            <w:pPr>
              <w:pStyle w:val="Akapitzlist"/>
              <w:ind w:left="30"/>
              <w:jc w:val="both"/>
              <w:rPr>
                <w:rFonts w:cstheme="minorHAnsi"/>
              </w:rPr>
            </w:pPr>
            <w:r w:rsidRPr="001816B8">
              <w:rPr>
                <w:rFonts w:cstheme="minorHAnsi"/>
              </w:rPr>
              <w:t>oraz dodatnie punktu o treści:</w:t>
            </w:r>
          </w:p>
          <w:p w14:paraId="711EBAD6" w14:textId="77777777" w:rsidR="001816B8" w:rsidRPr="001816B8" w:rsidRDefault="001816B8" w:rsidP="001B779E">
            <w:pPr>
              <w:ind w:firstLine="30"/>
              <w:jc w:val="both"/>
              <w:rPr>
                <w:rFonts w:cstheme="minorHAnsi"/>
              </w:rPr>
            </w:pPr>
            <w:r w:rsidRPr="001816B8">
              <w:rPr>
                <w:rFonts w:cstheme="minorHAnsi"/>
              </w:rPr>
              <w:t>- pkt 6c otrzymuje brzmienie:</w:t>
            </w:r>
          </w:p>
          <w:p w14:paraId="42F29C27" w14:textId="77777777" w:rsidR="001816B8" w:rsidRPr="001816B8" w:rsidRDefault="001816B8" w:rsidP="001B779E">
            <w:pPr>
              <w:ind w:firstLine="30"/>
              <w:jc w:val="both"/>
              <w:rPr>
                <w:rFonts w:cstheme="minorHAnsi"/>
              </w:rPr>
            </w:pPr>
            <w:r w:rsidRPr="001816B8">
              <w:rPr>
                <w:rFonts w:cstheme="minorHAnsi"/>
              </w:rPr>
              <w:t xml:space="preserve">„6c) dochody organizacji pożytku publicznego, o których mowa w przepisach o działalności pożytku publicznego i o wolontariacie - w części przeznaczonej </w:t>
            </w:r>
            <w:r w:rsidRPr="001816B8">
              <w:rPr>
                <w:rFonts w:cstheme="minorHAnsi"/>
                <w:b/>
                <w:bCs/>
              </w:rPr>
              <w:t>bezpośrednio lub pośrednio</w:t>
            </w:r>
            <w:r w:rsidRPr="001816B8">
              <w:rPr>
                <w:rFonts w:cstheme="minorHAnsi"/>
              </w:rPr>
              <w:t xml:space="preserve"> na działalność statutową, z wyłączeniem działalności gospodarczej;”</w:t>
            </w:r>
          </w:p>
          <w:p w14:paraId="705D5A1C" w14:textId="77777777" w:rsidR="001816B8" w:rsidRPr="001816B8" w:rsidRDefault="001816B8" w:rsidP="001B779E">
            <w:pPr>
              <w:ind w:left="708"/>
              <w:jc w:val="both"/>
              <w:rPr>
                <w:rFonts w:cstheme="minorHAnsi"/>
              </w:rPr>
            </w:pPr>
          </w:p>
        </w:tc>
        <w:tc>
          <w:tcPr>
            <w:tcW w:w="1428" w:type="dxa"/>
          </w:tcPr>
          <w:p w14:paraId="4856CB20" w14:textId="77777777" w:rsidR="001816B8" w:rsidRPr="001816B8" w:rsidRDefault="001816B8" w:rsidP="001B779E">
            <w:pPr>
              <w:rPr>
                <w:rFonts w:cstheme="minorHAnsi"/>
                <w:color w:val="FF0000"/>
              </w:rPr>
            </w:pPr>
          </w:p>
        </w:tc>
      </w:tr>
      <w:tr w:rsidR="001816B8" w:rsidRPr="001816B8" w14:paraId="2E147CE5" w14:textId="77777777" w:rsidTr="003E3B05">
        <w:trPr>
          <w:trHeight w:val="725"/>
        </w:trPr>
        <w:tc>
          <w:tcPr>
            <w:tcW w:w="846" w:type="dxa"/>
          </w:tcPr>
          <w:p w14:paraId="619D16D6" w14:textId="77777777" w:rsidR="001816B8" w:rsidRPr="001816B8" w:rsidRDefault="001816B8" w:rsidP="001B779E">
            <w:pPr>
              <w:ind w:right="27"/>
              <w:jc w:val="right"/>
              <w:rPr>
                <w:rFonts w:cstheme="minorHAnsi"/>
              </w:rPr>
            </w:pPr>
            <w:r w:rsidRPr="001816B8">
              <w:rPr>
                <w:rFonts w:cstheme="minorHAnsi"/>
              </w:rPr>
              <w:t>3.</w:t>
            </w:r>
          </w:p>
        </w:tc>
        <w:tc>
          <w:tcPr>
            <w:tcW w:w="1560" w:type="dxa"/>
          </w:tcPr>
          <w:p w14:paraId="6281F0EC"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2E047E21" w14:textId="39CCC997" w:rsidR="001816B8" w:rsidRPr="001816B8" w:rsidRDefault="001816B8" w:rsidP="001B779E">
            <w:pPr>
              <w:rPr>
                <w:rFonts w:cstheme="minorHAnsi"/>
              </w:rPr>
            </w:pPr>
            <w:r w:rsidRPr="001816B8">
              <w:rPr>
                <w:rFonts w:cstheme="minorHAnsi"/>
              </w:rPr>
              <w:t xml:space="preserve">Art. 2 pkt 9 projektowanej ustawy, wprowadzający zmiany w ustawie z dnia 15 lutego 1992 r. o podatku dochodowym od osób prawnych (Dz. U. z 2025 r. poz. 278, z </w:t>
            </w:r>
            <w:proofErr w:type="spellStart"/>
            <w:r w:rsidRPr="001816B8">
              <w:rPr>
                <w:rFonts w:cstheme="minorHAnsi"/>
              </w:rPr>
              <w:t>późn</w:t>
            </w:r>
            <w:proofErr w:type="spellEnd"/>
            <w:r w:rsidRPr="001816B8">
              <w:rPr>
                <w:rFonts w:cstheme="minorHAnsi"/>
              </w:rPr>
              <w:t>. zm.), propozycja zmian dotyczy art. 16.</w:t>
            </w:r>
          </w:p>
        </w:tc>
        <w:tc>
          <w:tcPr>
            <w:tcW w:w="6236" w:type="dxa"/>
          </w:tcPr>
          <w:p w14:paraId="7D677D25" w14:textId="43306E87" w:rsidR="001816B8" w:rsidRPr="001816B8" w:rsidRDefault="001816B8" w:rsidP="001B779E">
            <w:pPr>
              <w:jc w:val="both"/>
              <w:rPr>
                <w:rFonts w:cstheme="minorHAnsi"/>
              </w:rPr>
            </w:pPr>
            <w:r w:rsidRPr="001816B8">
              <w:rPr>
                <w:rFonts w:cstheme="minorHAnsi"/>
              </w:rPr>
              <w:t>W art. 16 proponowanego ust. 5bb, posłużono się spójnikiem „</w:t>
            </w:r>
            <w:r w:rsidRPr="001816B8">
              <w:rPr>
                <w:rFonts w:cstheme="minorHAnsi"/>
                <w:i/>
                <w:iCs/>
              </w:rPr>
              <w:t>albo</w:t>
            </w:r>
            <w:r w:rsidRPr="001816B8">
              <w:rPr>
                <w:rFonts w:cstheme="minorHAnsi"/>
              </w:rPr>
              <w:t>”, który w tekście prawnym zasadniczo odczytywany jest jako alternatywa rozłączna. W efekcie spełnienie choćby jednego z warunków, prowadziłoby do przyjęcia stosowania fikcji, ustalającej emisyjność auta na poziomie 50g/km. W rezultacie prowadziłoby to do pogorszenia sytuacji podatnika, bowiem w rzeczywistości dysponowałby dokumentem uzasadniającym zastosowanie wyższej kwoty limitowania (150 tys.) W celu uniknięcia wątpliwości interpretacyjnych jakie mogłyby się pojawić na etapie stosowania nowych regulacji, zasadnym byłoby zastosowanie w miejsce spójnika „albo”, spójnika „oraz”. Wówczas fikcja przyjęcia emisyjności CO2 na poziomie 50g/km znajdowałaby zastosowanie przy założeniu spełnienia jednocześnie obu przesłanek tj. braku danych w CEPIK oraz braku innych dowodów wskazujących właściwy poziom.</w:t>
            </w:r>
          </w:p>
          <w:p w14:paraId="0638E763" w14:textId="77777777" w:rsidR="001816B8" w:rsidRPr="001816B8" w:rsidRDefault="001816B8" w:rsidP="001B779E">
            <w:pPr>
              <w:jc w:val="both"/>
              <w:rPr>
                <w:rFonts w:cstheme="minorHAnsi"/>
              </w:rPr>
            </w:pPr>
          </w:p>
          <w:p w14:paraId="501166A7" w14:textId="77777777" w:rsidR="001816B8" w:rsidRDefault="001816B8" w:rsidP="001B779E">
            <w:pPr>
              <w:jc w:val="both"/>
              <w:rPr>
                <w:rFonts w:cstheme="minorHAnsi"/>
              </w:rPr>
            </w:pPr>
            <w:r w:rsidRPr="001816B8">
              <w:rPr>
                <w:rFonts w:cstheme="minorHAnsi"/>
              </w:rPr>
              <w:t xml:space="preserve">Dodatkowy postulat odnosi się do wskazania konkretnej wartości poziomu emisyjności CO2. W praktyce bowiem, w szczególności w </w:t>
            </w:r>
            <w:r w:rsidRPr="001816B8">
              <w:rPr>
                <w:rFonts w:cstheme="minorHAnsi"/>
              </w:rPr>
              <w:lastRenderedPageBreak/>
              <w:t>przypadku samochodów hybrydowych, w danych homologacyjnych pojawia się kilka pozycji dotyczących poziomu emisyjności CO2. Są to wartości WLPT (</w:t>
            </w:r>
            <w:proofErr w:type="spellStart"/>
            <w:r w:rsidRPr="001816B8">
              <w:rPr>
                <w:rFonts w:cstheme="minorHAnsi"/>
              </w:rPr>
              <w:t>Worldwide</w:t>
            </w:r>
            <w:proofErr w:type="spellEnd"/>
            <w:r w:rsidRPr="001816B8">
              <w:rPr>
                <w:rFonts w:cstheme="minorHAnsi"/>
              </w:rPr>
              <w:t xml:space="preserve"> </w:t>
            </w:r>
            <w:proofErr w:type="spellStart"/>
            <w:r w:rsidRPr="001816B8">
              <w:rPr>
                <w:rFonts w:cstheme="minorHAnsi"/>
              </w:rPr>
              <w:t>Harmonised</w:t>
            </w:r>
            <w:proofErr w:type="spellEnd"/>
            <w:r w:rsidRPr="001816B8">
              <w:rPr>
                <w:rFonts w:cstheme="minorHAnsi"/>
              </w:rPr>
              <w:t xml:space="preserve"> </w:t>
            </w:r>
            <w:proofErr w:type="spellStart"/>
            <w:r w:rsidRPr="001816B8">
              <w:rPr>
                <w:rFonts w:cstheme="minorHAnsi"/>
              </w:rPr>
              <w:t>Light</w:t>
            </w:r>
            <w:proofErr w:type="spellEnd"/>
            <w:r w:rsidRPr="001816B8">
              <w:rPr>
                <w:rFonts w:cstheme="minorHAnsi"/>
              </w:rPr>
              <w:t xml:space="preserve"> </w:t>
            </w:r>
            <w:proofErr w:type="spellStart"/>
            <w:r w:rsidRPr="001816B8">
              <w:rPr>
                <w:rFonts w:cstheme="minorHAnsi"/>
              </w:rPr>
              <w:t>Vehicle</w:t>
            </w:r>
            <w:proofErr w:type="spellEnd"/>
            <w:r w:rsidRPr="001816B8">
              <w:rPr>
                <w:rFonts w:cstheme="minorHAnsi"/>
              </w:rPr>
              <w:t xml:space="preserve"> Test </w:t>
            </w:r>
            <w:proofErr w:type="spellStart"/>
            <w:r w:rsidRPr="001816B8">
              <w:rPr>
                <w:rFonts w:cstheme="minorHAnsi"/>
              </w:rPr>
              <w:t>Procedure</w:t>
            </w:r>
            <w:proofErr w:type="spellEnd"/>
            <w:r w:rsidRPr="001816B8">
              <w:rPr>
                <w:rFonts w:cstheme="minorHAnsi"/>
              </w:rPr>
              <w:t xml:space="preserve">) osobno podane dla trybu ładowania podtrzymującego, trybu rozładowania oraz wartość ważona dla cyklu mieszanego, przy czym część tych emisji przekracza poziom 50g/km, a cześć nie, co z kolei przekłada się na różne skutki podatkowe w CIT. W celu uniknięcia ewentualnych sporów co do wskazania tej właściwej wartości, która powinna być przyjmowana dla celów podatkowych, postulowanym jest wyraźnie odwołanie się w treści projektowanej ustawy, że kluczowym i decydującym parametrem dla celów CIT jest </w:t>
            </w:r>
            <w:r w:rsidRPr="001816B8">
              <w:rPr>
                <w:rFonts w:cstheme="minorHAnsi"/>
                <w:b/>
                <w:bCs/>
              </w:rPr>
              <w:t>wartość ważona</w:t>
            </w:r>
            <w:r w:rsidRPr="001816B8">
              <w:rPr>
                <w:rFonts w:cstheme="minorHAnsi"/>
              </w:rPr>
              <w:t xml:space="preserve"> dla cyklu mieszanego (uwzględniająca wykorzystanie napędu elektrycznego hybrydy).</w:t>
            </w:r>
          </w:p>
          <w:p w14:paraId="469BFC85" w14:textId="64C19F96" w:rsidR="001816B8" w:rsidRPr="001816B8" w:rsidRDefault="002F6AFD" w:rsidP="001B779E">
            <w:pPr>
              <w:jc w:val="both"/>
              <w:rPr>
                <w:rFonts w:cstheme="minorHAnsi"/>
              </w:rPr>
            </w:pPr>
            <w:r>
              <w:rPr>
                <w:rFonts w:cstheme="minorHAnsi"/>
              </w:rPr>
              <w:t>O</w:t>
            </w:r>
            <w:r w:rsidR="00884B67" w:rsidRPr="00884B67">
              <w:rPr>
                <w:rFonts w:cstheme="minorHAnsi"/>
              </w:rPr>
              <w:t xml:space="preserve">becne brzmienie przepisów sugeruje, że weryfikacji podlega wyłącznie </w:t>
            </w:r>
            <w:r w:rsidR="00884B67" w:rsidRPr="00884B67">
              <w:rPr>
                <w:rFonts w:cstheme="minorHAnsi"/>
                <w:b/>
                <w:bCs/>
              </w:rPr>
              <w:t>emisyjność silnika spalinowego</w:t>
            </w:r>
            <w:r w:rsidR="00884B67" w:rsidRPr="00884B67">
              <w:rPr>
                <w:rFonts w:cstheme="minorHAnsi"/>
              </w:rPr>
              <w:t>. Rodzi to istotne ryzyko uznania, że emisyjność samochodów typu plug-in weryfikowana jest i będzie wyłącznie w trybie podtrzymującym. Jest ona wówczas analogiczna do samochodów bez silnika elektrycznego, a więc właściwa dla najniższego poziomu zaliczania wydatków do KUP. Z pewnością nie jest to intencją prawodawcy. Gdyby bowiem tak było, limit emisyjności właściwy dla progu</w:t>
            </w:r>
            <w:r w:rsidR="00B66C81">
              <w:rPr>
                <w:rFonts w:cstheme="minorHAnsi"/>
              </w:rPr>
              <w:t xml:space="preserve"> </w:t>
            </w:r>
            <w:r w:rsidR="00B66C81" w:rsidRPr="00B66C81">
              <w:rPr>
                <w:rFonts w:cstheme="minorHAnsi"/>
              </w:rPr>
              <w:t xml:space="preserve">150.000 zł (a więc do 50 g/km) byłby w zasadzie nieosiągalny dla żadnego samochodu osobowego (nie spełniają tego kryterium samochody spalinowe, hybrydy rzędowe albo </w:t>
            </w:r>
            <w:proofErr w:type="spellStart"/>
            <w:r w:rsidR="00B66C81" w:rsidRPr="00B66C81">
              <w:rPr>
                <w:rFonts w:cstheme="minorHAnsi"/>
              </w:rPr>
              <w:t>mHEV</w:t>
            </w:r>
            <w:proofErr w:type="spellEnd"/>
            <w:r w:rsidR="00B66C81" w:rsidRPr="00B66C81">
              <w:rPr>
                <w:rFonts w:cstheme="minorHAnsi"/>
              </w:rPr>
              <w:t>). Z kolei samochody elektryczne mają swój jeszcze wyższy próg 225.000 zł. Stąd doprecyzowanie tych przepisów jest pożądane. Przyjęcie, że dla hybryd plug-in decydująca jest emisja w trybie podtrzymującym (bez wykorzystania napędu elektrycznego), prowadzi do sytuacji, w której pojazdy zaprojektowane i wykorzystywane jako niskoemisyjne są traktowane jak wysokoemisyjne. Taka wykładnia przepisów byłaby fundamentalnie sprzeczna z ich celem i ratio legis.</w:t>
            </w:r>
          </w:p>
        </w:tc>
        <w:tc>
          <w:tcPr>
            <w:tcW w:w="3969" w:type="dxa"/>
          </w:tcPr>
          <w:p w14:paraId="69334AB6" w14:textId="77777777" w:rsidR="001816B8" w:rsidRPr="001816B8" w:rsidRDefault="001816B8" w:rsidP="001B779E">
            <w:pPr>
              <w:jc w:val="both"/>
              <w:rPr>
                <w:rFonts w:cstheme="minorHAnsi"/>
              </w:rPr>
            </w:pPr>
            <w:r w:rsidRPr="001816B8">
              <w:rPr>
                <w:rFonts w:cstheme="minorHAnsi"/>
              </w:rPr>
              <w:lastRenderedPageBreak/>
              <w:t>Zmiana brzmienia pkt 9 lit. C projektowanej ustawy:</w:t>
            </w:r>
          </w:p>
          <w:p w14:paraId="6FC6247F" w14:textId="77777777" w:rsidR="001816B8" w:rsidRPr="001816B8" w:rsidRDefault="001816B8" w:rsidP="001B779E">
            <w:pPr>
              <w:jc w:val="both"/>
              <w:rPr>
                <w:rFonts w:cstheme="minorHAnsi"/>
              </w:rPr>
            </w:pPr>
            <w:r w:rsidRPr="001816B8">
              <w:rPr>
                <w:rFonts w:cstheme="minorHAnsi"/>
              </w:rPr>
              <w:t>c) dodaje się ust. 5ba i5bb w brzmieniu:</w:t>
            </w:r>
          </w:p>
          <w:p w14:paraId="1F730A0F" w14:textId="77777777" w:rsidR="001816B8" w:rsidRPr="001816B8" w:rsidRDefault="001816B8" w:rsidP="001B779E">
            <w:pPr>
              <w:pStyle w:val="ZLITUSTzmustliter"/>
              <w:spacing w:line="240" w:lineRule="auto"/>
              <w:ind w:left="30" w:firstLine="0"/>
              <w:rPr>
                <w:rFonts w:asciiTheme="minorHAnsi" w:eastAsiaTheme="minorHAnsi" w:hAnsiTheme="minorHAnsi" w:cstheme="minorHAnsi"/>
                <w:b/>
                <w:sz w:val="22"/>
                <w:szCs w:val="22"/>
                <w:lang w:eastAsia="en-US"/>
              </w:rPr>
            </w:pPr>
            <w:r w:rsidRPr="001816B8">
              <w:rPr>
                <w:rFonts w:asciiTheme="minorHAnsi" w:eastAsiaTheme="minorHAnsi" w:hAnsiTheme="minorHAnsi" w:cstheme="minorHAnsi"/>
                <w:bCs w:val="0"/>
                <w:sz w:val="22"/>
                <w:szCs w:val="22"/>
                <w:lang w:eastAsia="en-US"/>
              </w:rPr>
              <w:t xml:space="preserve">„5ba. Poziom emisji CO2 silnika spalinowego samochodu osobowego, o którym mowa w ust. 1 pkt 4 lit. b i c, ustala się na podstawie danych zawartych w centralnej ewidencji pojazdów, o której mowa w art. 80a ustawy z dnia 20 czerwca 1997 r. – Prawo o ruchu drogowym (Dz. U. z 2024 r. poz. 1251, z </w:t>
            </w:r>
            <w:proofErr w:type="spellStart"/>
            <w:r w:rsidRPr="001816B8">
              <w:rPr>
                <w:rFonts w:asciiTheme="minorHAnsi" w:eastAsiaTheme="minorHAnsi" w:hAnsiTheme="minorHAnsi" w:cstheme="minorHAnsi"/>
                <w:bCs w:val="0"/>
                <w:sz w:val="22"/>
                <w:szCs w:val="22"/>
                <w:lang w:eastAsia="en-US"/>
              </w:rPr>
              <w:t>późn</w:t>
            </w:r>
            <w:proofErr w:type="spellEnd"/>
            <w:r w:rsidRPr="001816B8">
              <w:rPr>
                <w:rFonts w:asciiTheme="minorHAnsi" w:eastAsiaTheme="minorHAnsi" w:hAnsiTheme="minorHAnsi" w:cstheme="minorHAnsi"/>
                <w:bCs w:val="0"/>
                <w:sz w:val="22"/>
                <w:szCs w:val="22"/>
                <w:lang w:eastAsia="en-US"/>
              </w:rPr>
              <w:t>. zm.</w:t>
            </w:r>
            <w:r w:rsidRPr="001816B8">
              <w:rPr>
                <w:rFonts w:asciiTheme="minorHAnsi" w:eastAsiaTheme="minorHAnsi" w:hAnsiTheme="minorHAnsi" w:cstheme="minorHAnsi"/>
                <w:bCs w:val="0"/>
                <w:sz w:val="22"/>
                <w:szCs w:val="22"/>
                <w:lang w:eastAsia="en-US"/>
              </w:rPr>
              <w:footnoteReference w:id="1"/>
            </w:r>
            <w:r w:rsidRPr="001816B8">
              <w:rPr>
                <w:rFonts w:asciiTheme="minorHAnsi" w:eastAsiaTheme="minorHAnsi" w:hAnsiTheme="minorHAnsi" w:cstheme="minorHAnsi"/>
                <w:bCs w:val="0"/>
                <w:sz w:val="22"/>
                <w:szCs w:val="22"/>
                <w:lang w:eastAsia="en-US"/>
              </w:rPr>
              <w:t xml:space="preserve">)), chyba że podatnik na podstawie innych dowodów wykaże, że ten poziom jest inny niż ustalony na podstawie tej ewidencji. </w:t>
            </w:r>
            <w:r w:rsidRPr="001816B8">
              <w:rPr>
                <w:rFonts w:asciiTheme="minorHAnsi" w:eastAsiaTheme="minorHAnsi" w:hAnsiTheme="minorHAnsi" w:cstheme="minorHAnsi"/>
                <w:b/>
                <w:sz w:val="22"/>
                <w:szCs w:val="22"/>
                <w:lang w:eastAsia="en-US"/>
              </w:rPr>
              <w:t xml:space="preserve">W przypadku wątpliwości przez poziom emisji CO2 silnika rozumie się wartość ważoną dla cyklu mieszanego podaną w danych homologacyjnych samochodu. </w:t>
            </w:r>
          </w:p>
          <w:p w14:paraId="1B55A6E9" w14:textId="77777777" w:rsidR="001816B8" w:rsidRPr="001816B8" w:rsidRDefault="001816B8" w:rsidP="001B779E">
            <w:pPr>
              <w:pStyle w:val="ZLITUSTzmustliter"/>
              <w:spacing w:line="240" w:lineRule="auto"/>
              <w:ind w:left="30" w:firstLine="0"/>
              <w:rPr>
                <w:rFonts w:asciiTheme="minorHAnsi" w:eastAsiaTheme="minorHAnsi" w:hAnsiTheme="minorHAnsi" w:cstheme="minorHAnsi"/>
                <w:bCs w:val="0"/>
                <w:sz w:val="22"/>
                <w:szCs w:val="22"/>
                <w:lang w:eastAsia="en-US"/>
              </w:rPr>
            </w:pPr>
            <w:r w:rsidRPr="001816B8">
              <w:rPr>
                <w:rFonts w:asciiTheme="minorHAnsi" w:eastAsiaTheme="minorHAnsi" w:hAnsiTheme="minorHAnsi" w:cstheme="minorHAnsi"/>
                <w:bCs w:val="0"/>
                <w:sz w:val="22"/>
                <w:szCs w:val="22"/>
                <w:lang w:eastAsia="en-US"/>
              </w:rPr>
              <w:lastRenderedPageBreak/>
              <w:t xml:space="preserve">5bb. W przypadku braku danych w ewidencji, o której mowa w ust. 5ba </w:t>
            </w:r>
            <w:r w:rsidRPr="001816B8">
              <w:rPr>
                <w:rFonts w:asciiTheme="minorHAnsi" w:eastAsiaTheme="minorHAnsi" w:hAnsiTheme="minorHAnsi" w:cstheme="minorHAnsi"/>
                <w:b/>
                <w:sz w:val="22"/>
                <w:szCs w:val="22"/>
                <w:lang w:eastAsia="en-US"/>
              </w:rPr>
              <w:t>oraz</w:t>
            </w:r>
            <w:r w:rsidRPr="001816B8">
              <w:rPr>
                <w:rFonts w:asciiTheme="minorHAnsi" w:eastAsiaTheme="minorHAnsi" w:hAnsiTheme="minorHAnsi" w:cstheme="minorHAnsi"/>
                <w:bCs w:val="0"/>
                <w:sz w:val="22"/>
                <w:szCs w:val="22"/>
                <w:lang w:eastAsia="en-US"/>
              </w:rPr>
              <w:t xml:space="preserve"> braku możliwości wykazania na podstawie innych dowodów poziomu emisji CO2 silnika spalinowego samochodu osobowego, przyjmuje się, że emisja CO2 silnika spalinowego samochodu osobowego jest równa 50 g na kilometr.”;</w:t>
            </w:r>
          </w:p>
          <w:p w14:paraId="670B0F62" w14:textId="77777777" w:rsidR="001816B8" w:rsidRDefault="001816B8" w:rsidP="001B779E">
            <w:pPr>
              <w:jc w:val="both"/>
              <w:rPr>
                <w:rFonts w:cstheme="minorHAnsi"/>
              </w:rPr>
            </w:pPr>
          </w:p>
          <w:p w14:paraId="43634BE7" w14:textId="77777777" w:rsidR="00B40076" w:rsidRDefault="0044538F" w:rsidP="001B779E">
            <w:pPr>
              <w:jc w:val="both"/>
              <w:rPr>
                <w:rFonts w:cstheme="minorHAnsi"/>
              </w:rPr>
            </w:pPr>
            <w:r>
              <w:rPr>
                <w:rFonts w:cstheme="minorHAnsi"/>
              </w:rPr>
              <w:t>Alternatywnie:</w:t>
            </w:r>
          </w:p>
          <w:p w14:paraId="0C5828BD" w14:textId="77777777" w:rsidR="0044538F" w:rsidRPr="0044538F" w:rsidRDefault="0044538F" w:rsidP="0044538F">
            <w:pPr>
              <w:jc w:val="both"/>
              <w:rPr>
                <w:rFonts w:cstheme="minorHAnsi"/>
              </w:rPr>
            </w:pPr>
            <w:r w:rsidRPr="0044538F">
              <w:rPr>
                <w:rFonts w:cstheme="minorHAnsi"/>
              </w:rPr>
              <w:t>Dodanie punktów o brzmieniu odpowiednio:</w:t>
            </w:r>
          </w:p>
          <w:p w14:paraId="2D1F8885" w14:textId="77777777" w:rsidR="0044538F" w:rsidRPr="0044538F" w:rsidRDefault="0044538F" w:rsidP="0044538F">
            <w:pPr>
              <w:jc w:val="both"/>
              <w:rPr>
                <w:rFonts w:cstheme="minorHAnsi"/>
              </w:rPr>
            </w:pPr>
            <w:r w:rsidRPr="0044538F">
              <w:rPr>
                <w:rFonts w:cstheme="minorHAnsi"/>
              </w:rPr>
              <w:t>- w art. 23 ustawy o PIT dodaje się ust. 5bc</w:t>
            </w:r>
          </w:p>
          <w:p w14:paraId="2DC51016" w14:textId="77777777" w:rsidR="0044538F" w:rsidRPr="0044538F" w:rsidRDefault="0044538F" w:rsidP="0044538F">
            <w:pPr>
              <w:jc w:val="both"/>
              <w:rPr>
                <w:rFonts w:cstheme="minorHAnsi"/>
              </w:rPr>
            </w:pPr>
            <w:r w:rsidRPr="0044538F">
              <w:rPr>
                <w:rFonts w:cstheme="minorHAnsi"/>
              </w:rPr>
              <w:t>- w art. 16 ustawy o CIT dodaje się ust. 5bc o brzmieniu</w:t>
            </w:r>
          </w:p>
          <w:p w14:paraId="7C06F78D" w14:textId="77777777" w:rsidR="0044538F" w:rsidRPr="0044538F" w:rsidRDefault="0044538F" w:rsidP="0044538F">
            <w:pPr>
              <w:jc w:val="both"/>
              <w:rPr>
                <w:rFonts w:cstheme="minorHAnsi"/>
                <w:b/>
                <w:bCs/>
              </w:rPr>
            </w:pPr>
          </w:p>
          <w:p w14:paraId="3253DB14" w14:textId="77777777" w:rsidR="0044538F" w:rsidRPr="0044538F" w:rsidRDefault="0044538F" w:rsidP="0044538F">
            <w:pPr>
              <w:jc w:val="both"/>
              <w:rPr>
                <w:rFonts w:cstheme="minorHAnsi"/>
                <w:b/>
                <w:bCs/>
              </w:rPr>
            </w:pPr>
            <w:r w:rsidRPr="0044538F">
              <w:rPr>
                <w:rFonts w:cstheme="minorHAnsi"/>
                <w:b/>
                <w:bCs/>
              </w:rPr>
              <w:t>W przypadku samochodu osobowego, o którym mowa w art. 2 pkt 13 ustawy z dnia 11 stycznia 2018 r. o elektromobilności i paliwach alternatywnych (Dz. U. z 2023 r. poz. 875, 1394, 1506 i 1681), poziom emisji CO</w:t>
            </w:r>
            <w:r w:rsidRPr="0044538F">
              <w:rPr>
                <w:rFonts w:cstheme="minorHAnsi"/>
                <w:b/>
                <w:bCs/>
                <w:vertAlign w:val="subscript"/>
              </w:rPr>
              <w:t>2</w:t>
            </w:r>
            <w:r w:rsidRPr="0044538F">
              <w:rPr>
                <w:rFonts w:cstheme="minorHAnsi"/>
                <w:b/>
                <w:bCs/>
              </w:rPr>
              <w:t xml:space="preserve"> silnika spalinowego, o którym mowa w ust. 5ba ustalany jest zgodnie z procedurami homologacyjnymi nowej światowej zharmonizowanej procedury badania pojazdów lekkich (WLTP).</w:t>
            </w:r>
          </w:p>
          <w:p w14:paraId="3FF0FABB" w14:textId="3742951A" w:rsidR="0044538F" w:rsidRPr="001816B8" w:rsidRDefault="0044538F" w:rsidP="001B779E">
            <w:pPr>
              <w:jc w:val="both"/>
              <w:rPr>
                <w:rFonts w:cstheme="minorHAnsi"/>
              </w:rPr>
            </w:pPr>
          </w:p>
        </w:tc>
        <w:tc>
          <w:tcPr>
            <w:tcW w:w="1428" w:type="dxa"/>
          </w:tcPr>
          <w:p w14:paraId="1ACFB9B8" w14:textId="77777777" w:rsidR="001816B8" w:rsidRPr="001816B8" w:rsidRDefault="001816B8" w:rsidP="001B779E">
            <w:pPr>
              <w:rPr>
                <w:rFonts w:cstheme="minorHAnsi"/>
                <w:color w:val="FF0000"/>
              </w:rPr>
            </w:pPr>
          </w:p>
        </w:tc>
      </w:tr>
      <w:tr w:rsidR="001816B8" w:rsidRPr="001816B8" w14:paraId="22B2E6E3" w14:textId="77777777" w:rsidTr="001B779E">
        <w:trPr>
          <w:trHeight w:val="2429"/>
        </w:trPr>
        <w:tc>
          <w:tcPr>
            <w:tcW w:w="846" w:type="dxa"/>
          </w:tcPr>
          <w:p w14:paraId="630827BE" w14:textId="77777777" w:rsidR="001816B8" w:rsidRPr="001816B8" w:rsidRDefault="001816B8" w:rsidP="001B779E">
            <w:pPr>
              <w:ind w:right="27"/>
              <w:jc w:val="right"/>
              <w:rPr>
                <w:rFonts w:cstheme="minorHAnsi"/>
              </w:rPr>
            </w:pPr>
            <w:r w:rsidRPr="001816B8">
              <w:rPr>
                <w:rFonts w:cstheme="minorHAnsi"/>
              </w:rPr>
              <w:lastRenderedPageBreak/>
              <w:t xml:space="preserve">4. </w:t>
            </w:r>
          </w:p>
        </w:tc>
        <w:tc>
          <w:tcPr>
            <w:tcW w:w="1560" w:type="dxa"/>
          </w:tcPr>
          <w:p w14:paraId="4AE999F6"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7EC44875" w14:textId="77777777" w:rsidR="001816B8" w:rsidRPr="001816B8" w:rsidRDefault="001816B8" w:rsidP="001B779E">
            <w:pPr>
              <w:rPr>
                <w:rFonts w:cstheme="minorHAnsi"/>
              </w:rPr>
            </w:pPr>
            <w:r w:rsidRPr="001816B8">
              <w:rPr>
                <w:rFonts w:cstheme="minorHAnsi"/>
              </w:rPr>
              <w:t xml:space="preserve">Art. 24ca </w:t>
            </w:r>
            <w:r w:rsidRPr="001816B8">
              <w:rPr>
                <w:rFonts w:cstheme="minorHAnsi"/>
                <w:bCs/>
              </w:rPr>
              <w:t xml:space="preserve">ustawy z dnia 15 lutego 1992 r. o podatku dochodowym od osób prawnych (Dz.U. 1992 Nr 21, poz. 86 </w:t>
            </w:r>
            <w:proofErr w:type="spellStart"/>
            <w:r w:rsidRPr="001816B8">
              <w:rPr>
                <w:rFonts w:cstheme="minorHAnsi"/>
                <w:bCs/>
              </w:rPr>
              <w:t>t.j</w:t>
            </w:r>
            <w:proofErr w:type="spellEnd"/>
            <w:r w:rsidRPr="001816B8">
              <w:rPr>
                <w:rFonts w:cstheme="minorHAnsi"/>
                <w:bCs/>
              </w:rPr>
              <w:t>. Dz.U. z 2025 r. poz. 278)</w:t>
            </w:r>
          </w:p>
        </w:tc>
        <w:tc>
          <w:tcPr>
            <w:tcW w:w="6236" w:type="dxa"/>
          </w:tcPr>
          <w:p w14:paraId="4B1CA564" w14:textId="7314323A" w:rsidR="001816B8" w:rsidRPr="001816B8" w:rsidRDefault="001816B8" w:rsidP="001B779E">
            <w:pPr>
              <w:jc w:val="both"/>
              <w:rPr>
                <w:rFonts w:cstheme="minorHAnsi"/>
                <w:b/>
                <w:bCs/>
              </w:rPr>
            </w:pPr>
            <w:r w:rsidRPr="001816B8">
              <w:rPr>
                <w:rFonts w:cstheme="minorHAnsi"/>
                <w:b/>
                <w:bCs/>
              </w:rPr>
              <w:t>Usunięcie regulacji 24ca z Ustawy o CIT z uwagi na inne przepisy zapewniające minimalny poziom opodatkowania (alternatywnie wyłączenie stosowania regulacji dla podmiotów objętych przepisami Filaru II)</w:t>
            </w:r>
          </w:p>
          <w:p w14:paraId="2501D4F5" w14:textId="77777777" w:rsidR="001816B8" w:rsidRPr="001816B8" w:rsidRDefault="001816B8" w:rsidP="001B779E">
            <w:pPr>
              <w:jc w:val="both"/>
              <w:rPr>
                <w:rFonts w:cstheme="minorHAnsi"/>
              </w:rPr>
            </w:pPr>
          </w:p>
          <w:p w14:paraId="5253767F" w14:textId="77777777" w:rsidR="001816B8" w:rsidRPr="001816B8" w:rsidRDefault="001816B8" w:rsidP="001B779E">
            <w:pPr>
              <w:jc w:val="both"/>
              <w:rPr>
                <w:rFonts w:cstheme="minorHAnsi"/>
              </w:rPr>
            </w:pPr>
            <w:r w:rsidRPr="001816B8">
              <w:rPr>
                <w:rFonts w:cstheme="minorHAnsi"/>
              </w:rPr>
              <w:t>Podatek minimalny (art. 24ca ustawy o CIT) został wprowadzony jako instrument ograniczający zjawisko unikania opodatkowania poprzez zaniżanie dochodów podatkowych i przenoszenie zysków. Zgodnie z uzasadnieniem MF miał być również odzwierciedleniem kierunku myślenia OECD dla zapewnienia ponadnarodowego minimalnego opodatkowania podatkiem dochodowym.</w:t>
            </w:r>
          </w:p>
          <w:p w14:paraId="66F5C884" w14:textId="77777777" w:rsidR="001816B8" w:rsidRPr="001816B8" w:rsidRDefault="001816B8" w:rsidP="001B779E">
            <w:pPr>
              <w:jc w:val="both"/>
              <w:rPr>
                <w:rFonts w:cstheme="minorHAnsi"/>
              </w:rPr>
            </w:pPr>
          </w:p>
          <w:p w14:paraId="7E1A5CBF" w14:textId="77777777" w:rsidR="001816B8" w:rsidRPr="001816B8" w:rsidRDefault="001816B8" w:rsidP="001B779E">
            <w:pPr>
              <w:jc w:val="both"/>
              <w:rPr>
                <w:rFonts w:cstheme="minorHAnsi"/>
              </w:rPr>
            </w:pPr>
            <w:r w:rsidRPr="001816B8">
              <w:rPr>
                <w:rFonts w:cstheme="minorHAnsi"/>
              </w:rPr>
              <w:t>Globalny podatek minimalny (ustawa o opodatkowaniu wyrównawczym, implementująca dyrektywę Rady (UE) 2022/2523) służy analogicznemu celowi — zapewnieniu efektywnej stopy opodatkowania na poziomie co najmniej 15% w odniesieniu do największych grup kapitałowych działających w poszczególnych jurysdykcjach a tym samym ograniczenie konkurencji w zakresie stawek podatku dochodowego od osób prawnych przez ustanowienie globalnego minimalnego poziomu opodatkowania</w:t>
            </w:r>
          </w:p>
          <w:p w14:paraId="546501B3" w14:textId="77777777" w:rsidR="001816B8" w:rsidRPr="001816B8" w:rsidRDefault="001816B8" w:rsidP="001B779E">
            <w:pPr>
              <w:jc w:val="both"/>
              <w:rPr>
                <w:rFonts w:cstheme="minorHAnsi"/>
              </w:rPr>
            </w:pPr>
          </w:p>
          <w:p w14:paraId="41FF02AC" w14:textId="77777777" w:rsidR="001816B8" w:rsidRPr="001816B8" w:rsidRDefault="001816B8" w:rsidP="001B779E">
            <w:pPr>
              <w:jc w:val="both"/>
              <w:rPr>
                <w:rFonts w:cstheme="minorHAnsi"/>
              </w:rPr>
            </w:pPr>
            <w:r w:rsidRPr="001816B8">
              <w:rPr>
                <w:rFonts w:cstheme="minorHAnsi"/>
              </w:rPr>
              <w:t>Nakładanie obu instrumentów na te same podmioty prowadzi do dublowania regulacji, zwiększania kosztów administracyjnych i ryzyka faktycznego podwójnego opodatkowania.</w:t>
            </w:r>
          </w:p>
          <w:p w14:paraId="6F1667BC" w14:textId="77777777" w:rsidR="001816B8" w:rsidRPr="001816B8" w:rsidRDefault="001816B8" w:rsidP="001B779E">
            <w:pPr>
              <w:jc w:val="both"/>
              <w:rPr>
                <w:rFonts w:cstheme="minorHAnsi"/>
              </w:rPr>
            </w:pPr>
          </w:p>
          <w:p w14:paraId="49967CAD" w14:textId="77777777" w:rsidR="001816B8" w:rsidRPr="001816B8" w:rsidRDefault="001816B8" w:rsidP="001B779E">
            <w:pPr>
              <w:jc w:val="both"/>
              <w:rPr>
                <w:rFonts w:cstheme="minorHAnsi"/>
              </w:rPr>
            </w:pPr>
            <w:r w:rsidRPr="001816B8">
              <w:rPr>
                <w:rFonts w:cstheme="minorHAnsi"/>
              </w:rPr>
              <w:t xml:space="preserve">Pomimo że konstrukcje podatku minimalnego, o którym mowa w art. 24ca ustawy o CIT oraz podatku wyrównawczego wynikającego z ustawy o opodatkowaniu wyrównawczym są nieporównywalne to ostatecznie mogą powodować powielanie obciążeń podatkowych w stosunku do tych samych podmiotów. Nie da się bowiem wykluczyć sytuacji, gdy spółka polska osiągająca stratę podatkową lub niską rentowność (zatem wpadająca w zakres stosowania art. 24ca </w:t>
            </w:r>
            <w:r w:rsidRPr="001816B8">
              <w:rPr>
                <w:rFonts w:cstheme="minorHAnsi"/>
              </w:rPr>
              <w:lastRenderedPageBreak/>
              <w:t>ustawy o CIT i obciążona tą daniną), będzie jednocześnie obciążona podatkiem wyrównawczym jako jednostka składowa grupy kapitałowej działającej w jurysdykcji polskiej objętej zakresem ustawy opodatkowaniu wyrównawczym.</w:t>
            </w:r>
          </w:p>
          <w:p w14:paraId="2D39C98C" w14:textId="77777777" w:rsidR="001816B8" w:rsidRPr="001816B8" w:rsidRDefault="001816B8" w:rsidP="001B779E">
            <w:pPr>
              <w:jc w:val="both"/>
              <w:rPr>
                <w:rFonts w:cstheme="minorHAnsi"/>
              </w:rPr>
            </w:pPr>
          </w:p>
          <w:p w14:paraId="1CF5CB64" w14:textId="77777777" w:rsidR="001816B8" w:rsidRPr="001816B8" w:rsidRDefault="001816B8" w:rsidP="001B779E">
            <w:pPr>
              <w:jc w:val="both"/>
              <w:rPr>
                <w:rFonts w:cstheme="minorHAnsi"/>
              </w:rPr>
            </w:pPr>
            <w:r w:rsidRPr="001816B8">
              <w:rPr>
                <w:rFonts w:cstheme="minorHAnsi"/>
              </w:rPr>
              <w:t>Skoro ustawa o opodatkowaniu wyrównawczym gwarantuje minimalny poziom efektywnego opodatkowania adresując wytyczne kierunkowe OECD oraz cele dyrektywy Rady (UE) 2022/2523, stosowanie jednocześnie art. 24ca ustawy o CIT wobec podmiotów z dużych grup kapitałowych objętych zakresem ustawy o opodatkowaniu wyrównawczym stanowi przejaw podwójnego opodatkowania oraz generuje dodatkowe obowiązki i ryzyka podatkowe, obniżając w konsekwencji konkurencyjność Polski na arenie międzynarodowej i zniechęcając inwestorów do prowadzenia biznesu w Polsce.</w:t>
            </w:r>
          </w:p>
          <w:p w14:paraId="1C887267" w14:textId="77777777" w:rsidR="001816B8" w:rsidRPr="001816B8" w:rsidRDefault="001816B8" w:rsidP="001B779E">
            <w:pPr>
              <w:jc w:val="both"/>
              <w:rPr>
                <w:rFonts w:cstheme="minorHAnsi"/>
              </w:rPr>
            </w:pPr>
          </w:p>
          <w:p w14:paraId="3999A04D" w14:textId="77777777" w:rsidR="001816B8" w:rsidRPr="001816B8" w:rsidRDefault="001816B8" w:rsidP="001B779E">
            <w:pPr>
              <w:jc w:val="both"/>
              <w:rPr>
                <w:rFonts w:cstheme="minorHAnsi"/>
              </w:rPr>
            </w:pPr>
            <w:r w:rsidRPr="001816B8">
              <w:rPr>
                <w:rFonts w:cstheme="minorHAnsi"/>
              </w:rPr>
              <w:t>Podmioty objęte globalnym podatkiem minimalnym muszą prowadzić złożone kalkulacje, raportowanie i dokumentację zgodnie z ustawą o opodatkowaniu wyrównawczym. Dodatkowo, w celu zrozumienia wielu aspektów regulacji konieczne jest analizowanie tysięcy stron wytycznych OECD. Ustawa o opodatkowaniu wyrównawczym wymusza aktualizację procesów i systemów księgowych oraz zmiany IT w celu zapewnienia gromadzenia wszystkich niezbędnych danych do dokonania kalkulacji podatku wyrównawczego. Całościowe zaprojektowanie i wdrożenie tych zmian nie jest możliwe bez zaangażowania licznych zasobów wewnętrznych spółek, ale również zewnętrznego wsparcia doradców. Nałożenie równoległych obowiązków w CIT:</w:t>
            </w:r>
          </w:p>
          <w:p w14:paraId="55A77D5E" w14:textId="77777777" w:rsidR="001816B8" w:rsidRPr="001816B8" w:rsidRDefault="001816B8" w:rsidP="001816B8">
            <w:pPr>
              <w:pStyle w:val="Akapitzlist"/>
              <w:numPr>
                <w:ilvl w:val="0"/>
                <w:numId w:val="5"/>
              </w:numPr>
              <w:jc w:val="both"/>
              <w:rPr>
                <w:rFonts w:cstheme="minorHAnsi"/>
              </w:rPr>
            </w:pPr>
            <w:r w:rsidRPr="001816B8">
              <w:rPr>
                <w:rFonts w:cstheme="minorHAnsi"/>
              </w:rPr>
              <w:t>dodatkowo zwiększa koszty compliance,</w:t>
            </w:r>
          </w:p>
          <w:p w14:paraId="15815F5C" w14:textId="77777777" w:rsidR="001816B8" w:rsidRPr="001816B8" w:rsidRDefault="001816B8" w:rsidP="001816B8">
            <w:pPr>
              <w:pStyle w:val="Akapitzlist"/>
              <w:numPr>
                <w:ilvl w:val="0"/>
                <w:numId w:val="5"/>
              </w:numPr>
              <w:jc w:val="both"/>
              <w:rPr>
                <w:rFonts w:cstheme="minorHAnsi"/>
              </w:rPr>
            </w:pPr>
            <w:r w:rsidRPr="001816B8">
              <w:rPr>
                <w:rFonts w:cstheme="minorHAnsi"/>
              </w:rPr>
              <w:t>wymusza prowadzenie kolejnych ewidencji i analiz,</w:t>
            </w:r>
          </w:p>
          <w:p w14:paraId="1F340897" w14:textId="77777777" w:rsidR="001816B8" w:rsidRPr="001816B8" w:rsidRDefault="001816B8" w:rsidP="001816B8">
            <w:pPr>
              <w:pStyle w:val="Akapitzlist"/>
              <w:numPr>
                <w:ilvl w:val="0"/>
                <w:numId w:val="5"/>
              </w:numPr>
              <w:jc w:val="both"/>
              <w:rPr>
                <w:rFonts w:cstheme="minorHAnsi"/>
              </w:rPr>
            </w:pPr>
            <w:r w:rsidRPr="001816B8">
              <w:rPr>
                <w:rFonts w:cstheme="minorHAnsi"/>
              </w:rPr>
              <w:t>generuje dodatkowe spory interpretacyjne z organami podatkowymi,</w:t>
            </w:r>
          </w:p>
          <w:p w14:paraId="2A3A5D3A" w14:textId="77777777" w:rsidR="001816B8" w:rsidRPr="001816B8" w:rsidRDefault="001816B8" w:rsidP="001B779E">
            <w:pPr>
              <w:jc w:val="both"/>
              <w:rPr>
                <w:rFonts w:cstheme="minorHAnsi"/>
              </w:rPr>
            </w:pPr>
            <w:r w:rsidRPr="001816B8">
              <w:rPr>
                <w:rFonts w:cstheme="minorHAnsi"/>
              </w:rPr>
              <w:lastRenderedPageBreak/>
              <w:t>przy ograniczonej wartości dodanej dla fiskusa, którego interes w świetle określonego celu zabezpieczenia minimalnego poziomu opodatkowania podatkiem dochodowym jest zabezpieczony przepisami ustawy o opodatkowaniu wyrównawczym. Nie można również zapominać o kosztach administracyjnych ponoszonych przez fiskusa w celu zbierania informacji, kontroli i egzekwowania danin publicznoprawnych. Niepotrzebne mnożenie „bytów podatkowych” zwiększa bowiem koszty funkcjonowania aparatu administracyjnego (a zatem de facto koszty ponoszone przez podatnika/obywateli).</w:t>
            </w:r>
          </w:p>
        </w:tc>
        <w:tc>
          <w:tcPr>
            <w:tcW w:w="3969" w:type="dxa"/>
          </w:tcPr>
          <w:p w14:paraId="1C1741C7" w14:textId="68D7DB1F" w:rsidR="001816B8" w:rsidRPr="001816B8" w:rsidRDefault="001816B8" w:rsidP="001B779E">
            <w:pPr>
              <w:jc w:val="both"/>
              <w:rPr>
                <w:rFonts w:cstheme="minorHAnsi"/>
              </w:rPr>
            </w:pPr>
            <w:r w:rsidRPr="001816B8">
              <w:rPr>
                <w:rFonts w:cstheme="minorHAnsi"/>
              </w:rPr>
              <w:lastRenderedPageBreak/>
              <w:t>Uchylenie art.24ca ustawy o podatku dochodowym od osób prawnych lub alternatywnie dodanie jednostki redakcyjnej do art. 24ca ust. 14 ustawy o CIT (np. jako pkt 14):</w:t>
            </w:r>
          </w:p>
          <w:p w14:paraId="4343429D" w14:textId="77777777" w:rsidR="001816B8" w:rsidRPr="001816B8" w:rsidRDefault="001816B8" w:rsidP="001B779E">
            <w:pPr>
              <w:jc w:val="both"/>
              <w:rPr>
                <w:rFonts w:cstheme="minorHAnsi"/>
              </w:rPr>
            </w:pPr>
          </w:p>
          <w:p w14:paraId="065F5A47" w14:textId="77777777" w:rsidR="001816B8" w:rsidRPr="001816B8" w:rsidRDefault="001816B8" w:rsidP="001B779E">
            <w:pPr>
              <w:jc w:val="both"/>
              <w:rPr>
                <w:rFonts w:cstheme="minorHAnsi"/>
              </w:rPr>
            </w:pPr>
            <w:r w:rsidRPr="001816B8">
              <w:rPr>
                <w:rFonts w:cstheme="minorHAnsi"/>
              </w:rPr>
              <w:t>„Ust. 14. Przepisu ust. 1 nie stosuje się do podatników:</w:t>
            </w:r>
          </w:p>
          <w:p w14:paraId="13171616" w14:textId="77777777" w:rsidR="001816B8" w:rsidRPr="001816B8" w:rsidRDefault="001816B8" w:rsidP="001B779E">
            <w:pPr>
              <w:jc w:val="both"/>
              <w:rPr>
                <w:rFonts w:cstheme="minorHAnsi"/>
              </w:rPr>
            </w:pPr>
          </w:p>
          <w:p w14:paraId="77B6F79F" w14:textId="77777777" w:rsidR="001816B8" w:rsidRPr="001816B8" w:rsidRDefault="001816B8" w:rsidP="001B779E">
            <w:pPr>
              <w:jc w:val="both"/>
              <w:rPr>
                <w:rFonts w:cstheme="minorHAnsi"/>
              </w:rPr>
            </w:pPr>
            <w:r w:rsidRPr="001816B8">
              <w:rPr>
                <w:rFonts w:cstheme="minorHAnsi"/>
              </w:rPr>
              <w:t>(…)</w:t>
            </w:r>
          </w:p>
          <w:p w14:paraId="4146805A" w14:textId="77777777" w:rsidR="001816B8" w:rsidRPr="001816B8" w:rsidRDefault="001816B8" w:rsidP="001B779E">
            <w:pPr>
              <w:jc w:val="both"/>
              <w:rPr>
                <w:rFonts w:cstheme="minorHAnsi"/>
              </w:rPr>
            </w:pPr>
          </w:p>
          <w:p w14:paraId="48B6E49F" w14:textId="77777777" w:rsidR="001816B8" w:rsidRPr="001816B8" w:rsidRDefault="001816B8" w:rsidP="001B779E">
            <w:pPr>
              <w:jc w:val="both"/>
              <w:rPr>
                <w:rFonts w:cstheme="minorHAnsi"/>
                <w:bCs/>
              </w:rPr>
            </w:pPr>
            <w:r w:rsidRPr="001816B8">
              <w:rPr>
                <w:rFonts w:cstheme="minorHAnsi"/>
              </w:rPr>
              <w:t>14) którzy podlegają obowiązkom wynikającym z ustawy z dnia 6 listopada 2024 r. o opodatkowaniu wyrównawczym jednostek składowych grup międzynarodowych i krajowych (Dz.U. z 2024 r. poz. 1685).”</w:t>
            </w:r>
          </w:p>
        </w:tc>
        <w:tc>
          <w:tcPr>
            <w:tcW w:w="1428" w:type="dxa"/>
          </w:tcPr>
          <w:p w14:paraId="2B6D7F21" w14:textId="77777777" w:rsidR="001816B8" w:rsidRPr="001816B8" w:rsidRDefault="001816B8" w:rsidP="001B779E">
            <w:pPr>
              <w:rPr>
                <w:rFonts w:cstheme="minorHAnsi"/>
                <w:color w:val="FF0000"/>
              </w:rPr>
            </w:pPr>
          </w:p>
        </w:tc>
      </w:tr>
      <w:tr w:rsidR="001816B8" w:rsidRPr="001816B8" w14:paraId="6BE474EB" w14:textId="77777777" w:rsidTr="001B779E">
        <w:trPr>
          <w:trHeight w:val="2429"/>
        </w:trPr>
        <w:tc>
          <w:tcPr>
            <w:tcW w:w="846" w:type="dxa"/>
          </w:tcPr>
          <w:p w14:paraId="44505A65" w14:textId="77777777" w:rsidR="001816B8" w:rsidRPr="001816B8" w:rsidRDefault="001816B8" w:rsidP="001B779E">
            <w:pPr>
              <w:ind w:right="27"/>
              <w:jc w:val="right"/>
              <w:rPr>
                <w:rFonts w:cstheme="minorHAnsi"/>
              </w:rPr>
            </w:pPr>
            <w:r w:rsidRPr="001816B8">
              <w:rPr>
                <w:rFonts w:cstheme="minorHAnsi"/>
              </w:rPr>
              <w:lastRenderedPageBreak/>
              <w:t>5.</w:t>
            </w:r>
          </w:p>
        </w:tc>
        <w:tc>
          <w:tcPr>
            <w:tcW w:w="1560" w:type="dxa"/>
          </w:tcPr>
          <w:p w14:paraId="59A8BCEA"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39645040" w14:textId="3BFE1E70" w:rsidR="001816B8" w:rsidRPr="001816B8" w:rsidRDefault="001816B8" w:rsidP="001B779E">
            <w:pPr>
              <w:rPr>
                <w:rFonts w:cstheme="minorHAnsi"/>
              </w:rPr>
            </w:pPr>
            <w:r w:rsidRPr="001816B8">
              <w:rPr>
                <w:rFonts w:cstheme="minorHAnsi"/>
              </w:rPr>
              <w:t xml:space="preserve">Art. 2 pkt 16 projektowanej ustawy, wprowadzający zmiany w ustawie z dnia 15 lutego 1992 r. o podatku dochodowym od osób prawnych (Dz. U. z 2025 r. poz. 278, z </w:t>
            </w:r>
            <w:proofErr w:type="spellStart"/>
            <w:r w:rsidRPr="001816B8">
              <w:rPr>
                <w:rFonts w:cstheme="minorHAnsi"/>
              </w:rPr>
              <w:t>późn</w:t>
            </w:r>
            <w:proofErr w:type="spellEnd"/>
            <w:r w:rsidRPr="001816B8">
              <w:rPr>
                <w:rFonts w:cstheme="minorHAnsi"/>
              </w:rPr>
              <w:t>. zm.), propozycja zmian dotyczy art. 24ca</w:t>
            </w:r>
          </w:p>
        </w:tc>
        <w:tc>
          <w:tcPr>
            <w:tcW w:w="6236" w:type="dxa"/>
          </w:tcPr>
          <w:p w14:paraId="586768A9" w14:textId="77777777" w:rsidR="001816B8" w:rsidRPr="001816B8" w:rsidRDefault="001816B8" w:rsidP="001B779E">
            <w:pPr>
              <w:jc w:val="both"/>
              <w:rPr>
                <w:rFonts w:cstheme="minorHAnsi"/>
              </w:rPr>
            </w:pPr>
            <w:r w:rsidRPr="001816B8">
              <w:rPr>
                <w:rFonts w:cstheme="minorHAnsi"/>
              </w:rPr>
              <w:t>Utrzymanie uproszczonej metody kalkulacji podatku minimalnego przy jednolitej stawce 3% bez różnicowania na wysokość przychodów operacyjnych podatnika.</w:t>
            </w:r>
          </w:p>
          <w:p w14:paraId="12270B31" w14:textId="77777777" w:rsidR="001816B8" w:rsidRPr="001816B8" w:rsidRDefault="001816B8" w:rsidP="001B779E">
            <w:pPr>
              <w:jc w:val="both"/>
              <w:rPr>
                <w:rFonts w:cstheme="minorHAnsi"/>
              </w:rPr>
            </w:pPr>
          </w:p>
          <w:p w14:paraId="7EE50A93" w14:textId="77777777" w:rsidR="001816B8" w:rsidRPr="001816B8" w:rsidRDefault="001816B8" w:rsidP="001B779E">
            <w:pPr>
              <w:jc w:val="both"/>
              <w:rPr>
                <w:rFonts w:cstheme="minorHAnsi"/>
              </w:rPr>
            </w:pPr>
            <w:r w:rsidRPr="001816B8">
              <w:rPr>
                <w:rFonts w:cstheme="minorHAnsi"/>
              </w:rPr>
              <w:t>Proponowane w projekcie zróżnicowanie stawki prowadziłoby do dyskryminacji podmiotów o wyższych obrotach, mimo że wyższy poziom przychodów nie przekłada się automatycznie na wyższy poziom dochodowości. Podatnicy o intensywnej działalności operacyjnej, niskiej marżowości lub prowadzący działalność o dużej skali zostaliby w ten sposób niesłusznie obciążeni wyższym poziomem opodatkowania, co jest sprzeczne z zasadą sprawiedliwości podatkowej.</w:t>
            </w:r>
          </w:p>
        </w:tc>
        <w:tc>
          <w:tcPr>
            <w:tcW w:w="3969" w:type="dxa"/>
          </w:tcPr>
          <w:p w14:paraId="33D396F3" w14:textId="77777777" w:rsidR="001816B8" w:rsidRPr="001816B8" w:rsidRDefault="001816B8" w:rsidP="001B779E">
            <w:pPr>
              <w:jc w:val="both"/>
              <w:rPr>
                <w:rFonts w:cstheme="minorHAnsi"/>
              </w:rPr>
            </w:pPr>
            <w:r w:rsidRPr="001816B8">
              <w:rPr>
                <w:rFonts w:cstheme="minorHAnsi"/>
              </w:rPr>
              <w:t>utrzymanie w niezmienionym brzmieniu art. 24ca ust.3a Ustawy o CIT</w:t>
            </w:r>
          </w:p>
          <w:p w14:paraId="5752B155" w14:textId="77777777" w:rsidR="001816B8" w:rsidRPr="001816B8" w:rsidRDefault="001816B8" w:rsidP="001B779E">
            <w:pPr>
              <w:rPr>
                <w:rFonts w:cstheme="minorHAnsi"/>
                <w:bCs/>
              </w:rPr>
            </w:pPr>
          </w:p>
        </w:tc>
        <w:tc>
          <w:tcPr>
            <w:tcW w:w="1428" w:type="dxa"/>
          </w:tcPr>
          <w:p w14:paraId="1A69E78B" w14:textId="77777777" w:rsidR="001816B8" w:rsidRPr="001816B8" w:rsidRDefault="001816B8" w:rsidP="001B779E">
            <w:pPr>
              <w:rPr>
                <w:rFonts w:cstheme="minorHAnsi"/>
                <w:color w:val="FF0000"/>
              </w:rPr>
            </w:pPr>
          </w:p>
        </w:tc>
      </w:tr>
      <w:tr w:rsidR="001816B8" w:rsidRPr="001816B8" w14:paraId="3904DEEF" w14:textId="77777777" w:rsidTr="001B779E">
        <w:trPr>
          <w:trHeight w:val="2429"/>
        </w:trPr>
        <w:tc>
          <w:tcPr>
            <w:tcW w:w="846" w:type="dxa"/>
          </w:tcPr>
          <w:p w14:paraId="366648C4" w14:textId="77777777" w:rsidR="001816B8" w:rsidRPr="001816B8" w:rsidRDefault="001816B8" w:rsidP="001B779E">
            <w:pPr>
              <w:ind w:right="27"/>
              <w:jc w:val="right"/>
              <w:rPr>
                <w:rFonts w:cstheme="minorHAnsi"/>
              </w:rPr>
            </w:pPr>
            <w:r w:rsidRPr="001816B8">
              <w:rPr>
                <w:rFonts w:cstheme="minorHAnsi"/>
              </w:rPr>
              <w:t xml:space="preserve">6. </w:t>
            </w:r>
          </w:p>
        </w:tc>
        <w:tc>
          <w:tcPr>
            <w:tcW w:w="1560" w:type="dxa"/>
          </w:tcPr>
          <w:p w14:paraId="0D02688A"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307127BD" w14:textId="1EE270ED" w:rsidR="001816B8" w:rsidRPr="001816B8" w:rsidRDefault="001816B8" w:rsidP="001B779E">
            <w:pPr>
              <w:rPr>
                <w:rFonts w:cstheme="minorHAnsi"/>
              </w:rPr>
            </w:pPr>
            <w:r w:rsidRPr="001816B8">
              <w:rPr>
                <w:rFonts w:cstheme="minorHAnsi"/>
              </w:rPr>
              <w:t xml:space="preserve">Art. 2 pkt 16 projektowanej ustawy, wprowadzający zmiany w ustawie z dnia 15 lutego 1992 r. o podatku dochodowym od osób prawnych (Dz. </w:t>
            </w:r>
            <w:r w:rsidRPr="001816B8">
              <w:rPr>
                <w:rFonts w:cstheme="minorHAnsi"/>
              </w:rPr>
              <w:lastRenderedPageBreak/>
              <w:t xml:space="preserve">U. z 2025 r. poz. 278, z </w:t>
            </w:r>
            <w:proofErr w:type="spellStart"/>
            <w:r w:rsidRPr="001816B8">
              <w:rPr>
                <w:rFonts w:cstheme="minorHAnsi"/>
              </w:rPr>
              <w:t>późn</w:t>
            </w:r>
            <w:proofErr w:type="spellEnd"/>
            <w:r w:rsidRPr="001816B8">
              <w:rPr>
                <w:rFonts w:cstheme="minorHAnsi"/>
              </w:rPr>
              <w:t>. zm.), propozycja zmian dotyczy art. 24ca</w:t>
            </w:r>
          </w:p>
        </w:tc>
        <w:tc>
          <w:tcPr>
            <w:tcW w:w="6236" w:type="dxa"/>
          </w:tcPr>
          <w:p w14:paraId="000E3A95" w14:textId="77777777" w:rsidR="001816B8" w:rsidRPr="001816B8" w:rsidRDefault="001816B8" w:rsidP="001B779E">
            <w:pPr>
              <w:jc w:val="both"/>
              <w:rPr>
                <w:rFonts w:cstheme="minorHAnsi"/>
              </w:rPr>
            </w:pPr>
            <w:r w:rsidRPr="001816B8">
              <w:rPr>
                <w:rFonts w:cstheme="minorHAnsi"/>
              </w:rPr>
              <w:lastRenderedPageBreak/>
              <w:t>Zachowanie obecnego mechanizmu wyłączenia z minimalnego podatku dochodowego dla podmiotów, które osiągnęły rentowność nie niższą niż 2% w co najmniej jednym z trzech poprzednich lat.</w:t>
            </w:r>
          </w:p>
          <w:p w14:paraId="3CEA0D18" w14:textId="77777777" w:rsidR="001816B8" w:rsidRPr="001816B8" w:rsidRDefault="001816B8" w:rsidP="001B779E">
            <w:pPr>
              <w:ind w:left="720"/>
              <w:jc w:val="both"/>
              <w:rPr>
                <w:rFonts w:cstheme="minorHAnsi"/>
              </w:rPr>
            </w:pPr>
          </w:p>
          <w:p w14:paraId="7A051693" w14:textId="77777777" w:rsidR="001816B8" w:rsidRPr="001816B8" w:rsidRDefault="001816B8" w:rsidP="001B779E">
            <w:pPr>
              <w:jc w:val="both"/>
              <w:rPr>
                <w:rFonts w:cstheme="minorHAnsi"/>
              </w:rPr>
            </w:pPr>
            <w:r w:rsidRPr="001816B8">
              <w:rPr>
                <w:rFonts w:cstheme="minorHAnsi"/>
              </w:rPr>
              <w:t xml:space="preserve">Przy obecnej, wysokiej zmienności rynkowej rentowność przedsiębiorstw może fluktuować z roku na rok z przyczyn niezależnych od podatnika. Trzyletni okres oceny zapewnia bardziej miarodajny obraz rzeczywistej sytuacji ekonomicznej podmiotu, minimalizując ryzyko objęcia podatkiem minimalnym </w:t>
            </w:r>
            <w:r w:rsidRPr="001816B8">
              <w:rPr>
                <w:rFonts w:cstheme="minorHAnsi"/>
              </w:rPr>
              <w:lastRenderedPageBreak/>
              <w:t>przedsiębiorstw znajdujących się czasowo w gorszej kondycji z przyczyn makroekonomicznych, sezonowych czy branżowych.</w:t>
            </w:r>
          </w:p>
          <w:p w14:paraId="30401078" w14:textId="77777777" w:rsidR="001816B8" w:rsidRPr="001816B8" w:rsidRDefault="001816B8" w:rsidP="001B779E">
            <w:pPr>
              <w:jc w:val="both"/>
              <w:rPr>
                <w:rFonts w:cstheme="minorHAnsi"/>
              </w:rPr>
            </w:pPr>
          </w:p>
          <w:p w14:paraId="24C4AA3B" w14:textId="77777777" w:rsidR="001816B8" w:rsidRPr="001816B8" w:rsidRDefault="001816B8" w:rsidP="001B779E">
            <w:pPr>
              <w:jc w:val="both"/>
              <w:rPr>
                <w:rFonts w:cstheme="minorHAnsi"/>
              </w:rPr>
            </w:pPr>
          </w:p>
        </w:tc>
        <w:tc>
          <w:tcPr>
            <w:tcW w:w="3969" w:type="dxa"/>
          </w:tcPr>
          <w:p w14:paraId="27C35CB9" w14:textId="77777777" w:rsidR="001816B8" w:rsidRPr="001816B8" w:rsidRDefault="001816B8" w:rsidP="001B779E">
            <w:pPr>
              <w:jc w:val="both"/>
              <w:rPr>
                <w:rFonts w:cstheme="minorHAnsi"/>
              </w:rPr>
            </w:pPr>
            <w:r w:rsidRPr="001816B8">
              <w:rPr>
                <w:rFonts w:cstheme="minorHAnsi"/>
              </w:rPr>
              <w:lastRenderedPageBreak/>
              <w:t>utrzymanie w niezmienionym brzmieniu art. 24ca ust. 14 pkt 9 Ustawy o CIT</w:t>
            </w:r>
          </w:p>
          <w:p w14:paraId="0CC8DD08" w14:textId="77777777" w:rsidR="001816B8" w:rsidRPr="001816B8" w:rsidRDefault="001816B8" w:rsidP="001B779E">
            <w:pPr>
              <w:rPr>
                <w:rFonts w:cstheme="minorHAnsi"/>
                <w:bCs/>
              </w:rPr>
            </w:pPr>
          </w:p>
        </w:tc>
        <w:tc>
          <w:tcPr>
            <w:tcW w:w="1428" w:type="dxa"/>
          </w:tcPr>
          <w:p w14:paraId="10D43BC0" w14:textId="77777777" w:rsidR="001816B8" w:rsidRPr="001816B8" w:rsidRDefault="001816B8" w:rsidP="001B779E">
            <w:pPr>
              <w:rPr>
                <w:rFonts w:cstheme="minorHAnsi"/>
                <w:color w:val="FF0000"/>
              </w:rPr>
            </w:pPr>
          </w:p>
        </w:tc>
      </w:tr>
      <w:tr w:rsidR="001816B8" w:rsidRPr="001816B8" w14:paraId="17F3F1F1" w14:textId="77777777" w:rsidTr="001B779E">
        <w:trPr>
          <w:trHeight w:val="716"/>
        </w:trPr>
        <w:tc>
          <w:tcPr>
            <w:tcW w:w="846" w:type="dxa"/>
          </w:tcPr>
          <w:p w14:paraId="0AE95AC8" w14:textId="77777777" w:rsidR="001816B8" w:rsidRPr="001816B8" w:rsidRDefault="001816B8" w:rsidP="001B779E">
            <w:pPr>
              <w:ind w:right="27"/>
              <w:jc w:val="right"/>
              <w:rPr>
                <w:rFonts w:cstheme="minorHAnsi"/>
              </w:rPr>
            </w:pPr>
            <w:r w:rsidRPr="001816B8">
              <w:rPr>
                <w:rFonts w:cstheme="minorHAnsi"/>
              </w:rPr>
              <w:t>7.</w:t>
            </w:r>
          </w:p>
        </w:tc>
        <w:tc>
          <w:tcPr>
            <w:tcW w:w="1560" w:type="dxa"/>
          </w:tcPr>
          <w:p w14:paraId="354C69F9"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4F8A3B97" w14:textId="7012FD73" w:rsidR="001816B8" w:rsidRPr="001816B8" w:rsidRDefault="001816B8" w:rsidP="001B779E">
            <w:pPr>
              <w:rPr>
                <w:rFonts w:cstheme="minorHAnsi"/>
              </w:rPr>
            </w:pPr>
            <w:r w:rsidRPr="001816B8">
              <w:rPr>
                <w:rFonts w:cstheme="minorHAnsi"/>
              </w:rPr>
              <w:t xml:space="preserve">Art. 2 pkt 16 projektowanej ustawy, wprowadzający zmiany w ustawie z dnia 15 lutego 1992 r. o podatku dochodowym od osób prawnych (Dz. U. z 2025 r. poz. 278, z </w:t>
            </w:r>
            <w:proofErr w:type="spellStart"/>
            <w:r w:rsidRPr="001816B8">
              <w:rPr>
                <w:rFonts w:cstheme="minorHAnsi"/>
              </w:rPr>
              <w:t>późn</w:t>
            </w:r>
            <w:proofErr w:type="spellEnd"/>
            <w:r w:rsidRPr="001816B8">
              <w:rPr>
                <w:rFonts w:cstheme="minorHAnsi"/>
              </w:rPr>
              <w:t>. zm.), propozycja zmian dotyczy art. 24ca</w:t>
            </w:r>
          </w:p>
        </w:tc>
        <w:tc>
          <w:tcPr>
            <w:tcW w:w="6236" w:type="dxa"/>
          </w:tcPr>
          <w:p w14:paraId="051CEA4C" w14:textId="77777777" w:rsidR="001816B8" w:rsidRPr="001816B8" w:rsidRDefault="001816B8" w:rsidP="001B779E">
            <w:pPr>
              <w:jc w:val="both"/>
              <w:rPr>
                <w:rFonts w:cstheme="minorHAnsi"/>
              </w:rPr>
            </w:pPr>
            <w:r w:rsidRPr="001816B8">
              <w:rPr>
                <w:rFonts w:cstheme="minorHAnsi"/>
              </w:rPr>
              <w:t xml:space="preserve">Utworzenie odrębnej deklaracji podatkowej dla lokalnego podatku minimalnego oraz przesunięcie terminu jej złożenia i terminu zapłaty podatku, co umożliwiłoby zebranie niezbędnych danych oraz dokonanie wyliczeń na potrzeby zwolnienia grupowego, o którym mowa w art. 24ca ust. 14 pkt. 6 Ustawy o CIT. </w:t>
            </w:r>
          </w:p>
          <w:p w14:paraId="4155224D" w14:textId="77777777" w:rsidR="001816B8" w:rsidRPr="001816B8" w:rsidRDefault="001816B8" w:rsidP="001B779E">
            <w:pPr>
              <w:jc w:val="both"/>
              <w:rPr>
                <w:rFonts w:cstheme="minorHAnsi"/>
              </w:rPr>
            </w:pPr>
          </w:p>
          <w:p w14:paraId="7A11C2C1" w14:textId="77777777" w:rsidR="001816B8" w:rsidRPr="001816B8" w:rsidRDefault="001816B8" w:rsidP="001B779E">
            <w:pPr>
              <w:jc w:val="both"/>
              <w:rPr>
                <w:rFonts w:cstheme="minorHAnsi"/>
              </w:rPr>
            </w:pPr>
            <w:r w:rsidRPr="001816B8">
              <w:rPr>
                <w:rFonts w:cstheme="minorHAnsi"/>
              </w:rPr>
              <w:t xml:space="preserve">Obowiązujący obecnie termin (zbieżny z terminem rocznego zeznania CIT) nie pozwala na zgromadzenie skonsolidowanych danych obejmujących całą grupę podmiotów, wymaganych w kontekście wyłączenia grupowego z art. 24ca ust. 14 pkt 6. Wydłużenie tego terminu oraz wprowadzenie odrębnej deklaracji w znaczący sposób ułatwiłoby kalkulację, zmniejszyło ryzyko błędów oraz rozłożyło obciążenia administracyjne w czasie. </w:t>
            </w:r>
          </w:p>
          <w:p w14:paraId="16695DB4" w14:textId="77777777" w:rsidR="001816B8" w:rsidRPr="001816B8" w:rsidRDefault="001816B8" w:rsidP="001B779E">
            <w:pPr>
              <w:jc w:val="both"/>
              <w:rPr>
                <w:rFonts w:cstheme="minorHAnsi"/>
              </w:rPr>
            </w:pPr>
          </w:p>
          <w:p w14:paraId="633C71F8" w14:textId="77777777" w:rsidR="001816B8" w:rsidRPr="001816B8" w:rsidRDefault="001816B8" w:rsidP="001B779E">
            <w:pPr>
              <w:jc w:val="both"/>
              <w:rPr>
                <w:rFonts w:cstheme="minorHAnsi"/>
              </w:rPr>
            </w:pPr>
          </w:p>
          <w:p w14:paraId="20ED1E0C" w14:textId="77777777" w:rsidR="001816B8" w:rsidRPr="001816B8" w:rsidRDefault="001816B8" w:rsidP="001B779E">
            <w:pPr>
              <w:jc w:val="both"/>
              <w:rPr>
                <w:rFonts w:cstheme="minorHAnsi"/>
              </w:rPr>
            </w:pPr>
          </w:p>
        </w:tc>
        <w:tc>
          <w:tcPr>
            <w:tcW w:w="3969" w:type="dxa"/>
          </w:tcPr>
          <w:p w14:paraId="43A67BDD" w14:textId="77777777" w:rsidR="001816B8" w:rsidRPr="001816B8" w:rsidRDefault="001816B8" w:rsidP="001B779E">
            <w:pPr>
              <w:jc w:val="both"/>
              <w:rPr>
                <w:rFonts w:cstheme="minorHAnsi"/>
              </w:rPr>
            </w:pPr>
            <w:r w:rsidRPr="001816B8">
              <w:rPr>
                <w:rFonts w:cstheme="minorHAnsi"/>
              </w:rPr>
              <w:t>Art.24ca ust.11 i 12 otrzymuje następujące brzmienie:</w:t>
            </w:r>
          </w:p>
          <w:p w14:paraId="64EAAE64" w14:textId="77777777" w:rsidR="001816B8" w:rsidRPr="001816B8" w:rsidRDefault="001816B8" w:rsidP="001B779E">
            <w:pPr>
              <w:jc w:val="both"/>
              <w:rPr>
                <w:rFonts w:cstheme="minorHAnsi"/>
              </w:rPr>
            </w:pPr>
          </w:p>
          <w:p w14:paraId="1A311BC1" w14:textId="77777777" w:rsidR="001816B8" w:rsidRPr="001816B8" w:rsidRDefault="001816B8" w:rsidP="001B779E">
            <w:pPr>
              <w:jc w:val="both"/>
              <w:rPr>
                <w:rFonts w:cstheme="minorHAnsi"/>
              </w:rPr>
            </w:pPr>
            <w:r w:rsidRPr="001816B8">
              <w:rPr>
                <w:rFonts w:cstheme="minorHAnsi"/>
              </w:rPr>
              <w:t>„11. Podatnicy obowiązani do zapłaty minimalnego podatku dochodowego składają odrębne zeznanie podatkowe w terminie do końca szóstego miesiąca roku następnego, wykazując w nim podstawę opodatkowania, pomniejszenia, o których mowa w ust. 10, i kwotę minimalnego podatku dochodowego.</w:t>
            </w:r>
          </w:p>
          <w:p w14:paraId="69028464" w14:textId="77777777" w:rsidR="001816B8" w:rsidRPr="001816B8" w:rsidRDefault="001816B8" w:rsidP="001B779E">
            <w:pPr>
              <w:jc w:val="both"/>
              <w:rPr>
                <w:rFonts w:cstheme="minorHAnsi"/>
              </w:rPr>
            </w:pPr>
            <w:r w:rsidRPr="001816B8">
              <w:rPr>
                <w:rFonts w:cstheme="minorHAnsi"/>
              </w:rPr>
              <w:t>12. Podatnicy są obowiązani wpłacić na rachunek urzędu skarbowego należny minimalny podatek dochodowy w terminie do końca szóstego miesiąca roku następnego, przy czym kwotę minimalnego podatku dochodowego podlegającą wpłacie pomniejsza się o należny za ten sam rok podatkowy podatek obliczony zgodnie z art. 19.”</w:t>
            </w:r>
          </w:p>
          <w:p w14:paraId="209DE2E5" w14:textId="77777777" w:rsidR="001816B8" w:rsidRPr="001816B8" w:rsidRDefault="001816B8" w:rsidP="001B779E">
            <w:pPr>
              <w:jc w:val="both"/>
              <w:rPr>
                <w:rFonts w:cstheme="minorHAnsi"/>
              </w:rPr>
            </w:pPr>
          </w:p>
          <w:p w14:paraId="64163A9D" w14:textId="77777777" w:rsidR="001816B8" w:rsidRPr="001816B8" w:rsidRDefault="001816B8" w:rsidP="001B779E">
            <w:pPr>
              <w:jc w:val="both"/>
              <w:rPr>
                <w:rFonts w:cstheme="minorHAnsi"/>
              </w:rPr>
            </w:pPr>
            <w:r w:rsidRPr="001816B8">
              <w:rPr>
                <w:rFonts w:cstheme="minorHAnsi"/>
              </w:rPr>
              <w:t>Dodaje się ust. 18 w art. 24ca w następującym brzmieniu:</w:t>
            </w:r>
          </w:p>
          <w:p w14:paraId="43D3878E" w14:textId="77777777" w:rsidR="001816B8" w:rsidRPr="001816B8" w:rsidRDefault="001816B8" w:rsidP="001B779E">
            <w:pPr>
              <w:jc w:val="both"/>
              <w:rPr>
                <w:rFonts w:cstheme="minorHAnsi"/>
              </w:rPr>
            </w:pPr>
          </w:p>
          <w:p w14:paraId="2504295B" w14:textId="77777777" w:rsidR="001816B8" w:rsidRPr="001816B8" w:rsidRDefault="001816B8" w:rsidP="001B779E">
            <w:pPr>
              <w:jc w:val="both"/>
              <w:rPr>
                <w:rFonts w:cstheme="minorHAnsi"/>
              </w:rPr>
            </w:pPr>
            <w:r w:rsidRPr="001816B8">
              <w:rPr>
                <w:rFonts w:cstheme="minorHAnsi"/>
              </w:rPr>
              <w:t>„Ust. 18. Minister właściwy do spraw finansów publicznych określi, w drodze rozporządzenia, wzór zeznania, o którym mowa w ust. 11”</w:t>
            </w:r>
          </w:p>
        </w:tc>
        <w:tc>
          <w:tcPr>
            <w:tcW w:w="1428" w:type="dxa"/>
          </w:tcPr>
          <w:p w14:paraId="2BB34893" w14:textId="77777777" w:rsidR="001816B8" w:rsidRPr="001816B8" w:rsidRDefault="001816B8" w:rsidP="001B779E">
            <w:pPr>
              <w:rPr>
                <w:rFonts w:cstheme="minorHAnsi"/>
                <w:color w:val="FF0000"/>
              </w:rPr>
            </w:pPr>
          </w:p>
        </w:tc>
      </w:tr>
      <w:tr w:rsidR="001816B8" w:rsidRPr="001816B8" w14:paraId="1E4B0CA2" w14:textId="77777777" w:rsidTr="001B779E">
        <w:trPr>
          <w:trHeight w:val="2429"/>
        </w:trPr>
        <w:tc>
          <w:tcPr>
            <w:tcW w:w="846" w:type="dxa"/>
          </w:tcPr>
          <w:p w14:paraId="0495696B" w14:textId="77777777" w:rsidR="001816B8" w:rsidRPr="001816B8" w:rsidRDefault="001816B8" w:rsidP="001B779E">
            <w:pPr>
              <w:ind w:right="27"/>
              <w:jc w:val="right"/>
              <w:rPr>
                <w:rFonts w:cstheme="minorHAnsi"/>
              </w:rPr>
            </w:pPr>
            <w:r w:rsidRPr="001816B8">
              <w:rPr>
                <w:rFonts w:cstheme="minorHAnsi"/>
              </w:rPr>
              <w:t>8.</w:t>
            </w:r>
          </w:p>
        </w:tc>
        <w:tc>
          <w:tcPr>
            <w:tcW w:w="1560" w:type="dxa"/>
          </w:tcPr>
          <w:p w14:paraId="72F9F08E"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798E6ABF" w14:textId="23921E50" w:rsidR="001816B8" w:rsidRPr="001816B8" w:rsidRDefault="001816B8" w:rsidP="001B779E">
            <w:pPr>
              <w:rPr>
                <w:rFonts w:cstheme="minorHAnsi"/>
              </w:rPr>
            </w:pPr>
            <w:r w:rsidRPr="001816B8">
              <w:rPr>
                <w:rFonts w:cstheme="minorHAnsi"/>
              </w:rPr>
              <w:t xml:space="preserve">Art. 2 pkt 16 projektowanej ustawy, wprowadzający zmiany w ustawie z dnia 15 lutego 1992 r. o podatku dochodowym od osób prawnych (Dz. U. z 2025 r. poz. 278, z </w:t>
            </w:r>
            <w:proofErr w:type="spellStart"/>
            <w:r w:rsidRPr="001816B8">
              <w:rPr>
                <w:rFonts w:cstheme="minorHAnsi"/>
              </w:rPr>
              <w:t>późn</w:t>
            </w:r>
            <w:proofErr w:type="spellEnd"/>
            <w:r w:rsidRPr="001816B8">
              <w:rPr>
                <w:rFonts w:cstheme="minorHAnsi"/>
              </w:rPr>
              <w:t>. zm.), propozycja zmian dotyczy art. 24ca</w:t>
            </w:r>
          </w:p>
        </w:tc>
        <w:tc>
          <w:tcPr>
            <w:tcW w:w="6236" w:type="dxa"/>
          </w:tcPr>
          <w:p w14:paraId="67A228A1" w14:textId="41A745B3" w:rsidR="001816B8" w:rsidRPr="001816B8" w:rsidRDefault="001816B8" w:rsidP="001B779E">
            <w:pPr>
              <w:jc w:val="both"/>
              <w:rPr>
                <w:rFonts w:cstheme="minorHAnsi"/>
              </w:rPr>
            </w:pPr>
            <w:r w:rsidRPr="001816B8">
              <w:rPr>
                <w:rFonts w:cstheme="minorHAnsi"/>
              </w:rPr>
              <w:t>Zmiana brzmienia art. 24ca ust. 15 tak, aby obowiązek złożenia zawiadomienia wraz z listą spółek tworzących grupę podmiotów na potrzeby wyłączenia grupowego (art. 24ca ust.</w:t>
            </w:r>
            <w:r w:rsidR="006B2D1E">
              <w:rPr>
                <w:rFonts w:cstheme="minorHAnsi"/>
              </w:rPr>
              <w:t xml:space="preserve"> </w:t>
            </w:r>
            <w:r w:rsidRPr="001816B8">
              <w:rPr>
                <w:rFonts w:cstheme="minorHAnsi"/>
              </w:rPr>
              <w:t>14 pkt 6), dotyczył wyłącznie tych podmiotów, które nie kwalifikują się do innych wyłączeń przewidzianych w ust. 14.</w:t>
            </w:r>
          </w:p>
          <w:p w14:paraId="52FDA372" w14:textId="77777777" w:rsidR="001816B8" w:rsidRPr="001816B8" w:rsidRDefault="001816B8" w:rsidP="001B779E">
            <w:pPr>
              <w:jc w:val="both"/>
              <w:rPr>
                <w:rFonts w:cstheme="minorHAnsi"/>
              </w:rPr>
            </w:pPr>
          </w:p>
          <w:p w14:paraId="67742906" w14:textId="77777777" w:rsidR="001816B8" w:rsidRPr="001816B8" w:rsidRDefault="001816B8" w:rsidP="001B779E">
            <w:pPr>
              <w:jc w:val="both"/>
              <w:rPr>
                <w:rFonts w:cstheme="minorHAnsi"/>
              </w:rPr>
            </w:pPr>
            <w:r w:rsidRPr="001816B8">
              <w:rPr>
                <w:rFonts w:cstheme="minorHAnsi"/>
              </w:rPr>
              <w:t>Obecne brzmienie przepisu prowadzi do niejednoznaczności i może być interpretowane jako nakładające obowiązek informacyjny również na podmioty, które – mimo przynależności do grupy – korzystają z innych wyłączeń. Takie rozwiązanie generuje zbędne obciążenia administracyjne i jest sprzeczne z zasadą proporcjonalności oraz z postulatem racjonalnego stanowienia prawa podatkowego.</w:t>
            </w:r>
          </w:p>
          <w:p w14:paraId="6E56B87F" w14:textId="77777777" w:rsidR="001816B8" w:rsidRPr="001816B8" w:rsidRDefault="001816B8" w:rsidP="001B779E">
            <w:pPr>
              <w:jc w:val="both"/>
              <w:rPr>
                <w:rFonts w:cstheme="minorHAnsi"/>
                <w:b/>
                <w:bCs/>
              </w:rPr>
            </w:pPr>
          </w:p>
          <w:p w14:paraId="0FF0E0DE" w14:textId="77777777" w:rsidR="001816B8" w:rsidRPr="001816B8" w:rsidRDefault="001816B8" w:rsidP="001B779E">
            <w:pPr>
              <w:jc w:val="both"/>
              <w:rPr>
                <w:rFonts w:cstheme="minorHAnsi"/>
              </w:rPr>
            </w:pPr>
          </w:p>
        </w:tc>
        <w:tc>
          <w:tcPr>
            <w:tcW w:w="3969" w:type="dxa"/>
          </w:tcPr>
          <w:p w14:paraId="26EF5A86" w14:textId="77777777" w:rsidR="001816B8" w:rsidRPr="001816B8" w:rsidRDefault="001816B8" w:rsidP="001B779E">
            <w:pPr>
              <w:jc w:val="both"/>
              <w:rPr>
                <w:rFonts w:cstheme="minorHAnsi"/>
              </w:rPr>
            </w:pPr>
            <w:r w:rsidRPr="001816B8">
              <w:rPr>
                <w:rFonts w:cstheme="minorHAnsi"/>
              </w:rPr>
              <w:t>Art. 24ca ust. 15 otrzymuje następujące brzemiennie:</w:t>
            </w:r>
          </w:p>
          <w:p w14:paraId="47709129" w14:textId="77777777" w:rsidR="001816B8" w:rsidRPr="001816B8" w:rsidRDefault="001816B8" w:rsidP="001B779E">
            <w:pPr>
              <w:jc w:val="both"/>
              <w:rPr>
                <w:rFonts w:cstheme="minorHAnsi"/>
              </w:rPr>
            </w:pPr>
          </w:p>
          <w:p w14:paraId="447D9A80" w14:textId="77777777" w:rsidR="001816B8" w:rsidRPr="001816B8" w:rsidRDefault="001816B8" w:rsidP="001B779E">
            <w:pPr>
              <w:jc w:val="both"/>
              <w:rPr>
                <w:rFonts w:cstheme="minorHAnsi"/>
              </w:rPr>
            </w:pPr>
            <w:r w:rsidRPr="001816B8">
              <w:rPr>
                <w:rFonts w:cstheme="minorHAnsi"/>
              </w:rPr>
              <w:t xml:space="preserve">„15.Podatnicy, o których mowa w ust. 14 pkt 6 niekorzystający z innego wyłączenia wskazanego w ust. 14, przekazują do urzędu skarbowego informację o spółkach wchodzących w roku podatkowym w skład grupy spełniającej warunki określone w tym przepisie, w terminie złożenia zeznania, o którym mowa w ust. 11”. </w:t>
            </w:r>
          </w:p>
        </w:tc>
        <w:tc>
          <w:tcPr>
            <w:tcW w:w="1428" w:type="dxa"/>
          </w:tcPr>
          <w:p w14:paraId="219CFAB7" w14:textId="77777777" w:rsidR="001816B8" w:rsidRPr="001816B8" w:rsidRDefault="001816B8" w:rsidP="001B779E">
            <w:pPr>
              <w:rPr>
                <w:rFonts w:cstheme="minorHAnsi"/>
                <w:color w:val="FF0000"/>
              </w:rPr>
            </w:pPr>
          </w:p>
        </w:tc>
      </w:tr>
      <w:tr w:rsidR="001816B8" w:rsidRPr="001816B8" w14:paraId="715F2CA8" w14:textId="77777777" w:rsidTr="001B779E">
        <w:trPr>
          <w:trHeight w:val="2429"/>
        </w:trPr>
        <w:tc>
          <w:tcPr>
            <w:tcW w:w="846" w:type="dxa"/>
          </w:tcPr>
          <w:p w14:paraId="403067A3" w14:textId="77777777" w:rsidR="001816B8" w:rsidRPr="001816B8" w:rsidRDefault="001816B8" w:rsidP="001B779E">
            <w:pPr>
              <w:ind w:right="27"/>
              <w:jc w:val="right"/>
              <w:rPr>
                <w:rFonts w:cstheme="minorHAnsi"/>
              </w:rPr>
            </w:pPr>
            <w:r w:rsidRPr="001816B8">
              <w:rPr>
                <w:rFonts w:cstheme="minorHAnsi"/>
              </w:rPr>
              <w:t>9.</w:t>
            </w:r>
          </w:p>
        </w:tc>
        <w:tc>
          <w:tcPr>
            <w:tcW w:w="1560" w:type="dxa"/>
          </w:tcPr>
          <w:p w14:paraId="1C04A851"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79B9E591" w14:textId="50B0D46B" w:rsidR="001816B8" w:rsidRPr="001816B8" w:rsidRDefault="001816B8" w:rsidP="001B779E">
            <w:pPr>
              <w:rPr>
                <w:rFonts w:cstheme="minorHAnsi"/>
              </w:rPr>
            </w:pPr>
            <w:r w:rsidRPr="001816B8">
              <w:rPr>
                <w:rFonts w:cstheme="minorHAnsi"/>
              </w:rPr>
              <w:t xml:space="preserve">Art. 2. pkt 5 projektowanej ustawy, wprowadzający zmiany w ustawie z dnia 15 lutego 1992 r. o podatku dochodowym od osób prawnych (Dz. U. z 2025 r. poz. 278, z </w:t>
            </w:r>
            <w:proofErr w:type="spellStart"/>
            <w:r w:rsidRPr="001816B8">
              <w:rPr>
                <w:rFonts w:cstheme="minorHAnsi"/>
              </w:rPr>
              <w:t>późn</w:t>
            </w:r>
            <w:proofErr w:type="spellEnd"/>
            <w:r w:rsidRPr="001816B8">
              <w:rPr>
                <w:rFonts w:cstheme="minorHAnsi"/>
              </w:rPr>
              <w:t xml:space="preserve">. zm.), </w:t>
            </w:r>
            <w:r w:rsidRPr="001816B8">
              <w:rPr>
                <w:rFonts w:cstheme="minorHAnsi"/>
              </w:rPr>
              <w:lastRenderedPageBreak/>
              <w:t>propozycja zmian dotyczy art. 11g</w:t>
            </w:r>
          </w:p>
        </w:tc>
        <w:tc>
          <w:tcPr>
            <w:tcW w:w="6236" w:type="dxa"/>
          </w:tcPr>
          <w:p w14:paraId="6BA8EA14" w14:textId="77777777" w:rsidR="001816B8" w:rsidRPr="001816B8" w:rsidRDefault="001816B8" w:rsidP="001B779E">
            <w:pPr>
              <w:jc w:val="both"/>
              <w:rPr>
                <w:rFonts w:cstheme="minorHAnsi"/>
              </w:rPr>
            </w:pPr>
            <w:r w:rsidRPr="001816B8">
              <w:rPr>
                <w:rFonts w:cstheme="minorHAnsi"/>
              </w:rPr>
              <w:lastRenderedPageBreak/>
              <w:t>Proponowana w projekcie ustawy zmieniającej treść art. 11g ust. 1 pkt 1 CIT doprecyzowuje sposób ustalania oprocentowania w bezpiecznej przystani dla pożyczek, lecz pozostawia pewne wątpliwości redakcyjne:</w:t>
            </w:r>
          </w:p>
          <w:p w14:paraId="4A28EB97" w14:textId="77777777" w:rsidR="001816B8" w:rsidRPr="001816B8" w:rsidRDefault="001816B8" w:rsidP="001816B8">
            <w:pPr>
              <w:pStyle w:val="Akapitzlist"/>
              <w:numPr>
                <w:ilvl w:val="0"/>
                <w:numId w:val="4"/>
              </w:numPr>
              <w:jc w:val="both"/>
              <w:rPr>
                <w:rFonts w:cstheme="minorHAnsi"/>
              </w:rPr>
            </w:pPr>
            <w:r w:rsidRPr="001816B8">
              <w:rPr>
                <w:rFonts w:cstheme="minorHAnsi"/>
              </w:rPr>
              <w:t>Zastosowane w projekcie sformułowanie „stopa zmienna” jest nieprecyzyjne, ponieważ nie wskazuje czy chodzi o stopę procentową;</w:t>
            </w:r>
          </w:p>
          <w:p w14:paraId="0350D217" w14:textId="77777777" w:rsidR="001816B8" w:rsidRDefault="001816B8" w:rsidP="001816B8">
            <w:pPr>
              <w:pStyle w:val="Akapitzlist"/>
              <w:numPr>
                <w:ilvl w:val="0"/>
                <w:numId w:val="4"/>
              </w:numPr>
              <w:jc w:val="both"/>
              <w:rPr>
                <w:rFonts w:cstheme="minorHAnsi"/>
              </w:rPr>
            </w:pPr>
            <w:r w:rsidRPr="001816B8">
              <w:rPr>
                <w:rFonts w:cstheme="minorHAnsi"/>
              </w:rPr>
              <w:t xml:space="preserve">Wyrażenie „wysokość oprocentowania pożyczki jest ustalana w oparciu o stopę zmienną, nie rzadziej niż co 3 miesiące…” może sugerować, że wysokość oprocentowania musi być ustalana nie rzadziej niż co 3 miesiące, ale w </w:t>
            </w:r>
            <w:r w:rsidRPr="001816B8">
              <w:rPr>
                <w:rFonts w:cstheme="minorHAnsi"/>
              </w:rPr>
              <w:lastRenderedPageBreak/>
              <w:t>oparciu o niezdefiniowaną zmienną stopę, co powoduje wątpliwości interpretacyjne.</w:t>
            </w:r>
          </w:p>
          <w:p w14:paraId="1EE2D01B" w14:textId="77777777" w:rsidR="006B2D1E" w:rsidRPr="001816B8" w:rsidRDefault="006B2D1E" w:rsidP="003E3B05">
            <w:pPr>
              <w:pStyle w:val="Akapitzlist"/>
              <w:jc w:val="both"/>
              <w:rPr>
                <w:rFonts w:cstheme="minorHAnsi"/>
              </w:rPr>
            </w:pPr>
          </w:p>
        </w:tc>
        <w:tc>
          <w:tcPr>
            <w:tcW w:w="3969" w:type="dxa"/>
          </w:tcPr>
          <w:p w14:paraId="7E5663E3" w14:textId="77777777" w:rsidR="001816B8" w:rsidRPr="001816B8" w:rsidRDefault="001816B8" w:rsidP="001B779E">
            <w:pPr>
              <w:rPr>
                <w:rFonts w:cstheme="minorHAnsi"/>
                <w:bCs/>
              </w:rPr>
            </w:pPr>
            <w:r w:rsidRPr="001816B8">
              <w:rPr>
                <w:rFonts w:cstheme="minorHAnsi"/>
                <w:bCs/>
              </w:rPr>
              <w:lastRenderedPageBreak/>
              <w:t xml:space="preserve">Art. 11g w ust. 1 pkt 1 otrzymuje następujące brzmienie: </w:t>
            </w:r>
          </w:p>
          <w:p w14:paraId="5342F1A0" w14:textId="77777777" w:rsidR="001816B8" w:rsidRPr="001816B8" w:rsidRDefault="001816B8" w:rsidP="001B779E">
            <w:pPr>
              <w:rPr>
                <w:rFonts w:cstheme="minorHAnsi"/>
                <w:bCs/>
              </w:rPr>
            </w:pPr>
          </w:p>
          <w:p w14:paraId="4A3C7232" w14:textId="77777777" w:rsidR="001816B8" w:rsidRPr="001816B8" w:rsidRDefault="001816B8" w:rsidP="001B779E">
            <w:pPr>
              <w:jc w:val="both"/>
              <w:rPr>
                <w:rFonts w:cstheme="minorHAnsi"/>
              </w:rPr>
            </w:pPr>
            <w:r w:rsidRPr="001816B8">
              <w:rPr>
                <w:rFonts w:cstheme="minorHAnsi"/>
              </w:rPr>
              <w:t xml:space="preserve">„1) wysokość oprocentowania pożyczki jest ustalana w oparciu o zmienną stopę procentową, aktualizowaną nie rzadziej niż co 3 miesiące, z zastosowaniem rodzaju bazowej stopy procentowej oraz wysokości marży określonych w obwieszczeniu ministra właściwego do spraw finansów publicznych, </w:t>
            </w:r>
            <w:r w:rsidRPr="001816B8">
              <w:rPr>
                <w:rFonts w:cstheme="minorHAnsi"/>
              </w:rPr>
              <w:lastRenderedPageBreak/>
              <w:t>obowiązującym w dniu zawarcia umowy pożyczki”</w:t>
            </w:r>
          </w:p>
        </w:tc>
        <w:tc>
          <w:tcPr>
            <w:tcW w:w="1428" w:type="dxa"/>
          </w:tcPr>
          <w:p w14:paraId="0BF5D7A9" w14:textId="77777777" w:rsidR="001816B8" w:rsidRPr="001816B8" w:rsidRDefault="001816B8" w:rsidP="001B779E">
            <w:pPr>
              <w:rPr>
                <w:rFonts w:cstheme="minorHAnsi"/>
                <w:color w:val="FF0000"/>
              </w:rPr>
            </w:pPr>
          </w:p>
        </w:tc>
      </w:tr>
      <w:tr w:rsidR="001816B8" w:rsidRPr="001816B8" w14:paraId="662F2A28" w14:textId="77777777" w:rsidTr="001B779E">
        <w:trPr>
          <w:trHeight w:val="2429"/>
        </w:trPr>
        <w:tc>
          <w:tcPr>
            <w:tcW w:w="846" w:type="dxa"/>
          </w:tcPr>
          <w:p w14:paraId="6B41270F" w14:textId="77777777" w:rsidR="001816B8" w:rsidRPr="001816B8" w:rsidRDefault="001816B8" w:rsidP="001B779E">
            <w:pPr>
              <w:ind w:right="27"/>
              <w:jc w:val="right"/>
              <w:rPr>
                <w:rFonts w:cstheme="minorHAnsi"/>
              </w:rPr>
            </w:pPr>
            <w:r w:rsidRPr="001816B8">
              <w:rPr>
                <w:rFonts w:cstheme="minorHAnsi"/>
              </w:rPr>
              <w:t>10.</w:t>
            </w:r>
          </w:p>
        </w:tc>
        <w:tc>
          <w:tcPr>
            <w:tcW w:w="1560" w:type="dxa"/>
          </w:tcPr>
          <w:p w14:paraId="3D84585F"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193EF9F9" w14:textId="2AD1FE3D" w:rsidR="001816B8" w:rsidRPr="001816B8" w:rsidRDefault="001816B8" w:rsidP="001B779E">
            <w:pPr>
              <w:rPr>
                <w:rFonts w:cstheme="minorHAnsi"/>
              </w:rPr>
            </w:pPr>
            <w:r w:rsidRPr="001816B8">
              <w:rPr>
                <w:rFonts w:cstheme="minorHAnsi"/>
              </w:rPr>
              <w:t>Art. 11g ust. 1 pkt 4</w:t>
            </w:r>
            <w:r w:rsidRPr="001816B8">
              <w:rPr>
                <w:rFonts w:cstheme="minorHAnsi"/>
                <w:bCs/>
              </w:rPr>
              <w:t xml:space="preserve"> ustawy z dnia 15 lutego 1992 r. o podatku dochodowym od osób prawnych (Dz.U. 1992 Nr 21, poz. 86 </w:t>
            </w:r>
            <w:proofErr w:type="spellStart"/>
            <w:r w:rsidRPr="001816B8">
              <w:rPr>
                <w:rFonts w:cstheme="minorHAnsi"/>
                <w:bCs/>
              </w:rPr>
              <w:t>t.j</w:t>
            </w:r>
            <w:proofErr w:type="spellEnd"/>
            <w:r w:rsidRPr="001816B8">
              <w:rPr>
                <w:rFonts w:cstheme="minorHAnsi"/>
                <w:bCs/>
              </w:rPr>
              <w:t>. Dz.U. z 2025 r. poz. 278)</w:t>
            </w:r>
          </w:p>
        </w:tc>
        <w:tc>
          <w:tcPr>
            <w:tcW w:w="6236" w:type="dxa"/>
          </w:tcPr>
          <w:p w14:paraId="2008878C" w14:textId="77777777" w:rsidR="001816B8" w:rsidRPr="001816B8" w:rsidRDefault="001816B8" w:rsidP="001B779E">
            <w:pPr>
              <w:jc w:val="both"/>
              <w:rPr>
                <w:rFonts w:cstheme="minorHAnsi"/>
              </w:rPr>
            </w:pPr>
            <w:r w:rsidRPr="001816B8">
              <w:rPr>
                <w:rFonts w:cstheme="minorHAnsi"/>
              </w:rPr>
              <w:t>Zwracamy uwagę, że mechanizm bezpiecznej przystani dla transakcji pożyczkowych, określony w art. 11g ustawy CIT, może być zastosowany, jeśli w trakcie roku podatkowego łączny poziom zobowiązań albo należności podmiotu powiązanego z tytułu kapitału pożyczek z podmiotami powiązanymi liczony odrębnie dla udzielonych oraz zaciągniętych pożyczek wynosi nie więcej niż 20 000 000 zł lub równowartość tej kwoty (art. 11g ust. 1 pkt 4 ustawy CIT). Wyżej cytowany warunek stanowi istotną przeszkodę w zastosowaniu mechanizmu bezpiecznej przystani dla transakcji pożyczkowych, gdyż warunek ten nakazuje niejako analizę poziomu zobowiązań i należności po obu stronach transakcji pożyczkowej w każdym roku obowiązywania umowy pożyczki. Dodatkowo limit określony w przepisie nie był aktualizowany od momentu jego wprowadzenia. W świetle powyższego proponujemy, aby w Ustawie zmieniającej uwzględnić zmianę art. 11g ust. 1 pkt 4 ustawy CIT, stosując poniższą propozycję brzmienia pkt 4:</w:t>
            </w:r>
          </w:p>
          <w:p w14:paraId="0244C148" w14:textId="77777777" w:rsidR="001816B8" w:rsidRPr="001816B8" w:rsidRDefault="001816B8" w:rsidP="001B779E">
            <w:pPr>
              <w:jc w:val="both"/>
              <w:rPr>
                <w:rFonts w:cstheme="minorHAnsi"/>
              </w:rPr>
            </w:pPr>
          </w:p>
          <w:p w14:paraId="22B79C35" w14:textId="77777777" w:rsidR="001816B8" w:rsidRPr="001816B8" w:rsidRDefault="001816B8" w:rsidP="001B779E">
            <w:pPr>
              <w:jc w:val="both"/>
              <w:rPr>
                <w:rFonts w:cstheme="minorHAnsi"/>
              </w:rPr>
            </w:pPr>
          </w:p>
        </w:tc>
        <w:tc>
          <w:tcPr>
            <w:tcW w:w="3969" w:type="dxa"/>
          </w:tcPr>
          <w:p w14:paraId="78F067CF" w14:textId="77777777" w:rsidR="001816B8" w:rsidRPr="001816B8" w:rsidRDefault="001816B8" w:rsidP="001B779E">
            <w:pPr>
              <w:jc w:val="both"/>
              <w:rPr>
                <w:rFonts w:cstheme="minorHAnsi"/>
              </w:rPr>
            </w:pPr>
            <w:r w:rsidRPr="001816B8">
              <w:rPr>
                <w:rFonts w:cstheme="minorHAnsi"/>
              </w:rPr>
              <w:t>Art. 11g w ust. 1 pkt 4 otrzymuje brzmienie:</w:t>
            </w:r>
          </w:p>
          <w:p w14:paraId="39CB56C7" w14:textId="77777777" w:rsidR="001816B8" w:rsidRPr="001816B8" w:rsidRDefault="001816B8" w:rsidP="001B779E">
            <w:pPr>
              <w:jc w:val="both"/>
              <w:rPr>
                <w:rFonts w:cstheme="minorHAnsi"/>
              </w:rPr>
            </w:pPr>
          </w:p>
          <w:p w14:paraId="48CCDD65" w14:textId="77777777" w:rsidR="001816B8" w:rsidRPr="001816B8" w:rsidRDefault="001816B8" w:rsidP="001B779E">
            <w:pPr>
              <w:jc w:val="both"/>
              <w:rPr>
                <w:rFonts w:cstheme="minorHAnsi"/>
              </w:rPr>
            </w:pPr>
            <w:r w:rsidRPr="001816B8">
              <w:rPr>
                <w:rFonts w:cstheme="minorHAnsi"/>
              </w:rPr>
              <w:t>4)</w:t>
            </w:r>
            <w:r w:rsidRPr="001816B8">
              <w:rPr>
                <w:rFonts w:cstheme="minorHAnsi"/>
                <w:i/>
                <w:iCs/>
              </w:rPr>
              <w:t xml:space="preserve"> </w:t>
            </w:r>
            <w:r w:rsidRPr="001816B8">
              <w:rPr>
                <w:rFonts w:cstheme="minorHAnsi"/>
              </w:rPr>
              <w:t>w dniu zawarcia umowy pożyczki łączny poziom zobowiązań albo należności podatnika z tytułu kapitału pożyczek z podmiotami powiązanymi liczony odrębnie dla udzielonych oraz zaciągniętych pożyczek wynosi nie więcej niż 50 000 000 zł lub równowartość tej kwoty;</w:t>
            </w:r>
          </w:p>
        </w:tc>
        <w:tc>
          <w:tcPr>
            <w:tcW w:w="1428" w:type="dxa"/>
          </w:tcPr>
          <w:p w14:paraId="76564201" w14:textId="77777777" w:rsidR="001816B8" w:rsidRPr="001816B8" w:rsidRDefault="001816B8" w:rsidP="001B779E">
            <w:pPr>
              <w:rPr>
                <w:rFonts w:cstheme="minorHAnsi"/>
                <w:color w:val="FF0000"/>
              </w:rPr>
            </w:pPr>
          </w:p>
        </w:tc>
      </w:tr>
      <w:tr w:rsidR="001816B8" w:rsidRPr="001816B8" w14:paraId="3AFEC8A3" w14:textId="77777777" w:rsidTr="001B779E">
        <w:trPr>
          <w:trHeight w:val="2429"/>
        </w:trPr>
        <w:tc>
          <w:tcPr>
            <w:tcW w:w="846" w:type="dxa"/>
          </w:tcPr>
          <w:p w14:paraId="3A711BDF" w14:textId="77777777" w:rsidR="001816B8" w:rsidRPr="001816B8" w:rsidRDefault="001816B8" w:rsidP="001B779E">
            <w:pPr>
              <w:ind w:right="27"/>
              <w:jc w:val="right"/>
              <w:rPr>
                <w:rFonts w:cstheme="minorHAnsi"/>
              </w:rPr>
            </w:pPr>
            <w:r w:rsidRPr="001816B8">
              <w:rPr>
                <w:rFonts w:cstheme="minorHAnsi"/>
              </w:rPr>
              <w:lastRenderedPageBreak/>
              <w:t>11</w:t>
            </w:r>
          </w:p>
        </w:tc>
        <w:tc>
          <w:tcPr>
            <w:tcW w:w="1560" w:type="dxa"/>
          </w:tcPr>
          <w:p w14:paraId="2046FD99"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5E7BAA47" w14:textId="55133D2E" w:rsidR="001816B8" w:rsidRPr="001816B8" w:rsidRDefault="001816B8" w:rsidP="001B779E">
            <w:pPr>
              <w:rPr>
                <w:rFonts w:cstheme="minorHAnsi"/>
              </w:rPr>
            </w:pPr>
            <w:r w:rsidRPr="001816B8">
              <w:rPr>
                <w:rFonts w:cstheme="minorHAnsi"/>
                <w:bCs/>
              </w:rPr>
              <w:t xml:space="preserve">Art. 24a ust. 16 ustawy z dnia 15 lutego 1992 r. o podatku dochodowym od osób prawnych (Dz.U. 1992 Nr 21, poz. 86 </w:t>
            </w:r>
            <w:proofErr w:type="spellStart"/>
            <w:r w:rsidRPr="001816B8">
              <w:rPr>
                <w:rFonts w:cstheme="minorHAnsi"/>
                <w:bCs/>
              </w:rPr>
              <w:t>t.j</w:t>
            </w:r>
            <w:proofErr w:type="spellEnd"/>
            <w:r w:rsidRPr="001816B8">
              <w:rPr>
                <w:rFonts w:cstheme="minorHAnsi"/>
                <w:bCs/>
              </w:rPr>
              <w:t>. Dz.U. z 2025 r. poz. 278)</w:t>
            </w:r>
          </w:p>
        </w:tc>
        <w:tc>
          <w:tcPr>
            <w:tcW w:w="6236" w:type="dxa"/>
          </w:tcPr>
          <w:p w14:paraId="49403B83" w14:textId="77777777" w:rsidR="001816B8" w:rsidRPr="001816B8" w:rsidRDefault="001816B8" w:rsidP="001B779E">
            <w:pPr>
              <w:jc w:val="both"/>
              <w:rPr>
                <w:rFonts w:cstheme="minorHAnsi"/>
                <w:b/>
                <w:bCs/>
              </w:rPr>
            </w:pPr>
            <w:r w:rsidRPr="001816B8">
              <w:rPr>
                <w:rFonts w:cstheme="minorHAnsi"/>
                <w:b/>
                <w:bCs/>
              </w:rPr>
              <w:t xml:space="preserve">Wyłączenie stosowania regulacji CFC dla podmiotów objętych przepisami Filaru II </w:t>
            </w:r>
          </w:p>
          <w:p w14:paraId="4037E2A3" w14:textId="77777777" w:rsidR="001816B8" w:rsidRPr="001816B8" w:rsidRDefault="001816B8" w:rsidP="001B779E">
            <w:pPr>
              <w:jc w:val="both"/>
              <w:rPr>
                <w:rFonts w:cstheme="minorHAnsi"/>
              </w:rPr>
            </w:pPr>
          </w:p>
          <w:p w14:paraId="3AFE5D15" w14:textId="722203DD" w:rsidR="001816B8" w:rsidRPr="001816B8" w:rsidRDefault="001816B8" w:rsidP="001B779E">
            <w:pPr>
              <w:jc w:val="both"/>
              <w:rPr>
                <w:rFonts w:cstheme="minorHAnsi"/>
                <w:bCs/>
              </w:rPr>
            </w:pPr>
            <w:r w:rsidRPr="001816B8">
              <w:rPr>
                <w:rFonts w:cstheme="minorHAnsi"/>
                <w:bCs/>
              </w:rPr>
              <w:t>Proponujemy</w:t>
            </w:r>
            <w:r w:rsidR="006B2D1E">
              <w:rPr>
                <w:rFonts w:cstheme="minorHAnsi"/>
                <w:bCs/>
              </w:rPr>
              <w:t>,</w:t>
            </w:r>
            <w:r w:rsidRPr="001816B8">
              <w:rPr>
                <w:rFonts w:cstheme="minorHAnsi"/>
                <w:bCs/>
              </w:rPr>
              <w:t xml:space="preserve"> aby Ustawa o CIT wyłączyła z zakresu stosowania zasad CFC grupy MNE i wchodzące w ich skład podmioty, które są już objęte regulacjami Filaru II.</w:t>
            </w:r>
          </w:p>
          <w:p w14:paraId="4B45CE9D" w14:textId="77777777" w:rsidR="001816B8" w:rsidRPr="001816B8" w:rsidRDefault="001816B8" w:rsidP="001B779E">
            <w:pPr>
              <w:jc w:val="both"/>
              <w:rPr>
                <w:rFonts w:cstheme="minorHAnsi"/>
                <w:bCs/>
              </w:rPr>
            </w:pPr>
          </w:p>
          <w:p w14:paraId="50142AA9" w14:textId="77777777" w:rsidR="001816B8" w:rsidRPr="001816B8" w:rsidRDefault="001816B8" w:rsidP="001B779E">
            <w:pPr>
              <w:jc w:val="both"/>
              <w:rPr>
                <w:rFonts w:cstheme="minorHAnsi"/>
                <w:bCs/>
              </w:rPr>
            </w:pPr>
            <w:r w:rsidRPr="001816B8">
              <w:rPr>
                <w:rFonts w:cstheme="minorHAnsi"/>
                <w:bCs/>
              </w:rPr>
              <w:t xml:space="preserve">W następstwie wdrożenia przepisów Filaru II, obowiązek zapewnienia minimalnego poziomu opodatkowania zagranicznych spółek zależnych jest już realizowany w ramach systemu </w:t>
            </w:r>
            <w:proofErr w:type="spellStart"/>
            <w:r w:rsidRPr="001816B8">
              <w:rPr>
                <w:rFonts w:cstheme="minorHAnsi"/>
                <w:bCs/>
              </w:rPr>
              <w:t>GloBE</w:t>
            </w:r>
            <w:proofErr w:type="spellEnd"/>
            <w:r w:rsidRPr="001816B8">
              <w:rPr>
                <w:rFonts w:cstheme="minorHAnsi"/>
                <w:bCs/>
              </w:rPr>
              <w:t xml:space="preserve"> (</w:t>
            </w:r>
            <w:r w:rsidRPr="001816B8">
              <w:rPr>
                <w:rFonts w:cstheme="minorHAnsi"/>
                <w:bCs/>
                <w:i/>
                <w:iCs/>
              </w:rPr>
              <w:t xml:space="preserve">Global </w:t>
            </w:r>
            <w:proofErr w:type="spellStart"/>
            <w:r w:rsidRPr="001816B8">
              <w:rPr>
                <w:rFonts w:cstheme="minorHAnsi"/>
                <w:bCs/>
                <w:i/>
                <w:iCs/>
              </w:rPr>
              <w:t>Anti</w:t>
            </w:r>
            <w:proofErr w:type="spellEnd"/>
            <w:r w:rsidRPr="001816B8">
              <w:rPr>
                <w:rFonts w:cstheme="minorHAnsi"/>
                <w:bCs/>
                <w:i/>
                <w:iCs/>
              </w:rPr>
              <w:t xml:space="preserve">-Base </w:t>
            </w:r>
            <w:proofErr w:type="spellStart"/>
            <w:r w:rsidRPr="001816B8">
              <w:rPr>
                <w:rFonts w:cstheme="minorHAnsi"/>
                <w:bCs/>
                <w:i/>
                <w:iCs/>
              </w:rPr>
              <w:t>Erosion</w:t>
            </w:r>
            <w:proofErr w:type="spellEnd"/>
            <w:r w:rsidRPr="001816B8">
              <w:rPr>
                <w:rFonts w:cstheme="minorHAnsi"/>
                <w:bCs/>
              </w:rPr>
              <w:t xml:space="preserve">) implementowanego do wewnętrznego porządku prawnego w Polsce za pośrednictwem Ustawy z dnia 6 listopada 2024 r. o opodatkowaniu wyrównawczym jednostek składowych grup międzynarodowych i krajowych. </w:t>
            </w:r>
          </w:p>
          <w:p w14:paraId="30B57621" w14:textId="77777777" w:rsidR="001816B8" w:rsidRPr="001816B8" w:rsidRDefault="001816B8" w:rsidP="001B779E">
            <w:pPr>
              <w:jc w:val="both"/>
              <w:rPr>
                <w:rFonts w:cstheme="minorHAnsi"/>
                <w:bCs/>
              </w:rPr>
            </w:pPr>
          </w:p>
          <w:p w14:paraId="3C819692" w14:textId="6DD62107" w:rsidR="001816B8" w:rsidRPr="001816B8" w:rsidRDefault="001816B8" w:rsidP="001B779E">
            <w:pPr>
              <w:jc w:val="both"/>
              <w:rPr>
                <w:rFonts w:cstheme="minorHAnsi"/>
                <w:bCs/>
              </w:rPr>
            </w:pPr>
            <w:r w:rsidRPr="001816B8">
              <w:rPr>
                <w:rFonts w:cstheme="minorHAnsi"/>
                <w:bCs/>
              </w:rPr>
              <w:t>Brak jest zatem podstaw</w:t>
            </w:r>
            <w:r w:rsidR="006B2D1E">
              <w:rPr>
                <w:rFonts w:cstheme="minorHAnsi"/>
                <w:bCs/>
              </w:rPr>
              <w:t>,</w:t>
            </w:r>
            <w:r w:rsidRPr="001816B8">
              <w:rPr>
                <w:rFonts w:cstheme="minorHAnsi"/>
                <w:bCs/>
              </w:rPr>
              <w:t xml:space="preserve"> aby stosować dwa mechanizmy eliminacji agresywnego planowania podatkowego i strategii przenoszenia zysków. </w:t>
            </w:r>
          </w:p>
          <w:p w14:paraId="527A3CEC" w14:textId="77777777" w:rsidR="001816B8" w:rsidRPr="001816B8" w:rsidRDefault="001816B8" w:rsidP="001B779E">
            <w:pPr>
              <w:jc w:val="both"/>
              <w:rPr>
                <w:rFonts w:cstheme="minorHAnsi"/>
                <w:bCs/>
              </w:rPr>
            </w:pPr>
            <w:r w:rsidRPr="001816B8">
              <w:rPr>
                <w:rFonts w:cstheme="minorHAnsi"/>
                <w:bCs/>
              </w:rPr>
              <w:t>Utrzymanie obecnych zasad CFC w ramach Ustawy o CIT równolegle do Filaru II prowadzi do dublowania reżimów podatkowych, które realizują podobne cele — w szczególności przeciwdziałanie przenoszeniu zysków do jurysdykcji nisko opodatkowanych. W konsekwencji podatnicy mogą być narażeni na podwójne opodatkowanie lub znaczące obciążenia administracyjne bez proporcjonalnych korzyści fiskalnych.</w:t>
            </w:r>
          </w:p>
          <w:p w14:paraId="36801A6D" w14:textId="77777777" w:rsidR="001816B8" w:rsidRPr="001816B8" w:rsidRDefault="001816B8" w:rsidP="001B779E">
            <w:pPr>
              <w:jc w:val="both"/>
              <w:rPr>
                <w:rFonts w:cstheme="minorHAnsi"/>
                <w:bCs/>
              </w:rPr>
            </w:pPr>
          </w:p>
          <w:p w14:paraId="6B82A8A1" w14:textId="77777777" w:rsidR="001816B8" w:rsidRPr="001816B8" w:rsidRDefault="001816B8" w:rsidP="001B779E">
            <w:pPr>
              <w:jc w:val="both"/>
              <w:rPr>
                <w:rFonts w:cstheme="minorHAnsi"/>
                <w:bCs/>
              </w:rPr>
            </w:pPr>
            <w:r w:rsidRPr="001816B8">
              <w:rPr>
                <w:rFonts w:cstheme="minorHAnsi"/>
                <w:bCs/>
              </w:rPr>
              <w:t xml:space="preserve">Dyrektywa Rady (UE) 2022/2523 implementowana do polskiego porządku prawnego ustanawia globalny podatek minimalny jako mechanizm kompleksowy i samowystarczalny. Regulacje zapewniają autonomiczne ramy do obliczenia podstawy opodatkowania, określenia kwoty podatku należnego oraz jego alokacji między podmioty w grupie, wraz ze skonsolidowanym </w:t>
            </w:r>
            <w:r w:rsidRPr="001816B8">
              <w:rPr>
                <w:rFonts w:cstheme="minorHAnsi"/>
                <w:bCs/>
              </w:rPr>
              <w:lastRenderedPageBreak/>
              <w:t>systemem obowiązków raportowych. Krajowe ustawodawstwo wprowadza również lokalny podatek wyrównawczy (QDMTT), który jest strukturalnie analogiczny do globalnego podatku minimalnego i ma pierwszeństwo przed globalnym podatkiem wyrównawczym.</w:t>
            </w:r>
          </w:p>
          <w:p w14:paraId="0E8C0AF3" w14:textId="77777777" w:rsidR="001816B8" w:rsidRPr="001816B8" w:rsidRDefault="001816B8" w:rsidP="001B779E">
            <w:pPr>
              <w:jc w:val="both"/>
              <w:rPr>
                <w:rFonts w:cstheme="minorHAnsi"/>
                <w:bCs/>
              </w:rPr>
            </w:pPr>
          </w:p>
          <w:p w14:paraId="2D8CB377" w14:textId="77777777" w:rsidR="001816B8" w:rsidRPr="001816B8" w:rsidRDefault="001816B8" w:rsidP="001B779E">
            <w:pPr>
              <w:jc w:val="both"/>
              <w:rPr>
                <w:rFonts w:cstheme="minorHAnsi"/>
                <w:bCs/>
              </w:rPr>
            </w:pPr>
            <w:r w:rsidRPr="001816B8">
              <w:rPr>
                <w:rFonts w:cstheme="minorHAnsi"/>
                <w:bCs/>
              </w:rPr>
              <w:t xml:space="preserve">Na tym tle zasady CFC stanowią dodatkowy mechanizm, którego </w:t>
            </w:r>
            <w:r w:rsidRPr="001816B8">
              <w:rPr>
                <w:rFonts w:cstheme="minorHAnsi"/>
                <w:bCs/>
                <w:i/>
                <w:iCs/>
              </w:rPr>
              <w:t>ratio legis</w:t>
            </w:r>
            <w:r w:rsidRPr="001816B8">
              <w:rPr>
                <w:rFonts w:cstheme="minorHAnsi"/>
                <w:bCs/>
              </w:rPr>
              <w:t xml:space="preserve"> jest identyczne, lub w dużej mierze równoważne z podatkiem wyrównawczym. Współistnienie takich nakładających się reżimów grozi tworzeniem niepotrzebnej złożoności i obciążeń administracyjnych dla podatników, bez zapewnienia proporcjonalnych korzyści fiskalnych.</w:t>
            </w:r>
          </w:p>
          <w:p w14:paraId="09CDB600" w14:textId="77777777" w:rsidR="001816B8" w:rsidRPr="001816B8" w:rsidRDefault="001816B8" w:rsidP="001B779E">
            <w:pPr>
              <w:jc w:val="both"/>
              <w:rPr>
                <w:rFonts w:cstheme="minorHAnsi"/>
                <w:bCs/>
              </w:rPr>
            </w:pPr>
          </w:p>
          <w:p w14:paraId="33CBC257" w14:textId="77777777" w:rsidR="001816B8" w:rsidRPr="001816B8" w:rsidRDefault="001816B8" w:rsidP="001B779E">
            <w:pPr>
              <w:jc w:val="both"/>
              <w:rPr>
                <w:rFonts w:cstheme="minorHAnsi"/>
                <w:bCs/>
              </w:rPr>
            </w:pPr>
            <w:r w:rsidRPr="001816B8">
              <w:rPr>
                <w:rFonts w:cstheme="minorHAnsi"/>
                <w:bCs/>
              </w:rPr>
              <w:t>Dlatego państwa członkowskie powinny unikać ustanawiania równoległych lub konkurencyjnych reżimów podatkowych ukierunkowanych na te same podmioty. Takie dublowanie prowadzi do nadmiernej regulacji, osłabia zasadę proporcjonalności oraz podważa spójność i efektywność europejskich ram podatkowych w kontekście globalnego podatku minimalnego.</w:t>
            </w:r>
          </w:p>
          <w:p w14:paraId="5A265A06" w14:textId="77777777" w:rsidR="001816B8" w:rsidRPr="001816B8" w:rsidRDefault="001816B8" w:rsidP="001B779E">
            <w:pPr>
              <w:jc w:val="both"/>
              <w:rPr>
                <w:rFonts w:cstheme="minorHAnsi"/>
                <w:bCs/>
              </w:rPr>
            </w:pPr>
          </w:p>
          <w:p w14:paraId="0C5878C4" w14:textId="77777777" w:rsidR="001816B8" w:rsidRPr="001816B8" w:rsidRDefault="001816B8" w:rsidP="001B779E">
            <w:pPr>
              <w:jc w:val="both"/>
              <w:rPr>
                <w:rFonts w:cstheme="minorHAnsi"/>
                <w:bCs/>
              </w:rPr>
            </w:pPr>
            <w:r w:rsidRPr="001816B8">
              <w:rPr>
                <w:rFonts w:cstheme="minorHAnsi"/>
                <w:bCs/>
              </w:rPr>
              <w:t xml:space="preserve">Z tego względu postulujemy, aby Ustawa o CIT wyłączyła z reżimu CFC te grupy MNE, które są już objęte zasadami Filaru II. W sytuacji, gdy Filar II ma zastosowanie, funkcja </w:t>
            </w:r>
            <w:proofErr w:type="spellStart"/>
            <w:r w:rsidRPr="001816B8">
              <w:rPr>
                <w:rFonts w:cstheme="minorHAnsi"/>
                <w:bCs/>
              </w:rPr>
              <w:t>antyabuzywna</w:t>
            </w:r>
            <w:proofErr w:type="spellEnd"/>
            <w:r w:rsidRPr="001816B8">
              <w:rPr>
                <w:rFonts w:cstheme="minorHAnsi"/>
                <w:bCs/>
              </w:rPr>
              <w:t xml:space="preserve"> jest już realizowana poprzez globalny podatek minimalny oraz QDMTT, co sprawia, że nakładanie dodatkowych regulacji o podobnym charakterze staje się nieadekwatne i nieuzasadnione.</w:t>
            </w:r>
          </w:p>
        </w:tc>
        <w:tc>
          <w:tcPr>
            <w:tcW w:w="3969" w:type="dxa"/>
          </w:tcPr>
          <w:p w14:paraId="391DAFDA" w14:textId="77777777" w:rsidR="001816B8" w:rsidRPr="001816B8" w:rsidRDefault="001816B8" w:rsidP="001B779E">
            <w:pPr>
              <w:jc w:val="both"/>
              <w:rPr>
                <w:rFonts w:cstheme="minorHAnsi"/>
                <w:b/>
                <w:u w:val="single"/>
              </w:rPr>
            </w:pPr>
            <w:r w:rsidRPr="001816B8">
              <w:rPr>
                <w:rFonts w:cstheme="minorHAnsi"/>
                <w:bCs/>
              </w:rPr>
              <w:lastRenderedPageBreak/>
              <w:t>Dodaje się art. 24a ust. 16a ustawy o CIT w następującym brzmieniu:</w:t>
            </w:r>
          </w:p>
          <w:p w14:paraId="42EFFDF6" w14:textId="77777777" w:rsidR="001816B8" w:rsidRPr="001816B8" w:rsidRDefault="001816B8" w:rsidP="001B779E">
            <w:pPr>
              <w:jc w:val="both"/>
              <w:rPr>
                <w:rFonts w:cstheme="minorHAnsi"/>
              </w:rPr>
            </w:pPr>
          </w:p>
          <w:p w14:paraId="0BEE8FF3" w14:textId="41C82085" w:rsidR="001816B8" w:rsidRPr="001816B8" w:rsidRDefault="001816B8" w:rsidP="001B779E">
            <w:pPr>
              <w:jc w:val="both"/>
              <w:rPr>
                <w:rFonts w:cstheme="minorHAnsi"/>
                <w:iCs/>
              </w:rPr>
            </w:pPr>
            <w:r w:rsidRPr="001816B8">
              <w:rPr>
                <w:rFonts w:cstheme="minorHAnsi"/>
                <w:iCs/>
              </w:rPr>
              <w:t>„Ust. 16a. Przepisów art. 24a ust. 1, 13a i 14 oraz art. 27 ust. 2a nie stosuje się do podatników podlegających opodatkowaniu zgodnie z przepisami ustawy z dnia 6 listopada 2024 r. o opodatkowaniu wyrównawczym jednostek składowych grup międzynarodowych i krajowych”</w:t>
            </w:r>
          </w:p>
          <w:p w14:paraId="5A151EFD" w14:textId="77777777" w:rsidR="001816B8" w:rsidRPr="001816B8" w:rsidRDefault="001816B8" w:rsidP="001B779E">
            <w:pPr>
              <w:jc w:val="both"/>
              <w:rPr>
                <w:rFonts w:cstheme="minorHAnsi"/>
              </w:rPr>
            </w:pPr>
          </w:p>
        </w:tc>
        <w:tc>
          <w:tcPr>
            <w:tcW w:w="1428" w:type="dxa"/>
          </w:tcPr>
          <w:p w14:paraId="7752B536" w14:textId="77777777" w:rsidR="001816B8" w:rsidRPr="001816B8" w:rsidRDefault="001816B8" w:rsidP="001B779E">
            <w:pPr>
              <w:rPr>
                <w:rFonts w:cstheme="minorHAnsi"/>
                <w:color w:val="FF0000"/>
              </w:rPr>
            </w:pPr>
          </w:p>
        </w:tc>
      </w:tr>
      <w:tr w:rsidR="001816B8" w:rsidRPr="001816B8" w14:paraId="04635794" w14:textId="77777777" w:rsidTr="001B779E">
        <w:trPr>
          <w:trHeight w:val="2429"/>
        </w:trPr>
        <w:tc>
          <w:tcPr>
            <w:tcW w:w="846" w:type="dxa"/>
          </w:tcPr>
          <w:p w14:paraId="5B63DDF8" w14:textId="77777777" w:rsidR="001816B8" w:rsidRPr="001816B8" w:rsidRDefault="001816B8" w:rsidP="001B779E">
            <w:pPr>
              <w:ind w:right="27"/>
              <w:jc w:val="right"/>
              <w:rPr>
                <w:rFonts w:cstheme="minorHAnsi"/>
              </w:rPr>
            </w:pPr>
            <w:r w:rsidRPr="001816B8">
              <w:rPr>
                <w:rFonts w:cstheme="minorHAnsi"/>
              </w:rPr>
              <w:lastRenderedPageBreak/>
              <w:t>12.</w:t>
            </w:r>
          </w:p>
        </w:tc>
        <w:tc>
          <w:tcPr>
            <w:tcW w:w="1560" w:type="dxa"/>
          </w:tcPr>
          <w:p w14:paraId="21475B3F"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498445CB" w14:textId="77777777" w:rsidR="001816B8" w:rsidRPr="001816B8" w:rsidRDefault="001816B8" w:rsidP="001B779E">
            <w:pPr>
              <w:rPr>
                <w:rFonts w:cstheme="minorHAnsi"/>
              </w:rPr>
            </w:pPr>
            <w:r w:rsidRPr="001816B8">
              <w:rPr>
                <w:rFonts w:cstheme="minorHAnsi"/>
                <w:bCs/>
              </w:rPr>
              <w:t xml:space="preserve">Art. 24a ust. 16, ustawy z dnia 15 lutego 1992 r. o podatku dochodowym od osób prawnych (Dz.U. 1992 Nr 21, poz. 86 </w:t>
            </w:r>
            <w:proofErr w:type="spellStart"/>
            <w:r w:rsidRPr="001816B8">
              <w:rPr>
                <w:rFonts w:cstheme="minorHAnsi"/>
                <w:bCs/>
              </w:rPr>
              <w:t>t.j</w:t>
            </w:r>
            <w:proofErr w:type="spellEnd"/>
            <w:r w:rsidRPr="001816B8">
              <w:rPr>
                <w:rFonts w:cstheme="minorHAnsi"/>
                <w:bCs/>
              </w:rPr>
              <w:t>. Dz.U. z 2025 r. poz. 278)</w:t>
            </w:r>
          </w:p>
        </w:tc>
        <w:tc>
          <w:tcPr>
            <w:tcW w:w="6236" w:type="dxa"/>
          </w:tcPr>
          <w:p w14:paraId="727668A4" w14:textId="77777777" w:rsidR="001816B8" w:rsidRPr="001816B8" w:rsidRDefault="001816B8" w:rsidP="001B779E">
            <w:pPr>
              <w:jc w:val="both"/>
              <w:rPr>
                <w:rFonts w:cstheme="minorHAnsi"/>
                <w:b/>
                <w:bCs/>
              </w:rPr>
            </w:pPr>
            <w:r w:rsidRPr="001816B8">
              <w:rPr>
                <w:rFonts w:cstheme="minorHAnsi"/>
                <w:b/>
                <w:bCs/>
              </w:rPr>
              <w:t>Rozszerzenie wyłączenia z tytułu istotnej działalności gospodarczej na spółki z państw trzecich spoza EOG</w:t>
            </w:r>
          </w:p>
          <w:p w14:paraId="43994AFF" w14:textId="77777777" w:rsidR="001816B8" w:rsidRPr="001816B8" w:rsidRDefault="001816B8" w:rsidP="001B779E">
            <w:pPr>
              <w:jc w:val="both"/>
              <w:rPr>
                <w:rFonts w:cstheme="minorHAnsi"/>
                <w:b/>
                <w:bCs/>
              </w:rPr>
            </w:pPr>
          </w:p>
          <w:p w14:paraId="6ADEF65F" w14:textId="77777777" w:rsidR="001816B8" w:rsidRPr="001816B8" w:rsidRDefault="001816B8" w:rsidP="001B779E">
            <w:pPr>
              <w:jc w:val="both"/>
              <w:rPr>
                <w:rFonts w:cstheme="minorHAnsi"/>
              </w:rPr>
            </w:pPr>
            <w:r w:rsidRPr="001816B8">
              <w:rPr>
                <w:rFonts w:cstheme="minorHAnsi"/>
              </w:rPr>
              <w:t>Proponujemy, aby Ustawa o CIT została zmodyfikowana w taki sposób, by obowiązkowo rozszerzyć wyłączenie z opodatkowania CFC z tytułu istotnej działalności gospodarczej również na spółki z państw trzecich spoza EOG, o ile z tymi krajami obowiązują umowy umożliwiające wymianę informacji podatkowych.</w:t>
            </w:r>
          </w:p>
          <w:p w14:paraId="069E7D45" w14:textId="77777777" w:rsidR="001816B8" w:rsidRPr="001816B8" w:rsidRDefault="001816B8" w:rsidP="001B779E">
            <w:pPr>
              <w:jc w:val="both"/>
              <w:rPr>
                <w:rFonts w:cstheme="minorHAnsi"/>
              </w:rPr>
            </w:pPr>
          </w:p>
          <w:p w14:paraId="09388322" w14:textId="35945E44" w:rsidR="001816B8" w:rsidRPr="001816B8" w:rsidRDefault="001816B8" w:rsidP="001B779E">
            <w:pPr>
              <w:jc w:val="both"/>
              <w:rPr>
                <w:rFonts w:cstheme="minorHAnsi"/>
              </w:rPr>
            </w:pPr>
            <w:r w:rsidRPr="001816B8">
              <w:rPr>
                <w:rFonts w:cstheme="minorHAnsi"/>
              </w:rPr>
              <w:t>Obecnie art. 24a ust. 16 Ustawy o CIT, przewiduje wyłączenie z opodatkowania CFC dla podmiotów podlegających opodatkowaniu od całości swoich dochodów w państwie członkowskim Unii Europejskiej lub w państwie należącym do Europejskiego Obszaru Gospodarczego, prowadzących w tym państwie istotną rzeczywistą działalność gospodarczą.</w:t>
            </w:r>
          </w:p>
          <w:p w14:paraId="580B5244" w14:textId="77777777" w:rsidR="001816B8" w:rsidRPr="001816B8" w:rsidRDefault="001816B8" w:rsidP="001B779E">
            <w:pPr>
              <w:jc w:val="both"/>
              <w:rPr>
                <w:rFonts w:cstheme="minorHAnsi"/>
              </w:rPr>
            </w:pPr>
          </w:p>
          <w:p w14:paraId="455FED45" w14:textId="77777777" w:rsidR="001816B8" w:rsidRPr="001816B8" w:rsidRDefault="001816B8" w:rsidP="001B779E">
            <w:pPr>
              <w:jc w:val="both"/>
              <w:rPr>
                <w:rFonts w:cstheme="minorHAnsi"/>
              </w:rPr>
            </w:pPr>
            <w:r w:rsidRPr="001816B8">
              <w:rPr>
                <w:rFonts w:cstheme="minorHAnsi"/>
              </w:rPr>
              <w:t>Proponujemy wprowadzenie przepisów zgodnie z którymi wyłączenie obejmowałoby również podmioty spoza EOG — pod warunkiem istnienia odpowiedniej podstawy prawnej do uzyskania informacji podatkowych od tych państw.</w:t>
            </w:r>
          </w:p>
          <w:p w14:paraId="0C1E3F7E" w14:textId="77777777" w:rsidR="001816B8" w:rsidRPr="001816B8" w:rsidRDefault="001816B8" w:rsidP="001B779E">
            <w:pPr>
              <w:jc w:val="both"/>
              <w:rPr>
                <w:rFonts w:cstheme="minorHAnsi"/>
              </w:rPr>
            </w:pPr>
          </w:p>
          <w:p w14:paraId="7F768CED" w14:textId="77777777" w:rsidR="001816B8" w:rsidRPr="001816B8" w:rsidRDefault="001816B8" w:rsidP="001B779E">
            <w:pPr>
              <w:jc w:val="both"/>
              <w:rPr>
                <w:rFonts w:cstheme="minorHAnsi"/>
              </w:rPr>
            </w:pPr>
            <w:r w:rsidRPr="001816B8">
              <w:rPr>
                <w:rFonts w:cstheme="minorHAnsi"/>
              </w:rPr>
              <w:t>W tym kontekście warto odnieść się do wyroku TSUE z 26 lutego 2019 r., sprawa C-135/17 (dotyczącego niemieckich przepisów regulujących posiadanie udziałów w zagranicznych spółkach pośredniczących), z którego wynika, że jednym z kluczowych kryteriów stosowania zasad CFC wobec podmiotów z państw trzecich powinna być możliwość pozyskania przez krajowe organy podatkowe informacji o zagranicznym podmiocie kontrolowanym.</w:t>
            </w:r>
          </w:p>
        </w:tc>
        <w:tc>
          <w:tcPr>
            <w:tcW w:w="3969" w:type="dxa"/>
          </w:tcPr>
          <w:p w14:paraId="02095D3B" w14:textId="77777777" w:rsidR="001816B8" w:rsidRPr="001816B8" w:rsidRDefault="001816B8" w:rsidP="001B779E">
            <w:pPr>
              <w:spacing w:before="100" w:beforeAutospacing="1" w:after="100" w:afterAutospacing="1"/>
              <w:jc w:val="both"/>
              <w:rPr>
                <w:rFonts w:eastAsia="Times New Roman" w:cstheme="minorHAnsi"/>
                <w:bCs/>
                <w:lang w:eastAsia="pl-PL"/>
              </w:rPr>
            </w:pPr>
            <w:r w:rsidRPr="001816B8">
              <w:rPr>
                <w:rFonts w:eastAsia="Times New Roman" w:cstheme="minorHAnsi"/>
                <w:bCs/>
                <w:lang w:eastAsia="pl-PL"/>
              </w:rPr>
              <w:t>Art. 24a ust. 16 ustawy o CIT otrzymuje następujące brzmienie:</w:t>
            </w:r>
          </w:p>
          <w:p w14:paraId="3C4A6119" w14:textId="77777777" w:rsidR="001816B8" w:rsidRPr="001816B8" w:rsidRDefault="001816B8" w:rsidP="001B779E">
            <w:pPr>
              <w:spacing w:before="100" w:beforeAutospacing="1" w:after="100" w:afterAutospacing="1"/>
              <w:jc w:val="both"/>
              <w:rPr>
                <w:rFonts w:eastAsia="Times New Roman" w:cstheme="minorHAnsi"/>
                <w:iCs/>
                <w:lang w:eastAsia="pl-PL"/>
              </w:rPr>
            </w:pPr>
            <w:r w:rsidRPr="001816B8">
              <w:rPr>
                <w:rFonts w:eastAsia="Times New Roman" w:cstheme="minorHAnsi"/>
                <w:iCs/>
                <w:lang w:eastAsia="pl-PL"/>
              </w:rPr>
              <w:t>Ust. 16.</w:t>
            </w:r>
            <w:r w:rsidRPr="001816B8">
              <w:rPr>
                <w:rFonts w:eastAsia="Times New Roman" w:cstheme="minorHAnsi"/>
                <w:i/>
                <w:lang w:eastAsia="pl-PL"/>
              </w:rPr>
              <w:t xml:space="preserve"> </w:t>
            </w:r>
            <w:r w:rsidRPr="001816B8">
              <w:rPr>
                <w:rFonts w:eastAsia="Times New Roman" w:cstheme="minorHAnsi"/>
                <w:iCs/>
                <w:lang w:eastAsia="pl-PL"/>
              </w:rPr>
              <w:t>„Przepisów ust. 1, 13a i 14 oraz art. 27 ust. 2a nie stosuje się, jeżeli zagraniczna jednostka kontrolowana, podlegająca opodatkowaniu od całości swoich dochodów w danym państwie, prowadzi w tym państwie istotną rzeczywistą działalność gospodarczą. Przepis art. 22b stosuje się odpowiednio.”</w:t>
            </w:r>
          </w:p>
        </w:tc>
        <w:tc>
          <w:tcPr>
            <w:tcW w:w="1428" w:type="dxa"/>
          </w:tcPr>
          <w:p w14:paraId="0C7BCC90" w14:textId="77777777" w:rsidR="001816B8" w:rsidRPr="001816B8" w:rsidRDefault="001816B8" w:rsidP="001B779E">
            <w:pPr>
              <w:rPr>
                <w:rFonts w:cstheme="minorHAnsi"/>
                <w:color w:val="FF0000"/>
              </w:rPr>
            </w:pPr>
          </w:p>
        </w:tc>
      </w:tr>
      <w:tr w:rsidR="001816B8" w:rsidRPr="001816B8" w14:paraId="0FFEAAFC" w14:textId="77777777" w:rsidTr="001B779E">
        <w:trPr>
          <w:trHeight w:val="2429"/>
        </w:trPr>
        <w:tc>
          <w:tcPr>
            <w:tcW w:w="846" w:type="dxa"/>
          </w:tcPr>
          <w:p w14:paraId="72238322" w14:textId="77777777" w:rsidR="001816B8" w:rsidRPr="001816B8" w:rsidRDefault="001816B8" w:rsidP="001B779E">
            <w:pPr>
              <w:ind w:right="27"/>
              <w:jc w:val="right"/>
              <w:rPr>
                <w:rFonts w:cstheme="minorHAnsi"/>
              </w:rPr>
            </w:pPr>
            <w:r w:rsidRPr="001816B8">
              <w:rPr>
                <w:rFonts w:cstheme="minorHAnsi"/>
              </w:rPr>
              <w:lastRenderedPageBreak/>
              <w:t>13.</w:t>
            </w:r>
          </w:p>
        </w:tc>
        <w:tc>
          <w:tcPr>
            <w:tcW w:w="1560" w:type="dxa"/>
          </w:tcPr>
          <w:p w14:paraId="576A9C4C" w14:textId="77777777" w:rsidR="001816B8" w:rsidRPr="001816B8" w:rsidRDefault="001816B8" w:rsidP="001B779E">
            <w:pPr>
              <w:jc w:val="both"/>
              <w:rPr>
                <w:rFonts w:cstheme="minorHAnsi"/>
              </w:rPr>
            </w:pPr>
            <w:r w:rsidRPr="001816B8">
              <w:rPr>
                <w:rFonts w:cstheme="minorHAnsi"/>
              </w:rPr>
              <w:t>Konfederacja Lewiatan</w:t>
            </w:r>
          </w:p>
        </w:tc>
        <w:tc>
          <w:tcPr>
            <w:tcW w:w="1985" w:type="dxa"/>
          </w:tcPr>
          <w:p w14:paraId="2FFAEDA5" w14:textId="17F12947" w:rsidR="001816B8" w:rsidRPr="001816B8" w:rsidRDefault="001816B8" w:rsidP="001B779E">
            <w:pPr>
              <w:rPr>
                <w:rFonts w:cstheme="minorHAnsi"/>
                <w:bCs/>
              </w:rPr>
            </w:pPr>
            <w:r w:rsidRPr="001816B8">
              <w:rPr>
                <w:rFonts w:cstheme="minorHAnsi"/>
                <w:bCs/>
              </w:rPr>
              <w:t xml:space="preserve">Art. 27 ust. 2a ustawy z dnia 15 lutego 1992 r. o podatku dochodowym od osób prawnych (Dz.U. 1992 Nr 21, poz. 86 </w:t>
            </w:r>
            <w:proofErr w:type="spellStart"/>
            <w:r w:rsidRPr="001816B8">
              <w:rPr>
                <w:rFonts w:cstheme="minorHAnsi"/>
                <w:bCs/>
              </w:rPr>
              <w:t>t.j</w:t>
            </w:r>
            <w:proofErr w:type="spellEnd"/>
            <w:r w:rsidRPr="001816B8">
              <w:rPr>
                <w:rFonts w:cstheme="minorHAnsi"/>
                <w:bCs/>
              </w:rPr>
              <w:t>. Dz.U. z 2025 r. poz. 278)</w:t>
            </w:r>
          </w:p>
        </w:tc>
        <w:tc>
          <w:tcPr>
            <w:tcW w:w="6236" w:type="dxa"/>
          </w:tcPr>
          <w:p w14:paraId="487BAB35" w14:textId="77777777" w:rsidR="001816B8" w:rsidRPr="001816B8" w:rsidRDefault="001816B8" w:rsidP="001B779E">
            <w:pPr>
              <w:jc w:val="both"/>
              <w:rPr>
                <w:rFonts w:cstheme="minorHAnsi"/>
                <w:b/>
                <w:bCs/>
              </w:rPr>
            </w:pPr>
            <w:r w:rsidRPr="001816B8">
              <w:rPr>
                <w:rFonts w:cstheme="minorHAnsi"/>
                <w:b/>
                <w:bCs/>
              </w:rPr>
              <w:t>Wydłużenie terminu do złożenia zeznania CFC z 9 do 18 miesięcy</w:t>
            </w:r>
          </w:p>
          <w:p w14:paraId="4B63E90B" w14:textId="77777777" w:rsidR="001816B8" w:rsidRPr="001816B8" w:rsidRDefault="001816B8" w:rsidP="001B779E">
            <w:pPr>
              <w:jc w:val="both"/>
              <w:rPr>
                <w:rFonts w:cstheme="minorHAnsi"/>
              </w:rPr>
            </w:pPr>
          </w:p>
          <w:p w14:paraId="52F02E33" w14:textId="77777777" w:rsidR="001816B8" w:rsidRPr="001816B8" w:rsidRDefault="001816B8" w:rsidP="001B779E">
            <w:pPr>
              <w:jc w:val="both"/>
              <w:rPr>
                <w:rFonts w:cstheme="minorHAnsi"/>
              </w:rPr>
            </w:pPr>
            <w:r w:rsidRPr="001816B8">
              <w:rPr>
                <w:rFonts w:cstheme="minorHAnsi"/>
              </w:rPr>
              <w:t>Stosowanie przepisów CFC generalnie ma zapewnić, że zyski sztucznie przenoszone do jurysdykcji nisko opodatkowanych są uwzględniane w podstawie opodatkowania spółki kontrolującej w UE.</w:t>
            </w:r>
          </w:p>
          <w:p w14:paraId="6329473F" w14:textId="77777777" w:rsidR="001816B8" w:rsidRPr="001816B8" w:rsidRDefault="001816B8" w:rsidP="001B779E">
            <w:pPr>
              <w:jc w:val="both"/>
              <w:rPr>
                <w:rFonts w:cstheme="minorHAnsi"/>
                <w:b/>
                <w:bCs/>
              </w:rPr>
            </w:pPr>
          </w:p>
          <w:p w14:paraId="419F2B3B" w14:textId="77777777" w:rsidR="001816B8" w:rsidRPr="001816B8" w:rsidRDefault="001816B8" w:rsidP="001B779E">
            <w:pPr>
              <w:jc w:val="both"/>
              <w:rPr>
                <w:rFonts w:cstheme="minorHAnsi"/>
              </w:rPr>
            </w:pPr>
            <w:r w:rsidRPr="001816B8">
              <w:rPr>
                <w:rFonts w:cstheme="minorHAnsi"/>
              </w:rPr>
              <w:t xml:space="preserve">Jednak implementacja tych regulacji różni się znacznie między państwami członkowskimi, szczególnie w zakresie terminów raportowania i płatności podatku CFC podlegającego odliczeniu. </w:t>
            </w:r>
          </w:p>
          <w:p w14:paraId="124A4D21" w14:textId="77777777" w:rsidR="001816B8" w:rsidRPr="001816B8" w:rsidRDefault="001816B8" w:rsidP="001B779E">
            <w:pPr>
              <w:jc w:val="both"/>
              <w:rPr>
                <w:rFonts w:cstheme="minorHAnsi"/>
                <w:b/>
                <w:bCs/>
              </w:rPr>
            </w:pPr>
          </w:p>
          <w:p w14:paraId="477DA488" w14:textId="77777777" w:rsidR="001816B8" w:rsidRPr="001816B8" w:rsidRDefault="001816B8" w:rsidP="001B779E">
            <w:pPr>
              <w:jc w:val="both"/>
              <w:rPr>
                <w:rFonts w:cstheme="minorHAnsi"/>
              </w:rPr>
            </w:pPr>
            <w:r w:rsidRPr="001816B8">
              <w:rPr>
                <w:rFonts w:cstheme="minorHAnsi"/>
              </w:rPr>
              <w:t>W kontekście międzynarodowych grup prowadzi to do:</w:t>
            </w:r>
          </w:p>
          <w:p w14:paraId="3A1DE26D" w14:textId="77777777" w:rsidR="001816B8" w:rsidRPr="001816B8" w:rsidRDefault="001816B8" w:rsidP="001816B8">
            <w:pPr>
              <w:numPr>
                <w:ilvl w:val="0"/>
                <w:numId w:val="2"/>
              </w:numPr>
              <w:jc w:val="both"/>
              <w:rPr>
                <w:rFonts w:cstheme="minorHAnsi"/>
              </w:rPr>
            </w:pPr>
            <w:r w:rsidRPr="001816B8">
              <w:rPr>
                <w:rFonts w:cstheme="minorHAnsi"/>
              </w:rPr>
              <w:t>czasowego zawyżenia zobowiązania CFC z powodu braku możliwości uwzględnienia podatku faktycznie zapłaconego w państwie, w którym działa spółka CFC (np. na Malcie CIT płacony jest 18 miesięcy po zakończeniu roku podatkowego),</w:t>
            </w:r>
          </w:p>
          <w:p w14:paraId="27845474" w14:textId="77777777" w:rsidR="001816B8" w:rsidRPr="001816B8" w:rsidRDefault="001816B8" w:rsidP="001816B8">
            <w:pPr>
              <w:numPr>
                <w:ilvl w:val="0"/>
                <w:numId w:val="2"/>
              </w:numPr>
              <w:jc w:val="both"/>
              <w:rPr>
                <w:rFonts w:cstheme="minorHAnsi"/>
              </w:rPr>
            </w:pPr>
            <w:r w:rsidRPr="001816B8">
              <w:rPr>
                <w:rFonts w:cstheme="minorHAnsi"/>
              </w:rPr>
              <w:t>różnic w czasie pomiędzy rozpoznaniem dochodu CFC i zapłatą podatku przez spółkę matkę a raportowaniem dochodu lub podatku przez spółkę zależną bezpośrednio kontrolującą podmiot CFC.</w:t>
            </w:r>
          </w:p>
          <w:p w14:paraId="1AA8AC5A" w14:textId="77777777" w:rsidR="001816B8" w:rsidRPr="001816B8" w:rsidRDefault="001816B8" w:rsidP="001B779E">
            <w:pPr>
              <w:jc w:val="both"/>
              <w:rPr>
                <w:rFonts w:cstheme="minorHAnsi"/>
                <w:b/>
                <w:bCs/>
              </w:rPr>
            </w:pPr>
          </w:p>
          <w:p w14:paraId="53E8B3BD" w14:textId="77777777" w:rsidR="001816B8" w:rsidRPr="001816B8" w:rsidRDefault="001816B8" w:rsidP="001B779E">
            <w:pPr>
              <w:jc w:val="both"/>
              <w:rPr>
                <w:rFonts w:cstheme="minorHAnsi"/>
              </w:rPr>
            </w:pPr>
            <w:r w:rsidRPr="001816B8">
              <w:rPr>
                <w:rFonts w:cstheme="minorHAnsi"/>
              </w:rPr>
              <w:t>W praktyce zatem:</w:t>
            </w:r>
          </w:p>
          <w:p w14:paraId="21443899" w14:textId="77777777" w:rsidR="001816B8" w:rsidRPr="001816B8" w:rsidRDefault="001816B8" w:rsidP="001816B8">
            <w:pPr>
              <w:numPr>
                <w:ilvl w:val="0"/>
                <w:numId w:val="3"/>
              </w:numPr>
              <w:jc w:val="both"/>
              <w:rPr>
                <w:rFonts w:cstheme="minorHAnsi"/>
              </w:rPr>
            </w:pPr>
            <w:r w:rsidRPr="001816B8">
              <w:rPr>
                <w:rFonts w:cstheme="minorHAnsi"/>
              </w:rPr>
              <w:t>termin raportowania CFC w jednym państwie członkowskim (jurysdykcja spółki zależnej) może przypadać później niż termin w innym państwie (jurysdykcja spółki matki);</w:t>
            </w:r>
          </w:p>
          <w:p w14:paraId="513BFE61" w14:textId="77777777" w:rsidR="001816B8" w:rsidRPr="001816B8" w:rsidRDefault="001816B8" w:rsidP="001816B8">
            <w:pPr>
              <w:numPr>
                <w:ilvl w:val="0"/>
                <w:numId w:val="3"/>
              </w:numPr>
              <w:jc w:val="both"/>
              <w:rPr>
                <w:rFonts w:cstheme="minorHAnsi"/>
              </w:rPr>
            </w:pPr>
            <w:r w:rsidRPr="001816B8">
              <w:rPr>
                <w:rFonts w:cstheme="minorHAnsi"/>
              </w:rPr>
              <w:t>skutkiem tego spółka matka musi ująć i zapłacić podatek CFC zanim uzyska dostęp do ostatecznych i zweryfikowanych informacji o kalkulacji CFC spółki zależnej lub zanim ta zakończy swoje własne raportowanie;</w:t>
            </w:r>
          </w:p>
          <w:p w14:paraId="059A9CF1" w14:textId="77777777" w:rsidR="001816B8" w:rsidRPr="001816B8" w:rsidRDefault="001816B8" w:rsidP="001816B8">
            <w:pPr>
              <w:numPr>
                <w:ilvl w:val="0"/>
                <w:numId w:val="3"/>
              </w:numPr>
              <w:jc w:val="both"/>
              <w:rPr>
                <w:rFonts w:cstheme="minorHAnsi"/>
                <w:b/>
                <w:bCs/>
              </w:rPr>
            </w:pPr>
            <w:r w:rsidRPr="001816B8">
              <w:rPr>
                <w:rFonts w:cstheme="minorHAnsi"/>
              </w:rPr>
              <w:lastRenderedPageBreak/>
              <w:t>może to uniemożliwić uwzględnienie lub rozliczenie podatku CFC zapłaconego przez spółkę zależną, prowadząc do tymczasowego podwójnego opodatkowania</w:t>
            </w:r>
            <w:r w:rsidRPr="001816B8">
              <w:rPr>
                <w:rFonts w:cstheme="minorHAnsi"/>
                <w:b/>
                <w:bCs/>
              </w:rPr>
              <w:t>.</w:t>
            </w:r>
          </w:p>
          <w:p w14:paraId="17838AE4" w14:textId="77777777" w:rsidR="001816B8" w:rsidRPr="001816B8" w:rsidRDefault="001816B8" w:rsidP="001B779E">
            <w:pPr>
              <w:jc w:val="both"/>
              <w:rPr>
                <w:rFonts w:cstheme="minorHAnsi"/>
                <w:b/>
                <w:bCs/>
              </w:rPr>
            </w:pPr>
          </w:p>
          <w:p w14:paraId="2C740F4B" w14:textId="77777777" w:rsidR="001816B8" w:rsidRPr="001816B8" w:rsidRDefault="001816B8" w:rsidP="001B779E">
            <w:pPr>
              <w:jc w:val="both"/>
              <w:rPr>
                <w:rFonts w:cstheme="minorHAnsi"/>
                <w:b/>
                <w:bCs/>
              </w:rPr>
            </w:pPr>
            <w:r w:rsidRPr="001816B8">
              <w:rPr>
                <w:rFonts w:cstheme="minorHAnsi"/>
              </w:rPr>
              <w:t xml:space="preserve">Aktualnie obowiązujący 9-miesięczny termin na raportowane wynikający z Ustawy o CIT nakłada dodatkowe obciążenia oraz ryzyko czasowego podwójnego opodatkowania. </w:t>
            </w:r>
          </w:p>
          <w:p w14:paraId="7B7B6824" w14:textId="77777777" w:rsidR="001816B8" w:rsidRPr="001816B8" w:rsidRDefault="001816B8" w:rsidP="001B779E">
            <w:pPr>
              <w:jc w:val="both"/>
              <w:rPr>
                <w:rFonts w:cstheme="minorHAnsi"/>
                <w:b/>
                <w:bCs/>
              </w:rPr>
            </w:pPr>
          </w:p>
          <w:p w14:paraId="48571A40" w14:textId="77777777" w:rsidR="001816B8" w:rsidRPr="001816B8" w:rsidRDefault="001816B8" w:rsidP="001B779E">
            <w:pPr>
              <w:jc w:val="both"/>
              <w:rPr>
                <w:rFonts w:cstheme="minorHAnsi"/>
              </w:rPr>
            </w:pPr>
            <w:r w:rsidRPr="001816B8">
              <w:rPr>
                <w:rFonts w:cstheme="minorHAnsi"/>
              </w:rPr>
              <w:t xml:space="preserve">W celu zapewnienia sprawiedliwego stosowania reżimu CFC postulujemy o wydłużenie terminu raportowania do 18 miesięcy. </w:t>
            </w:r>
          </w:p>
          <w:p w14:paraId="5096D5C0" w14:textId="77777777" w:rsidR="001816B8" w:rsidRPr="001816B8" w:rsidRDefault="001816B8" w:rsidP="001B779E">
            <w:pPr>
              <w:jc w:val="both"/>
              <w:rPr>
                <w:rFonts w:cstheme="minorHAnsi"/>
                <w:b/>
                <w:bCs/>
              </w:rPr>
            </w:pPr>
          </w:p>
          <w:p w14:paraId="4593120C" w14:textId="77777777" w:rsidR="001816B8" w:rsidRPr="001816B8" w:rsidRDefault="001816B8" w:rsidP="001B779E">
            <w:pPr>
              <w:jc w:val="both"/>
              <w:rPr>
                <w:rFonts w:cstheme="minorHAnsi"/>
                <w:b/>
                <w:bCs/>
              </w:rPr>
            </w:pPr>
            <w:r w:rsidRPr="001816B8">
              <w:rPr>
                <w:rFonts w:cstheme="minorHAnsi"/>
              </w:rPr>
              <w:t xml:space="preserve">Ograniczy to ryzyko, że spółka matka nie będzie zobowiązana do zapłaty podatku CFC przed zakończeniem cyklu raportowania przez spółkę zależną oraz że podatek CFC nie będzie czasowo zawyżany z powodu długich terminów płatności CIT w niektórych jurysdykcjach. To z kolei zapewni spójność, proporcjonalność i przewidywalność dla podatników i administracji podatkowych oraz wyeliminuje czasowe podwójne opodatkowanie na poziomie grupy. </w:t>
            </w:r>
          </w:p>
          <w:p w14:paraId="36283465" w14:textId="77777777" w:rsidR="001816B8" w:rsidRPr="001816B8" w:rsidRDefault="001816B8" w:rsidP="001B779E">
            <w:pPr>
              <w:jc w:val="both"/>
              <w:rPr>
                <w:rFonts w:cstheme="minorHAnsi"/>
              </w:rPr>
            </w:pPr>
          </w:p>
        </w:tc>
        <w:tc>
          <w:tcPr>
            <w:tcW w:w="3969" w:type="dxa"/>
          </w:tcPr>
          <w:p w14:paraId="3F6EDEF5" w14:textId="77777777" w:rsidR="001816B8" w:rsidRPr="001816B8" w:rsidRDefault="001816B8" w:rsidP="001B779E">
            <w:pPr>
              <w:spacing w:before="100" w:beforeAutospacing="1" w:after="100" w:afterAutospacing="1"/>
              <w:jc w:val="both"/>
              <w:rPr>
                <w:rFonts w:eastAsia="Times New Roman" w:cstheme="minorHAnsi"/>
                <w:lang w:eastAsia="pl-PL"/>
              </w:rPr>
            </w:pPr>
            <w:r w:rsidRPr="001816B8">
              <w:rPr>
                <w:rFonts w:eastAsia="Times New Roman" w:cstheme="minorHAnsi"/>
                <w:lang w:eastAsia="pl-PL"/>
              </w:rPr>
              <w:lastRenderedPageBreak/>
              <w:t xml:space="preserve">Art. 27 ust. 2a Ustawy o CIT otrzymuje następujące brzmienie: </w:t>
            </w:r>
          </w:p>
          <w:p w14:paraId="1B6C35CC" w14:textId="77777777" w:rsidR="001816B8" w:rsidRPr="001816B8" w:rsidRDefault="001816B8" w:rsidP="001B779E">
            <w:pPr>
              <w:spacing w:before="100" w:beforeAutospacing="1" w:after="100" w:afterAutospacing="1"/>
              <w:jc w:val="both"/>
              <w:rPr>
                <w:rFonts w:eastAsia="Times New Roman" w:cstheme="minorHAnsi"/>
                <w:iCs/>
                <w:lang w:eastAsia="pl-PL"/>
              </w:rPr>
            </w:pPr>
            <w:r w:rsidRPr="001816B8">
              <w:rPr>
                <w:rFonts w:eastAsia="Times New Roman" w:cstheme="minorHAnsi"/>
                <w:iCs/>
                <w:lang w:eastAsia="pl-PL"/>
              </w:rPr>
              <w:t>Ust. 2a. „Podatnicy, o których mowa w art. 3 ust. 1, osiągający dochody z działalności prowadzonej przez zagraniczne jednostki kontrolowane, na zasadach określonych w art. 24a, są obowiązani składać urzędom skarbowym odrębne zeznanie, według ustalonego wzoru, o wysokości dochodu z zagranicznej jednostki kontrolowanej osiągniętego w roku podatkowym, o którym mowa w art. 24a ust. 6, do końca osiemnastego miesiąca następującego po zakończonym roku podatkowym następnego roku podatkowego i w tym terminie wpłacić podatek należny. Jeżeli podatnik osiąga dochody z więcej niż jednej zagranicznej jednostki kontrolowanej, składa odrębne zeznanie o dochodach z każdej z tych jednostek.”</w:t>
            </w:r>
          </w:p>
          <w:p w14:paraId="21588FF4" w14:textId="77777777" w:rsidR="001816B8" w:rsidRPr="001816B8" w:rsidRDefault="001816B8" w:rsidP="001B779E">
            <w:pPr>
              <w:spacing w:before="100" w:beforeAutospacing="1" w:after="100" w:afterAutospacing="1"/>
              <w:jc w:val="both"/>
              <w:rPr>
                <w:rFonts w:eastAsia="Times New Roman" w:cstheme="minorHAnsi"/>
                <w:lang w:eastAsia="pl-PL"/>
              </w:rPr>
            </w:pPr>
          </w:p>
        </w:tc>
        <w:tc>
          <w:tcPr>
            <w:tcW w:w="1428" w:type="dxa"/>
          </w:tcPr>
          <w:p w14:paraId="5D9749FF" w14:textId="77777777" w:rsidR="001816B8" w:rsidRPr="001816B8" w:rsidRDefault="001816B8" w:rsidP="001B779E">
            <w:pPr>
              <w:rPr>
                <w:rFonts w:cstheme="minorHAnsi"/>
                <w:color w:val="FF0000"/>
              </w:rPr>
            </w:pPr>
          </w:p>
        </w:tc>
      </w:tr>
    </w:tbl>
    <w:p w14:paraId="37F235E0" w14:textId="77777777" w:rsidR="001816B8" w:rsidRPr="001816B8" w:rsidRDefault="001816B8" w:rsidP="001816B8">
      <w:pPr>
        <w:spacing w:after="0" w:line="240" w:lineRule="auto"/>
        <w:rPr>
          <w:rFonts w:cstheme="minorHAnsi"/>
        </w:rPr>
      </w:pPr>
    </w:p>
    <w:p w14:paraId="4DF1AA51" w14:textId="77777777" w:rsidR="0084728B" w:rsidRPr="001816B8" w:rsidRDefault="0084728B">
      <w:pPr>
        <w:rPr>
          <w:rFonts w:cstheme="minorHAnsi"/>
        </w:rPr>
      </w:pPr>
    </w:p>
    <w:p w14:paraId="32B4EF9C" w14:textId="199EE4AB" w:rsidR="001816B8" w:rsidRPr="000D3E3B" w:rsidRDefault="000D3E3B">
      <w:pPr>
        <w:rPr>
          <w:rFonts w:cstheme="minorHAnsi"/>
          <w:b/>
          <w:bCs/>
          <w:i/>
          <w:iCs/>
        </w:rPr>
      </w:pPr>
      <w:r w:rsidRPr="000D3E3B">
        <w:rPr>
          <w:rFonts w:cstheme="minorHAnsi"/>
          <w:b/>
          <w:bCs/>
          <w:i/>
          <w:iCs/>
        </w:rPr>
        <w:t>KL/236/63/ASW/2026</w:t>
      </w:r>
    </w:p>
    <w:sectPr w:rsidR="001816B8" w:rsidRPr="000D3E3B" w:rsidSect="001816B8">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B404E" w14:textId="77777777" w:rsidR="00B01F08" w:rsidRDefault="00B01F08" w:rsidP="001816B8">
      <w:pPr>
        <w:spacing w:after="0" w:line="240" w:lineRule="auto"/>
      </w:pPr>
      <w:r>
        <w:separator/>
      </w:r>
    </w:p>
  </w:endnote>
  <w:endnote w:type="continuationSeparator" w:id="0">
    <w:p w14:paraId="3C5C28DB" w14:textId="77777777" w:rsidR="00B01F08" w:rsidRDefault="00B01F08" w:rsidP="00181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016952"/>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1C82D7C" w14:textId="77777777" w:rsidR="001816B8" w:rsidRPr="005530D7" w:rsidRDefault="001816B8">
            <w:pPr>
              <w:pStyle w:val="Stopka"/>
              <w:jc w:val="right"/>
              <w:rPr>
                <w:sz w:val="20"/>
                <w:szCs w:val="20"/>
              </w:rPr>
            </w:pPr>
            <w:r w:rsidRPr="005530D7">
              <w:rPr>
                <w:sz w:val="20"/>
                <w:szCs w:val="20"/>
              </w:rPr>
              <w:t xml:space="preserve">Strona </w:t>
            </w:r>
            <w:r w:rsidRPr="005530D7">
              <w:rPr>
                <w:b/>
                <w:bCs/>
                <w:sz w:val="20"/>
                <w:szCs w:val="20"/>
              </w:rPr>
              <w:fldChar w:fldCharType="begin"/>
            </w:r>
            <w:r w:rsidRPr="005530D7">
              <w:rPr>
                <w:b/>
                <w:bCs/>
                <w:sz w:val="20"/>
                <w:szCs w:val="20"/>
              </w:rPr>
              <w:instrText>PAGE</w:instrText>
            </w:r>
            <w:r w:rsidRPr="005530D7">
              <w:rPr>
                <w:b/>
                <w:bCs/>
                <w:sz w:val="20"/>
                <w:szCs w:val="20"/>
              </w:rPr>
              <w:fldChar w:fldCharType="separate"/>
            </w:r>
            <w:r w:rsidRPr="005530D7">
              <w:rPr>
                <w:b/>
                <w:bCs/>
                <w:sz w:val="20"/>
                <w:szCs w:val="20"/>
              </w:rPr>
              <w:t>2</w:t>
            </w:r>
            <w:r w:rsidRPr="005530D7">
              <w:rPr>
                <w:b/>
                <w:bCs/>
                <w:sz w:val="20"/>
                <w:szCs w:val="20"/>
              </w:rPr>
              <w:fldChar w:fldCharType="end"/>
            </w:r>
            <w:r w:rsidRPr="005530D7">
              <w:rPr>
                <w:sz w:val="20"/>
                <w:szCs w:val="20"/>
              </w:rPr>
              <w:t xml:space="preserve"> z </w:t>
            </w:r>
            <w:r w:rsidRPr="005530D7">
              <w:rPr>
                <w:b/>
                <w:bCs/>
                <w:sz w:val="20"/>
                <w:szCs w:val="20"/>
              </w:rPr>
              <w:fldChar w:fldCharType="begin"/>
            </w:r>
            <w:r w:rsidRPr="005530D7">
              <w:rPr>
                <w:b/>
                <w:bCs/>
                <w:sz w:val="20"/>
                <w:szCs w:val="20"/>
              </w:rPr>
              <w:instrText>NUMPAGES</w:instrText>
            </w:r>
            <w:r w:rsidRPr="005530D7">
              <w:rPr>
                <w:b/>
                <w:bCs/>
                <w:sz w:val="20"/>
                <w:szCs w:val="20"/>
              </w:rPr>
              <w:fldChar w:fldCharType="separate"/>
            </w:r>
            <w:r w:rsidRPr="005530D7">
              <w:rPr>
                <w:b/>
                <w:bCs/>
                <w:sz w:val="20"/>
                <w:szCs w:val="20"/>
              </w:rPr>
              <w:t>2</w:t>
            </w:r>
            <w:r w:rsidRPr="005530D7">
              <w:rPr>
                <w:b/>
                <w:bCs/>
                <w:sz w:val="20"/>
                <w:szCs w:val="20"/>
              </w:rPr>
              <w:fldChar w:fldCharType="end"/>
            </w:r>
          </w:p>
        </w:sdtContent>
      </w:sdt>
    </w:sdtContent>
  </w:sdt>
  <w:p w14:paraId="2785F359" w14:textId="77777777" w:rsidR="001816B8" w:rsidRDefault="001816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39F3" w14:textId="77777777" w:rsidR="00B01F08" w:rsidRDefault="00B01F08" w:rsidP="001816B8">
      <w:pPr>
        <w:spacing w:after="0" w:line="240" w:lineRule="auto"/>
      </w:pPr>
      <w:r>
        <w:separator/>
      </w:r>
    </w:p>
  </w:footnote>
  <w:footnote w:type="continuationSeparator" w:id="0">
    <w:p w14:paraId="689D76D3" w14:textId="77777777" w:rsidR="00B01F08" w:rsidRDefault="00B01F08" w:rsidP="001816B8">
      <w:pPr>
        <w:spacing w:after="0" w:line="240" w:lineRule="auto"/>
      </w:pPr>
      <w:r>
        <w:continuationSeparator/>
      </w:r>
    </w:p>
  </w:footnote>
  <w:footnote w:id="1">
    <w:p w14:paraId="2909612E" w14:textId="77777777" w:rsidR="001816B8" w:rsidRPr="001F325B" w:rsidRDefault="001816B8" w:rsidP="001816B8">
      <w:pPr>
        <w:pStyle w:val="ODNONIKtreodnonika"/>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E033" w14:textId="77777777" w:rsidR="001816B8" w:rsidRDefault="001816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26CD5"/>
    <w:multiLevelType w:val="hybridMultilevel"/>
    <w:tmpl w:val="EABA744C"/>
    <w:lvl w:ilvl="0" w:tplc="2F52DB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51B77"/>
    <w:multiLevelType w:val="hybridMultilevel"/>
    <w:tmpl w:val="AA2867F6"/>
    <w:lvl w:ilvl="0" w:tplc="2F52DB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1F2A47"/>
    <w:multiLevelType w:val="hybridMultilevel"/>
    <w:tmpl w:val="2DB00DC4"/>
    <w:lvl w:ilvl="0" w:tplc="2F52DB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A32B7E"/>
    <w:multiLevelType w:val="hybridMultilevel"/>
    <w:tmpl w:val="A64A0032"/>
    <w:lvl w:ilvl="0" w:tplc="98C2EE04">
      <w:start w:val="1"/>
      <w:numFmt w:val="lowerLetter"/>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4" w15:restartNumberingAfterBreak="0">
    <w:nsid w:val="75A34C2B"/>
    <w:multiLevelType w:val="hybridMultilevel"/>
    <w:tmpl w:val="8FD8E470"/>
    <w:lvl w:ilvl="0" w:tplc="2F52DB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8639240">
    <w:abstractNumId w:val="3"/>
  </w:num>
  <w:num w:numId="2" w16cid:durableId="2034763351">
    <w:abstractNumId w:val="4"/>
  </w:num>
  <w:num w:numId="3" w16cid:durableId="1969359776">
    <w:abstractNumId w:val="1"/>
  </w:num>
  <w:num w:numId="4" w16cid:durableId="912591716">
    <w:abstractNumId w:val="0"/>
  </w:num>
  <w:num w:numId="5" w16cid:durableId="608317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B8"/>
    <w:rsid w:val="000D3E3B"/>
    <w:rsid w:val="001816B8"/>
    <w:rsid w:val="002F6AFD"/>
    <w:rsid w:val="003C11B9"/>
    <w:rsid w:val="003E3B05"/>
    <w:rsid w:val="00401756"/>
    <w:rsid w:val="0044538F"/>
    <w:rsid w:val="0048143D"/>
    <w:rsid w:val="004964A4"/>
    <w:rsid w:val="00504BB9"/>
    <w:rsid w:val="00507771"/>
    <w:rsid w:val="00652456"/>
    <w:rsid w:val="00652AF7"/>
    <w:rsid w:val="006B2D1E"/>
    <w:rsid w:val="006E1D50"/>
    <w:rsid w:val="007759D8"/>
    <w:rsid w:val="0084728B"/>
    <w:rsid w:val="00884B67"/>
    <w:rsid w:val="00891F81"/>
    <w:rsid w:val="008B3949"/>
    <w:rsid w:val="0095201B"/>
    <w:rsid w:val="00983DC1"/>
    <w:rsid w:val="009B4165"/>
    <w:rsid w:val="00A165C3"/>
    <w:rsid w:val="00A32210"/>
    <w:rsid w:val="00A8732F"/>
    <w:rsid w:val="00A9440D"/>
    <w:rsid w:val="00AB41D3"/>
    <w:rsid w:val="00B01F08"/>
    <w:rsid w:val="00B13021"/>
    <w:rsid w:val="00B40076"/>
    <w:rsid w:val="00B42880"/>
    <w:rsid w:val="00B66C81"/>
    <w:rsid w:val="00B7017E"/>
    <w:rsid w:val="00C577B9"/>
    <w:rsid w:val="00C66800"/>
    <w:rsid w:val="00CC4D30"/>
    <w:rsid w:val="00D30384"/>
    <w:rsid w:val="00D42BFB"/>
    <w:rsid w:val="00D50DA9"/>
    <w:rsid w:val="00E07E35"/>
    <w:rsid w:val="00E32A03"/>
    <w:rsid w:val="00E67923"/>
    <w:rsid w:val="00E91F09"/>
    <w:rsid w:val="00EF25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2690"/>
  <w15:chartTrackingRefBased/>
  <w15:docId w15:val="{5F51407A-96E5-4C0D-8A19-2266AFF1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16B8"/>
    <w:rPr>
      <w:kern w:val="0"/>
      <w14:ligatures w14:val="none"/>
    </w:rPr>
  </w:style>
  <w:style w:type="paragraph" w:styleId="Nagwek1">
    <w:name w:val="heading 1"/>
    <w:basedOn w:val="Normalny"/>
    <w:next w:val="Normalny"/>
    <w:link w:val="Nagwek1Znak"/>
    <w:uiPriority w:val="9"/>
    <w:qFormat/>
    <w:rsid w:val="001816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816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816B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816B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816B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816B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816B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816B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816B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16B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816B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816B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816B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816B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816B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816B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16B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16B8"/>
    <w:rPr>
      <w:rFonts w:eastAsiaTheme="majorEastAsia" w:cstheme="majorBidi"/>
      <w:color w:val="272727" w:themeColor="text1" w:themeTint="D8"/>
    </w:rPr>
  </w:style>
  <w:style w:type="paragraph" w:styleId="Tytu">
    <w:name w:val="Title"/>
    <w:basedOn w:val="Normalny"/>
    <w:next w:val="Normalny"/>
    <w:link w:val="TytuZnak"/>
    <w:uiPriority w:val="10"/>
    <w:qFormat/>
    <w:rsid w:val="00181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16B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816B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16B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16B8"/>
    <w:pPr>
      <w:spacing w:before="160"/>
      <w:jc w:val="center"/>
    </w:pPr>
    <w:rPr>
      <w:i/>
      <w:iCs/>
      <w:color w:val="404040" w:themeColor="text1" w:themeTint="BF"/>
    </w:rPr>
  </w:style>
  <w:style w:type="character" w:customStyle="1" w:styleId="CytatZnak">
    <w:name w:val="Cytat Znak"/>
    <w:basedOn w:val="Domylnaczcionkaakapitu"/>
    <w:link w:val="Cytat"/>
    <w:uiPriority w:val="29"/>
    <w:rsid w:val="001816B8"/>
    <w:rPr>
      <w:i/>
      <w:iCs/>
      <w:color w:val="404040" w:themeColor="text1" w:themeTint="BF"/>
    </w:rPr>
  </w:style>
  <w:style w:type="paragraph" w:styleId="Akapitzlist">
    <w:name w:val="List Paragraph"/>
    <w:basedOn w:val="Normalny"/>
    <w:uiPriority w:val="34"/>
    <w:qFormat/>
    <w:rsid w:val="001816B8"/>
    <w:pPr>
      <w:ind w:left="720"/>
      <w:contextualSpacing/>
    </w:pPr>
  </w:style>
  <w:style w:type="character" w:styleId="Wyrnienieintensywne">
    <w:name w:val="Intense Emphasis"/>
    <w:basedOn w:val="Domylnaczcionkaakapitu"/>
    <w:uiPriority w:val="21"/>
    <w:qFormat/>
    <w:rsid w:val="001816B8"/>
    <w:rPr>
      <w:i/>
      <w:iCs/>
      <w:color w:val="2F5496" w:themeColor="accent1" w:themeShade="BF"/>
    </w:rPr>
  </w:style>
  <w:style w:type="paragraph" w:styleId="Cytatintensywny">
    <w:name w:val="Intense Quote"/>
    <w:basedOn w:val="Normalny"/>
    <w:next w:val="Normalny"/>
    <w:link w:val="CytatintensywnyZnak"/>
    <w:uiPriority w:val="30"/>
    <w:qFormat/>
    <w:rsid w:val="001816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816B8"/>
    <w:rPr>
      <w:i/>
      <w:iCs/>
      <w:color w:val="2F5496" w:themeColor="accent1" w:themeShade="BF"/>
    </w:rPr>
  </w:style>
  <w:style w:type="character" w:styleId="Odwoanieintensywne">
    <w:name w:val="Intense Reference"/>
    <w:basedOn w:val="Domylnaczcionkaakapitu"/>
    <w:uiPriority w:val="32"/>
    <w:qFormat/>
    <w:rsid w:val="001816B8"/>
    <w:rPr>
      <w:b/>
      <w:bCs/>
      <w:smallCaps/>
      <w:color w:val="2F5496" w:themeColor="accent1" w:themeShade="BF"/>
      <w:spacing w:val="5"/>
    </w:rPr>
  </w:style>
  <w:style w:type="paragraph" w:styleId="Tekstprzypisudolnego">
    <w:name w:val="footnote text"/>
    <w:basedOn w:val="Normalny"/>
    <w:link w:val="TekstprzypisudolnegoZnak"/>
    <w:uiPriority w:val="99"/>
    <w:semiHidden/>
    <w:unhideWhenUsed/>
    <w:rsid w:val="001816B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816B8"/>
    <w:rPr>
      <w:kern w:val="0"/>
      <w:sz w:val="20"/>
      <w:szCs w:val="20"/>
      <w14:ligatures w14:val="none"/>
    </w:rPr>
  </w:style>
  <w:style w:type="character" w:styleId="Odwoanieprzypisudolnego">
    <w:name w:val="footnote reference"/>
    <w:basedOn w:val="Domylnaczcionkaakapitu"/>
    <w:uiPriority w:val="99"/>
    <w:semiHidden/>
    <w:unhideWhenUsed/>
    <w:rsid w:val="001816B8"/>
    <w:rPr>
      <w:vertAlign w:val="superscript"/>
    </w:rPr>
  </w:style>
  <w:style w:type="table" w:styleId="Tabela-Siatka">
    <w:name w:val="Table Grid"/>
    <w:basedOn w:val="Standardowy"/>
    <w:uiPriority w:val="39"/>
    <w:rsid w:val="001816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816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16B8"/>
    <w:rPr>
      <w:kern w:val="0"/>
      <w14:ligatures w14:val="none"/>
    </w:rPr>
  </w:style>
  <w:style w:type="paragraph" w:styleId="Stopka">
    <w:name w:val="footer"/>
    <w:basedOn w:val="Normalny"/>
    <w:link w:val="StopkaZnak"/>
    <w:uiPriority w:val="99"/>
    <w:unhideWhenUsed/>
    <w:rsid w:val="001816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16B8"/>
    <w:rPr>
      <w:kern w:val="0"/>
      <w14:ligatures w14:val="none"/>
    </w:rPr>
  </w:style>
  <w:style w:type="paragraph" w:customStyle="1" w:styleId="ZLITUSTzmustliter">
    <w:name w:val="Z_LIT/UST(§) – zm. ust. (§) literą"/>
    <w:basedOn w:val="Normalny"/>
    <w:uiPriority w:val="46"/>
    <w:qFormat/>
    <w:rsid w:val="001816B8"/>
    <w:pPr>
      <w:suppressAutoHyphens/>
      <w:autoSpaceDE w:val="0"/>
      <w:autoSpaceDN w:val="0"/>
      <w:adjustRightInd w:val="0"/>
      <w:spacing w:after="0" w:line="360" w:lineRule="auto"/>
      <w:ind w:left="987" w:firstLine="510"/>
      <w:jc w:val="both"/>
    </w:pPr>
    <w:rPr>
      <w:rFonts w:ascii="Times" w:eastAsiaTheme="minorEastAsia" w:hAnsi="Times" w:cs="Arial"/>
      <w:bCs/>
      <w:sz w:val="24"/>
      <w:szCs w:val="20"/>
      <w:lang w:eastAsia="pl-PL"/>
    </w:rPr>
  </w:style>
  <w:style w:type="paragraph" w:customStyle="1" w:styleId="ODNONIKtreodnonika">
    <w:name w:val="ODNOŚNIK – treść odnośnika"/>
    <w:uiPriority w:val="19"/>
    <w:qFormat/>
    <w:rsid w:val="001816B8"/>
    <w:pPr>
      <w:spacing w:after="0" w:line="240" w:lineRule="auto"/>
      <w:ind w:left="284" w:hanging="284"/>
      <w:jc w:val="both"/>
    </w:pPr>
    <w:rPr>
      <w:rFonts w:ascii="Times New Roman" w:eastAsiaTheme="minorEastAsia" w:hAnsi="Times New Roman" w:cs="Arial"/>
      <w:kern w:val="0"/>
      <w:sz w:val="20"/>
      <w:szCs w:val="20"/>
      <w:lang w:eastAsia="pl-PL"/>
      <w14:ligatures w14:val="none"/>
    </w:rPr>
  </w:style>
  <w:style w:type="paragraph" w:styleId="Poprawka">
    <w:name w:val="Revision"/>
    <w:hidden/>
    <w:uiPriority w:val="99"/>
    <w:semiHidden/>
    <w:rsid w:val="00983DC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4099</Words>
  <Characters>24594</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Słomińska-Wernik</dc:creator>
  <cp:keywords/>
  <dc:description/>
  <cp:lastModifiedBy>Magdalena Widlicka</cp:lastModifiedBy>
  <cp:revision>6</cp:revision>
  <dcterms:created xsi:type="dcterms:W3CDTF">2026-04-07T11:46:00Z</dcterms:created>
  <dcterms:modified xsi:type="dcterms:W3CDTF">2026-04-07T13:37:00Z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b60e38-724b-44cb-8b52-7841a0346e9d_Enabled">
    <vt:lpwstr>true</vt:lpwstr>
  </property>
  <property fmtid="{D5CDD505-2E9C-101B-9397-08002B2CF9AE}" pid="3" name="MSIP_Label_b3b60e38-724b-44cb-8b52-7841a0346e9d_SetDate">
    <vt:lpwstr>2026-04-03T09:34:33Z</vt:lpwstr>
  </property>
  <property fmtid="{D5CDD505-2E9C-101B-9397-08002B2CF9AE}" pid="4" name="MSIP_Label_b3b60e38-724b-44cb-8b52-7841a0346e9d_Method">
    <vt:lpwstr>Standard</vt:lpwstr>
  </property>
  <property fmtid="{D5CDD505-2E9C-101B-9397-08002B2CF9AE}" pid="5" name="MSIP_Label_b3b60e38-724b-44cb-8b52-7841a0346e9d_Name">
    <vt:lpwstr>aad.gkorl.label.internal.gkorl</vt:lpwstr>
  </property>
  <property fmtid="{D5CDD505-2E9C-101B-9397-08002B2CF9AE}" pid="6" name="MSIP_Label_b3b60e38-724b-44cb-8b52-7841a0346e9d_SiteId">
    <vt:lpwstr>49ed4135-8213-4cdc-b4ed-aca2fd2e32c2</vt:lpwstr>
  </property>
  <property fmtid="{D5CDD505-2E9C-101B-9397-08002B2CF9AE}" pid="7" name="MSIP_Label_b3b60e38-724b-44cb-8b52-7841a0346e9d_ActionId">
    <vt:lpwstr>dbe2d2b3-afc6-4667-9698-762bd38c0da1</vt:lpwstr>
  </property>
  <property fmtid="{D5CDD505-2E9C-101B-9397-08002B2CF9AE}" pid="8" name="MSIP_Label_b3b60e38-724b-44cb-8b52-7841a0346e9d_ContentBits">
    <vt:lpwstr>0</vt:lpwstr>
  </property>
  <property fmtid="{D5CDD505-2E9C-101B-9397-08002B2CF9AE}" pid="9" name="MSIP_Label_b3b60e38-724b-44cb-8b52-7841a0346e9d_Tag">
    <vt:lpwstr>10, 3, 0, 1</vt:lpwstr>
  </property>
</Properties>
</file>