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0C776" w14:textId="77777777" w:rsidR="00AD67AF" w:rsidRPr="00205BCF" w:rsidRDefault="003E5529" w:rsidP="009B0FA3">
      <w:pPr>
        <w:jc w:val="center"/>
        <w:rPr>
          <w:rFonts w:eastAsiaTheme="minorEastAsia" w:cstheme="minorHAnsi"/>
          <w:b/>
          <w:bCs/>
          <w:lang w:eastAsia="pl-PL"/>
        </w:rPr>
      </w:pPr>
      <w:r w:rsidRPr="00205BCF">
        <w:rPr>
          <w:rFonts w:eastAsiaTheme="minorEastAsia" w:cstheme="minorHAnsi"/>
          <w:lang w:eastAsia="pl-PL"/>
        </w:rPr>
        <w:t>Uwagi do projektu</w:t>
      </w:r>
      <w:r w:rsidRPr="00205BCF">
        <w:rPr>
          <w:rFonts w:eastAsiaTheme="minorEastAsia" w:cstheme="minorHAnsi"/>
          <w:b/>
          <w:bCs/>
          <w:lang w:eastAsia="pl-PL"/>
        </w:rPr>
        <w:t xml:space="preserve"> </w:t>
      </w:r>
    </w:p>
    <w:p w14:paraId="0574C91C" w14:textId="011BF0A0" w:rsidR="003E5529" w:rsidRPr="00205BCF" w:rsidRDefault="00AD67AF" w:rsidP="009B0FA3">
      <w:pPr>
        <w:jc w:val="center"/>
        <w:rPr>
          <w:rFonts w:eastAsiaTheme="minorEastAsia" w:cstheme="minorHAnsi"/>
          <w:b/>
          <w:bCs/>
          <w:lang w:eastAsia="pl-PL"/>
        </w:rPr>
      </w:pPr>
      <w:r w:rsidRPr="00205BCF">
        <w:rPr>
          <w:rFonts w:cstheme="minorHAnsi"/>
        </w:rPr>
        <w:t>u</w:t>
      </w:r>
      <w:r w:rsidR="003E5529" w:rsidRPr="00205BCF">
        <w:rPr>
          <w:rFonts w:cstheme="minorHAnsi"/>
        </w:rPr>
        <w:t>staw</w:t>
      </w:r>
      <w:r w:rsidRPr="00205BCF">
        <w:rPr>
          <w:rFonts w:cstheme="minorHAnsi"/>
        </w:rPr>
        <w:t>y</w:t>
      </w:r>
      <w:r w:rsidR="003E5529" w:rsidRPr="00205BCF">
        <w:rPr>
          <w:rFonts w:cstheme="minorHAnsi"/>
        </w:rPr>
        <w:t xml:space="preserve"> o zmianie ustawy o podatku dochodowym od osób fizycznych, ustawy o podatku dochodowym od osób prawnych oraz ustawy – Kodeks karny skarbowy</w:t>
      </w:r>
      <w:r w:rsidR="00205BCF">
        <w:rPr>
          <w:rFonts w:cstheme="minorHAnsi"/>
        </w:rPr>
        <w:t>.</w:t>
      </w:r>
    </w:p>
    <w:p w14:paraId="6C53EF84" w14:textId="7497D896" w:rsidR="003E5529" w:rsidRPr="00DA027E" w:rsidRDefault="003E5529" w:rsidP="003E5529">
      <w:pPr>
        <w:jc w:val="center"/>
        <w:rPr>
          <w:rFonts w:cstheme="minorHAnsi"/>
          <w:b/>
          <w:bCs/>
          <w:sz w:val="20"/>
          <w:szCs w:val="20"/>
        </w:rPr>
      </w:pPr>
    </w:p>
    <w:tbl>
      <w:tblPr>
        <w:tblStyle w:val="Tabela-Siatka"/>
        <w:tblW w:w="4557" w:type="pct"/>
        <w:jc w:val="center"/>
        <w:tblLook w:val="04A0" w:firstRow="1" w:lastRow="0" w:firstColumn="1" w:lastColumn="0" w:noHBand="0" w:noVBand="1"/>
      </w:tblPr>
      <w:tblGrid>
        <w:gridCol w:w="462"/>
        <w:gridCol w:w="1397"/>
        <w:gridCol w:w="1949"/>
        <w:gridCol w:w="5910"/>
        <w:gridCol w:w="3036"/>
      </w:tblGrid>
      <w:tr w:rsidR="003E5529" w:rsidRPr="00DA027E" w14:paraId="693DA94C" w14:textId="77777777" w:rsidTr="007E4029">
        <w:trPr>
          <w:jc w:val="center"/>
        </w:trPr>
        <w:tc>
          <w:tcPr>
            <w:tcW w:w="181" w:type="pct"/>
          </w:tcPr>
          <w:p w14:paraId="6B188B91" w14:textId="77777777" w:rsidR="003E5529" w:rsidRPr="00DA027E" w:rsidRDefault="003E5529" w:rsidP="007E4029">
            <w:pPr>
              <w:rPr>
                <w:rFonts w:cstheme="minorHAnsi"/>
                <w:b/>
                <w:bCs/>
                <w:sz w:val="20"/>
                <w:szCs w:val="20"/>
              </w:rPr>
            </w:pPr>
            <w:r w:rsidRPr="00DA027E">
              <w:rPr>
                <w:rFonts w:cstheme="minorHAnsi"/>
                <w:b/>
                <w:bCs/>
                <w:sz w:val="20"/>
                <w:szCs w:val="20"/>
              </w:rPr>
              <w:t xml:space="preserve">Lp. </w:t>
            </w:r>
          </w:p>
        </w:tc>
        <w:tc>
          <w:tcPr>
            <w:tcW w:w="449" w:type="pct"/>
          </w:tcPr>
          <w:p w14:paraId="27AF3A2E" w14:textId="77777777" w:rsidR="003E5529" w:rsidRPr="00DA027E" w:rsidRDefault="003E5529" w:rsidP="007E4029">
            <w:pPr>
              <w:jc w:val="center"/>
              <w:rPr>
                <w:rFonts w:cstheme="minorHAnsi"/>
                <w:b/>
                <w:bCs/>
                <w:sz w:val="20"/>
                <w:szCs w:val="20"/>
              </w:rPr>
            </w:pPr>
            <w:r w:rsidRPr="00DA027E">
              <w:rPr>
                <w:rFonts w:cstheme="minorHAnsi"/>
                <w:b/>
                <w:bCs/>
                <w:sz w:val="20"/>
                <w:szCs w:val="20"/>
              </w:rPr>
              <w:t>Zgłaszający uwagę</w:t>
            </w:r>
          </w:p>
        </w:tc>
        <w:tc>
          <w:tcPr>
            <w:tcW w:w="797" w:type="pct"/>
          </w:tcPr>
          <w:p w14:paraId="0857BDF9" w14:textId="77777777" w:rsidR="003E5529" w:rsidRPr="00DA027E" w:rsidRDefault="003E5529" w:rsidP="007E4029">
            <w:pPr>
              <w:jc w:val="center"/>
              <w:rPr>
                <w:rFonts w:cstheme="minorHAnsi"/>
                <w:b/>
                <w:bCs/>
                <w:sz w:val="20"/>
                <w:szCs w:val="20"/>
              </w:rPr>
            </w:pPr>
            <w:r w:rsidRPr="00DA027E">
              <w:rPr>
                <w:rFonts w:cstheme="minorHAnsi"/>
                <w:b/>
                <w:bCs/>
                <w:sz w:val="20"/>
                <w:szCs w:val="20"/>
              </w:rPr>
              <w:t>Jednostka redakcyjna projektu, do której jest zgłaszana uwaga</w:t>
            </w:r>
          </w:p>
        </w:tc>
        <w:tc>
          <w:tcPr>
            <w:tcW w:w="2350" w:type="pct"/>
          </w:tcPr>
          <w:p w14:paraId="291FA2F8" w14:textId="77777777" w:rsidR="003E5529" w:rsidRPr="00DA027E" w:rsidRDefault="003E5529" w:rsidP="007E4029">
            <w:pPr>
              <w:jc w:val="both"/>
              <w:rPr>
                <w:rFonts w:cstheme="minorHAnsi"/>
                <w:b/>
                <w:bCs/>
                <w:sz w:val="20"/>
                <w:szCs w:val="20"/>
              </w:rPr>
            </w:pPr>
            <w:r w:rsidRPr="00DA027E">
              <w:rPr>
                <w:rFonts w:cstheme="minorHAnsi"/>
                <w:b/>
                <w:bCs/>
                <w:sz w:val="20"/>
                <w:szCs w:val="20"/>
              </w:rPr>
              <w:t>Treść uwagi:</w:t>
            </w:r>
          </w:p>
          <w:p w14:paraId="3DBBCFB2" w14:textId="77777777" w:rsidR="003E5529" w:rsidRPr="00DA027E" w:rsidRDefault="003E5529" w:rsidP="007E4029">
            <w:pPr>
              <w:jc w:val="both"/>
              <w:rPr>
                <w:rFonts w:cstheme="minorHAnsi"/>
                <w:b/>
                <w:bCs/>
                <w:sz w:val="20"/>
                <w:szCs w:val="20"/>
              </w:rPr>
            </w:pPr>
          </w:p>
        </w:tc>
        <w:tc>
          <w:tcPr>
            <w:tcW w:w="1223" w:type="pct"/>
          </w:tcPr>
          <w:p w14:paraId="691BC411" w14:textId="77777777" w:rsidR="003E5529" w:rsidRPr="00DA027E" w:rsidRDefault="003E5529" w:rsidP="007E4029">
            <w:pPr>
              <w:jc w:val="both"/>
              <w:rPr>
                <w:rFonts w:cstheme="minorHAnsi"/>
                <w:b/>
                <w:bCs/>
                <w:sz w:val="20"/>
                <w:szCs w:val="20"/>
              </w:rPr>
            </w:pPr>
            <w:r w:rsidRPr="00DA027E">
              <w:rPr>
                <w:rFonts w:cstheme="minorHAnsi"/>
                <w:b/>
                <w:bCs/>
                <w:sz w:val="20"/>
                <w:szCs w:val="20"/>
              </w:rPr>
              <w:t>Propozycja przepisu</w:t>
            </w:r>
          </w:p>
        </w:tc>
      </w:tr>
      <w:tr w:rsidR="003E5529" w:rsidRPr="00A464D7" w14:paraId="4E0DE628" w14:textId="77777777" w:rsidTr="007E4029">
        <w:trPr>
          <w:jc w:val="center"/>
        </w:trPr>
        <w:tc>
          <w:tcPr>
            <w:tcW w:w="181" w:type="pct"/>
          </w:tcPr>
          <w:p w14:paraId="7D94C2BD" w14:textId="77777777" w:rsidR="003E5529" w:rsidRPr="00A464D7" w:rsidRDefault="003E5529" w:rsidP="00A464D7">
            <w:pPr>
              <w:jc w:val="both"/>
              <w:rPr>
                <w:rFonts w:cstheme="minorHAnsi"/>
              </w:rPr>
            </w:pPr>
            <w:r w:rsidRPr="00A464D7">
              <w:rPr>
                <w:rFonts w:cstheme="minorHAnsi"/>
              </w:rPr>
              <w:t>1.</w:t>
            </w:r>
          </w:p>
        </w:tc>
        <w:tc>
          <w:tcPr>
            <w:tcW w:w="449" w:type="pct"/>
          </w:tcPr>
          <w:p w14:paraId="46D0471E" w14:textId="1FBA723C" w:rsidR="003E5529" w:rsidRPr="00A464D7" w:rsidRDefault="00B5670A" w:rsidP="00A464D7">
            <w:pPr>
              <w:jc w:val="both"/>
              <w:rPr>
                <w:rFonts w:cstheme="minorHAnsi"/>
              </w:rPr>
            </w:pPr>
            <w:r>
              <w:rPr>
                <w:rFonts w:cstheme="minorHAnsi"/>
              </w:rPr>
              <w:t>Konfederacja Lewiatan</w:t>
            </w:r>
          </w:p>
        </w:tc>
        <w:tc>
          <w:tcPr>
            <w:tcW w:w="797" w:type="pct"/>
          </w:tcPr>
          <w:p w14:paraId="11CA3F77" w14:textId="47C2FAFC" w:rsidR="009337AE" w:rsidRPr="00A464D7" w:rsidRDefault="009337AE" w:rsidP="00A464D7">
            <w:pPr>
              <w:jc w:val="both"/>
              <w:rPr>
                <w:rFonts w:cstheme="minorHAnsi"/>
                <w:b/>
                <w:bCs/>
              </w:rPr>
            </w:pPr>
            <w:r w:rsidRPr="00A464D7">
              <w:rPr>
                <w:rFonts w:cstheme="minorHAnsi"/>
                <w:b/>
                <w:bCs/>
              </w:rPr>
              <w:t>art. 11e ustawy o CIT</w:t>
            </w:r>
          </w:p>
          <w:p w14:paraId="7DDA9C25" w14:textId="4D119C05" w:rsidR="00DA3FCA" w:rsidRPr="00A464D7" w:rsidRDefault="00DA3FCA" w:rsidP="00A464D7">
            <w:pPr>
              <w:jc w:val="both"/>
              <w:rPr>
                <w:rFonts w:cstheme="minorHAnsi"/>
              </w:rPr>
            </w:pPr>
            <w:r w:rsidRPr="00A464D7">
              <w:rPr>
                <w:rFonts w:cstheme="minorHAnsi"/>
              </w:rPr>
              <w:t>art. 2 pkt 1</w:t>
            </w:r>
            <w:r w:rsidR="00467CBF">
              <w:rPr>
                <w:rFonts w:cstheme="minorHAnsi"/>
              </w:rPr>
              <w:t xml:space="preserve"> </w:t>
            </w:r>
            <w:r w:rsidR="009A761B" w:rsidRPr="00A464D7">
              <w:rPr>
                <w:rFonts w:cstheme="minorHAnsi"/>
              </w:rPr>
              <w:t xml:space="preserve"> projektu </w:t>
            </w:r>
            <w:r w:rsidRPr="00A464D7">
              <w:rPr>
                <w:rFonts w:cstheme="minorHAnsi"/>
              </w:rPr>
              <w:t>ustawy zmieniającej</w:t>
            </w:r>
          </w:p>
          <w:p w14:paraId="3F45271C" w14:textId="77777777" w:rsidR="003E5529" w:rsidRPr="00A464D7" w:rsidRDefault="003E5529" w:rsidP="00A464D7">
            <w:pPr>
              <w:jc w:val="both"/>
              <w:rPr>
                <w:rFonts w:cstheme="minorHAnsi"/>
              </w:rPr>
            </w:pPr>
          </w:p>
        </w:tc>
        <w:tc>
          <w:tcPr>
            <w:tcW w:w="2350" w:type="pct"/>
          </w:tcPr>
          <w:p w14:paraId="26B71B31" w14:textId="4E657468" w:rsidR="003E5529" w:rsidRPr="00A464D7" w:rsidRDefault="003E5529" w:rsidP="00A464D7">
            <w:pPr>
              <w:jc w:val="both"/>
              <w:rPr>
                <w:rFonts w:cstheme="minorHAnsi"/>
              </w:rPr>
            </w:pPr>
            <w:r w:rsidRPr="00A464D7">
              <w:rPr>
                <w:rFonts w:cstheme="minorHAnsi"/>
              </w:rPr>
              <w:t>Obowiązek posiadania oświadczenia podmiotu powiązanego na moment dokonania korekty cen transferowych jest w praktyce gospodarczej trudny do realizacji oraz nie znajduje uzasadnienia z punktu widzenia ochrony interesów fiskalnych państwa.</w:t>
            </w:r>
          </w:p>
          <w:p w14:paraId="2829FFA2" w14:textId="77777777" w:rsidR="003E5529" w:rsidRPr="00B5670A" w:rsidRDefault="003E5529" w:rsidP="00A464D7">
            <w:pPr>
              <w:jc w:val="both"/>
              <w:rPr>
                <w:rFonts w:cstheme="minorHAnsi"/>
              </w:rPr>
            </w:pPr>
            <w:r w:rsidRPr="00B5670A">
              <w:rPr>
                <w:rFonts w:cstheme="minorHAnsi"/>
              </w:rPr>
              <w:t>Obowiązek ten wymusza kosztowne i nieproporcjonalne zmiany systemowe po stronie podatników.</w:t>
            </w:r>
          </w:p>
          <w:p w14:paraId="6E40BFF1" w14:textId="1DF16A3E" w:rsidR="003E5529" w:rsidRPr="00A464D7" w:rsidRDefault="003E5529" w:rsidP="00A464D7">
            <w:pPr>
              <w:jc w:val="both"/>
              <w:rPr>
                <w:rFonts w:cstheme="minorHAnsi"/>
              </w:rPr>
            </w:pPr>
            <w:r w:rsidRPr="00A464D7">
              <w:rPr>
                <w:rFonts w:cstheme="minorHAnsi"/>
              </w:rPr>
              <w:t>W praktyce gospodarczej faktury korygujące – w tym korekty cen transferowych – są ujmowane w systemach finansowo</w:t>
            </w:r>
            <w:r w:rsidRPr="00A464D7">
              <w:rPr>
                <w:rFonts w:ascii="Cambria Math" w:hAnsi="Cambria Math" w:cs="Cambria Math"/>
              </w:rPr>
              <w:t>‑</w:t>
            </w:r>
            <w:r w:rsidRPr="00A464D7">
              <w:rPr>
                <w:rFonts w:cstheme="minorHAnsi"/>
              </w:rPr>
              <w:t xml:space="preserve">księgowych w sposób zautomatyzowany, często </w:t>
            </w:r>
            <w:r w:rsidR="0041405B">
              <w:rPr>
                <w:rFonts w:cstheme="minorHAnsi"/>
              </w:rPr>
              <w:br/>
            </w:r>
            <w:r w:rsidRPr="00A464D7">
              <w:rPr>
                <w:rFonts w:cstheme="minorHAnsi"/>
              </w:rPr>
              <w:t xml:space="preserve">w trybie ciągłym. Nałożenie obowiązku pozyskiwania dodatkowych oświadczeń powoduje konieczność ingerencji </w:t>
            </w:r>
            <w:r w:rsidR="0041405B">
              <w:rPr>
                <w:rFonts w:cstheme="minorHAnsi"/>
              </w:rPr>
              <w:br/>
            </w:r>
            <w:r w:rsidRPr="00A464D7">
              <w:rPr>
                <w:rFonts w:cstheme="minorHAnsi"/>
              </w:rPr>
              <w:t>w istniejące, zintegrowane procesy księgowe i raportowe, co wiąże się z istotnymi kosztami dostosowawczymi, niewspółmiernymi do celu regulacji. W szczególności dotyczy to dużych podatników, u których skala korekt oraz stopień automatyzacji procesów są znaczne.</w:t>
            </w:r>
          </w:p>
          <w:p w14:paraId="45107570" w14:textId="77777777" w:rsidR="003E5529" w:rsidRPr="00B5670A" w:rsidRDefault="003E5529" w:rsidP="00A464D7">
            <w:pPr>
              <w:jc w:val="both"/>
              <w:rPr>
                <w:rFonts w:cstheme="minorHAnsi"/>
              </w:rPr>
            </w:pPr>
            <w:r w:rsidRPr="00B5670A">
              <w:rPr>
                <w:rFonts w:cstheme="minorHAnsi"/>
              </w:rPr>
              <w:t xml:space="preserve">Niedopuszczalne jest uzależnianie skutków podatkowych jednego podatnika od działań innego podatnika. </w:t>
            </w:r>
          </w:p>
          <w:p w14:paraId="23763151" w14:textId="77777777" w:rsidR="003E5529" w:rsidRPr="00A464D7" w:rsidRDefault="003E5529" w:rsidP="00A464D7">
            <w:pPr>
              <w:jc w:val="both"/>
              <w:rPr>
                <w:rFonts w:cstheme="minorHAnsi"/>
              </w:rPr>
            </w:pPr>
            <w:r w:rsidRPr="00A464D7">
              <w:rPr>
                <w:rFonts w:cstheme="minorHAnsi"/>
              </w:rPr>
              <w:t xml:space="preserve">Obowiązek pozyskiwania oświadczeń w praktyce prowadzi do sytuacji, w której możliwość prawidłowego i terminowego rozliczenia podatku przez jednego podatnika jest uzależniona od czynności podejmowanych przez innego, niezależnego podatnika. Wprowadzenie obowiązku uzależniającego możliwość prawidłowego rozliczenia korekty cen transferowych </w:t>
            </w:r>
            <w:r w:rsidRPr="00A464D7">
              <w:rPr>
                <w:rFonts w:cstheme="minorHAnsi"/>
              </w:rPr>
              <w:lastRenderedPageBreak/>
              <w:t>od czynności podejmowanych przez innego podatnika prowadzi do naruszenia indywidualnego charakteru zobowiązania podatkowego oraz zasady, zgodnie z którą odpowiedzialność podatkowa powinna być konsekwencją wyłącznie działań i stanu faktycznego po stronie danego podatnika.</w:t>
            </w:r>
          </w:p>
          <w:p w14:paraId="084EABEC" w14:textId="77777777" w:rsidR="003E5529" w:rsidRPr="00B5670A" w:rsidRDefault="003E5529" w:rsidP="00A464D7">
            <w:pPr>
              <w:jc w:val="both"/>
              <w:rPr>
                <w:rFonts w:cstheme="minorHAnsi"/>
              </w:rPr>
            </w:pPr>
            <w:r w:rsidRPr="00B5670A">
              <w:rPr>
                <w:rFonts w:cstheme="minorHAnsi"/>
              </w:rPr>
              <w:t>Korekty cen transferowych nie różnią się – co do skutków podatkowych – od korekt wynikających z nowych okoliczności lub oczywistej omyłki.</w:t>
            </w:r>
          </w:p>
          <w:p w14:paraId="4D2638C0" w14:textId="51859667" w:rsidR="003E5529" w:rsidRPr="00A464D7" w:rsidRDefault="003E5529" w:rsidP="00A464D7">
            <w:pPr>
              <w:jc w:val="both"/>
              <w:rPr>
                <w:rFonts w:cstheme="minorHAnsi"/>
              </w:rPr>
            </w:pPr>
            <w:r w:rsidRPr="00A464D7">
              <w:rPr>
                <w:rFonts w:cstheme="minorHAnsi"/>
              </w:rPr>
              <w:t xml:space="preserve">Z punktu widzenia podatku dochodowego korekty cen transferowych wywołują takie same skutki jak korekty wynikające z ujawnienia nowych okoliczności, błędów rachunkowych czy oczywistych omyłek. W żadnym z tych przypadków ustawodawca nie wymaga pozyskiwania dodatkowych oświadczeń warunkujących prawidłowość rozliczenia. Różnicowanie sytuacji podatników wyłącznie ze względu na przyczynę korekty nie znajduje uzasadnienia ani </w:t>
            </w:r>
            <w:r w:rsidR="0041405B">
              <w:rPr>
                <w:rFonts w:cstheme="minorHAnsi"/>
              </w:rPr>
              <w:br/>
            </w:r>
            <w:r w:rsidRPr="00A464D7">
              <w:rPr>
                <w:rFonts w:cstheme="minorHAnsi"/>
              </w:rPr>
              <w:t>w logice systemu podatkowego, ani w zasadzie równości wobec prawa.</w:t>
            </w:r>
          </w:p>
          <w:p w14:paraId="4E5C0A8C" w14:textId="77777777" w:rsidR="003E5529" w:rsidRPr="00B5670A" w:rsidRDefault="003E5529" w:rsidP="00A464D7">
            <w:pPr>
              <w:jc w:val="both"/>
              <w:rPr>
                <w:rFonts w:cstheme="minorHAnsi"/>
              </w:rPr>
            </w:pPr>
            <w:r w:rsidRPr="00B5670A">
              <w:rPr>
                <w:rFonts w:cstheme="minorHAnsi"/>
              </w:rPr>
              <w:t>Informacje o fakturach korygujących są już raportowane organom podatkowym w ramach TPR-C, JPK oraz KSeF.</w:t>
            </w:r>
          </w:p>
          <w:p w14:paraId="3C0D6CCF" w14:textId="22AD5A08" w:rsidR="003E5529" w:rsidRPr="00A464D7" w:rsidRDefault="003E5529" w:rsidP="00A464D7">
            <w:pPr>
              <w:jc w:val="both"/>
              <w:rPr>
                <w:rFonts w:cstheme="minorHAnsi"/>
              </w:rPr>
            </w:pPr>
            <w:r w:rsidRPr="00A464D7">
              <w:rPr>
                <w:rFonts w:cstheme="minorHAnsi"/>
              </w:rPr>
              <w:t xml:space="preserve">Faktury korygujące, w tym dotyczące transakcji kontrolowanych, są rejestrowane i przekazywane administracji skarbowej </w:t>
            </w:r>
            <w:r w:rsidR="0041405B">
              <w:rPr>
                <w:rFonts w:cstheme="minorHAnsi"/>
              </w:rPr>
              <w:br/>
            </w:r>
            <w:r w:rsidRPr="00A464D7">
              <w:rPr>
                <w:rFonts w:cstheme="minorHAnsi"/>
              </w:rPr>
              <w:t xml:space="preserve">w ramach Informacji o cenach </w:t>
            </w:r>
            <w:proofErr w:type="gramStart"/>
            <w:r w:rsidRPr="00A464D7">
              <w:rPr>
                <w:rFonts w:cstheme="minorHAnsi"/>
              </w:rPr>
              <w:t>transferowych,  Jednolitych</w:t>
            </w:r>
            <w:proofErr w:type="gramEnd"/>
            <w:r w:rsidRPr="00A464D7">
              <w:rPr>
                <w:rFonts w:cstheme="minorHAnsi"/>
              </w:rPr>
              <w:t xml:space="preserve"> Plików Kontrolnych oraz Krajowego Systemu e</w:t>
            </w:r>
            <w:r w:rsidRPr="00A464D7">
              <w:rPr>
                <w:rFonts w:cstheme="minorHAnsi"/>
              </w:rPr>
              <w:noBreakHyphen/>
              <w:t xml:space="preserve">Faktur. Organy podatkowe dysponują zatem pełną i bieżącą informacją </w:t>
            </w:r>
            <w:r w:rsidR="0041405B">
              <w:rPr>
                <w:rFonts w:cstheme="minorHAnsi"/>
              </w:rPr>
              <w:br/>
            </w:r>
            <w:r w:rsidRPr="00A464D7">
              <w:rPr>
                <w:rFonts w:cstheme="minorHAnsi"/>
              </w:rPr>
              <w:t>o dokonanych korektach, co eliminuje argument o konieczności dodatkowego zabezpieczenia interesów fiskalnych poprzez oświadczenia.</w:t>
            </w:r>
          </w:p>
          <w:p w14:paraId="6A1413C5" w14:textId="7FFC5261" w:rsidR="003E5529" w:rsidRPr="00D65D6E" w:rsidRDefault="003E5529" w:rsidP="00A464D7">
            <w:pPr>
              <w:jc w:val="both"/>
              <w:rPr>
                <w:rFonts w:cstheme="minorHAnsi"/>
              </w:rPr>
            </w:pPr>
            <w:r w:rsidRPr="00D65D6E">
              <w:rPr>
                <w:rFonts w:cstheme="minorHAnsi"/>
              </w:rPr>
              <w:t xml:space="preserve">Pozyskiwanie oświadczeń prowadzi do nieuzasadnionych korekt deklaracji i postępowań </w:t>
            </w:r>
            <w:r w:rsidR="00D65D6E" w:rsidRPr="00D65D6E">
              <w:rPr>
                <w:rFonts w:cstheme="minorHAnsi"/>
              </w:rPr>
              <w:t xml:space="preserve">o </w:t>
            </w:r>
            <w:r w:rsidR="00E41007">
              <w:rPr>
                <w:rFonts w:cstheme="minorHAnsi"/>
              </w:rPr>
              <w:t xml:space="preserve">stwierdzenie </w:t>
            </w:r>
            <w:r w:rsidRPr="00D65D6E">
              <w:rPr>
                <w:rFonts w:cstheme="minorHAnsi"/>
              </w:rPr>
              <w:t>nadpłat</w:t>
            </w:r>
            <w:r w:rsidR="00E41007">
              <w:rPr>
                <w:rFonts w:cstheme="minorHAnsi"/>
              </w:rPr>
              <w:t>y</w:t>
            </w:r>
            <w:r w:rsidRPr="00D65D6E">
              <w:rPr>
                <w:rFonts w:cstheme="minorHAnsi"/>
              </w:rPr>
              <w:t>.</w:t>
            </w:r>
          </w:p>
          <w:p w14:paraId="1F474CDA" w14:textId="5B18F66D" w:rsidR="003E5529" w:rsidRPr="00A464D7" w:rsidRDefault="003E5529" w:rsidP="00A464D7">
            <w:pPr>
              <w:jc w:val="both"/>
              <w:rPr>
                <w:rFonts w:cstheme="minorHAnsi"/>
              </w:rPr>
            </w:pPr>
            <w:r w:rsidRPr="00A464D7">
              <w:rPr>
                <w:rFonts w:cstheme="minorHAnsi"/>
              </w:rPr>
              <w:t xml:space="preserve">W praktyce obowiązek składania oświadczeń (w szczególności do korekt wystawianych po zakończeniu roku), skutkuje niejednokrotnie koniecznością korygowania deklaracji </w:t>
            </w:r>
            <w:r w:rsidRPr="00A464D7">
              <w:rPr>
                <w:rFonts w:cstheme="minorHAnsi"/>
              </w:rPr>
              <w:lastRenderedPageBreak/>
              <w:t xml:space="preserve">podatkowych już po pierwotnym ich złożeniu, wyłącznie </w:t>
            </w:r>
            <w:r w:rsidR="0041405B">
              <w:rPr>
                <w:rFonts w:cstheme="minorHAnsi"/>
              </w:rPr>
              <w:br/>
            </w:r>
            <w:r w:rsidRPr="00A464D7">
              <w:rPr>
                <w:rFonts w:cstheme="minorHAnsi"/>
              </w:rPr>
              <w:t xml:space="preserve">z przyczyn formalnych (otrzymanie oświadczeń potwierdzających dokonanie korekty cen transferowych po terminie złożenia zeznania). Prowadzi to do inicjowania postępowań </w:t>
            </w:r>
            <w:proofErr w:type="spellStart"/>
            <w:r w:rsidRPr="00A464D7">
              <w:rPr>
                <w:rFonts w:cstheme="minorHAnsi"/>
              </w:rPr>
              <w:t>nadpłatowych</w:t>
            </w:r>
            <w:proofErr w:type="spellEnd"/>
            <w:r w:rsidRPr="00A464D7">
              <w:rPr>
                <w:rFonts w:cstheme="minorHAnsi"/>
              </w:rPr>
              <w:t xml:space="preserve">, angażujących zarówno podatników, jak i organy podatkowe, bez jakiejkolwiek korzyści dla prawidłowości rozliczeń. Generuje to zbędne obciążenia administracyjne, sprzeczne z zasadą efektywności </w:t>
            </w:r>
            <w:r w:rsidR="0041405B">
              <w:rPr>
                <w:rFonts w:cstheme="minorHAnsi"/>
              </w:rPr>
              <w:br/>
            </w:r>
            <w:r w:rsidRPr="00A464D7">
              <w:rPr>
                <w:rFonts w:cstheme="minorHAnsi"/>
              </w:rPr>
              <w:t>i proporcjonalności działania administracji publicznej.</w:t>
            </w:r>
          </w:p>
          <w:p w14:paraId="0D5C0A56" w14:textId="67B2A569" w:rsidR="003E5529" w:rsidRPr="007E1474" w:rsidRDefault="003E5529" w:rsidP="00A464D7">
            <w:pPr>
              <w:jc w:val="both"/>
              <w:rPr>
                <w:rFonts w:cstheme="minorHAnsi"/>
              </w:rPr>
            </w:pPr>
            <w:r w:rsidRPr="007E1474">
              <w:rPr>
                <w:rFonts w:cstheme="minorHAnsi"/>
              </w:rPr>
              <w:t xml:space="preserve">Obowiązek oświadczeń nie zwiększa rzetelności rozliczeń, </w:t>
            </w:r>
            <w:r w:rsidR="0041405B">
              <w:rPr>
                <w:rFonts w:cstheme="minorHAnsi"/>
              </w:rPr>
              <w:br/>
            </w:r>
            <w:r w:rsidRPr="007E1474">
              <w:rPr>
                <w:rFonts w:cstheme="minorHAnsi"/>
              </w:rPr>
              <w:t>a jedynie formalizuje proces.</w:t>
            </w:r>
          </w:p>
          <w:p w14:paraId="24EDCD12" w14:textId="12DA4280" w:rsidR="003E5529" w:rsidRPr="00A464D7" w:rsidRDefault="003E5529" w:rsidP="00A464D7">
            <w:pPr>
              <w:jc w:val="both"/>
              <w:rPr>
                <w:rFonts w:cstheme="minorHAnsi"/>
              </w:rPr>
            </w:pPr>
            <w:r w:rsidRPr="00A464D7">
              <w:rPr>
                <w:rFonts w:cstheme="minorHAnsi"/>
              </w:rPr>
              <w:t>Wprowadzenie dodatkowego elementu w postaci oświadczeń nie wpływa na merytoryczną ocenę rynkowości transakcji ani na wysokość zobowiązania podatkowego. W praktyce prowadzi jedynie do zwiększenia formalizmu i ryzyka sankcyjnego, bez realnego zwiększenia transparentności czy skuteczności kontroli podatkowej.</w:t>
            </w:r>
          </w:p>
          <w:p w14:paraId="51E0FB56" w14:textId="4B80A9FA" w:rsidR="003E5529" w:rsidRPr="007E1474" w:rsidRDefault="003E5529" w:rsidP="00A464D7">
            <w:pPr>
              <w:jc w:val="both"/>
              <w:rPr>
                <w:rFonts w:cstheme="minorHAnsi"/>
              </w:rPr>
            </w:pPr>
            <w:r w:rsidRPr="007E1474">
              <w:rPr>
                <w:rFonts w:cstheme="minorHAnsi"/>
              </w:rPr>
              <w:t xml:space="preserve">Mając na względzie powyższe, postulujemy o uchylenie pkt 3 </w:t>
            </w:r>
            <w:r w:rsidR="0041405B">
              <w:rPr>
                <w:rFonts w:cstheme="minorHAnsi"/>
              </w:rPr>
              <w:br/>
            </w:r>
            <w:r w:rsidRPr="007E1474">
              <w:rPr>
                <w:rFonts w:cstheme="minorHAnsi"/>
              </w:rPr>
              <w:t>w art. 11e ustawy CIT, skutkującego zniesieniem obowiązku pozyskiwania oświadczeń podmiotu powiązanego na moment dokonania korekty cen transferowych.</w:t>
            </w:r>
          </w:p>
          <w:p w14:paraId="3F16FD3D" w14:textId="77777777" w:rsidR="003E5529" w:rsidRPr="00A464D7" w:rsidRDefault="003E5529" w:rsidP="00A464D7">
            <w:pPr>
              <w:jc w:val="both"/>
              <w:rPr>
                <w:rFonts w:cstheme="minorHAnsi"/>
              </w:rPr>
            </w:pPr>
          </w:p>
        </w:tc>
        <w:tc>
          <w:tcPr>
            <w:tcW w:w="1223" w:type="pct"/>
          </w:tcPr>
          <w:p w14:paraId="6FFDF5AF" w14:textId="625FD1C6" w:rsidR="003E5529" w:rsidRPr="00A464D7" w:rsidRDefault="003E5529" w:rsidP="00A464D7">
            <w:pPr>
              <w:jc w:val="both"/>
              <w:rPr>
                <w:rFonts w:cstheme="minorHAnsi"/>
              </w:rPr>
            </w:pPr>
            <w:r w:rsidRPr="00A464D7">
              <w:rPr>
                <w:rFonts w:cstheme="minorHAnsi"/>
              </w:rPr>
              <w:lastRenderedPageBreak/>
              <w:t xml:space="preserve">Proponujemy nowe brzmienie </w:t>
            </w:r>
            <w:r w:rsidR="00C03785">
              <w:rPr>
                <w:rFonts w:cstheme="minorHAnsi"/>
              </w:rPr>
              <w:t>a</w:t>
            </w:r>
            <w:r w:rsidRPr="00A464D7">
              <w:rPr>
                <w:rFonts w:cstheme="minorHAnsi"/>
              </w:rPr>
              <w:t xml:space="preserve">rt. 2 pkt 1) </w:t>
            </w:r>
            <w:r w:rsidR="00BE6278">
              <w:rPr>
                <w:rFonts w:cstheme="minorHAnsi"/>
              </w:rPr>
              <w:t>u</w:t>
            </w:r>
            <w:r w:rsidRPr="00A464D7">
              <w:rPr>
                <w:rFonts w:cstheme="minorHAnsi"/>
              </w:rPr>
              <w:t>stawy zmieniającej:</w:t>
            </w:r>
          </w:p>
          <w:p w14:paraId="7CC72352" w14:textId="77777777" w:rsidR="003E5529" w:rsidRPr="00A464D7" w:rsidRDefault="003E5529" w:rsidP="00A464D7">
            <w:pPr>
              <w:jc w:val="both"/>
              <w:rPr>
                <w:rFonts w:cstheme="minorHAnsi"/>
                <w:i/>
                <w:iCs/>
              </w:rPr>
            </w:pPr>
            <w:r w:rsidRPr="00A464D7">
              <w:rPr>
                <w:rFonts w:cstheme="minorHAnsi"/>
                <w:i/>
                <w:iCs/>
              </w:rPr>
              <w:t>1)</w:t>
            </w:r>
            <w:r w:rsidRPr="00A464D7">
              <w:rPr>
                <w:rFonts w:cstheme="minorHAnsi"/>
                <w:i/>
                <w:iCs/>
              </w:rPr>
              <w:tab/>
              <w:t xml:space="preserve">w art. 11e </w:t>
            </w:r>
            <w:r w:rsidRPr="00A464D7">
              <w:rPr>
                <w:rFonts w:cstheme="minorHAnsi"/>
                <w:b/>
                <w:bCs/>
                <w:i/>
                <w:iCs/>
              </w:rPr>
              <w:t>uchyla się pkt 3,</w:t>
            </w:r>
            <w:r w:rsidRPr="00A464D7">
              <w:rPr>
                <w:rFonts w:cstheme="minorHAnsi"/>
                <w:i/>
                <w:iCs/>
              </w:rPr>
              <w:t xml:space="preserve"> a pkt 4 otrzymuje brzmienie:</w:t>
            </w:r>
          </w:p>
          <w:p w14:paraId="7EA2FE97" w14:textId="77777777" w:rsidR="003E5529" w:rsidRPr="00A464D7" w:rsidRDefault="003E5529" w:rsidP="00A464D7">
            <w:pPr>
              <w:jc w:val="both"/>
              <w:rPr>
                <w:rFonts w:cstheme="minorHAnsi"/>
              </w:rPr>
            </w:pPr>
            <w:r w:rsidRPr="00A464D7">
              <w:rPr>
                <w:rFonts w:cstheme="minorHAnsi"/>
                <w:i/>
                <w:iCs/>
              </w:rPr>
              <w:t>„4)</w:t>
            </w:r>
            <w:r w:rsidRPr="00A464D7">
              <w:rPr>
                <w:rFonts w:cstheme="minorHAnsi"/>
                <w:i/>
                <w:iCs/>
              </w:rPr>
              <w:tab/>
              <w:t xml:space="preserve">istnieje podstawa prawna do wymiany informacji podatkowych z państwem, w którym podmiot powiązany, o którym mowa w pkt 3, ma miejsce zamieszkania, siedzibę lub zarząd – w </w:t>
            </w:r>
            <w:proofErr w:type="gramStart"/>
            <w:r w:rsidRPr="00A464D7">
              <w:rPr>
                <w:rFonts w:cstheme="minorHAnsi"/>
                <w:i/>
                <w:iCs/>
              </w:rPr>
              <w:t>przypadku</w:t>
            </w:r>
            <w:proofErr w:type="gramEnd"/>
            <w:r w:rsidRPr="00A464D7">
              <w:rPr>
                <w:rFonts w:cstheme="minorHAnsi"/>
                <w:i/>
                <w:iCs/>
              </w:rPr>
              <w:t xml:space="preserve"> gdy ten podmiot powiązany nie ma miejsca zamieszkania, siedziby lub zarządu na terytorium Rzeczypospolitej Polskiej.”</w:t>
            </w:r>
          </w:p>
        </w:tc>
      </w:tr>
      <w:tr w:rsidR="003E5529" w:rsidRPr="00A464D7" w14:paraId="4FCAF514" w14:textId="77777777" w:rsidTr="007E4029">
        <w:trPr>
          <w:jc w:val="center"/>
        </w:trPr>
        <w:tc>
          <w:tcPr>
            <w:tcW w:w="181" w:type="pct"/>
          </w:tcPr>
          <w:p w14:paraId="06437DC0" w14:textId="77777777" w:rsidR="003E5529" w:rsidRPr="00A464D7" w:rsidRDefault="003E5529" w:rsidP="00A464D7">
            <w:pPr>
              <w:jc w:val="both"/>
              <w:rPr>
                <w:rFonts w:cstheme="minorHAnsi"/>
              </w:rPr>
            </w:pPr>
            <w:r w:rsidRPr="00A464D7">
              <w:rPr>
                <w:rFonts w:cstheme="minorHAnsi"/>
              </w:rPr>
              <w:lastRenderedPageBreak/>
              <w:t xml:space="preserve">2. </w:t>
            </w:r>
          </w:p>
        </w:tc>
        <w:tc>
          <w:tcPr>
            <w:tcW w:w="449" w:type="pct"/>
          </w:tcPr>
          <w:p w14:paraId="25061E5A" w14:textId="7651DAF2" w:rsidR="003E5529" w:rsidRPr="00A464D7" w:rsidRDefault="00411662" w:rsidP="00A464D7">
            <w:pPr>
              <w:jc w:val="both"/>
              <w:rPr>
                <w:rFonts w:cstheme="minorHAnsi"/>
              </w:rPr>
            </w:pPr>
            <w:r>
              <w:rPr>
                <w:rFonts w:cstheme="minorHAnsi"/>
              </w:rPr>
              <w:t>Konfederacja Lewiatan</w:t>
            </w:r>
          </w:p>
        </w:tc>
        <w:tc>
          <w:tcPr>
            <w:tcW w:w="797" w:type="pct"/>
          </w:tcPr>
          <w:p w14:paraId="703D4795" w14:textId="46BC5E25" w:rsidR="003E5529" w:rsidRDefault="002657F9" w:rsidP="00A464D7">
            <w:pPr>
              <w:jc w:val="both"/>
              <w:rPr>
                <w:rFonts w:cstheme="minorHAnsi"/>
                <w:b/>
                <w:bCs/>
              </w:rPr>
            </w:pPr>
            <w:r w:rsidRPr="00A464D7">
              <w:rPr>
                <w:rFonts w:cstheme="minorHAnsi"/>
                <w:b/>
                <w:bCs/>
              </w:rPr>
              <w:t>art. 11o ust. 1 oraz art. 11q ustawy</w:t>
            </w:r>
            <w:r w:rsidR="00A14EEF">
              <w:rPr>
                <w:rFonts w:cstheme="minorHAnsi"/>
                <w:b/>
                <w:bCs/>
              </w:rPr>
              <w:t xml:space="preserve"> </w:t>
            </w:r>
            <w:proofErr w:type="gramStart"/>
            <w:r w:rsidR="00A14EEF">
              <w:rPr>
                <w:rFonts w:cstheme="minorHAnsi"/>
                <w:b/>
                <w:bCs/>
              </w:rPr>
              <w:t xml:space="preserve">o </w:t>
            </w:r>
            <w:r w:rsidRPr="00A464D7">
              <w:rPr>
                <w:rFonts w:cstheme="minorHAnsi"/>
                <w:b/>
                <w:bCs/>
              </w:rPr>
              <w:t xml:space="preserve"> CIT</w:t>
            </w:r>
            <w:proofErr w:type="gramEnd"/>
            <w:r w:rsidR="00BC058C" w:rsidRPr="00A464D7">
              <w:rPr>
                <w:rFonts w:cstheme="minorHAnsi"/>
                <w:b/>
                <w:bCs/>
              </w:rPr>
              <w:t xml:space="preserve"> </w:t>
            </w:r>
          </w:p>
          <w:p w14:paraId="7294065C" w14:textId="77777777" w:rsidR="00467CBF" w:rsidRPr="00A464D7" w:rsidRDefault="00467CBF" w:rsidP="00A464D7">
            <w:pPr>
              <w:jc w:val="both"/>
              <w:rPr>
                <w:rFonts w:cstheme="minorHAnsi"/>
                <w:b/>
                <w:bCs/>
              </w:rPr>
            </w:pPr>
          </w:p>
          <w:p w14:paraId="542A5151" w14:textId="1FC06C0B" w:rsidR="003E5529" w:rsidRPr="00A464D7" w:rsidRDefault="00A93694" w:rsidP="00A464D7">
            <w:pPr>
              <w:jc w:val="both"/>
              <w:rPr>
                <w:rFonts w:cstheme="minorHAnsi"/>
              </w:rPr>
            </w:pPr>
            <w:r w:rsidRPr="00A464D7">
              <w:rPr>
                <w:rFonts w:cstheme="minorHAnsi"/>
              </w:rPr>
              <w:t>a</w:t>
            </w:r>
            <w:r w:rsidR="003E5529" w:rsidRPr="00A464D7">
              <w:rPr>
                <w:rFonts w:cstheme="minorHAnsi"/>
              </w:rPr>
              <w:t xml:space="preserve">rt. 2 </w:t>
            </w:r>
            <w:r w:rsidRPr="00A464D7">
              <w:rPr>
                <w:rFonts w:cstheme="minorHAnsi"/>
              </w:rPr>
              <w:t>p</w:t>
            </w:r>
            <w:r w:rsidR="003E5529" w:rsidRPr="00A464D7">
              <w:rPr>
                <w:rFonts w:cstheme="minorHAnsi"/>
              </w:rPr>
              <w:t>kt 2 oraz</w:t>
            </w:r>
            <w:r w:rsidRPr="00A464D7">
              <w:rPr>
                <w:rFonts w:cstheme="minorHAnsi"/>
              </w:rPr>
              <w:t xml:space="preserve"> a</w:t>
            </w:r>
            <w:r w:rsidR="003E5529" w:rsidRPr="00A464D7">
              <w:rPr>
                <w:rFonts w:cstheme="minorHAnsi"/>
              </w:rPr>
              <w:t>rt. 2</w:t>
            </w:r>
            <w:r w:rsidR="00AF6A1E">
              <w:rPr>
                <w:rFonts w:cstheme="minorHAnsi"/>
              </w:rPr>
              <w:t xml:space="preserve"> </w:t>
            </w:r>
            <w:r w:rsidRPr="00A464D7">
              <w:rPr>
                <w:rFonts w:cstheme="minorHAnsi"/>
              </w:rPr>
              <w:t>p</w:t>
            </w:r>
            <w:r w:rsidR="003E5529" w:rsidRPr="00A464D7">
              <w:rPr>
                <w:rFonts w:cstheme="minorHAnsi"/>
              </w:rPr>
              <w:t xml:space="preserve">kt 3 </w:t>
            </w:r>
            <w:r w:rsidR="009A761B" w:rsidRPr="00A464D7">
              <w:rPr>
                <w:rFonts w:cstheme="minorHAnsi"/>
              </w:rPr>
              <w:t xml:space="preserve">projektu </w:t>
            </w:r>
            <w:r w:rsidRPr="00A464D7">
              <w:rPr>
                <w:rFonts w:cstheme="minorHAnsi"/>
              </w:rPr>
              <w:t>u</w:t>
            </w:r>
            <w:r w:rsidR="003E5529" w:rsidRPr="00A464D7">
              <w:rPr>
                <w:rFonts w:cstheme="minorHAnsi"/>
              </w:rPr>
              <w:t>stawy zmieniającej</w:t>
            </w:r>
          </w:p>
          <w:p w14:paraId="767E6DC9" w14:textId="77777777" w:rsidR="003E5529" w:rsidRPr="00A464D7" w:rsidRDefault="003E5529" w:rsidP="00A464D7">
            <w:pPr>
              <w:jc w:val="both"/>
              <w:rPr>
                <w:rFonts w:cstheme="minorHAnsi"/>
              </w:rPr>
            </w:pPr>
          </w:p>
        </w:tc>
        <w:tc>
          <w:tcPr>
            <w:tcW w:w="2350" w:type="pct"/>
          </w:tcPr>
          <w:p w14:paraId="2A9B4052" w14:textId="2205A6D3" w:rsidR="003E5529" w:rsidRPr="009B0FA3" w:rsidRDefault="003E5529" w:rsidP="00A464D7">
            <w:pPr>
              <w:jc w:val="both"/>
              <w:rPr>
                <w:rFonts w:cstheme="minorHAnsi"/>
              </w:rPr>
            </w:pPr>
            <w:r w:rsidRPr="009B0FA3">
              <w:rPr>
                <w:rFonts w:cstheme="minorHAnsi"/>
              </w:rPr>
              <w:t xml:space="preserve">Wnosimy o rezygnację z obowiązku składania oświadczenia </w:t>
            </w:r>
            <w:r w:rsidR="0041405B">
              <w:rPr>
                <w:rFonts w:cstheme="minorHAnsi"/>
              </w:rPr>
              <w:br/>
            </w:r>
            <w:r w:rsidRPr="009B0FA3">
              <w:rPr>
                <w:rFonts w:cstheme="minorHAnsi"/>
              </w:rPr>
              <w:t>o sporządzeniu dokumentacji cen transferowych oraz stosowaniu cen rynkowych jako elementu lokalnej dokumentacji cen transferowych.</w:t>
            </w:r>
          </w:p>
          <w:p w14:paraId="20FF48A8" w14:textId="4DDDBFAC" w:rsidR="003E5529" w:rsidRPr="009B0FA3" w:rsidRDefault="003E5529" w:rsidP="00A464D7">
            <w:pPr>
              <w:jc w:val="both"/>
              <w:rPr>
                <w:rFonts w:cstheme="minorHAnsi"/>
              </w:rPr>
            </w:pPr>
            <w:r w:rsidRPr="009B0FA3">
              <w:rPr>
                <w:rFonts w:cstheme="minorHAnsi"/>
              </w:rPr>
              <w:t xml:space="preserve">Zgodnie z obowiązującym prawem podatnicy przygotowują dokumentację cen transferowych oraz składają informację TPR-C, która m.in. zawiera potwierdzenie, że dokumentacja cen transferowych została przygotowana (dotyczy to transakcji raportowanych w TPR-C w trybie pełnym) oraz dane potwierdzające zgodność transakcji z zasadą ceny rynkowej (wskazywana jest metoda weryfikacji rynkowości wraz </w:t>
            </w:r>
            <w:r w:rsidR="0041405B">
              <w:rPr>
                <w:rFonts w:cstheme="minorHAnsi"/>
              </w:rPr>
              <w:br/>
            </w:r>
            <w:r w:rsidRPr="009B0FA3">
              <w:rPr>
                <w:rFonts w:cstheme="minorHAnsi"/>
              </w:rPr>
              <w:lastRenderedPageBreak/>
              <w:t>z odniesieniem do wartości rynkowych, o ile dane takie są dostępne). Wprowadzanie dodatkowego oświadczenia nie zwiększa wartości informacyjnej dla organów podatkowych, niezależnie czy oświadczenie jest elementem TPR-C, czy też elementem dokumentacji. Jest to naszym zdaniem nadmiarowy obowiązek, który:</w:t>
            </w:r>
          </w:p>
          <w:p w14:paraId="7C9317B7" w14:textId="76271E9B" w:rsidR="003E5529" w:rsidRPr="009B0FA3" w:rsidRDefault="003E5529" w:rsidP="00A464D7">
            <w:pPr>
              <w:pStyle w:val="Akapitzlist"/>
              <w:numPr>
                <w:ilvl w:val="0"/>
                <w:numId w:val="10"/>
              </w:numPr>
              <w:jc w:val="both"/>
              <w:rPr>
                <w:rFonts w:cstheme="minorHAnsi"/>
              </w:rPr>
            </w:pPr>
            <w:r w:rsidRPr="009B0FA3">
              <w:rPr>
                <w:rFonts w:cstheme="minorHAnsi"/>
              </w:rPr>
              <w:t>nie ma wpływu na stosowanie w szerszym zakresie zasady ceny rynkowej w transakcjach kontrolowanych lub w transakcjach z podmiotami rajowymi. Taki obowiązek wynika z ustawy CIT i jako taki jest sankcjonowany m.in. dodatkowym zobowiązaniem podatkowym, wynikającym z art. 58c ustawy Ordynacja podatkowa.</w:t>
            </w:r>
          </w:p>
          <w:p w14:paraId="3201BAA5" w14:textId="63A75CB6" w:rsidR="003E5529" w:rsidRPr="009B0FA3" w:rsidRDefault="003E5529" w:rsidP="00A464D7">
            <w:pPr>
              <w:pStyle w:val="Akapitzlist"/>
              <w:numPr>
                <w:ilvl w:val="0"/>
                <w:numId w:val="10"/>
              </w:numPr>
              <w:jc w:val="both"/>
              <w:rPr>
                <w:rFonts w:cstheme="minorHAnsi"/>
              </w:rPr>
            </w:pPr>
            <w:r w:rsidRPr="009B0FA3">
              <w:rPr>
                <w:rFonts w:cstheme="minorHAnsi"/>
              </w:rPr>
              <w:t xml:space="preserve">nie ma wpływu na kompletność dokumentacji cen transferowych oraz rzetelność danych wykazywanych w dokumentacji cen transferowych. Obowiązek sporządzenia kompletnej dokumentacji cen transferowych oraz zawarcia w tej dokumentacji wszystkich wymaganych informacji wynika wprost </w:t>
            </w:r>
            <w:r w:rsidR="007831A9">
              <w:rPr>
                <w:rFonts w:cstheme="minorHAnsi"/>
              </w:rPr>
              <w:br/>
            </w:r>
            <w:r w:rsidRPr="009B0FA3">
              <w:rPr>
                <w:rFonts w:cstheme="minorHAnsi"/>
              </w:rPr>
              <w:t>z ustawy CIT i jest sankcjonowany karą grzywny, wynikającą m.in.</w:t>
            </w:r>
            <w:r w:rsidR="00C4295F">
              <w:rPr>
                <w:rFonts w:cstheme="minorHAnsi"/>
              </w:rPr>
              <w:t xml:space="preserve"> </w:t>
            </w:r>
            <w:r w:rsidR="000F35D5">
              <w:rPr>
                <w:rFonts w:cstheme="minorHAnsi"/>
              </w:rPr>
              <w:t xml:space="preserve">z </w:t>
            </w:r>
            <w:r w:rsidRPr="009B0FA3">
              <w:rPr>
                <w:rFonts w:cstheme="minorHAnsi"/>
              </w:rPr>
              <w:t xml:space="preserve">projektowanego w </w:t>
            </w:r>
            <w:r w:rsidR="000F35D5">
              <w:rPr>
                <w:rFonts w:cstheme="minorHAnsi"/>
              </w:rPr>
              <w:t>u</w:t>
            </w:r>
            <w:r w:rsidRPr="009B0FA3">
              <w:rPr>
                <w:rFonts w:cstheme="minorHAnsi"/>
              </w:rPr>
              <w:t>stawie zmieniającej nowego brzmienia art. 56c ustawy Kodek</w:t>
            </w:r>
            <w:r w:rsidR="00A83930">
              <w:rPr>
                <w:rFonts w:cstheme="minorHAnsi"/>
              </w:rPr>
              <w:t xml:space="preserve">s </w:t>
            </w:r>
            <w:r w:rsidRPr="009B0FA3">
              <w:rPr>
                <w:rFonts w:cstheme="minorHAnsi"/>
              </w:rPr>
              <w:t>karny skarbowy.</w:t>
            </w:r>
          </w:p>
          <w:p w14:paraId="07622CD4" w14:textId="7C06B6A1" w:rsidR="003E5529" w:rsidRPr="009B0FA3" w:rsidRDefault="008C06D2" w:rsidP="00A464D7">
            <w:pPr>
              <w:pStyle w:val="Akapitzlist"/>
              <w:numPr>
                <w:ilvl w:val="0"/>
                <w:numId w:val="10"/>
              </w:numPr>
              <w:jc w:val="both"/>
              <w:rPr>
                <w:rFonts w:cstheme="minorHAnsi"/>
              </w:rPr>
            </w:pPr>
            <w:r w:rsidRPr="009B0FA3">
              <w:rPr>
                <w:rFonts w:cstheme="minorHAnsi"/>
              </w:rPr>
              <w:t>s</w:t>
            </w:r>
            <w:r w:rsidR="003E5529" w:rsidRPr="009B0FA3">
              <w:rPr>
                <w:rFonts w:cstheme="minorHAnsi"/>
              </w:rPr>
              <w:t>am fakt obowiązku udokumentowania transakcji zgodnie ze stanem rzeczywistym, jak i obowiązek stosowania cen rynkowych wynika wprost z przepisu</w:t>
            </w:r>
            <w:r w:rsidR="00755A1B">
              <w:rPr>
                <w:rFonts w:cstheme="minorHAnsi"/>
              </w:rPr>
              <w:t xml:space="preserve">, </w:t>
            </w:r>
            <w:r w:rsidR="003E5529" w:rsidRPr="009B0FA3">
              <w:rPr>
                <w:rFonts w:cstheme="minorHAnsi"/>
              </w:rPr>
              <w:t>stąd nie ma potrzeby składania dodatkowych oświadczeń (samo złożenie TPR-C czy przygotowanie dokumentacji powinno być interpretowane jako oświadczenie podatnika).</w:t>
            </w:r>
          </w:p>
          <w:p w14:paraId="2DDBC0A1" w14:textId="79AC128C" w:rsidR="003E5529" w:rsidRPr="009B0FA3" w:rsidRDefault="008C06D2" w:rsidP="00A464D7">
            <w:pPr>
              <w:pStyle w:val="Akapitzlist"/>
              <w:numPr>
                <w:ilvl w:val="0"/>
                <w:numId w:val="10"/>
              </w:numPr>
              <w:jc w:val="both"/>
              <w:rPr>
                <w:rFonts w:cstheme="minorHAnsi"/>
              </w:rPr>
            </w:pPr>
            <w:r w:rsidRPr="009B0FA3">
              <w:rPr>
                <w:rFonts w:cstheme="minorHAnsi"/>
              </w:rPr>
              <w:t>u</w:t>
            </w:r>
            <w:r w:rsidR="003E5529" w:rsidRPr="009B0FA3">
              <w:rPr>
                <w:rFonts w:cstheme="minorHAnsi"/>
              </w:rPr>
              <w:t xml:space="preserve">miejscowienie Oświadczenia w lokalnej dokumentacji cen transferowych daje wartość informacyjną dla organów skarbowych dopiero na etapie kontroli, </w:t>
            </w:r>
            <w:r w:rsidR="003E5529" w:rsidRPr="009B0FA3">
              <w:rPr>
                <w:rFonts w:cstheme="minorHAnsi"/>
              </w:rPr>
              <w:lastRenderedPageBreak/>
              <w:t>nakładając jednocześnie obowiązek pozyskiwania podpisów Członków Zarządu pod dużą ilością dokumentów (w przypadku dużych spółek liczba dokumentacji podatkowych sięgać może kilkudziesięciu).</w:t>
            </w:r>
          </w:p>
          <w:p w14:paraId="6279AB91" w14:textId="269C916E" w:rsidR="003E5529" w:rsidRPr="009B0FA3" w:rsidRDefault="003E5529" w:rsidP="00A464D7">
            <w:pPr>
              <w:jc w:val="both"/>
              <w:rPr>
                <w:rFonts w:cstheme="minorHAnsi"/>
              </w:rPr>
            </w:pPr>
            <w:r w:rsidRPr="009B0FA3">
              <w:rPr>
                <w:rFonts w:cstheme="minorHAnsi"/>
              </w:rPr>
              <w:t xml:space="preserve">Ponadto, ciężar dowodowy wykazania rynkowości w transakcji spoczywa na podatniku, zatem dodatkowe oświadczenie nie zmienia ani zakresu tej odpowiedzialności, ani możliwości organów w zakresie egzekwowania realizacji tego obowiązku. </w:t>
            </w:r>
            <w:r w:rsidR="007831A9">
              <w:rPr>
                <w:rFonts w:cstheme="minorHAnsi"/>
              </w:rPr>
              <w:br/>
            </w:r>
            <w:r w:rsidRPr="009B0FA3">
              <w:rPr>
                <w:rFonts w:cstheme="minorHAnsi"/>
              </w:rPr>
              <w:t xml:space="preserve">W efekcie obowiązek dołączania oświadczenia jako elementu dokumentacji cen transferowych rozszerza jedynie obciążenia administracyjne bez adekwatnej korzyści publicznej, co czyni ten obowiązek nadmiarowym i powielającym istniejące regulacje. </w:t>
            </w:r>
          </w:p>
          <w:p w14:paraId="02D973DF" w14:textId="77777777" w:rsidR="002630D9" w:rsidRPr="009B0FA3" w:rsidRDefault="002630D9" w:rsidP="00A464D7">
            <w:pPr>
              <w:jc w:val="both"/>
              <w:rPr>
                <w:rFonts w:cstheme="minorHAnsi"/>
              </w:rPr>
            </w:pPr>
          </w:p>
          <w:p w14:paraId="42CB7A8F" w14:textId="5F83DE3C" w:rsidR="00BE3A21" w:rsidRPr="009B0FA3" w:rsidRDefault="00BE3A21" w:rsidP="00A464D7">
            <w:pPr>
              <w:jc w:val="both"/>
              <w:rPr>
                <w:rFonts w:cstheme="minorHAnsi"/>
              </w:rPr>
            </w:pPr>
            <w:r w:rsidRPr="009B0FA3">
              <w:rPr>
                <w:rFonts w:cstheme="minorHAnsi"/>
              </w:rPr>
              <w:t xml:space="preserve">Alternatywnie, odnosząc się wprost do zmian przepisów proponowanych w projekcie ustawy, postulujemy pozostawienie przepisów o cenach transferowych </w:t>
            </w:r>
            <w:r w:rsidR="007831A9">
              <w:rPr>
                <w:rFonts w:cstheme="minorHAnsi"/>
              </w:rPr>
              <w:br/>
            </w:r>
            <w:r w:rsidRPr="009B0FA3">
              <w:rPr>
                <w:rFonts w:cstheme="minorHAnsi"/>
              </w:rPr>
              <w:t>w dotychczasowym kształcie. Zgodnie z uzasadnieniem do projektu ustawy, celem wprowadzanych zmian jest m.in. eliminacja zbędnych procedur administracyjnych i zmniejszenie obciążeń podatników. Tymczasem propozycję przeniesienia oświadczenia o sporządzeniu lokalnej dokumentacji zgodnie ze stanem rzeczywistym i o rynkowości cen („oświadczenie”) do dokumentacji lokalnej oceniamy negatywnie. Ta pozornie techniczna zmiana niesie za sobą istotne konsekwencje praktyczne.</w:t>
            </w:r>
          </w:p>
          <w:p w14:paraId="13299645" w14:textId="60F18341" w:rsidR="00BE3A21" w:rsidRPr="009B0FA3" w:rsidRDefault="00BE3A21" w:rsidP="00A464D7">
            <w:pPr>
              <w:jc w:val="both"/>
              <w:rPr>
                <w:rFonts w:cstheme="minorHAnsi"/>
              </w:rPr>
            </w:pPr>
            <w:r w:rsidRPr="009B0FA3">
              <w:rPr>
                <w:rFonts w:cstheme="minorHAnsi"/>
              </w:rPr>
              <w:t xml:space="preserve">Do tej pory podatnik podpisywał jedno oświadczenie zawarte </w:t>
            </w:r>
            <w:r w:rsidR="007831A9">
              <w:rPr>
                <w:rFonts w:cstheme="minorHAnsi"/>
              </w:rPr>
              <w:br/>
            </w:r>
            <w:r w:rsidRPr="009B0FA3">
              <w:rPr>
                <w:rFonts w:cstheme="minorHAnsi"/>
              </w:rPr>
              <w:t>w informacji o cenach transferowych, którą należy obligatoryjnie złożyć w urzędzie skarbowym do końca jedenastego miesiąca po zakończeniu roku podatkowego.</w:t>
            </w:r>
          </w:p>
          <w:p w14:paraId="3D769222" w14:textId="77777777" w:rsidR="00BE3A21" w:rsidRPr="009B0FA3" w:rsidRDefault="00BE3A21" w:rsidP="00A464D7">
            <w:pPr>
              <w:jc w:val="both"/>
              <w:rPr>
                <w:rFonts w:cstheme="minorHAnsi"/>
              </w:rPr>
            </w:pPr>
            <w:r w:rsidRPr="009B0FA3">
              <w:rPr>
                <w:rFonts w:cstheme="minorHAnsi"/>
              </w:rPr>
              <w:t xml:space="preserve">Lokalna dokumentacja cen transferowych, o której mowa w art. 11q ustawy o CIT wymaga jedynie sporządzenia jej w ustawowo określonym terminie i jest przekazywana organowi </w:t>
            </w:r>
            <w:r w:rsidRPr="009B0FA3">
              <w:rPr>
                <w:rFonts w:cstheme="minorHAnsi"/>
              </w:rPr>
              <w:lastRenderedPageBreak/>
              <w:t>podatkowemu na żądanie w trybie wynikającym z art. 11s ustawy o CIT.</w:t>
            </w:r>
          </w:p>
          <w:p w14:paraId="08D0FD9E" w14:textId="77777777" w:rsidR="00BE3A21" w:rsidRPr="009B0FA3" w:rsidRDefault="00BE3A21" w:rsidP="00A464D7">
            <w:pPr>
              <w:jc w:val="both"/>
              <w:rPr>
                <w:rFonts w:cstheme="minorHAnsi"/>
              </w:rPr>
            </w:pPr>
            <w:r w:rsidRPr="009B0FA3">
              <w:rPr>
                <w:rFonts w:cstheme="minorHAnsi"/>
              </w:rPr>
              <w:t xml:space="preserve">Proponowana zmiana przeniesienia oświadczenia do dokumentacji lokalnej: </w:t>
            </w:r>
          </w:p>
          <w:p w14:paraId="549E5304" w14:textId="776F8EA7" w:rsidR="00BE3A21" w:rsidRPr="009B0FA3" w:rsidRDefault="00BE3A21" w:rsidP="00A464D7">
            <w:pPr>
              <w:pStyle w:val="Akapitzlist"/>
              <w:numPr>
                <w:ilvl w:val="0"/>
                <w:numId w:val="9"/>
              </w:numPr>
              <w:spacing w:line="278" w:lineRule="auto"/>
              <w:jc w:val="both"/>
              <w:rPr>
                <w:rFonts w:cstheme="minorHAnsi"/>
              </w:rPr>
            </w:pPr>
            <w:r w:rsidRPr="009B0FA3">
              <w:rPr>
                <w:rFonts w:cstheme="minorHAnsi"/>
              </w:rPr>
              <w:t xml:space="preserve">oznacza zwielokrotnienie ilości dokumentów, które </w:t>
            </w:r>
            <w:r w:rsidR="007831A9">
              <w:rPr>
                <w:rFonts w:cstheme="minorHAnsi"/>
              </w:rPr>
              <w:br/>
            </w:r>
            <w:r w:rsidRPr="009B0FA3">
              <w:rPr>
                <w:rFonts w:cstheme="minorHAnsi"/>
              </w:rPr>
              <w:t xml:space="preserve">w imieniu podatnika muszą podpisywać osoby wskazane w ustawie, a tym samym nakłada na podatników dodatkowe obowiązki administracyjne związane </w:t>
            </w:r>
            <w:r w:rsidR="007831A9">
              <w:rPr>
                <w:rFonts w:cstheme="minorHAnsi"/>
              </w:rPr>
              <w:br/>
            </w:r>
            <w:r w:rsidRPr="009B0FA3">
              <w:rPr>
                <w:rFonts w:cstheme="minorHAnsi"/>
              </w:rPr>
              <w:t>z wypełnieniem wymogów ustawowych w obszarze cen transferowych,</w:t>
            </w:r>
          </w:p>
          <w:p w14:paraId="58E39845" w14:textId="77777777" w:rsidR="00BE3A21" w:rsidRPr="009B0FA3" w:rsidRDefault="00BE3A21" w:rsidP="00A464D7">
            <w:pPr>
              <w:pStyle w:val="Akapitzlist"/>
              <w:numPr>
                <w:ilvl w:val="0"/>
                <w:numId w:val="9"/>
              </w:numPr>
              <w:spacing w:line="278" w:lineRule="auto"/>
              <w:jc w:val="both"/>
              <w:rPr>
                <w:rFonts w:cstheme="minorHAnsi"/>
              </w:rPr>
            </w:pPr>
            <w:r w:rsidRPr="009B0FA3">
              <w:rPr>
                <w:rFonts w:cstheme="minorHAnsi"/>
              </w:rPr>
              <w:t>spowoduje, że podatnicy, którzy posiadają rozwiązania informatyczne wspierające sporządzanie lokalnej dokumentacji cen transferowych, będą zobowiązani do zmian tych rozwiązań, co będzie generować dodatkowe koszty związane z realizacją obowiązku dokumentacyjnego,</w:t>
            </w:r>
          </w:p>
          <w:p w14:paraId="2E556469" w14:textId="180E3A30" w:rsidR="00BE3A21" w:rsidRPr="009B0FA3" w:rsidRDefault="00BE3A21" w:rsidP="00A464D7">
            <w:pPr>
              <w:pStyle w:val="Akapitzlist"/>
              <w:numPr>
                <w:ilvl w:val="0"/>
                <w:numId w:val="9"/>
              </w:numPr>
              <w:spacing w:line="278" w:lineRule="auto"/>
              <w:jc w:val="both"/>
              <w:rPr>
                <w:rFonts w:cstheme="minorHAnsi"/>
              </w:rPr>
            </w:pPr>
            <w:r w:rsidRPr="009B0FA3">
              <w:rPr>
                <w:rFonts w:cstheme="minorHAnsi"/>
              </w:rPr>
              <w:t>będzie skutkować szeregiem wątpliwości co do praktycznego podejścia do sporządzania korekt dokumentacji cen transferowych; nie każda korekta dokumentacji ma istotny charakter, zdarzają się pomyłki pisarskie lub inne błędy operacyjne, których wprowadzenie do dokumentacji będzie rodzić wątpliwość co do konieczności składania ponownego podpisu na oświadczeniu</w:t>
            </w:r>
            <w:r w:rsidR="00DB5513" w:rsidRPr="009B0FA3">
              <w:rPr>
                <w:rFonts w:cstheme="minorHAnsi"/>
              </w:rPr>
              <w:t>.</w:t>
            </w:r>
            <w:r w:rsidRPr="009B0FA3">
              <w:rPr>
                <w:rFonts w:cstheme="minorHAnsi"/>
              </w:rPr>
              <w:t xml:space="preserve"> W sytuacji wprowadzenia tego rodzaju korekt, a następnie dostarczenia do organu skorygowanej dokumentacji cen transferowych, bazując na dacie złożenia podpisu elektronicznego, może powstać ryzyko zakwestionowania przez organ </w:t>
            </w:r>
            <w:r w:rsidRPr="009B0FA3">
              <w:rPr>
                <w:rFonts w:cstheme="minorHAnsi"/>
              </w:rPr>
              <w:lastRenderedPageBreak/>
              <w:t xml:space="preserve">terminowego sporządzenia dokumentacji cen transferowych przez podatnika. </w:t>
            </w:r>
          </w:p>
          <w:p w14:paraId="080F01FA" w14:textId="5015DCCC" w:rsidR="00BE3A21" w:rsidRPr="009B0FA3" w:rsidRDefault="00BE3A21" w:rsidP="00A464D7">
            <w:pPr>
              <w:jc w:val="both"/>
              <w:rPr>
                <w:rFonts w:cstheme="minorHAnsi"/>
              </w:rPr>
            </w:pPr>
            <w:r w:rsidRPr="009B0FA3">
              <w:rPr>
                <w:rFonts w:cstheme="minorHAnsi"/>
              </w:rPr>
              <w:t>Mając na uwadze powyższe, pragniemy podkreślić, że projekt ustawy jedynie pozornie wprowadza ułatwienie w postaci umożliwienia podpisywania informacji o cenach transferowych przez pełnomocnika, skoro jednocześnie oświadczenie jako element lokalnej dokumentacji będzie podpisywane przez konkretne osoby reprezentujące podatnika.</w:t>
            </w:r>
          </w:p>
          <w:p w14:paraId="5274605E" w14:textId="008672A5" w:rsidR="003E5529" w:rsidRPr="00411662" w:rsidRDefault="003E5529" w:rsidP="00A464D7">
            <w:pPr>
              <w:jc w:val="both"/>
              <w:rPr>
                <w:rFonts w:cstheme="minorHAnsi"/>
              </w:rPr>
            </w:pPr>
            <w:r w:rsidRPr="00411662">
              <w:rPr>
                <w:rFonts w:cstheme="minorHAnsi"/>
              </w:rPr>
              <w:t xml:space="preserve">Mając na względzie powyższe wnosimy o rezygnację </w:t>
            </w:r>
            <w:r w:rsidR="007831A9">
              <w:rPr>
                <w:rFonts w:cstheme="minorHAnsi"/>
              </w:rPr>
              <w:br/>
            </w:r>
            <w:r w:rsidRPr="00411662">
              <w:rPr>
                <w:rFonts w:cstheme="minorHAnsi"/>
              </w:rPr>
              <w:t xml:space="preserve">z obowiązku składania w jakiejkolwiek formie oświadczenia </w:t>
            </w:r>
            <w:r w:rsidR="007831A9">
              <w:rPr>
                <w:rFonts w:cstheme="minorHAnsi"/>
              </w:rPr>
              <w:br/>
            </w:r>
            <w:r w:rsidRPr="00411662">
              <w:rPr>
                <w:rFonts w:cstheme="minorHAnsi"/>
              </w:rPr>
              <w:t>o sporządzeniu dokumentacji cen transferowych oraz stosowaniu cen rynkowych.</w:t>
            </w:r>
          </w:p>
          <w:p w14:paraId="3A677D96" w14:textId="77777777" w:rsidR="003E5529" w:rsidRPr="009B0FA3" w:rsidRDefault="003E5529" w:rsidP="00A464D7">
            <w:pPr>
              <w:jc w:val="both"/>
              <w:rPr>
                <w:rFonts w:cstheme="minorHAnsi"/>
              </w:rPr>
            </w:pPr>
          </w:p>
        </w:tc>
        <w:tc>
          <w:tcPr>
            <w:tcW w:w="1223" w:type="pct"/>
          </w:tcPr>
          <w:p w14:paraId="4D0F45AE" w14:textId="52013895" w:rsidR="005C724D" w:rsidRPr="00A464D7" w:rsidRDefault="00496CA9" w:rsidP="00A464D7">
            <w:pPr>
              <w:jc w:val="both"/>
              <w:rPr>
                <w:rFonts w:cstheme="minorHAnsi"/>
              </w:rPr>
            </w:pPr>
            <w:r w:rsidRPr="00A464D7">
              <w:rPr>
                <w:rFonts w:cstheme="minorHAnsi"/>
              </w:rPr>
              <w:lastRenderedPageBreak/>
              <w:t xml:space="preserve">• </w:t>
            </w:r>
            <w:r w:rsidR="005C724D" w:rsidRPr="00A464D7">
              <w:rPr>
                <w:rFonts w:cstheme="minorHAnsi"/>
              </w:rPr>
              <w:t xml:space="preserve">Usunięcie przepisu art. 2 pkt 3 lit. a projektowanej ustawy zmieniającej oraz jego odpowiednika w art. 1 ustawy zmieniającej i pozostawienie odpowiedniej regulacji w przepisie o informacji o cenach transferowych. </w:t>
            </w:r>
          </w:p>
          <w:p w14:paraId="5DF104DE" w14:textId="138BD407" w:rsidR="005C724D" w:rsidRPr="00A464D7" w:rsidRDefault="00720C35" w:rsidP="00A464D7">
            <w:pPr>
              <w:jc w:val="both"/>
              <w:rPr>
                <w:rFonts w:cstheme="minorHAnsi"/>
              </w:rPr>
            </w:pPr>
            <w:r w:rsidRPr="00A464D7">
              <w:rPr>
                <w:rFonts w:cstheme="minorHAnsi"/>
              </w:rPr>
              <w:t>•</w:t>
            </w:r>
            <w:r w:rsidR="00411662">
              <w:rPr>
                <w:rFonts w:cstheme="minorHAnsi"/>
              </w:rPr>
              <w:t xml:space="preserve"> </w:t>
            </w:r>
            <w:r w:rsidR="005C724D" w:rsidRPr="00A464D7">
              <w:rPr>
                <w:rFonts w:cstheme="minorHAnsi"/>
              </w:rPr>
              <w:t>Usunięcie regulacji</w:t>
            </w:r>
            <w:r w:rsidR="00411662">
              <w:rPr>
                <w:rFonts w:cstheme="minorHAnsi"/>
              </w:rPr>
              <w:t xml:space="preserve"> </w:t>
            </w:r>
            <w:r w:rsidR="005C724D" w:rsidRPr="00A464D7">
              <w:rPr>
                <w:rFonts w:cstheme="minorHAnsi"/>
              </w:rPr>
              <w:t xml:space="preserve">wynikających z art. 2 pkt 3 lit. b projektowanej ustawy </w:t>
            </w:r>
            <w:r w:rsidR="005C724D" w:rsidRPr="00A464D7">
              <w:rPr>
                <w:rFonts w:cstheme="minorHAnsi"/>
              </w:rPr>
              <w:lastRenderedPageBreak/>
              <w:t xml:space="preserve">zmieniającej </w:t>
            </w:r>
            <w:r w:rsidRPr="00A464D7">
              <w:rPr>
                <w:rFonts w:cstheme="minorHAnsi"/>
              </w:rPr>
              <w:t>(</w:t>
            </w:r>
            <w:r w:rsidR="005C724D" w:rsidRPr="00A464D7">
              <w:rPr>
                <w:rFonts w:cstheme="minorHAnsi"/>
              </w:rPr>
              <w:t>art. 11q ust. 1b i ust. 1c ustawy o CIT) i pozostawienie odpowiedniej regulacji w przepisie o informacji o cenach transferowych. Analogiczną zmianę należy wprowadzić w przepisach ustawy wskazanej w art. 1 ustawy zmieniającej.</w:t>
            </w:r>
          </w:p>
          <w:p w14:paraId="02549EA1" w14:textId="77777777" w:rsidR="005C724D" w:rsidRPr="00A464D7" w:rsidRDefault="005C724D" w:rsidP="00A464D7">
            <w:pPr>
              <w:jc w:val="both"/>
              <w:rPr>
                <w:rFonts w:cstheme="minorHAnsi"/>
              </w:rPr>
            </w:pPr>
            <w:r w:rsidRPr="00A464D7">
              <w:rPr>
                <w:rFonts w:cstheme="minorHAnsi"/>
              </w:rPr>
              <w:t>• Zmiana regulacji zawartej w art. 2 pkt 3 lit. c) poprzez usunięcie z niej fragmentu „</w:t>
            </w:r>
            <w:r w:rsidRPr="00A464D7">
              <w:rPr>
                <w:rFonts w:cstheme="minorHAnsi"/>
                <w:i/>
                <w:iCs/>
              </w:rPr>
              <w:t>i treść oświadczenia, o którym mowa w ust. 1 pkt 5</w:t>
            </w:r>
            <w:r w:rsidRPr="00A464D7">
              <w:rPr>
                <w:rFonts w:cstheme="minorHAnsi"/>
              </w:rPr>
              <w:t>”. Analogiczną zmianę należy wprowadzić w przepisach ustawy wskazanej w art. 1 ustawy zmieniającej.</w:t>
            </w:r>
          </w:p>
          <w:p w14:paraId="03564223" w14:textId="77777777" w:rsidR="005C724D" w:rsidRPr="00A464D7" w:rsidRDefault="005C724D" w:rsidP="00A464D7">
            <w:pPr>
              <w:jc w:val="both"/>
              <w:rPr>
                <w:rFonts w:cstheme="minorHAnsi"/>
              </w:rPr>
            </w:pPr>
            <w:r w:rsidRPr="00A464D7">
              <w:rPr>
                <w:rFonts w:cstheme="minorHAnsi"/>
              </w:rPr>
              <w:t>• Przywrócenie w przepisie o informacji o cenach transferowych przepisów: w art. 11t ustawy o CIT przepisu ust. 2 pkt 7, ust. 2b, ust. 5 oraz odpowiedników tych przepisów w ustawie o PIT.</w:t>
            </w:r>
          </w:p>
          <w:p w14:paraId="1F33DC4F" w14:textId="77777777" w:rsidR="005C724D" w:rsidRPr="00A464D7" w:rsidRDefault="005C724D" w:rsidP="00A464D7">
            <w:pPr>
              <w:jc w:val="both"/>
              <w:rPr>
                <w:rFonts w:cstheme="minorHAnsi"/>
              </w:rPr>
            </w:pPr>
            <w:r w:rsidRPr="00A464D7">
              <w:rPr>
                <w:rFonts w:cstheme="minorHAnsi"/>
              </w:rPr>
              <w:t xml:space="preserve">• Przywrócenie w przepisie o delegacji ustawowej dla ministra do spraw finansów publicznych do wydania rozporządzenia regulującego zakres informacji o cenach transferowych - art. 11t ust. 8 ustawy o CIT (oraz jego </w:t>
            </w:r>
            <w:r w:rsidRPr="00A464D7">
              <w:rPr>
                <w:rFonts w:cstheme="minorHAnsi"/>
              </w:rPr>
              <w:lastRenderedPageBreak/>
              <w:t>odpowiednika w ustawie o PIT) jego dotychczasowego brzmienia.</w:t>
            </w:r>
          </w:p>
          <w:p w14:paraId="4586FD15" w14:textId="77777777" w:rsidR="003E5529" w:rsidRPr="00A464D7" w:rsidRDefault="003E5529" w:rsidP="00A464D7">
            <w:pPr>
              <w:jc w:val="both"/>
              <w:rPr>
                <w:rFonts w:cstheme="minorHAnsi"/>
              </w:rPr>
            </w:pPr>
          </w:p>
          <w:p w14:paraId="66A7D609" w14:textId="77777777" w:rsidR="003E5529" w:rsidRPr="00A464D7" w:rsidRDefault="003E5529" w:rsidP="00A464D7">
            <w:pPr>
              <w:jc w:val="both"/>
              <w:rPr>
                <w:rFonts w:cstheme="minorHAnsi"/>
              </w:rPr>
            </w:pPr>
          </w:p>
        </w:tc>
      </w:tr>
      <w:tr w:rsidR="0062312A" w:rsidRPr="00A464D7" w14:paraId="347F8D0E" w14:textId="77777777" w:rsidTr="007E4029">
        <w:trPr>
          <w:jc w:val="center"/>
        </w:trPr>
        <w:tc>
          <w:tcPr>
            <w:tcW w:w="181" w:type="pct"/>
          </w:tcPr>
          <w:p w14:paraId="3828E9FE" w14:textId="77777777" w:rsidR="0062312A" w:rsidRPr="00A464D7" w:rsidRDefault="0062312A" w:rsidP="00A464D7">
            <w:pPr>
              <w:jc w:val="both"/>
              <w:rPr>
                <w:rFonts w:cstheme="minorHAnsi"/>
              </w:rPr>
            </w:pPr>
            <w:r w:rsidRPr="00A464D7">
              <w:rPr>
                <w:rFonts w:cstheme="minorHAnsi"/>
              </w:rPr>
              <w:lastRenderedPageBreak/>
              <w:t>3.</w:t>
            </w:r>
          </w:p>
        </w:tc>
        <w:tc>
          <w:tcPr>
            <w:tcW w:w="449" w:type="pct"/>
          </w:tcPr>
          <w:p w14:paraId="2A626BE5" w14:textId="077D81D4" w:rsidR="0062312A" w:rsidRPr="00A464D7" w:rsidRDefault="00411662" w:rsidP="00A464D7">
            <w:pPr>
              <w:jc w:val="both"/>
              <w:rPr>
                <w:rFonts w:cstheme="minorHAnsi"/>
              </w:rPr>
            </w:pPr>
            <w:r>
              <w:rPr>
                <w:rFonts w:cstheme="minorHAnsi"/>
              </w:rPr>
              <w:t>Konfederacja Lewiatan</w:t>
            </w:r>
          </w:p>
        </w:tc>
        <w:tc>
          <w:tcPr>
            <w:tcW w:w="797" w:type="pct"/>
          </w:tcPr>
          <w:p w14:paraId="0DC2C676" w14:textId="60B77C95" w:rsidR="0062312A" w:rsidRPr="00A464D7" w:rsidRDefault="0062312A" w:rsidP="00A464D7">
            <w:pPr>
              <w:jc w:val="both"/>
              <w:rPr>
                <w:rFonts w:cstheme="minorHAnsi"/>
                <w:b/>
                <w:bCs/>
              </w:rPr>
            </w:pPr>
            <w:r w:rsidRPr="00A464D7">
              <w:rPr>
                <w:rFonts w:cstheme="minorHAnsi"/>
                <w:b/>
                <w:bCs/>
              </w:rPr>
              <w:t>art. 11t ustawy</w:t>
            </w:r>
            <w:r w:rsidR="00A14EEF">
              <w:rPr>
                <w:rFonts w:cstheme="minorHAnsi"/>
                <w:b/>
                <w:bCs/>
              </w:rPr>
              <w:t xml:space="preserve"> </w:t>
            </w:r>
            <w:proofErr w:type="gramStart"/>
            <w:r w:rsidR="00A14EEF">
              <w:rPr>
                <w:rFonts w:cstheme="minorHAnsi"/>
                <w:b/>
                <w:bCs/>
              </w:rPr>
              <w:t xml:space="preserve">o </w:t>
            </w:r>
            <w:r w:rsidRPr="00A464D7">
              <w:rPr>
                <w:rFonts w:cstheme="minorHAnsi"/>
                <w:b/>
                <w:bCs/>
              </w:rPr>
              <w:t xml:space="preserve"> CIT</w:t>
            </w:r>
            <w:proofErr w:type="gramEnd"/>
          </w:p>
          <w:p w14:paraId="1A3C65A1" w14:textId="77777777" w:rsidR="0062312A" w:rsidRPr="00A464D7" w:rsidRDefault="0062312A" w:rsidP="00A464D7">
            <w:pPr>
              <w:jc w:val="both"/>
              <w:rPr>
                <w:rFonts w:cstheme="minorHAnsi"/>
              </w:rPr>
            </w:pPr>
          </w:p>
          <w:p w14:paraId="1A139A52" w14:textId="7A33450E" w:rsidR="0062312A" w:rsidRPr="00A464D7" w:rsidRDefault="00827FBC" w:rsidP="00A464D7">
            <w:pPr>
              <w:jc w:val="both"/>
              <w:rPr>
                <w:rFonts w:cstheme="minorHAnsi"/>
              </w:rPr>
            </w:pPr>
            <w:r>
              <w:rPr>
                <w:rFonts w:cstheme="minorHAnsi"/>
              </w:rPr>
              <w:t>a</w:t>
            </w:r>
            <w:r w:rsidR="0062312A" w:rsidRPr="00A464D7">
              <w:rPr>
                <w:rFonts w:cstheme="minorHAnsi"/>
              </w:rPr>
              <w:t xml:space="preserve">rt. 2 </w:t>
            </w:r>
            <w:r w:rsidR="00A1116D">
              <w:rPr>
                <w:rFonts w:cstheme="minorHAnsi"/>
              </w:rPr>
              <w:t>p</w:t>
            </w:r>
            <w:r w:rsidR="0062312A" w:rsidRPr="00A464D7">
              <w:rPr>
                <w:rFonts w:cstheme="minorHAnsi"/>
              </w:rPr>
              <w:t xml:space="preserve">kt 4 </w:t>
            </w:r>
            <w:r w:rsidR="009A761B" w:rsidRPr="00A464D7">
              <w:rPr>
                <w:rFonts w:cstheme="minorHAnsi"/>
              </w:rPr>
              <w:t>projektu u</w:t>
            </w:r>
            <w:r w:rsidR="0062312A" w:rsidRPr="00A464D7">
              <w:rPr>
                <w:rFonts w:cstheme="minorHAnsi"/>
              </w:rPr>
              <w:t>stawy zmieniającej</w:t>
            </w:r>
          </w:p>
          <w:p w14:paraId="7D14048B" w14:textId="77777777" w:rsidR="0062312A" w:rsidRPr="00A464D7" w:rsidRDefault="0062312A" w:rsidP="00A464D7">
            <w:pPr>
              <w:jc w:val="both"/>
              <w:rPr>
                <w:rFonts w:cstheme="minorHAnsi"/>
              </w:rPr>
            </w:pPr>
          </w:p>
        </w:tc>
        <w:tc>
          <w:tcPr>
            <w:tcW w:w="2350" w:type="pct"/>
          </w:tcPr>
          <w:p w14:paraId="691B8B87" w14:textId="5CA169FD" w:rsidR="0062312A" w:rsidRPr="00A464D7" w:rsidRDefault="0062312A" w:rsidP="00A464D7">
            <w:pPr>
              <w:spacing w:before="120"/>
              <w:jc w:val="both"/>
              <w:rPr>
                <w:rFonts w:eastAsia="Times New Roman" w:cstheme="minorHAnsi"/>
              </w:rPr>
            </w:pPr>
            <w:r w:rsidRPr="00A464D7">
              <w:rPr>
                <w:rFonts w:eastAsia="Times New Roman" w:cstheme="minorHAnsi"/>
              </w:rPr>
              <w:t>Proponowana zmiana w zakresie uproszczenia sposobu podpisywania informacji TPR może przyczynić się do złagodzenia obecnie obowiązujących wymogów formalnych dotyczących podpisywania Informacji TPR, w szczególności poprzez wprowadzenie rozwiązania polegającego na podpisywaniu informacji przez pełnomocnika legitymującego się pełnomocnictwem UPL-1. Rozwiązanie to ma szczególne znaczenie w przypadkach, gdy dokument podpisywany jest przez zagranicznych członków zarządu (wyznaczonego członka), ponieważ dotychczas wiązało się to z koniecznością uzyskania dla takiej osoby numeru PESEL w celu ustanowienia pełnomocnictwa do podpisywania deklaracji składanych elektronicznie.</w:t>
            </w:r>
          </w:p>
          <w:p w14:paraId="71CE86BC" w14:textId="77ED6B3A" w:rsidR="0062312A" w:rsidRPr="00A464D7" w:rsidRDefault="0062312A" w:rsidP="00A464D7">
            <w:pPr>
              <w:spacing w:before="120"/>
              <w:jc w:val="both"/>
              <w:rPr>
                <w:rFonts w:eastAsia="Times New Roman" w:cstheme="minorHAnsi"/>
              </w:rPr>
            </w:pPr>
            <w:r w:rsidRPr="00A464D7">
              <w:rPr>
                <w:rFonts w:eastAsia="Times New Roman" w:cstheme="minorHAnsi"/>
              </w:rPr>
              <w:t>Proponowana zmiana będzie</w:t>
            </w:r>
            <w:r w:rsidR="00FB23DC" w:rsidRPr="00A464D7">
              <w:rPr>
                <w:rFonts w:eastAsia="Times New Roman" w:cstheme="minorHAnsi"/>
              </w:rPr>
              <w:t xml:space="preserve"> jednak</w:t>
            </w:r>
            <w:r w:rsidRPr="00A464D7">
              <w:rPr>
                <w:rFonts w:eastAsia="Times New Roman" w:cstheme="minorHAnsi"/>
              </w:rPr>
              <w:t xml:space="preserve"> skutkować wprowadzeniem nowych, dodatkowych obowiązków związanych z lokalną dokumentacją cen transferowych (co zostało szerzej rozwinięte w punkcie powyżej dotyczącym połączenia oświadczenia z dokumentacją lokalną).</w:t>
            </w:r>
            <w:r w:rsidR="007831A9">
              <w:rPr>
                <w:rFonts w:eastAsia="Times New Roman" w:cstheme="minorHAnsi"/>
              </w:rPr>
              <w:t xml:space="preserve"> </w:t>
            </w:r>
            <w:r w:rsidRPr="00A464D7">
              <w:rPr>
                <w:rFonts w:eastAsia="Times New Roman" w:cstheme="minorHAnsi"/>
              </w:rPr>
              <w:t xml:space="preserve">Zgodnie </w:t>
            </w:r>
            <w:r w:rsidR="007831A9">
              <w:rPr>
                <w:rFonts w:eastAsia="Times New Roman" w:cstheme="minorHAnsi"/>
              </w:rPr>
              <w:br/>
            </w:r>
            <w:r w:rsidRPr="00A464D7">
              <w:rPr>
                <w:rFonts w:eastAsia="Times New Roman" w:cstheme="minorHAnsi"/>
              </w:rPr>
              <w:t xml:space="preserve">z obecnie obowiązującymi przepisami podatnicy, </w:t>
            </w:r>
            <w:r w:rsidR="007831A9">
              <w:rPr>
                <w:rFonts w:eastAsia="Times New Roman" w:cstheme="minorHAnsi"/>
              </w:rPr>
              <w:br/>
            </w:r>
            <w:r w:rsidRPr="00A464D7">
              <w:rPr>
                <w:rFonts w:eastAsia="Times New Roman" w:cstheme="minorHAnsi"/>
              </w:rPr>
              <w:lastRenderedPageBreak/>
              <w:t xml:space="preserve">w przypadku transakcji kontrolowanych, o których mowa w art. 11n pkt 1-2 i 10-12 Ustawy CIT w informacji o cenach transferowych nie uwzględniają informacji, o których mowa </w:t>
            </w:r>
            <w:r w:rsidR="007831A9">
              <w:rPr>
                <w:rFonts w:eastAsia="Times New Roman" w:cstheme="minorHAnsi"/>
              </w:rPr>
              <w:br/>
            </w:r>
            <w:r w:rsidRPr="00A464D7">
              <w:rPr>
                <w:rFonts w:eastAsia="Times New Roman" w:cstheme="minorHAnsi"/>
              </w:rPr>
              <w:t xml:space="preserve">w art. 11t ust. 2 pkt 3 i 5-7 Ustawy CIT. Projektowane przepisy rozszerzają obowiązki podatników w zakresie wymienionych powyżej transakcji, poprzez ograniczenie zakresu wyłączeń do informacji wskazanych w art. 11t ust. 2 pkt 3 i 5 Ustawy o CIT. Należy bowiem zauważyć, że zgodnie z projektem uchyla się pkt 7 w art. 11t ust. 2 ustawy o CIT. W konsekwencji pozostałe elementy wskazane w ust. 2, w tym pkt 6 (dodatkowe informacje lub wyjaśnienia), będą podlegały raportowaniu. Zgodnie bowiem z projektowanymi przepisami ust. 4 otrzymuje brzmienie: </w:t>
            </w:r>
            <w:r w:rsidRPr="00A464D7">
              <w:rPr>
                <w:rFonts w:eastAsia="Times New Roman" w:cstheme="minorHAnsi"/>
                <w:i/>
                <w:iCs/>
              </w:rPr>
              <w:t xml:space="preserve">„4. W przypadku transakcji kontrolowanych, </w:t>
            </w:r>
            <w:r w:rsidR="007831A9">
              <w:rPr>
                <w:rFonts w:eastAsia="Times New Roman" w:cstheme="minorHAnsi"/>
                <w:i/>
                <w:iCs/>
              </w:rPr>
              <w:br/>
            </w:r>
            <w:r w:rsidRPr="00A464D7">
              <w:rPr>
                <w:rFonts w:eastAsia="Times New Roman" w:cstheme="minorHAnsi"/>
                <w:i/>
                <w:iCs/>
              </w:rPr>
              <w:t xml:space="preserve">o których mowa w art. 11n pkt 1–2 i 10–12, w informacji </w:t>
            </w:r>
            <w:r w:rsidR="007831A9">
              <w:rPr>
                <w:rFonts w:eastAsia="Times New Roman" w:cstheme="minorHAnsi"/>
                <w:i/>
                <w:iCs/>
              </w:rPr>
              <w:br/>
            </w:r>
            <w:r w:rsidRPr="00A464D7">
              <w:rPr>
                <w:rFonts w:eastAsia="Times New Roman" w:cstheme="minorHAnsi"/>
                <w:i/>
                <w:iCs/>
              </w:rPr>
              <w:t>o cenach transferowych nie uwzględnia się informacji, o których mowa w ust. 2 pkt 3 i 5.</w:t>
            </w:r>
            <w:r w:rsidRPr="00A464D7">
              <w:rPr>
                <w:rFonts w:eastAsia="Times New Roman" w:cstheme="minorHAnsi"/>
              </w:rPr>
              <w:t xml:space="preserve">” Tym samym projektodawca </w:t>
            </w:r>
            <w:r w:rsidRPr="00A464D7">
              <w:rPr>
                <w:rFonts w:eastAsia="Times New Roman" w:cstheme="minorHAnsi"/>
                <w:i/>
                <w:iCs/>
              </w:rPr>
              <w:t>de facto</w:t>
            </w:r>
            <w:r w:rsidRPr="00A464D7">
              <w:rPr>
                <w:rFonts w:eastAsia="Times New Roman" w:cstheme="minorHAnsi"/>
              </w:rPr>
              <w:t xml:space="preserve"> zawęża dotychczasowy zakres wyłączenia przewidzianego w art. 11t ust. 4, co skutkuje objęciem obowiązkiem raportowania również informacji wskazanych w art. 11t ust. 2 pkt 6, tj. dodatkowych informacji lub wyjaśnień. W związku z powyższym rekomenduje</w:t>
            </w:r>
            <w:r w:rsidR="00B44CDB">
              <w:rPr>
                <w:rFonts w:eastAsia="Times New Roman" w:cstheme="minorHAnsi"/>
              </w:rPr>
              <w:t>my</w:t>
            </w:r>
            <w:r w:rsidR="00A83930">
              <w:rPr>
                <w:rFonts w:eastAsia="Times New Roman" w:cstheme="minorHAnsi"/>
              </w:rPr>
              <w:t xml:space="preserve"> </w:t>
            </w:r>
            <w:r w:rsidRPr="00A464D7">
              <w:rPr>
                <w:rFonts w:eastAsia="Times New Roman" w:cstheme="minorHAnsi"/>
              </w:rPr>
              <w:t>zmianę treści projektowan</w:t>
            </w:r>
            <w:r w:rsidR="003E7FE4">
              <w:rPr>
                <w:rFonts w:eastAsia="Times New Roman" w:cstheme="minorHAnsi"/>
              </w:rPr>
              <w:t>ego</w:t>
            </w:r>
            <w:r w:rsidRPr="00A464D7">
              <w:rPr>
                <w:rFonts w:eastAsia="Times New Roman" w:cstheme="minorHAnsi"/>
              </w:rPr>
              <w:t xml:space="preserve"> </w:t>
            </w:r>
            <w:proofErr w:type="gramStart"/>
            <w:r w:rsidRPr="00A464D7">
              <w:rPr>
                <w:rFonts w:eastAsia="Times New Roman" w:cstheme="minorHAnsi"/>
              </w:rPr>
              <w:t>przepis</w:t>
            </w:r>
            <w:r w:rsidR="003E7FE4">
              <w:rPr>
                <w:rFonts w:eastAsia="Times New Roman" w:cstheme="minorHAnsi"/>
              </w:rPr>
              <w:t>u</w:t>
            </w:r>
            <w:r w:rsidRPr="00A464D7">
              <w:rPr>
                <w:rFonts w:eastAsia="Times New Roman" w:cstheme="minorHAnsi"/>
              </w:rPr>
              <w:t xml:space="preserve">  art.</w:t>
            </w:r>
            <w:proofErr w:type="gramEnd"/>
            <w:r w:rsidRPr="00A464D7">
              <w:rPr>
                <w:rFonts w:eastAsia="Times New Roman" w:cstheme="minorHAnsi"/>
              </w:rPr>
              <w:t xml:space="preserve"> 11t ust. 4 poprzez objęcie wyłączeniem również pkt 6, tak aby uniknąć niezamierzonego rozszerzenia obowiązków raportowych w odniesieniu do analizowanych transakcji.</w:t>
            </w:r>
          </w:p>
          <w:p w14:paraId="0D2C30F8" w14:textId="77777777" w:rsidR="0062312A" w:rsidRPr="00A464D7" w:rsidRDefault="0062312A" w:rsidP="00A464D7">
            <w:pPr>
              <w:jc w:val="both"/>
              <w:rPr>
                <w:rFonts w:cstheme="minorHAnsi"/>
              </w:rPr>
            </w:pPr>
          </w:p>
        </w:tc>
        <w:tc>
          <w:tcPr>
            <w:tcW w:w="1223" w:type="pct"/>
          </w:tcPr>
          <w:p w14:paraId="6603A28B" w14:textId="58E1BCF9" w:rsidR="0062312A" w:rsidRPr="00A464D7" w:rsidRDefault="00146CB5" w:rsidP="00A464D7">
            <w:pPr>
              <w:jc w:val="both"/>
              <w:rPr>
                <w:rFonts w:cstheme="minorHAnsi"/>
              </w:rPr>
            </w:pPr>
            <w:r w:rsidRPr="00A464D7">
              <w:rPr>
                <w:rFonts w:eastAsia="Times New Roman" w:cstheme="minorHAnsi"/>
              </w:rPr>
              <w:lastRenderedPageBreak/>
              <w:t>Z</w:t>
            </w:r>
            <w:r w:rsidR="00FB23DC" w:rsidRPr="00A464D7">
              <w:rPr>
                <w:rFonts w:eastAsia="Times New Roman" w:cstheme="minorHAnsi"/>
              </w:rPr>
              <w:t>miana treści art. 11t ust. 4 poprzez objęcie wyłączeniem również pkt 6</w:t>
            </w:r>
          </w:p>
        </w:tc>
      </w:tr>
      <w:tr w:rsidR="00CE0C41" w:rsidRPr="00A464D7" w14:paraId="12A48A98" w14:textId="77777777" w:rsidTr="007E4029">
        <w:trPr>
          <w:jc w:val="center"/>
        </w:trPr>
        <w:tc>
          <w:tcPr>
            <w:tcW w:w="181" w:type="pct"/>
          </w:tcPr>
          <w:p w14:paraId="38C733B1" w14:textId="72AC44C4" w:rsidR="00CE0C41" w:rsidRPr="00A464D7" w:rsidRDefault="009A761B" w:rsidP="00A464D7">
            <w:pPr>
              <w:jc w:val="both"/>
              <w:rPr>
                <w:rFonts w:cstheme="minorHAnsi"/>
              </w:rPr>
            </w:pPr>
            <w:r w:rsidRPr="00A464D7">
              <w:rPr>
                <w:rFonts w:cstheme="minorHAnsi"/>
              </w:rPr>
              <w:t>4.</w:t>
            </w:r>
          </w:p>
        </w:tc>
        <w:tc>
          <w:tcPr>
            <w:tcW w:w="449" w:type="pct"/>
          </w:tcPr>
          <w:p w14:paraId="4D16D2C2" w14:textId="522F8D8B" w:rsidR="00CE0C41" w:rsidRPr="00A464D7" w:rsidRDefault="00411662" w:rsidP="00A464D7">
            <w:pPr>
              <w:jc w:val="both"/>
              <w:rPr>
                <w:rFonts w:cstheme="minorHAnsi"/>
              </w:rPr>
            </w:pPr>
            <w:r>
              <w:rPr>
                <w:rFonts w:cstheme="minorHAnsi"/>
              </w:rPr>
              <w:t>Konfederacja Lewiatan</w:t>
            </w:r>
          </w:p>
        </w:tc>
        <w:tc>
          <w:tcPr>
            <w:tcW w:w="797" w:type="pct"/>
          </w:tcPr>
          <w:p w14:paraId="1EE31AF9" w14:textId="77777777" w:rsidR="00256029" w:rsidRPr="00A464D7" w:rsidRDefault="009A761B" w:rsidP="00A464D7">
            <w:pPr>
              <w:jc w:val="both"/>
              <w:rPr>
                <w:rFonts w:eastAsia="Times New Roman" w:cstheme="minorHAnsi"/>
              </w:rPr>
            </w:pPr>
            <w:r w:rsidRPr="00A464D7">
              <w:rPr>
                <w:rFonts w:eastAsia="Times New Roman" w:cstheme="minorHAnsi"/>
                <w:b/>
                <w:bCs/>
              </w:rPr>
              <w:t>art. 11t ustawy o CIT</w:t>
            </w:r>
            <w:r w:rsidRPr="00A464D7">
              <w:rPr>
                <w:rFonts w:eastAsia="Times New Roman" w:cstheme="minorHAnsi"/>
              </w:rPr>
              <w:t xml:space="preserve">  </w:t>
            </w:r>
          </w:p>
          <w:p w14:paraId="7FA044EC" w14:textId="29EB6C70" w:rsidR="00CE0C41" w:rsidRPr="00A464D7" w:rsidRDefault="009A761B" w:rsidP="00A464D7">
            <w:pPr>
              <w:jc w:val="both"/>
              <w:rPr>
                <w:rFonts w:cstheme="minorHAnsi"/>
                <w:b/>
                <w:bCs/>
              </w:rPr>
            </w:pPr>
            <w:r w:rsidRPr="00A464D7">
              <w:rPr>
                <w:rFonts w:eastAsia="Times New Roman" w:cstheme="minorHAnsi"/>
              </w:rPr>
              <w:t xml:space="preserve">art. 2 pkt </w:t>
            </w:r>
            <w:proofErr w:type="gramStart"/>
            <w:r w:rsidRPr="00A464D7">
              <w:rPr>
                <w:rFonts w:eastAsia="Times New Roman" w:cstheme="minorHAnsi"/>
              </w:rPr>
              <w:t>4  projektu</w:t>
            </w:r>
            <w:proofErr w:type="gramEnd"/>
            <w:r w:rsidRPr="00A464D7">
              <w:rPr>
                <w:rFonts w:eastAsia="Times New Roman" w:cstheme="minorHAnsi"/>
              </w:rPr>
              <w:t xml:space="preserve"> ustawy zmieniającej</w:t>
            </w:r>
          </w:p>
        </w:tc>
        <w:tc>
          <w:tcPr>
            <w:tcW w:w="2350" w:type="pct"/>
          </w:tcPr>
          <w:p w14:paraId="67FF1D2A" w14:textId="77777777" w:rsidR="00884817" w:rsidRPr="00A464D7" w:rsidRDefault="00884817" w:rsidP="00A464D7">
            <w:pPr>
              <w:spacing w:before="120"/>
              <w:jc w:val="both"/>
              <w:rPr>
                <w:rFonts w:eastAsia="Times New Roman" w:cstheme="minorHAnsi"/>
              </w:rPr>
            </w:pPr>
            <w:r w:rsidRPr="00A464D7">
              <w:rPr>
                <w:rFonts w:eastAsia="Times New Roman" w:cstheme="minorHAnsi"/>
              </w:rPr>
              <w:t xml:space="preserve">W celu uproszczenia raportowania dla najmniejszych podmiotów Informacja TPR, składana przez </w:t>
            </w:r>
            <w:proofErr w:type="spellStart"/>
            <w:r w:rsidRPr="00A464D7">
              <w:rPr>
                <w:rFonts w:eastAsia="Times New Roman" w:cstheme="minorHAnsi"/>
              </w:rPr>
              <w:t>mikroprzedsiębiorcę</w:t>
            </w:r>
            <w:proofErr w:type="spellEnd"/>
            <w:r w:rsidRPr="00A464D7">
              <w:rPr>
                <w:rFonts w:eastAsia="Times New Roman" w:cstheme="minorHAnsi"/>
              </w:rPr>
              <w:t xml:space="preserve"> oraz małego przedsiębiorcę w rozumieniu ustawy Prawo przedsiębiorców (z uwzględnieniem art. 23zc ust. 3b ustawy PIT; art. 11q ust. 3b ustawy CIT), może nie zawierać wartości wskaźników ogólnych mierzących sytuację finansową tego podmiotu.</w:t>
            </w:r>
          </w:p>
          <w:p w14:paraId="0DA40276" w14:textId="31C9AF83" w:rsidR="00884817" w:rsidRPr="00A464D7" w:rsidRDefault="00884817" w:rsidP="00A464D7">
            <w:pPr>
              <w:spacing w:before="120"/>
              <w:jc w:val="both"/>
              <w:rPr>
                <w:rFonts w:eastAsia="Times New Roman" w:cstheme="minorHAnsi"/>
              </w:rPr>
            </w:pPr>
            <w:r w:rsidRPr="00A464D7">
              <w:rPr>
                <w:rFonts w:eastAsia="Times New Roman" w:cstheme="minorHAnsi"/>
              </w:rPr>
              <w:lastRenderedPageBreak/>
              <w:t>Obecnie, zgodnie z przepisami szczegółowymi, w przypadku podmiotów będących jednostkami mikro w rozumieniu ustawy o rachunkowości, należy podać wartość dwóch wskaźników, tj. rentowność aktywów oraz rentowność kapitału własnego. Mały przedsiębiorca wskazuje natomiast cztery wskaźniki, tj. marżę operacyjną, marżę zysku brutto, rentowność aktywów oraz rentowność kapitału własnego. Zwolnienie z obowiązku wskazywania w Informacji TPR wartości wskaźników ogólnych mierzących sytuację finansową uprości i przy</w:t>
            </w:r>
            <w:r w:rsidR="000562D8">
              <w:rPr>
                <w:rFonts w:eastAsia="Times New Roman" w:cstheme="minorHAnsi"/>
              </w:rPr>
              <w:t>s</w:t>
            </w:r>
            <w:r w:rsidRPr="00A464D7">
              <w:rPr>
                <w:rFonts w:eastAsia="Times New Roman" w:cstheme="minorHAnsi"/>
              </w:rPr>
              <w:t>pieszy sporządzanie Informacji TPR przez mikro i małego przedsiębiorcę.</w:t>
            </w:r>
          </w:p>
          <w:p w14:paraId="31072452" w14:textId="524495DE" w:rsidR="0074280B" w:rsidRPr="00A464D7" w:rsidRDefault="00884817" w:rsidP="00A464D7">
            <w:pPr>
              <w:spacing w:before="120"/>
              <w:jc w:val="both"/>
              <w:rPr>
                <w:rFonts w:eastAsia="Times New Roman" w:cstheme="minorHAnsi"/>
              </w:rPr>
            </w:pPr>
            <w:r w:rsidRPr="00A464D7">
              <w:rPr>
                <w:rFonts w:eastAsia="Times New Roman" w:cstheme="minorHAnsi"/>
              </w:rPr>
              <w:t>Uważamy jednak za z</w:t>
            </w:r>
            <w:r w:rsidR="0074280B" w:rsidRPr="00A464D7">
              <w:rPr>
                <w:rFonts w:eastAsia="Times New Roman" w:cstheme="minorHAnsi"/>
              </w:rPr>
              <w:t xml:space="preserve">asadne doprecyzowanie definicji stosowanych na potrzeby ustalenia zastosowania uproszczeń </w:t>
            </w:r>
            <w:r w:rsidR="007831A9">
              <w:rPr>
                <w:rFonts w:eastAsia="Times New Roman" w:cstheme="minorHAnsi"/>
              </w:rPr>
              <w:br/>
            </w:r>
            <w:r w:rsidR="0074280B" w:rsidRPr="00A464D7">
              <w:rPr>
                <w:rFonts w:eastAsia="Times New Roman" w:cstheme="minorHAnsi"/>
              </w:rPr>
              <w:t>w raportowaniu dla najmniejszych podmiotów. W uzasadnieniu do projektu ustawy występuje odwołanie do dwóch odrębnych definicji - jednostki mikro i małej</w:t>
            </w:r>
            <w:r w:rsidR="0074280B" w:rsidRPr="00A464D7">
              <w:rPr>
                <w:rFonts w:cstheme="minorHAnsi"/>
              </w:rPr>
              <w:t xml:space="preserve"> </w:t>
            </w:r>
            <w:r w:rsidR="0074280B" w:rsidRPr="00A464D7">
              <w:rPr>
                <w:rFonts w:eastAsia="Times New Roman" w:cstheme="minorHAnsi"/>
              </w:rPr>
              <w:t xml:space="preserve">w rozumieniu ustawy </w:t>
            </w:r>
            <w:r w:rsidR="007831A9">
              <w:rPr>
                <w:rFonts w:eastAsia="Times New Roman" w:cstheme="minorHAnsi"/>
              </w:rPr>
              <w:br/>
            </w:r>
            <w:r w:rsidR="0074280B" w:rsidRPr="00A464D7">
              <w:rPr>
                <w:rFonts w:eastAsia="Times New Roman" w:cstheme="minorHAnsi"/>
              </w:rPr>
              <w:t xml:space="preserve">o rachunkowości oraz mikro- i małego przedsiębiorcy </w:t>
            </w:r>
            <w:r w:rsidR="007831A9">
              <w:rPr>
                <w:rFonts w:eastAsia="Times New Roman" w:cstheme="minorHAnsi"/>
              </w:rPr>
              <w:br/>
            </w:r>
            <w:r w:rsidR="0074280B" w:rsidRPr="00A464D7">
              <w:rPr>
                <w:rFonts w:eastAsia="Times New Roman" w:cstheme="minorHAnsi"/>
              </w:rPr>
              <w:t>w rozumieniu ustawy – Prawo przedsiębiorców.</w:t>
            </w:r>
          </w:p>
          <w:p w14:paraId="7A092E42" w14:textId="2C3636B9" w:rsidR="0074280B" w:rsidRPr="00A464D7" w:rsidRDefault="0074280B" w:rsidP="00A464D7">
            <w:pPr>
              <w:spacing w:before="120"/>
              <w:jc w:val="both"/>
              <w:rPr>
                <w:rFonts w:eastAsia="Times New Roman" w:cstheme="minorHAnsi"/>
              </w:rPr>
            </w:pPr>
            <w:r w:rsidRPr="00A464D7">
              <w:rPr>
                <w:rFonts w:eastAsia="Times New Roman" w:cstheme="minorHAnsi"/>
              </w:rPr>
              <w:t xml:space="preserve">Definicję z ustawy o rachunkowości wykorzystuje się przy określaniu rodzaju wskaźników raportowanych w Informacji TPR. Z kolei na podstawie definicji z ustawy - Prawo Przedsiębiorców ustala się czy podatnik może być zwolniony </w:t>
            </w:r>
            <w:r w:rsidR="007831A9">
              <w:rPr>
                <w:rFonts w:eastAsia="Times New Roman" w:cstheme="minorHAnsi"/>
              </w:rPr>
              <w:br/>
            </w:r>
            <w:r w:rsidRPr="00A464D7">
              <w:rPr>
                <w:rFonts w:eastAsia="Times New Roman" w:cstheme="minorHAnsi"/>
              </w:rPr>
              <w:t xml:space="preserve">z przygotowywania analizy cen transferowych. </w:t>
            </w:r>
          </w:p>
          <w:p w14:paraId="4D409D53" w14:textId="2D22C3EE" w:rsidR="0074280B" w:rsidRPr="00A464D7" w:rsidRDefault="0074280B" w:rsidP="00A464D7">
            <w:pPr>
              <w:spacing w:before="120"/>
              <w:jc w:val="both"/>
              <w:rPr>
                <w:rFonts w:eastAsia="Times New Roman" w:cstheme="minorHAnsi"/>
              </w:rPr>
            </w:pPr>
            <w:r w:rsidRPr="00A464D7">
              <w:rPr>
                <w:rFonts w:eastAsia="Times New Roman" w:cstheme="minorHAnsi"/>
              </w:rPr>
              <w:t xml:space="preserve">Powyższe może prowadzić do wątpliwości interpretacyjnych, ponieważ zakres podmiotowy definicji ustawy - Prawo przedsiębiorców oraz ustawy o rachunkowości nie jest tożsamy. W szczególności jednostka mikro w rozumieniu ustawy </w:t>
            </w:r>
            <w:r w:rsidR="007831A9">
              <w:rPr>
                <w:rFonts w:eastAsia="Times New Roman" w:cstheme="minorHAnsi"/>
              </w:rPr>
              <w:br/>
            </w:r>
            <w:r w:rsidRPr="00A464D7">
              <w:rPr>
                <w:rFonts w:eastAsia="Times New Roman" w:cstheme="minorHAnsi"/>
              </w:rPr>
              <w:t xml:space="preserve">o rachunkowości nie musi spełniać kryteriów mikroprzedsiębiorcy określonych w Prawie przedsiębiorców (i odwrotnie). Jednocześnie obowiązek prezentowania określonych wskaźników finansowych w informacji TPR jest </w:t>
            </w:r>
            <w:r w:rsidRPr="00A464D7">
              <w:rPr>
                <w:rFonts w:eastAsia="Times New Roman" w:cstheme="minorHAnsi"/>
              </w:rPr>
              <w:lastRenderedPageBreak/>
              <w:t xml:space="preserve">powiązany z kategoriami wynikającymi z ustawy </w:t>
            </w:r>
            <w:r w:rsidR="00EA4CE7">
              <w:rPr>
                <w:rFonts w:eastAsia="Times New Roman" w:cstheme="minorHAnsi"/>
              </w:rPr>
              <w:br/>
            </w:r>
            <w:r w:rsidRPr="00A464D7">
              <w:rPr>
                <w:rFonts w:eastAsia="Times New Roman" w:cstheme="minorHAnsi"/>
              </w:rPr>
              <w:t>o rachunkowości. W konsekwencji powstaje wątpliwość co do zakresu stosowania projektowanego zwolnienia w szczególności w sytuacji, gdy podmiot spełnia kryteria mikroprzedsiębiorcy na gruncie Prawa przedsiębiorców, ale jednocześnie kwalifikuje się jako jednostka mikro w rozumieniu ustawy o rachunkowości.</w:t>
            </w:r>
          </w:p>
          <w:p w14:paraId="428119E1" w14:textId="72D3DC65" w:rsidR="00CE0C41" w:rsidRPr="00A464D7" w:rsidRDefault="00884817" w:rsidP="00A464D7">
            <w:pPr>
              <w:spacing w:before="120"/>
              <w:jc w:val="both"/>
              <w:rPr>
                <w:rFonts w:eastAsia="Times New Roman" w:cstheme="minorHAnsi"/>
              </w:rPr>
            </w:pPr>
            <w:r w:rsidRPr="00A464D7">
              <w:rPr>
                <w:rFonts w:eastAsia="Times New Roman" w:cstheme="minorHAnsi"/>
              </w:rPr>
              <w:t>P</w:t>
            </w:r>
            <w:r w:rsidR="0074280B" w:rsidRPr="00A464D7">
              <w:rPr>
                <w:rFonts w:eastAsia="Times New Roman" w:cstheme="minorHAnsi"/>
              </w:rPr>
              <w:t xml:space="preserve">rojektowane zmiany w proponowanym brzmieniu dodatkowo komplikują wybór właściwej definicji z odpowiedniej ustawy oraz mogą utrudniać prawidłowe wypełnianie Informacji TPR. </w:t>
            </w:r>
            <w:r w:rsidR="00EA4CE7">
              <w:rPr>
                <w:rFonts w:eastAsia="Times New Roman" w:cstheme="minorHAnsi"/>
              </w:rPr>
              <w:br/>
            </w:r>
            <w:r w:rsidR="0074280B" w:rsidRPr="00A464D7">
              <w:rPr>
                <w:rFonts w:eastAsia="Times New Roman" w:cstheme="minorHAnsi"/>
              </w:rPr>
              <w:t xml:space="preserve">Z tego względu zasadne byłoby doprecyzowanie przepisów </w:t>
            </w:r>
            <w:r w:rsidR="00EA4CE7">
              <w:rPr>
                <w:rFonts w:eastAsia="Times New Roman" w:cstheme="minorHAnsi"/>
              </w:rPr>
              <w:br/>
            </w:r>
            <w:r w:rsidR="0074280B" w:rsidRPr="00A464D7">
              <w:rPr>
                <w:rFonts w:eastAsia="Times New Roman" w:cstheme="minorHAnsi"/>
              </w:rPr>
              <w:t xml:space="preserve">w tym zakresie, tak aby jednoznacznie określić, czy zwolnienie </w:t>
            </w:r>
            <w:r w:rsidR="00EA4CE7">
              <w:rPr>
                <w:rFonts w:eastAsia="Times New Roman" w:cstheme="minorHAnsi"/>
              </w:rPr>
              <w:br/>
            </w:r>
            <w:r w:rsidR="0074280B" w:rsidRPr="00A464D7">
              <w:rPr>
                <w:rFonts w:eastAsia="Times New Roman" w:cstheme="minorHAnsi"/>
              </w:rPr>
              <w:t>z obowiązku raportowania wskaźników finansowych odnosi się wyłącznie do definicji wynikających z przepisów ustawy - Prawo przedsiębiorców, czy również do definicji wynikających z ustawy o rachunkowości. Obecne brzmienie regulacji może prowadzić do niepewności po stronie podatników oraz niejednolitej praktyki stosowania przepisów.</w:t>
            </w:r>
          </w:p>
        </w:tc>
        <w:tc>
          <w:tcPr>
            <w:tcW w:w="1223" w:type="pct"/>
          </w:tcPr>
          <w:p w14:paraId="6DCAA839" w14:textId="3169B097" w:rsidR="00CE0C41" w:rsidRPr="00A464D7" w:rsidRDefault="00994722" w:rsidP="00A464D7">
            <w:pPr>
              <w:jc w:val="both"/>
              <w:rPr>
                <w:rFonts w:cstheme="minorHAnsi"/>
              </w:rPr>
            </w:pPr>
            <w:r w:rsidRPr="00A464D7">
              <w:rPr>
                <w:rFonts w:eastAsia="Times New Roman" w:cstheme="minorHAnsi"/>
              </w:rPr>
              <w:lastRenderedPageBreak/>
              <w:t xml:space="preserve">Doprecyzowanie definicji –jednostki mikro i małej. </w:t>
            </w:r>
          </w:p>
        </w:tc>
      </w:tr>
      <w:tr w:rsidR="003E1063" w:rsidRPr="00A464D7" w14:paraId="57BE6E8B" w14:textId="77777777" w:rsidTr="007E4029">
        <w:trPr>
          <w:jc w:val="center"/>
        </w:trPr>
        <w:tc>
          <w:tcPr>
            <w:tcW w:w="181" w:type="pct"/>
          </w:tcPr>
          <w:p w14:paraId="1C5334C5" w14:textId="04094517" w:rsidR="003E1063" w:rsidRPr="00A464D7" w:rsidRDefault="009A761B" w:rsidP="00A464D7">
            <w:pPr>
              <w:jc w:val="both"/>
              <w:rPr>
                <w:rFonts w:cstheme="minorHAnsi"/>
              </w:rPr>
            </w:pPr>
            <w:r w:rsidRPr="00A464D7">
              <w:rPr>
                <w:rFonts w:cstheme="minorHAnsi"/>
              </w:rPr>
              <w:lastRenderedPageBreak/>
              <w:t>5.</w:t>
            </w:r>
          </w:p>
        </w:tc>
        <w:tc>
          <w:tcPr>
            <w:tcW w:w="449" w:type="pct"/>
          </w:tcPr>
          <w:p w14:paraId="35D7D20E" w14:textId="42FE60DC" w:rsidR="003E1063" w:rsidRPr="00A464D7" w:rsidRDefault="00411662" w:rsidP="00A464D7">
            <w:pPr>
              <w:jc w:val="both"/>
              <w:rPr>
                <w:rFonts w:cstheme="minorHAnsi"/>
              </w:rPr>
            </w:pPr>
            <w:r>
              <w:rPr>
                <w:rFonts w:cstheme="minorHAnsi"/>
              </w:rPr>
              <w:t>Konfederacja Lewiatan</w:t>
            </w:r>
          </w:p>
        </w:tc>
        <w:tc>
          <w:tcPr>
            <w:tcW w:w="797" w:type="pct"/>
          </w:tcPr>
          <w:p w14:paraId="05E54F2B" w14:textId="339E519C" w:rsidR="003E1063" w:rsidRPr="00A464D7" w:rsidRDefault="003E1063" w:rsidP="00A464D7">
            <w:pPr>
              <w:jc w:val="both"/>
              <w:rPr>
                <w:rFonts w:cstheme="minorHAnsi"/>
                <w:b/>
                <w:bCs/>
              </w:rPr>
            </w:pPr>
            <w:r w:rsidRPr="00A464D7">
              <w:rPr>
                <w:rFonts w:cstheme="minorHAnsi"/>
                <w:b/>
                <w:bCs/>
              </w:rPr>
              <w:t>art. 56c ustawy Kodeks karny skarbowy</w:t>
            </w:r>
          </w:p>
          <w:p w14:paraId="246E3970" w14:textId="77777777" w:rsidR="003E1063" w:rsidRPr="00A464D7" w:rsidRDefault="003E1063" w:rsidP="00A464D7">
            <w:pPr>
              <w:jc w:val="both"/>
              <w:rPr>
                <w:rFonts w:cstheme="minorHAnsi"/>
              </w:rPr>
            </w:pPr>
          </w:p>
          <w:p w14:paraId="33A23728" w14:textId="5CAEC3A5" w:rsidR="003E1063" w:rsidRPr="00A464D7" w:rsidRDefault="00256029" w:rsidP="00A464D7">
            <w:pPr>
              <w:jc w:val="both"/>
              <w:rPr>
                <w:rFonts w:cstheme="minorHAnsi"/>
              </w:rPr>
            </w:pPr>
            <w:r w:rsidRPr="00A464D7">
              <w:rPr>
                <w:rFonts w:cstheme="minorHAnsi"/>
              </w:rPr>
              <w:t>a</w:t>
            </w:r>
            <w:r w:rsidR="003E1063" w:rsidRPr="00A464D7">
              <w:rPr>
                <w:rFonts w:cstheme="minorHAnsi"/>
              </w:rPr>
              <w:t xml:space="preserve">rt. 3 </w:t>
            </w:r>
            <w:r w:rsidRPr="00A464D7">
              <w:rPr>
                <w:rFonts w:cstheme="minorHAnsi"/>
              </w:rPr>
              <w:t>p</w:t>
            </w:r>
            <w:r w:rsidR="003E1063" w:rsidRPr="00A464D7">
              <w:rPr>
                <w:rFonts w:cstheme="minorHAnsi"/>
              </w:rPr>
              <w:t xml:space="preserve">kt 2 </w:t>
            </w:r>
            <w:r w:rsidR="009A761B" w:rsidRPr="00A464D7">
              <w:rPr>
                <w:rFonts w:cstheme="minorHAnsi"/>
              </w:rPr>
              <w:t>projektu u</w:t>
            </w:r>
            <w:r w:rsidR="003E1063" w:rsidRPr="00A464D7">
              <w:rPr>
                <w:rFonts w:cstheme="minorHAnsi"/>
              </w:rPr>
              <w:t>stawy zmieniającej</w:t>
            </w:r>
          </w:p>
          <w:p w14:paraId="712ACBBA" w14:textId="77777777" w:rsidR="003E1063" w:rsidRPr="00A464D7" w:rsidRDefault="003E1063" w:rsidP="00A464D7">
            <w:pPr>
              <w:jc w:val="both"/>
              <w:rPr>
                <w:rFonts w:cstheme="minorHAnsi"/>
              </w:rPr>
            </w:pPr>
          </w:p>
        </w:tc>
        <w:tc>
          <w:tcPr>
            <w:tcW w:w="2350" w:type="pct"/>
          </w:tcPr>
          <w:p w14:paraId="12F8C0D1" w14:textId="4564DFE7" w:rsidR="00E478C4" w:rsidRPr="00A464D7" w:rsidRDefault="003E1063" w:rsidP="00A464D7">
            <w:pPr>
              <w:spacing w:before="120"/>
              <w:jc w:val="both"/>
              <w:rPr>
                <w:rFonts w:eastAsia="Times New Roman" w:cstheme="minorHAnsi"/>
              </w:rPr>
            </w:pPr>
            <w:r w:rsidRPr="00A464D7">
              <w:rPr>
                <w:rFonts w:eastAsia="Times New Roman" w:cstheme="minorHAnsi"/>
              </w:rPr>
              <w:t>Proponowana w art. 56c § 1 KKS zmiana spójnika „oraz” na „lub” prowadzi do rozszerzenia zakresu odpowiedzialności karnej skarbowej za niesporządzenie dokumentacji</w:t>
            </w:r>
            <w:r w:rsidR="00E478C4" w:rsidRPr="00A464D7">
              <w:rPr>
                <w:rFonts w:eastAsia="Times New Roman" w:cstheme="minorHAnsi"/>
              </w:rPr>
              <w:t xml:space="preserve">. </w:t>
            </w:r>
          </w:p>
          <w:p w14:paraId="574E8DEE" w14:textId="36E2784C" w:rsidR="003E1063" w:rsidRPr="00A464D7" w:rsidRDefault="004442C3" w:rsidP="00A464D7">
            <w:pPr>
              <w:spacing w:before="120"/>
              <w:jc w:val="both"/>
              <w:rPr>
                <w:rFonts w:eastAsia="Times New Roman" w:cstheme="minorHAnsi"/>
              </w:rPr>
            </w:pPr>
            <w:r w:rsidRPr="00A464D7">
              <w:rPr>
                <w:rFonts w:eastAsia="Times New Roman" w:cstheme="minorHAnsi"/>
              </w:rPr>
              <w:t>Z kolei p</w:t>
            </w:r>
            <w:r w:rsidR="003E1063" w:rsidRPr="00A464D7">
              <w:rPr>
                <w:rFonts w:eastAsia="Times New Roman" w:cstheme="minorHAnsi"/>
              </w:rPr>
              <w:t>rojektowany art. 56c § 2a KKS stwarza ryzyko nadmiernego formalizmu oraz potencjalnych nadużyć, polegających na kwestionowaniu dokumentacji cen transferowych przez organy podatkowe z przyczyn formalnych, pomimo że warunki transakcji mogą odpowiadać zasadzie ceny rynkowej. Może to prowadzić do nieproporcjonalnego stosowania sankcji karnych skarbowych.</w:t>
            </w:r>
            <w:r w:rsidRPr="00A464D7">
              <w:rPr>
                <w:rFonts w:eastAsia="Times New Roman" w:cstheme="minorHAnsi"/>
              </w:rPr>
              <w:t xml:space="preserve"> </w:t>
            </w:r>
            <w:r w:rsidR="003E1063" w:rsidRPr="00A464D7">
              <w:rPr>
                <w:rFonts w:eastAsia="Times New Roman" w:cstheme="minorHAnsi"/>
              </w:rPr>
              <w:t xml:space="preserve">Dodatkowo istnieje ryzyko automatycznego stosowania sankcji w sytuacjach, </w:t>
            </w:r>
            <w:r w:rsidR="00EA4CE7">
              <w:rPr>
                <w:rFonts w:eastAsia="Times New Roman" w:cstheme="minorHAnsi"/>
              </w:rPr>
              <w:br/>
            </w:r>
            <w:r w:rsidR="003E1063" w:rsidRPr="00A464D7">
              <w:rPr>
                <w:rFonts w:eastAsia="Times New Roman" w:cstheme="minorHAnsi"/>
              </w:rPr>
              <w:t>w których stwierdzenie niekompletności dokumentacji nie jest poprzedzone analizą przesłanek odpowiedzialności karnej skarbowej, w szczególności w zakresie winy podatnika.</w:t>
            </w:r>
            <w:r w:rsidRPr="00A464D7">
              <w:rPr>
                <w:rFonts w:eastAsia="Times New Roman" w:cstheme="minorHAnsi"/>
              </w:rPr>
              <w:t xml:space="preserve"> </w:t>
            </w:r>
            <w:r w:rsidR="003E1063" w:rsidRPr="00A464D7">
              <w:rPr>
                <w:rFonts w:eastAsia="Times New Roman" w:cstheme="minorHAnsi"/>
              </w:rPr>
              <w:t xml:space="preserve">Należy przy tym zauważyć, że maksymalna sankcja przewidziana </w:t>
            </w:r>
            <w:r w:rsidR="00EA4CE7">
              <w:rPr>
                <w:rFonts w:eastAsia="Times New Roman" w:cstheme="minorHAnsi"/>
              </w:rPr>
              <w:br/>
            </w:r>
            <w:r w:rsidR="003E1063" w:rsidRPr="00A464D7">
              <w:rPr>
                <w:rFonts w:eastAsia="Times New Roman" w:cstheme="minorHAnsi"/>
              </w:rPr>
              <w:lastRenderedPageBreak/>
              <w:t>w projektowanym przepisie (do 240 stawek dziennych) może przy obecnym poziomie stawek – w świetle projektowanych regulacji może podlegać sankcji do 15,4 mln PLN co dodatkowo może przemawiać za potencjalną nieproporcjonalnością projektowanej regulacji względem uchybień o charakterze formalnym.</w:t>
            </w:r>
          </w:p>
          <w:p w14:paraId="7BA7CD8E" w14:textId="5B51B1C1" w:rsidR="003E1063" w:rsidRPr="00A464D7" w:rsidRDefault="003E1063" w:rsidP="00A464D7">
            <w:pPr>
              <w:spacing w:before="120"/>
              <w:jc w:val="both"/>
              <w:rPr>
                <w:rFonts w:eastAsia="Times New Roman" w:cstheme="minorHAnsi"/>
              </w:rPr>
            </w:pPr>
            <w:r w:rsidRPr="00A464D7">
              <w:rPr>
                <w:rFonts w:eastAsia="Times New Roman" w:cstheme="minorHAnsi"/>
              </w:rPr>
              <w:t>Warto przy tym podkreślić</w:t>
            </w:r>
            <w:r w:rsidR="00205BCF">
              <w:rPr>
                <w:rFonts w:eastAsia="Times New Roman" w:cstheme="minorHAnsi"/>
              </w:rPr>
              <w:t xml:space="preserve"> -</w:t>
            </w:r>
            <w:r w:rsidRPr="00A464D7">
              <w:rPr>
                <w:rFonts w:eastAsia="Times New Roman" w:cstheme="minorHAnsi"/>
              </w:rPr>
              <w:t xml:space="preserve"> jak wynika z uzasadnienia do projektu nowelizacji - na pierwszy plan wysuwa się „wadliwość” dokumentacji rozumiana w szczególności jako brak oświadczenia w dokumentacji lokalnej. Jednocześnie sposób sformułowania czynu zabronionego poprzez odwołanie do naruszenia art. 11q ustawy CIT budzi istotne wątpliwości interpretacyjne. Projektowany przepis art. 56c §2a KKS nie precyzuje bowiem, jakiego rodzaju uchybienia będą uznawane za „niezgodność” z art. 11q ustawy o CIT</w:t>
            </w:r>
            <w:r w:rsidR="004442C3" w:rsidRPr="00A464D7">
              <w:rPr>
                <w:rFonts w:eastAsia="Times New Roman" w:cstheme="minorHAnsi"/>
              </w:rPr>
              <w:t xml:space="preserve">. </w:t>
            </w:r>
            <w:r w:rsidRPr="00A464D7">
              <w:rPr>
                <w:rFonts w:eastAsia="Times New Roman" w:cstheme="minorHAnsi"/>
              </w:rPr>
              <w:t xml:space="preserve">W szczególności czy wystarczające będzie niewypełnienie któregokolwiek </w:t>
            </w:r>
            <w:r w:rsidR="00EA4CE7">
              <w:rPr>
                <w:rFonts w:eastAsia="Times New Roman" w:cstheme="minorHAnsi"/>
              </w:rPr>
              <w:br/>
            </w:r>
            <w:r w:rsidRPr="00A464D7">
              <w:rPr>
                <w:rFonts w:eastAsia="Times New Roman" w:cstheme="minorHAnsi"/>
              </w:rPr>
              <w:t xml:space="preserve">z elementów dokumentacji, czy też konieczna będzie ocena istotności danego braku (np. w analizie funkcjonalnej - brak uwzględnienia określonej funkcji, aktywów bądź </w:t>
            </w:r>
            <w:proofErr w:type="spellStart"/>
            <w:r w:rsidRPr="00A464D7">
              <w:rPr>
                <w:rFonts w:eastAsia="Times New Roman" w:cstheme="minorHAnsi"/>
              </w:rPr>
              <w:t>ryzyk</w:t>
            </w:r>
            <w:proofErr w:type="spellEnd"/>
            <w:r w:rsidRPr="00A464D7">
              <w:rPr>
                <w:rFonts w:eastAsia="Times New Roman" w:cstheme="minorHAnsi"/>
              </w:rPr>
              <w:t xml:space="preserve">). </w:t>
            </w:r>
            <w:r w:rsidR="00EA4CE7">
              <w:rPr>
                <w:rFonts w:eastAsia="Times New Roman" w:cstheme="minorHAnsi"/>
              </w:rPr>
              <w:br/>
            </w:r>
            <w:r w:rsidRPr="00A464D7">
              <w:rPr>
                <w:rFonts w:eastAsia="Times New Roman" w:cstheme="minorHAnsi"/>
              </w:rPr>
              <w:t xml:space="preserve">W konsekwencji nie jest jasne czy każde uchybienie formalne (np. pominięcie określonego elementu dokumentacji lub jakiegokolwiek innego elementu) - może prowadzić do odpowiedzialności karno-skarbowej, czy też zakres penalizacji będzie podlegał </w:t>
            </w:r>
            <w:proofErr w:type="spellStart"/>
            <w:r w:rsidRPr="00A464D7">
              <w:rPr>
                <w:rFonts w:eastAsia="Times New Roman" w:cstheme="minorHAnsi"/>
              </w:rPr>
              <w:t>ocennej</w:t>
            </w:r>
            <w:proofErr w:type="spellEnd"/>
            <w:r w:rsidRPr="00A464D7">
              <w:rPr>
                <w:rFonts w:eastAsia="Times New Roman" w:cstheme="minorHAnsi"/>
              </w:rPr>
              <w:t xml:space="preserve"> weryfikacji przez organy podatkowe. Co istotne, w uzasadnieniu do projektu wprost wskazano, że</w:t>
            </w:r>
          </w:p>
          <w:p w14:paraId="4782A9EA" w14:textId="4DFB2AD9" w:rsidR="00D86B31" w:rsidRPr="00A464D7" w:rsidRDefault="003E1063" w:rsidP="00A464D7">
            <w:pPr>
              <w:jc w:val="both"/>
              <w:rPr>
                <w:rFonts w:eastAsia="Times New Roman" w:cstheme="minorHAnsi"/>
              </w:rPr>
            </w:pPr>
            <w:r w:rsidRPr="00A464D7">
              <w:rPr>
                <w:rFonts w:eastAsia="Times New Roman" w:cstheme="minorHAnsi"/>
              </w:rPr>
              <w:t xml:space="preserve">wprowadzenie projektowanej regulacji ma na celu objęcie odpowiedzialnością karno-skarbową sporządzenia dokumentacji niezgodnie z art. 23zc ustawy PIT lub art. 11q ustawy CIT, cyt. „czyli odpowiedzialność m.in. za brak oświadczenia w lokalnej dokumentacji”. Powyższe może wskazywać, że rzeczywistą intencją projektodawcy jest penalizacja braku oświadczenia, podczas gdy literalne brzmienie </w:t>
            </w:r>
            <w:r w:rsidRPr="00A464D7">
              <w:rPr>
                <w:rFonts w:eastAsia="Times New Roman" w:cstheme="minorHAnsi"/>
              </w:rPr>
              <w:lastRenderedPageBreak/>
              <w:t>przepisu obejmuje znacznie szerszy zakres potencjalnych naruszeń.</w:t>
            </w:r>
          </w:p>
          <w:p w14:paraId="634FEF74" w14:textId="4ACED79C" w:rsidR="00B3634B" w:rsidRPr="00A464D7" w:rsidRDefault="003E1063" w:rsidP="00A464D7">
            <w:pPr>
              <w:jc w:val="both"/>
              <w:rPr>
                <w:rFonts w:eastAsia="Times New Roman" w:cstheme="minorHAnsi"/>
              </w:rPr>
            </w:pPr>
            <w:r w:rsidRPr="00A464D7">
              <w:rPr>
                <w:rFonts w:eastAsia="Times New Roman" w:cstheme="minorHAnsi"/>
              </w:rPr>
              <w:t xml:space="preserve">W związku z </w:t>
            </w:r>
            <w:proofErr w:type="gramStart"/>
            <w:r w:rsidRPr="00A464D7">
              <w:rPr>
                <w:rFonts w:eastAsia="Times New Roman" w:cstheme="minorHAnsi"/>
              </w:rPr>
              <w:t>powyższym  rekomenduje</w:t>
            </w:r>
            <w:r w:rsidR="0001234E">
              <w:rPr>
                <w:rFonts w:eastAsia="Times New Roman" w:cstheme="minorHAnsi"/>
              </w:rPr>
              <w:t>my</w:t>
            </w:r>
            <w:proofErr w:type="gramEnd"/>
            <w:r w:rsidRPr="00A464D7">
              <w:rPr>
                <w:rFonts w:eastAsia="Times New Roman" w:cstheme="minorHAnsi"/>
              </w:rPr>
              <w:t xml:space="preserve"> rozważenie rezygnacji z wprowadzenia projektowanej sankcji w obecnym kształcie jako rozwiązania nieproporcjonalnego do charakteru potencjalnych naruszeń.</w:t>
            </w:r>
            <w:r w:rsidR="00EA3D27">
              <w:rPr>
                <w:rFonts w:eastAsia="Times New Roman" w:cstheme="minorHAnsi"/>
              </w:rPr>
              <w:t xml:space="preserve"> </w:t>
            </w:r>
            <w:r w:rsidRPr="00A464D7">
              <w:rPr>
                <w:rFonts w:eastAsia="Times New Roman" w:cstheme="minorHAnsi"/>
              </w:rPr>
              <w:t>W</w:t>
            </w:r>
            <w:r w:rsidR="00EA3D27">
              <w:rPr>
                <w:rFonts w:eastAsia="Times New Roman" w:cstheme="minorHAnsi"/>
              </w:rPr>
              <w:t xml:space="preserve"> </w:t>
            </w:r>
            <w:r w:rsidRPr="00A464D7">
              <w:rPr>
                <w:rFonts w:eastAsia="Times New Roman" w:cstheme="minorHAnsi"/>
              </w:rPr>
              <w:t xml:space="preserve">przypadku pozostawienia regulacji </w:t>
            </w:r>
            <w:r w:rsidR="00EA4CE7">
              <w:rPr>
                <w:rFonts w:eastAsia="Times New Roman" w:cstheme="minorHAnsi"/>
              </w:rPr>
              <w:br/>
            </w:r>
            <w:r w:rsidRPr="00A464D7">
              <w:rPr>
                <w:rFonts w:eastAsia="Times New Roman" w:cstheme="minorHAnsi"/>
              </w:rPr>
              <w:t xml:space="preserve">w projektowanym brzmieniu zasadne pozostaje </w:t>
            </w:r>
            <w:r w:rsidR="00F434BF" w:rsidRPr="00A464D7">
              <w:rPr>
                <w:rFonts w:eastAsia="Times New Roman" w:cstheme="minorHAnsi"/>
              </w:rPr>
              <w:t>w</w:t>
            </w:r>
            <w:r w:rsidRPr="00A464D7">
              <w:rPr>
                <w:rFonts w:eastAsia="Times New Roman" w:cstheme="minorHAnsi"/>
              </w:rPr>
              <w:t xml:space="preserve">prowadzenie definicji pojęcia „wadliwości” dokumentacji, o którym mowa </w:t>
            </w:r>
            <w:r w:rsidR="00EA3D27">
              <w:rPr>
                <w:rFonts w:eastAsia="Times New Roman" w:cstheme="minorHAnsi"/>
              </w:rPr>
              <w:br/>
            </w:r>
            <w:r w:rsidRPr="00A464D7">
              <w:rPr>
                <w:rFonts w:eastAsia="Times New Roman" w:cstheme="minorHAnsi"/>
              </w:rPr>
              <w:t xml:space="preserve">w uzasadnieniu do projektu ustawy tj. doprecyzowanie </w:t>
            </w:r>
            <w:r w:rsidR="00EA3D27">
              <w:rPr>
                <w:rFonts w:eastAsia="Times New Roman" w:cstheme="minorHAnsi"/>
              </w:rPr>
              <w:br/>
            </w:r>
            <w:r w:rsidRPr="00A464D7">
              <w:rPr>
                <w:rFonts w:eastAsia="Times New Roman" w:cstheme="minorHAnsi"/>
              </w:rPr>
              <w:t xml:space="preserve">w przepisach KKS, co należy rozumieć przez sformułowanie </w:t>
            </w:r>
            <w:r w:rsidRPr="00A464D7">
              <w:rPr>
                <w:rFonts w:eastAsia="Times New Roman" w:cstheme="minorHAnsi"/>
                <w:i/>
                <w:iCs/>
              </w:rPr>
              <w:t>„sporządza niezgodnie z art. 23zc ustawy z dnia 26 lipca 1991 r. o podatku dochodowym od osób fizycznych lub z art. 11q ustawy z dnia 15 lutego 1992 r. o podatku dochodowym od osób prawnych”.</w:t>
            </w:r>
          </w:p>
          <w:p w14:paraId="36B7EF0A" w14:textId="26C10910" w:rsidR="007524CC" w:rsidRPr="00A464D7" w:rsidRDefault="007524CC" w:rsidP="00A464D7">
            <w:pPr>
              <w:jc w:val="both"/>
              <w:rPr>
                <w:rFonts w:cstheme="minorHAnsi"/>
              </w:rPr>
            </w:pPr>
            <w:r w:rsidRPr="00A464D7">
              <w:rPr>
                <w:rFonts w:cstheme="minorHAnsi"/>
              </w:rPr>
              <w:t>Mając względzie powyższe postulujemy odstąpienie od dodania § 2a w art. 56c ustawy Kodeks karny skarbowy, którego celem jest nałożenie sankcji w postaci grzywny za formalne niezgodności w dokumentacji cen transferowych.</w:t>
            </w:r>
          </w:p>
          <w:p w14:paraId="2243BCD2" w14:textId="1B2AE693" w:rsidR="007524CC" w:rsidRPr="00A464D7" w:rsidRDefault="007524CC" w:rsidP="00A464D7">
            <w:pPr>
              <w:jc w:val="both"/>
              <w:rPr>
                <w:rFonts w:cstheme="minorHAnsi"/>
              </w:rPr>
            </w:pPr>
            <w:r w:rsidRPr="00A464D7">
              <w:rPr>
                <w:rFonts w:cstheme="minorHAnsi"/>
              </w:rPr>
              <w:t xml:space="preserve">Analogiczny postulat wnosimy również do obowiązującego art. 80e § 1 ustawy Kodeks karny skarbowy, który penalizuje uchybienia formalne w składanej informacji TPR-C, a w efekcie promuje nadmiernie ostrożnościowe raportowanie. </w:t>
            </w:r>
          </w:p>
          <w:p w14:paraId="097800E3" w14:textId="77777777" w:rsidR="00670B59" w:rsidRPr="00A464D7" w:rsidRDefault="007524CC" w:rsidP="00A464D7">
            <w:pPr>
              <w:jc w:val="both"/>
              <w:rPr>
                <w:rFonts w:cstheme="minorHAnsi"/>
              </w:rPr>
            </w:pPr>
            <w:r w:rsidRPr="00A464D7">
              <w:rPr>
                <w:rFonts w:cstheme="minorHAnsi"/>
              </w:rPr>
              <w:t>Mając względzie powyższe postulujemy zmianę brzmienia art. 80e § 1 ustawy Kodeks karny skarbowy, aby nie były objęte sankcją</w:t>
            </w:r>
            <w:r w:rsidR="00670B59" w:rsidRPr="00A464D7">
              <w:rPr>
                <w:rFonts w:cstheme="minorHAnsi"/>
              </w:rPr>
              <w:t xml:space="preserve"> nieprawidłowości formalne w zakresie składanej informacji TPR-C, jeśli te nieprawidłowości nie mają istotnego wpływu na ocenę rynkowego charakteru transakcji.</w:t>
            </w:r>
          </w:p>
          <w:p w14:paraId="1FDB3073" w14:textId="5BC6A74E" w:rsidR="00B3634B" w:rsidRPr="00A464D7" w:rsidRDefault="00B3634B" w:rsidP="00A464D7">
            <w:pPr>
              <w:jc w:val="both"/>
              <w:rPr>
                <w:rFonts w:cstheme="minorHAnsi"/>
                <w:b/>
                <w:bCs/>
              </w:rPr>
            </w:pPr>
          </w:p>
        </w:tc>
        <w:tc>
          <w:tcPr>
            <w:tcW w:w="1223" w:type="pct"/>
          </w:tcPr>
          <w:p w14:paraId="36DE707D" w14:textId="6DBA619F" w:rsidR="003E1063" w:rsidRPr="00A464D7" w:rsidRDefault="003E1063" w:rsidP="00A464D7">
            <w:pPr>
              <w:jc w:val="both"/>
              <w:rPr>
                <w:rFonts w:cstheme="minorHAnsi"/>
              </w:rPr>
            </w:pPr>
            <w:r w:rsidRPr="00A464D7">
              <w:rPr>
                <w:rFonts w:cstheme="minorHAnsi"/>
              </w:rPr>
              <w:lastRenderedPageBreak/>
              <w:t xml:space="preserve">Wnosimy, aby w </w:t>
            </w:r>
            <w:r w:rsidR="00411662">
              <w:rPr>
                <w:rFonts w:cstheme="minorHAnsi"/>
              </w:rPr>
              <w:t>u</w:t>
            </w:r>
            <w:r w:rsidRPr="00A464D7">
              <w:rPr>
                <w:rFonts w:cstheme="minorHAnsi"/>
              </w:rPr>
              <w:t>stawie zmieniającej nie wprowadzać zmian w art. 56c ustawy Kodeks karny skarbowy, polegających na dodaniu § 2a.</w:t>
            </w:r>
          </w:p>
          <w:p w14:paraId="0E8E348B" w14:textId="77777777" w:rsidR="003E1063" w:rsidRPr="00A464D7" w:rsidRDefault="003E1063" w:rsidP="00A464D7">
            <w:pPr>
              <w:jc w:val="both"/>
              <w:rPr>
                <w:rFonts w:cstheme="minorHAnsi"/>
              </w:rPr>
            </w:pPr>
            <w:r w:rsidRPr="00A464D7">
              <w:rPr>
                <w:rFonts w:cstheme="minorHAnsi"/>
              </w:rPr>
              <w:t xml:space="preserve"> </w:t>
            </w:r>
          </w:p>
          <w:p w14:paraId="2E52F043" w14:textId="1ED68F01" w:rsidR="0034618E" w:rsidRDefault="0034618E" w:rsidP="00A464D7">
            <w:pPr>
              <w:jc w:val="both"/>
              <w:rPr>
                <w:rFonts w:eastAsia="Times New Roman" w:cstheme="minorHAnsi"/>
              </w:rPr>
            </w:pPr>
            <w:proofErr w:type="gramStart"/>
            <w:r w:rsidRPr="00A464D7">
              <w:rPr>
                <w:rFonts w:cstheme="minorHAnsi"/>
              </w:rPr>
              <w:t xml:space="preserve">Alternatywnie:  </w:t>
            </w:r>
            <w:r w:rsidRPr="00A464D7">
              <w:rPr>
                <w:rFonts w:eastAsia="Times New Roman" w:cstheme="minorHAnsi"/>
              </w:rPr>
              <w:t>wprowadzenie</w:t>
            </w:r>
            <w:proofErr w:type="gramEnd"/>
            <w:r w:rsidRPr="00A464D7">
              <w:rPr>
                <w:rFonts w:eastAsia="Times New Roman" w:cstheme="minorHAnsi"/>
              </w:rPr>
              <w:t xml:space="preserve"> definicji pojęcia „wadliwości” dokumentacji</w:t>
            </w:r>
            <w:r w:rsidR="00510F96" w:rsidRPr="00A464D7">
              <w:rPr>
                <w:rFonts w:eastAsia="Times New Roman" w:cstheme="minorHAnsi"/>
              </w:rPr>
              <w:t>.</w:t>
            </w:r>
          </w:p>
          <w:p w14:paraId="24B9D0CA" w14:textId="77777777" w:rsidR="00622E53" w:rsidRDefault="00622E53" w:rsidP="00A464D7">
            <w:pPr>
              <w:jc w:val="both"/>
              <w:rPr>
                <w:rFonts w:eastAsia="Times New Roman" w:cstheme="minorHAnsi"/>
              </w:rPr>
            </w:pPr>
          </w:p>
          <w:p w14:paraId="0E4C76F1" w14:textId="37384C51" w:rsidR="00477CF2" w:rsidRDefault="00622E53" w:rsidP="00A464D7">
            <w:pPr>
              <w:jc w:val="both"/>
              <w:rPr>
                <w:rFonts w:eastAsia="Times New Roman" w:cstheme="minorHAnsi"/>
              </w:rPr>
            </w:pPr>
            <w:r>
              <w:rPr>
                <w:rFonts w:eastAsia="Times New Roman" w:cstheme="minorHAnsi"/>
              </w:rPr>
              <w:t>Zmianę treśc</w:t>
            </w:r>
            <w:r w:rsidR="00592D2A">
              <w:rPr>
                <w:rFonts w:eastAsia="Times New Roman" w:cstheme="minorHAnsi"/>
              </w:rPr>
              <w:t>i art. 80e</w:t>
            </w:r>
            <w:r w:rsidR="00477CF2">
              <w:rPr>
                <w:rFonts w:eastAsia="Times New Roman" w:cstheme="minorHAnsi"/>
              </w:rPr>
              <w:t>:</w:t>
            </w:r>
          </w:p>
          <w:p w14:paraId="049E247C" w14:textId="77777777" w:rsidR="00510F96" w:rsidRPr="00A464D7" w:rsidRDefault="00510F96" w:rsidP="00A464D7">
            <w:pPr>
              <w:jc w:val="both"/>
              <w:rPr>
                <w:rFonts w:cstheme="minorHAnsi"/>
                <w:i/>
                <w:iCs/>
              </w:rPr>
            </w:pPr>
            <w:r w:rsidRPr="00A464D7">
              <w:rPr>
                <w:rFonts w:cstheme="minorHAnsi"/>
                <w:b/>
                <w:bCs/>
                <w:i/>
                <w:iCs/>
              </w:rPr>
              <w:t xml:space="preserve">§  1. </w:t>
            </w:r>
            <w:r w:rsidRPr="00A464D7">
              <w:rPr>
                <w:rFonts w:cstheme="minorHAnsi"/>
                <w:i/>
                <w:iCs/>
              </w:rPr>
              <w:t xml:space="preserve">Kto wbrew obowiązkowi nie składa właściwemu organowi podatkowemu informacji o cenach transferowych, o której mowa </w:t>
            </w:r>
            <w:r w:rsidRPr="00A464D7">
              <w:rPr>
                <w:rFonts w:cstheme="minorHAnsi"/>
                <w:i/>
                <w:iCs/>
              </w:rPr>
              <w:lastRenderedPageBreak/>
              <w:t xml:space="preserve">w </w:t>
            </w:r>
            <w:hyperlink r:id="rId7" w:anchor="/document/16794311?unitId=art(23(zf))ust(1)" w:history="1">
              <w:r w:rsidRPr="00A464D7">
                <w:rPr>
                  <w:rFonts w:cstheme="minorHAnsi"/>
                  <w:i/>
                  <w:iCs/>
                </w:rPr>
                <w:t>art. 23zf ust. 1</w:t>
              </w:r>
            </w:hyperlink>
            <w:r w:rsidRPr="00A464D7">
              <w:rPr>
                <w:rFonts w:cstheme="minorHAnsi"/>
                <w:i/>
                <w:iCs/>
              </w:rPr>
              <w:t xml:space="preserve"> ustawy z dnia 26 lipca 1991 r. o podatku dochodowym od osób fizycznych oraz w </w:t>
            </w:r>
            <w:hyperlink r:id="rId8" w:anchor="/document/16794608?unitId=art(11(t))ust(1)" w:history="1">
              <w:r w:rsidRPr="00A464D7">
                <w:rPr>
                  <w:rFonts w:cstheme="minorHAnsi"/>
                  <w:i/>
                  <w:iCs/>
                </w:rPr>
                <w:t>art. 11t ust. 1</w:t>
              </w:r>
            </w:hyperlink>
            <w:r w:rsidRPr="00A464D7">
              <w:rPr>
                <w:rFonts w:cstheme="minorHAnsi"/>
                <w:i/>
                <w:iCs/>
              </w:rPr>
              <w:t xml:space="preserve"> ustawy z dnia 15 lutego 1992 r. o podatku dochodowym od osób prawnych, albo składając ją podaje w niej dane niezgodne z lokalną dokumentacją cen transferowych lub ze stanem rzeczywistym, </w:t>
            </w:r>
            <w:r w:rsidRPr="00A464D7">
              <w:rPr>
                <w:rFonts w:cstheme="minorHAnsi"/>
                <w:b/>
                <w:bCs/>
                <w:i/>
                <w:iCs/>
              </w:rPr>
              <w:t>jeżeli niezgodność ta mogła mieć istotny wpływ na ocenę rynkowego charakteru transakcji</w:t>
            </w:r>
            <w:r w:rsidRPr="00A464D7">
              <w:rPr>
                <w:rFonts w:cstheme="minorHAnsi"/>
                <w:i/>
                <w:iCs/>
              </w:rPr>
              <w:t>, podlega karze grzywny do 720 stawek dziennych.</w:t>
            </w:r>
          </w:p>
          <w:p w14:paraId="29AC1C86" w14:textId="77777777" w:rsidR="00510F96" w:rsidRPr="00A464D7" w:rsidRDefault="00510F96" w:rsidP="00A464D7">
            <w:pPr>
              <w:jc w:val="both"/>
              <w:rPr>
                <w:rFonts w:cstheme="minorHAnsi"/>
              </w:rPr>
            </w:pPr>
          </w:p>
          <w:p w14:paraId="008276C4" w14:textId="77777777" w:rsidR="003E1063" w:rsidRPr="00A464D7" w:rsidRDefault="003E1063" w:rsidP="00A464D7">
            <w:pPr>
              <w:jc w:val="both"/>
              <w:rPr>
                <w:rFonts w:cstheme="minorHAnsi"/>
              </w:rPr>
            </w:pPr>
          </w:p>
          <w:p w14:paraId="2812EE82" w14:textId="77777777" w:rsidR="003E1063" w:rsidRPr="00A464D7" w:rsidRDefault="003E1063" w:rsidP="00A464D7">
            <w:pPr>
              <w:jc w:val="both"/>
              <w:rPr>
                <w:rFonts w:cstheme="minorHAnsi"/>
              </w:rPr>
            </w:pPr>
          </w:p>
          <w:p w14:paraId="7954B8A2" w14:textId="77777777" w:rsidR="003E1063" w:rsidRPr="00A464D7" w:rsidRDefault="003E1063" w:rsidP="00A464D7">
            <w:pPr>
              <w:jc w:val="both"/>
              <w:rPr>
                <w:rFonts w:cstheme="minorHAnsi"/>
              </w:rPr>
            </w:pPr>
          </w:p>
          <w:p w14:paraId="423C082A" w14:textId="77777777" w:rsidR="003E1063" w:rsidRPr="00A464D7" w:rsidRDefault="003E1063" w:rsidP="00A464D7">
            <w:pPr>
              <w:jc w:val="both"/>
              <w:rPr>
                <w:rFonts w:cstheme="minorHAnsi"/>
              </w:rPr>
            </w:pPr>
          </w:p>
          <w:p w14:paraId="1412054F" w14:textId="77777777" w:rsidR="003E1063" w:rsidRPr="00A464D7" w:rsidRDefault="003E1063" w:rsidP="00A464D7">
            <w:pPr>
              <w:jc w:val="both"/>
              <w:rPr>
                <w:rFonts w:cstheme="minorHAnsi"/>
              </w:rPr>
            </w:pPr>
          </w:p>
          <w:p w14:paraId="12625735" w14:textId="77777777" w:rsidR="003E1063" w:rsidRPr="00A464D7" w:rsidRDefault="003E1063" w:rsidP="00A464D7">
            <w:pPr>
              <w:jc w:val="both"/>
              <w:rPr>
                <w:rFonts w:cstheme="minorHAnsi"/>
              </w:rPr>
            </w:pPr>
          </w:p>
          <w:p w14:paraId="61B845DF" w14:textId="77777777" w:rsidR="003E1063" w:rsidRPr="00A464D7" w:rsidRDefault="003E1063" w:rsidP="00A464D7">
            <w:pPr>
              <w:jc w:val="both"/>
              <w:rPr>
                <w:rFonts w:cstheme="minorHAnsi"/>
              </w:rPr>
            </w:pPr>
          </w:p>
          <w:p w14:paraId="755D6FFF" w14:textId="77777777" w:rsidR="003E1063" w:rsidRPr="00A464D7" w:rsidRDefault="003E1063" w:rsidP="00A464D7">
            <w:pPr>
              <w:jc w:val="both"/>
              <w:rPr>
                <w:rFonts w:cstheme="minorHAnsi"/>
              </w:rPr>
            </w:pPr>
          </w:p>
          <w:p w14:paraId="3D00836B" w14:textId="77777777" w:rsidR="003E1063" w:rsidRPr="00A464D7" w:rsidRDefault="003E1063" w:rsidP="00A464D7">
            <w:pPr>
              <w:jc w:val="both"/>
              <w:rPr>
                <w:rFonts w:cstheme="minorHAnsi"/>
              </w:rPr>
            </w:pPr>
          </w:p>
        </w:tc>
      </w:tr>
      <w:tr w:rsidR="003E1063" w:rsidRPr="00A464D7" w14:paraId="7E153CBE" w14:textId="77777777" w:rsidTr="007E4029">
        <w:trPr>
          <w:jc w:val="center"/>
        </w:trPr>
        <w:tc>
          <w:tcPr>
            <w:tcW w:w="181" w:type="pct"/>
          </w:tcPr>
          <w:p w14:paraId="3FA3C00F" w14:textId="5F2A1159" w:rsidR="003E1063" w:rsidRPr="00A464D7" w:rsidRDefault="00370EA4" w:rsidP="00A464D7">
            <w:pPr>
              <w:jc w:val="both"/>
              <w:rPr>
                <w:rFonts w:cstheme="minorHAnsi"/>
              </w:rPr>
            </w:pPr>
            <w:r w:rsidRPr="00A464D7">
              <w:rPr>
                <w:rFonts w:cstheme="minorHAnsi"/>
              </w:rPr>
              <w:lastRenderedPageBreak/>
              <w:t>6</w:t>
            </w:r>
            <w:r w:rsidR="003E1063" w:rsidRPr="00A464D7">
              <w:rPr>
                <w:rFonts w:cstheme="minorHAnsi"/>
              </w:rPr>
              <w:t>.</w:t>
            </w:r>
          </w:p>
        </w:tc>
        <w:tc>
          <w:tcPr>
            <w:tcW w:w="449" w:type="pct"/>
          </w:tcPr>
          <w:p w14:paraId="49931DF1" w14:textId="200C9EE5" w:rsidR="003E1063" w:rsidRPr="00A464D7" w:rsidRDefault="00205BCF" w:rsidP="00A464D7">
            <w:pPr>
              <w:jc w:val="both"/>
              <w:rPr>
                <w:rFonts w:cstheme="minorHAnsi"/>
              </w:rPr>
            </w:pPr>
            <w:r>
              <w:rPr>
                <w:rFonts w:cstheme="minorHAnsi"/>
              </w:rPr>
              <w:t>Konfederacja Lewiatan</w:t>
            </w:r>
          </w:p>
        </w:tc>
        <w:tc>
          <w:tcPr>
            <w:tcW w:w="797" w:type="pct"/>
          </w:tcPr>
          <w:p w14:paraId="2BF08C4E" w14:textId="2DD068E7" w:rsidR="003E1063" w:rsidRPr="00A464D7" w:rsidRDefault="00E67B8B" w:rsidP="00A464D7">
            <w:pPr>
              <w:jc w:val="both"/>
              <w:rPr>
                <w:rFonts w:cstheme="minorHAnsi"/>
                <w:b/>
                <w:bCs/>
              </w:rPr>
            </w:pPr>
            <w:r>
              <w:rPr>
                <w:rFonts w:cstheme="minorHAnsi"/>
                <w:b/>
                <w:bCs/>
              </w:rPr>
              <w:t>a</w:t>
            </w:r>
            <w:r w:rsidR="003E1063" w:rsidRPr="00A464D7">
              <w:rPr>
                <w:rFonts w:cstheme="minorHAnsi"/>
                <w:b/>
                <w:bCs/>
              </w:rPr>
              <w:t>rt. 5</w:t>
            </w:r>
            <w:r w:rsidR="00A14EEF">
              <w:rPr>
                <w:rFonts w:cstheme="minorHAnsi"/>
                <w:b/>
                <w:bCs/>
              </w:rPr>
              <w:t xml:space="preserve"> u</w:t>
            </w:r>
            <w:r w:rsidR="003E1063" w:rsidRPr="00A464D7">
              <w:rPr>
                <w:rFonts w:cstheme="minorHAnsi"/>
                <w:b/>
                <w:bCs/>
              </w:rPr>
              <w:t xml:space="preserve">st. 1 </w:t>
            </w:r>
            <w:r w:rsidR="00D8022D" w:rsidRPr="00D8022D">
              <w:rPr>
                <w:rFonts w:cstheme="minorHAnsi"/>
              </w:rPr>
              <w:t>projektu u</w:t>
            </w:r>
            <w:r w:rsidR="003E1063" w:rsidRPr="00D8022D">
              <w:rPr>
                <w:rFonts w:cstheme="minorHAnsi"/>
              </w:rPr>
              <w:t>stawy zmieniającej</w:t>
            </w:r>
          </w:p>
          <w:p w14:paraId="46435970" w14:textId="77777777" w:rsidR="003E1063" w:rsidRPr="00A464D7" w:rsidRDefault="003E1063" w:rsidP="00A464D7">
            <w:pPr>
              <w:jc w:val="both"/>
              <w:rPr>
                <w:rFonts w:cstheme="minorHAnsi"/>
              </w:rPr>
            </w:pPr>
          </w:p>
        </w:tc>
        <w:tc>
          <w:tcPr>
            <w:tcW w:w="2350" w:type="pct"/>
          </w:tcPr>
          <w:p w14:paraId="4AE4B54C" w14:textId="56138B6E" w:rsidR="003E1063" w:rsidRPr="00A464D7" w:rsidRDefault="008A78AF" w:rsidP="00A464D7">
            <w:pPr>
              <w:jc w:val="both"/>
              <w:rPr>
                <w:rFonts w:cstheme="minorHAnsi"/>
              </w:rPr>
            </w:pPr>
            <w:r w:rsidRPr="00A464D7">
              <w:rPr>
                <w:rFonts w:cstheme="minorHAnsi"/>
              </w:rPr>
              <w:t xml:space="preserve">Pragniemy </w:t>
            </w:r>
            <w:r w:rsidR="003E1063" w:rsidRPr="00A464D7">
              <w:rPr>
                <w:rFonts w:cstheme="minorHAnsi"/>
              </w:rPr>
              <w:t>zwr</w:t>
            </w:r>
            <w:r w:rsidRPr="00A464D7">
              <w:rPr>
                <w:rFonts w:cstheme="minorHAnsi"/>
              </w:rPr>
              <w:t>ócić</w:t>
            </w:r>
            <w:r w:rsidR="003E1063" w:rsidRPr="00A464D7">
              <w:rPr>
                <w:rFonts w:cstheme="minorHAnsi"/>
              </w:rPr>
              <w:t xml:space="preserve"> uwagę na błędną redakcję przepisu przejściowego, polegającą na braku wskazania jakie przepisy, tj. obowiązujące przed zmianą czy po zmianie, powinny być stosowane w odniesieniu do informacji TPR-C za 2025 r. Rozumiemy, że intencją Ustawodawcy jest, aby informacja TPR-</w:t>
            </w:r>
            <w:r w:rsidR="003E1063" w:rsidRPr="00A464D7">
              <w:rPr>
                <w:rFonts w:cstheme="minorHAnsi"/>
              </w:rPr>
              <w:lastRenderedPageBreak/>
              <w:t xml:space="preserve">C za 2025 była składana na dotychczasowych zasadach, stąd proponujemy zmienione brzmienie art. 5 ust. 1 </w:t>
            </w:r>
            <w:r w:rsidR="00915D5B">
              <w:rPr>
                <w:rFonts w:cstheme="minorHAnsi"/>
              </w:rPr>
              <w:t>u</w:t>
            </w:r>
            <w:r w:rsidR="003E1063" w:rsidRPr="00A464D7">
              <w:rPr>
                <w:rFonts w:cstheme="minorHAnsi"/>
              </w:rPr>
              <w:t>stawy zmieniającej.</w:t>
            </w:r>
          </w:p>
          <w:p w14:paraId="430C0AA9" w14:textId="77777777" w:rsidR="003E1063" w:rsidRPr="00A464D7" w:rsidRDefault="003E1063" w:rsidP="00A464D7">
            <w:pPr>
              <w:jc w:val="both"/>
              <w:rPr>
                <w:rFonts w:cstheme="minorHAnsi"/>
              </w:rPr>
            </w:pPr>
            <w:r w:rsidRPr="00A464D7">
              <w:rPr>
                <w:rFonts w:cstheme="minorHAnsi"/>
              </w:rPr>
              <w:t>W przypadku uwzględnienia postulatu całkowitego wykreślenia obowiązku składania oświadczeń w dokumentacji cen transferowych oraz w informacji TPR-C, wnosimy o odpowiednie dostosowanie art. 5 ust. 1 projektu poprzez umożliwienie stosowania zmienionych przepisów już do informacji TPR</w:t>
            </w:r>
            <w:r w:rsidRPr="00A464D7">
              <w:rPr>
                <w:rFonts w:ascii="Cambria Math" w:hAnsi="Cambria Math" w:cs="Cambria Math"/>
              </w:rPr>
              <w:t>‑</w:t>
            </w:r>
            <w:r w:rsidRPr="00A464D7">
              <w:rPr>
                <w:rFonts w:cstheme="minorHAnsi"/>
              </w:rPr>
              <w:t>C składanych za rok podatkowy 2025.</w:t>
            </w:r>
          </w:p>
          <w:p w14:paraId="4001DE5F" w14:textId="77777777" w:rsidR="003E1063" w:rsidRPr="00A464D7" w:rsidRDefault="003E1063" w:rsidP="00A464D7">
            <w:pPr>
              <w:jc w:val="both"/>
              <w:rPr>
                <w:rFonts w:cstheme="minorHAnsi"/>
              </w:rPr>
            </w:pPr>
            <w:r w:rsidRPr="00A464D7">
              <w:rPr>
                <w:rFonts w:cstheme="minorHAnsi"/>
              </w:rPr>
              <w:t xml:space="preserve">Zwracamy uwagę, że informacja TPR-C nadal będzie zawierała wszystkie istotne dane umożliwiające organom podatkowym analizę </w:t>
            </w:r>
            <w:proofErr w:type="spellStart"/>
            <w:r w:rsidRPr="00A464D7">
              <w:rPr>
                <w:rFonts w:cstheme="minorHAnsi"/>
              </w:rPr>
              <w:t>ryzyk</w:t>
            </w:r>
            <w:proofErr w:type="spellEnd"/>
            <w:r w:rsidRPr="00A464D7">
              <w:rPr>
                <w:rFonts w:cstheme="minorHAnsi"/>
              </w:rPr>
              <w:t xml:space="preserve"> w obszarze cen transferowych. Zniesienie oświadczeń nie ogranicza kompetencji kontrolnych organów ani nie wpływa na zakres odpowiedzialności podatników.</w:t>
            </w:r>
          </w:p>
          <w:p w14:paraId="22BCA859" w14:textId="77777777" w:rsidR="003E1063" w:rsidRPr="00A464D7" w:rsidRDefault="003E1063" w:rsidP="00A464D7">
            <w:pPr>
              <w:jc w:val="both"/>
              <w:rPr>
                <w:rFonts w:cstheme="minorHAnsi"/>
              </w:rPr>
            </w:pPr>
            <w:r w:rsidRPr="00A464D7">
              <w:rPr>
                <w:rFonts w:cstheme="minorHAnsi"/>
              </w:rPr>
              <w:t>Zgodnie z utrwalonymi zasadami prawidłowej legislacji, zmiany przepisów, które zmniejszają zakres obowiązków po stronie podatników i poprawiają ich sytuację prawną, mogą zostać wprowadzone bez zachowania vacatio legis. W tym przypadku wcześniejsze zastosowanie nowych regulacji do TPR</w:t>
            </w:r>
            <w:r w:rsidRPr="00A464D7">
              <w:rPr>
                <w:rFonts w:ascii="Cambria Math" w:hAnsi="Cambria Math" w:cs="Cambria Math"/>
              </w:rPr>
              <w:t>‑</w:t>
            </w:r>
            <w:r w:rsidRPr="00A464D7">
              <w:rPr>
                <w:rFonts w:cstheme="minorHAnsi"/>
              </w:rPr>
              <w:t>C za 2025 r. nie narusza interesów podatników.</w:t>
            </w:r>
          </w:p>
        </w:tc>
        <w:tc>
          <w:tcPr>
            <w:tcW w:w="1223" w:type="pct"/>
          </w:tcPr>
          <w:p w14:paraId="3A931CE6" w14:textId="099BF4CD" w:rsidR="003E1063" w:rsidRPr="00A464D7" w:rsidRDefault="003E1063" w:rsidP="00A464D7">
            <w:pPr>
              <w:jc w:val="both"/>
              <w:rPr>
                <w:rFonts w:cstheme="minorHAnsi"/>
              </w:rPr>
            </w:pPr>
            <w:r w:rsidRPr="00A464D7">
              <w:rPr>
                <w:rFonts w:cstheme="minorHAnsi"/>
              </w:rPr>
              <w:lastRenderedPageBreak/>
              <w:t xml:space="preserve">Proponujemy nowe brzmienie </w:t>
            </w:r>
            <w:r w:rsidR="006938C5">
              <w:rPr>
                <w:rFonts w:cstheme="minorHAnsi"/>
              </w:rPr>
              <w:t>a</w:t>
            </w:r>
            <w:r w:rsidRPr="00A464D7">
              <w:rPr>
                <w:rFonts w:cstheme="minorHAnsi"/>
              </w:rPr>
              <w:t xml:space="preserve">rt. 5 ust. 1 </w:t>
            </w:r>
            <w:r w:rsidR="00915D5B">
              <w:rPr>
                <w:rFonts w:cstheme="minorHAnsi"/>
              </w:rPr>
              <w:t>u</w:t>
            </w:r>
            <w:r w:rsidRPr="00A464D7">
              <w:rPr>
                <w:rFonts w:cstheme="minorHAnsi"/>
              </w:rPr>
              <w:t>stawy zmieniającej:</w:t>
            </w:r>
          </w:p>
          <w:p w14:paraId="38C870BB" w14:textId="31188686" w:rsidR="003E1063" w:rsidRPr="00A464D7" w:rsidRDefault="006938C5" w:rsidP="00A464D7">
            <w:pPr>
              <w:jc w:val="both"/>
              <w:rPr>
                <w:rFonts w:cstheme="minorHAnsi"/>
                <w:b/>
                <w:bCs/>
                <w:i/>
                <w:iCs/>
              </w:rPr>
            </w:pPr>
            <w:r>
              <w:rPr>
                <w:rFonts w:cstheme="minorHAnsi"/>
                <w:i/>
                <w:iCs/>
              </w:rPr>
              <w:t>a</w:t>
            </w:r>
            <w:r w:rsidR="003E1063" w:rsidRPr="00A464D7">
              <w:rPr>
                <w:rFonts w:cstheme="minorHAnsi"/>
                <w:i/>
                <w:iCs/>
              </w:rPr>
              <w:t xml:space="preserve">rt. 5 ust. 1. Do informacji o cenach transferowych </w:t>
            </w:r>
            <w:r w:rsidR="003E1063" w:rsidRPr="00A464D7">
              <w:rPr>
                <w:rFonts w:cstheme="minorHAnsi"/>
                <w:i/>
                <w:iCs/>
              </w:rPr>
              <w:lastRenderedPageBreak/>
              <w:t>składanych za rok podatkowy, który rozpoczął się przed dniem 1 stycznia 2026 r., mają zastosowanie przepisy art. 23zf ust. 2 pkt 7, ust. 2b, 5 i 5a ustawy zmienianej w art. 1 albo art. 11t ust. 2 pkt 7, ust. 2b, 5 i 5a ustawy zmienianej w art. 2</w:t>
            </w:r>
            <w:r w:rsidR="003E1063" w:rsidRPr="00A464D7">
              <w:rPr>
                <w:rFonts w:cstheme="minorHAnsi"/>
                <w:b/>
                <w:bCs/>
                <w:i/>
                <w:iCs/>
              </w:rPr>
              <w:t>, w brzmieniu dotychczasowym.</w:t>
            </w:r>
          </w:p>
          <w:p w14:paraId="2AB1AAA7" w14:textId="77777777" w:rsidR="003E1063" w:rsidRPr="00A464D7" w:rsidRDefault="003E1063" w:rsidP="00A464D7">
            <w:pPr>
              <w:jc w:val="both"/>
              <w:rPr>
                <w:rFonts w:cstheme="minorHAnsi"/>
                <w:i/>
                <w:iCs/>
              </w:rPr>
            </w:pPr>
          </w:p>
          <w:p w14:paraId="7CECA44D" w14:textId="260DF359" w:rsidR="003E1063" w:rsidRPr="00A464D7" w:rsidRDefault="003E1063" w:rsidP="00A464D7">
            <w:pPr>
              <w:jc w:val="both"/>
              <w:rPr>
                <w:rFonts w:cstheme="minorHAnsi"/>
              </w:rPr>
            </w:pPr>
            <w:r w:rsidRPr="00A464D7">
              <w:rPr>
                <w:rFonts w:cstheme="minorHAnsi"/>
              </w:rPr>
              <w:t xml:space="preserve">W przypadku uwzględnienia postulatu całkowitego wykreślenia obowiązku składania oświadczeń w dokumentacji cen transferowych oraz w informacji TPR-C, proponujemy następujące brzmienie </w:t>
            </w:r>
            <w:r w:rsidR="006938C5">
              <w:rPr>
                <w:rFonts w:cstheme="minorHAnsi"/>
              </w:rPr>
              <w:t>a</w:t>
            </w:r>
            <w:r w:rsidRPr="00A464D7">
              <w:rPr>
                <w:rFonts w:cstheme="minorHAnsi"/>
              </w:rPr>
              <w:t xml:space="preserve">rt. 5 ust. 1 </w:t>
            </w:r>
            <w:r w:rsidR="00915D5B">
              <w:rPr>
                <w:rFonts w:cstheme="minorHAnsi"/>
              </w:rPr>
              <w:t>u</w:t>
            </w:r>
            <w:r w:rsidRPr="00A464D7">
              <w:rPr>
                <w:rFonts w:cstheme="minorHAnsi"/>
              </w:rPr>
              <w:t>stawy zmieniającej:</w:t>
            </w:r>
          </w:p>
          <w:p w14:paraId="1D6823CC" w14:textId="3F22ABA7" w:rsidR="003E1063" w:rsidRPr="00A464D7" w:rsidRDefault="006938C5" w:rsidP="00A464D7">
            <w:pPr>
              <w:jc w:val="both"/>
              <w:rPr>
                <w:rFonts w:cstheme="minorHAnsi"/>
                <w:b/>
                <w:bCs/>
                <w:i/>
                <w:iCs/>
              </w:rPr>
            </w:pPr>
            <w:r>
              <w:rPr>
                <w:rFonts w:cstheme="minorHAnsi"/>
                <w:i/>
                <w:iCs/>
              </w:rPr>
              <w:t>a</w:t>
            </w:r>
            <w:r w:rsidR="003E1063" w:rsidRPr="00A464D7">
              <w:rPr>
                <w:rFonts w:cstheme="minorHAnsi"/>
                <w:i/>
                <w:iCs/>
              </w:rPr>
              <w:t xml:space="preserve">rt. 5. 1. Do informacji o cenach transferowych składanych za rok podatkowy, który rozpoczął się przed dniem 1 stycznia 2026 r., mają zastosowanie przepisy art. 23zf ust. 2 pkt 7, ust. 2b, 5 i 5a ustawy zmienianej w art. 1 albo art. 11t ust. 2 pkt 7, ust. 2b, 5 i 5a ustawy zmienianej w art. 2 </w:t>
            </w:r>
            <w:r w:rsidR="003E1063" w:rsidRPr="00A464D7">
              <w:rPr>
                <w:rFonts w:cstheme="minorHAnsi"/>
                <w:b/>
                <w:bCs/>
                <w:i/>
                <w:iCs/>
              </w:rPr>
              <w:t>w brzmieniu nadanym niniejszą ustawą.</w:t>
            </w:r>
          </w:p>
          <w:p w14:paraId="3F320C78" w14:textId="77777777" w:rsidR="003E1063" w:rsidRPr="00A464D7" w:rsidRDefault="003E1063" w:rsidP="00A464D7">
            <w:pPr>
              <w:jc w:val="both"/>
              <w:rPr>
                <w:rFonts w:cstheme="minorHAnsi"/>
                <w:i/>
                <w:iCs/>
              </w:rPr>
            </w:pPr>
            <w:r w:rsidRPr="00A464D7">
              <w:rPr>
                <w:rFonts w:cstheme="minorHAnsi"/>
                <w:i/>
                <w:iCs/>
              </w:rPr>
              <w:t xml:space="preserve">2. Przepisy art. 23f ust. 2c, 4 ustawy zmienianej w art. 1, w brzmieniu nadanym niniejszą </w:t>
            </w:r>
            <w:proofErr w:type="gramStart"/>
            <w:r w:rsidRPr="00A464D7">
              <w:rPr>
                <w:rFonts w:cstheme="minorHAnsi"/>
                <w:i/>
                <w:iCs/>
              </w:rPr>
              <w:lastRenderedPageBreak/>
              <w:t>ustawą,</w:t>
            </w:r>
            <w:proofErr w:type="gramEnd"/>
            <w:r w:rsidRPr="00A464D7">
              <w:rPr>
                <w:rFonts w:cstheme="minorHAnsi"/>
                <w:i/>
                <w:iCs/>
              </w:rPr>
              <w:t xml:space="preserve"> oraz art. 11t ust. 2c, 4 ustawy zmienianej w art. 2, w brzmieniu nadanym niniejszą ustawą, mają zastosowanie do informacji o cenach transferowych składanych za rok podatkowy</w:t>
            </w:r>
            <w:r w:rsidRPr="00A464D7">
              <w:rPr>
                <w:rFonts w:cstheme="minorHAnsi"/>
                <w:b/>
                <w:bCs/>
                <w:i/>
                <w:iCs/>
              </w:rPr>
              <w:t>, który rozpoczął się przed dniem 1 stycznia 2026 r.</w:t>
            </w:r>
          </w:p>
        </w:tc>
      </w:tr>
      <w:tr w:rsidR="00C7142B" w:rsidRPr="00A464D7" w14:paraId="7456B01B" w14:textId="77777777" w:rsidTr="007E4029">
        <w:trPr>
          <w:jc w:val="center"/>
        </w:trPr>
        <w:tc>
          <w:tcPr>
            <w:tcW w:w="181" w:type="pct"/>
          </w:tcPr>
          <w:p w14:paraId="16190CF2" w14:textId="73CAEC9E" w:rsidR="00C7142B" w:rsidRPr="00A464D7" w:rsidRDefault="00C7142B" w:rsidP="00C7142B">
            <w:pPr>
              <w:jc w:val="both"/>
              <w:rPr>
                <w:rFonts w:cstheme="minorHAnsi"/>
              </w:rPr>
            </w:pPr>
            <w:r>
              <w:rPr>
                <w:rFonts w:cstheme="minorHAnsi"/>
              </w:rPr>
              <w:lastRenderedPageBreak/>
              <w:t>7.</w:t>
            </w:r>
          </w:p>
        </w:tc>
        <w:tc>
          <w:tcPr>
            <w:tcW w:w="449" w:type="pct"/>
          </w:tcPr>
          <w:p w14:paraId="5A125BDB" w14:textId="78201AE5" w:rsidR="00C7142B" w:rsidRPr="00A464D7" w:rsidRDefault="00205BCF" w:rsidP="00C7142B">
            <w:pPr>
              <w:jc w:val="both"/>
              <w:rPr>
                <w:rFonts w:cstheme="minorHAnsi"/>
              </w:rPr>
            </w:pPr>
            <w:r>
              <w:rPr>
                <w:rFonts w:cstheme="minorHAnsi"/>
              </w:rPr>
              <w:t>Konfederacja Lewiatan</w:t>
            </w:r>
          </w:p>
        </w:tc>
        <w:tc>
          <w:tcPr>
            <w:tcW w:w="797" w:type="pct"/>
          </w:tcPr>
          <w:p w14:paraId="56AB5954" w14:textId="10B7A20C" w:rsidR="00C7142B" w:rsidRPr="00F216DF" w:rsidRDefault="00827FBC" w:rsidP="00F216DF">
            <w:pPr>
              <w:spacing w:before="120"/>
              <w:jc w:val="both"/>
              <w:rPr>
                <w:rFonts w:eastAsia="Times New Roman" w:cstheme="minorHAnsi"/>
                <w:b/>
                <w:bCs/>
              </w:rPr>
            </w:pPr>
            <w:r>
              <w:rPr>
                <w:rFonts w:eastAsia="Times New Roman" w:cstheme="minorHAnsi"/>
                <w:b/>
                <w:bCs/>
              </w:rPr>
              <w:t>a</w:t>
            </w:r>
            <w:r w:rsidR="00C7142B" w:rsidRPr="00F216DF">
              <w:rPr>
                <w:rFonts w:eastAsia="Times New Roman" w:cstheme="minorHAnsi"/>
                <w:b/>
                <w:bCs/>
              </w:rPr>
              <w:t>rt. 22p ust. 1 i 4 ustawy o PIT; art. 15d ust. 1 i 4 ustawy o CIT</w:t>
            </w:r>
          </w:p>
          <w:p w14:paraId="0D5AC664" w14:textId="3C511773" w:rsidR="00C7142B" w:rsidRPr="00E47CAE" w:rsidRDefault="00827FBC" w:rsidP="00F216DF">
            <w:pPr>
              <w:spacing w:before="120"/>
              <w:jc w:val="both"/>
              <w:rPr>
                <w:rFonts w:cstheme="minorHAnsi"/>
              </w:rPr>
            </w:pPr>
            <w:r>
              <w:rPr>
                <w:rFonts w:eastAsia="Times New Roman" w:cstheme="minorHAnsi"/>
              </w:rPr>
              <w:t>a</w:t>
            </w:r>
            <w:r w:rsidR="00C7142B" w:rsidRPr="00F216DF">
              <w:rPr>
                <w:rFonts w:eastAsia="Times New Roman" w:cstheme="minorHAnsi"/>
              </w:rPr>
              <w:t>rt. 1 pkt 2 lit. a i c oraz art. 2 pkt 6 lit. a</w:t>
            </w:r>
            <w:r w:rsidR="00467CBF">
              <w:rPr>
                <w:rFonts w:eastAsia="Times New Roman" w:cstheme="minorHAnsi"/>
              </w:rPr>
              <w:t xml:space="preserve"> </w:t>
            </w:r>
            <w:r w:rsidR="00957633">
              <w:rPr>
                <w:rFonts w:eastAsia="Times New Roman" w:cstheme="minorHAnsi"/>
              </w:rPr>
              <w:t xml:space="preserve">i </w:t>
            </w:r>
            <w:proofErr w:type="gramStart"/>
            <w:r w:rsidR="00957633">
              <w:rPr>
                <w:rFonts w:eastAsia="Times New Roman" w:cstheme="minorHAnsi"/>
              </w:rPr>
              <w:t xml:space="preserve">c </w:t>
            </w:r>
            <w:r w:rsidR="00C7142B" w:rsidRPr="00F216DF">
              <w:rPr>
                <w:rFonts w:eastAsia="Times New Roman" w:cstheme="minorHAnsi"/>
              </w:rPr>
              <w:t xml:space="preserve"> projektu</w:t>
            </w:r>
            <w:proofErr w:type="gramEnd"/>
            <w:r w:rsidR="00C7142B" w:rsidRPr="00F216DF">
              <w:rPr>
                <w:rFonts w:eastAsia="Times New Roman" w:cstheme="minorHAnsi"/>
              </w:rPr>
              <w:t xml:space="preserve"> ustawy</w:t>
            </w:r>
            <w:r w:rsidR="00467CBF">
              <w:rPr>
                <w:rFonts w:eastAsia="Times New Roman" w:cstheme="minorHAnsi"/>
              </w:rPr>
              <w:t xml:space="preserve"> </w:t>
            </w:r>
            <w:r w:rsidR="00C7142B" w:rsidRPr="00F216DF">
              <w:rPr>
                <w:rFonts w:eastAsia="Times New Roman" w:cstheme="minorHAnsi"/>
              </w:rPr>
              <w:t>zmieniającej</w:t>
            </w:r>
            <w:r w:rsidR="00C7142B" w:rsidRPr="00C7142B">
              <w:rPr>
                <w:rFonts w:cstheme="minorHAnsi"/>
              </w:rPr>
              <w:t xml:space="preserve"> </w:t>
            </w:r>
          </w:p>
        </w:tc>
        <w:tc>
          <w:tcPr>
            <w:tcW w:w="2350" w:type="pct"/>
          </w:tcPr>
          <w:p w14:paraId="38A5EBA2" w14:textId="4453BCE0" w:rsidR="00D12248" w:rsidRDefault="00C7142B" w:rsidP="00C7142B">
            <w:pPr>
              <w:spacing w:before="120"/>
              <w:jc w:val="both"/>
              <w:rPr>
                <w:rFonts w:eastAsia="Times New Roman" w:cstheme="minorHAnsi"/>
              </w:rPr>
            </w:pPr>
            <w:r w:rsidRPr="00C7142B">
              <w:rPr>
                <w:rFonts w:eastAsia="Times New Roman" w:cstheme="minorHAnsi"/>
              </w:rPr>
              <w:t xml:space="preserve">Projekt zakłada zniesienie sankcji dotyczących podatników przeprowadzających transakcje z podatnikiem VAT czynnym, dokonujących przelewów na rachunek inny niż zawarty </w:t>
            </w:r>
            <w:r w:rsidR="00EA3D27">
              <w:rPr>
                <w:rFonts w:eastAsia="Times New Roman" w:cstheme="minorHAnsi"/>
              </w:rPr>
              <w:br/>
            </w:r>
            <w:r w:rsidRPr="00C7142B">
              <w:rPr>
                <w:rFonts w:eastAsia="Times New Roman" w:cstheme="minorHAnsi"/>
              </w:rPr>
              <w:t>w wykazie podmiotów, o którym mowa w art. 96b ust. 1 ustawy o VAT, lub dokonanych z pominięciem mechanizmu podzielonej płatności. Zmianę tę należy ocenić pozytywnie jako kierunkowo słuszną i zgodną z zasadą proporcjonalności.</w:t>
            </w:r>
          </w:p>
          <w:p w14:paraId="534754FA" w14:textId="55FBDF70" w:rsidR="00C7142B" w:rsidRPr="005B5826" w:rsidRDefault="00D12248" w:rsidP="00C7142B">
            <w:pPr>
              <w:spacing w:before="120"/>
              <w:jc w:val="both"/>
              <w:rPr>
                <w:rFonts w:eastAsia="Times New Roman" w:cstheme="minorHAnsi"/>
                <w:b/>
                <w:bCs/>
              </w:rPr>
            </w:pPr>
            <w:r w:rsidRPr="00DF78FF">
              <w:rPr>
                <w:rFonts w:eastAsia="Times New Roman" w:cstheme="minorHAnsi"/>
              </w:rPr>
              <w:t>D</w:t>
            </w:r>
            <w:r w:rsidR="00C7142B" w:rsidRPr="00DF78FF">
              <w:rPr>
                <w:rFonts w:eastAsia="Times New Roman" w:cstheme="minorHAnsi"/>
              </w:rPr>
              <w:t xml:space="preserve">otychczasowe rozwiązania </w:t>
            </w:r>
            <w:r w:rsidRPr="00DF78FF">
              <w:rPr>
                <w:rFonts w:eastAsia="Times New Roman" w:cstheme="minorHAnsi"/>
              </w:rPr>
              <w:t>b</w:t>
            </w:r>
            <w:r w:rsidR="00C7142B" w:rsidRPr="00DF78FF">
              <w:rPr>
                <w:rFonts w:eastAsia="Times New Roman" w:cstheme="minorHAnsi"/>
              </w:rPr>
              <w:t xml:space="preserve">yły nieproporcjonalne </w:t>
            </w:r>
            <w:r w:rsidR="005B5826" w:rsidRPr="00DF78FF">
              <w:rPr>
                <w:rFonts w:eastAsia="Times New Roman" w:cstheme="minorHAnsi"/>
              </w:rPr>
              <w:t>z</w:t>
            </w:r>
            <w:r w:rsidR="00B052E6">
              <w:rPr>
                <w:rFonts w:eastAsia="Times New Roman" w:cstheme="minorHAnsi"/>
              </w:rPr>
              <w:t xml:space="preserve"> uwagi na to, iż </w:t>
            </w:r>
            <w:r w:rsidR="005B5826">
              <w:rPr>
                <w:rFonts w:eastAsia="Times New Roman" w:cstheme="minorHAnsi"/>
              </w:rPr>
              <w:t>n</w:t>
            </w:r>
            <w:r w:rsidR="00C7142B" w:rsidRPr="00C7142B">
              <w:rPr>
                <w:rFonts w:eastAsia="Times New Roman" w:cstheme="minorHAnsi"/>
              </w:rPr>
              <w:t>ałożenie na podatnika równoległej sankcji w postaci wyłączenia kosztu podatkowego tworzyło podwójną penalizację tego samego zachowania, tj. raz na gruncie ustawy o VAT, a drugi raz na gruncie podatku dochodowego</w:t>
            </w:r>
            <w:r w:rsidR="005B5826">
              <w:rPr>
                <w:rFonts w:eastAsia="Times New Roman" w:cstheme="minorHAnsi"/>
              </w:rPr>
              <w:t>.</w:t>
            </w:r>
          </w:p>
          <w:p w14:paraId="7293D8ED" w14:textId="1A8C8896" w:rsidR="00C7142B" w:rsidRPr="00C7142B" w:rsidRDefault="00C7142B" w:rsidP="00C7142B">
            <w:pPr>
              <w:spacing w:before="120"/>
              <w:jc w:val="both"/>
              <w:rPr>
                <w:rFonts w:eastAsia="Times New Roman" w:cstheme="minorHAnsi"/>
              </w:rPr>
            </w:pPr>
            <w:r w:rsidRPr="00C7142B">
              <w:rPr>
                <w:rFonts w:eastAsia="Times New Roman" w:cstheme="minorHAnsi"/>
              </w:rPr>
              <w:t>Po</w:t>
            </w:r>
            <w:r w:rsidR="005B5826">
              <w:rPr>
                <w:rFonts w:eastAsia="Times New Roman" w:cstheme="minorHAnsi"/>
              </w:rPr>
              <w:t>nadto, s</w:t>
            </w:r>
            <w:r w:rsidRPr="00C7142B">
              <w:rPr>
                <w:rFonts w:eastAsia="Times New Roman" w:cstheme="minorHAnsi"/>
              </w:rPr>
              <w:t xml:space="preserve">ankcja, czyli brak możliwości zaliczenia wydatku do kosztów uzyskania przychodów w sytuacji dokonania płatności </w:t>
            </w:r>
            <w:r w:rsidR="00EA3D27">
              <w:rPr>
                <w:rFonts w:eastAsia="Times New Roman" w:cstheme="minorHAnsi"/>
              </w:rPr>
              <w:br/>
            </w:r>
            <w:r w:rsidRPr="00C7142B">
              <w:rPr>
                <w:rFonts w:eastAsia="Times New Roman" w:cstheme="minorHAnsi"/>
              </w:rPr>
              <w:t xml:space="preserve">z pominięciem mechanizmu podzielonej płatności, została wprowadzona w początkowym okresie obowiązkowego stosowania mechanizmu podzielonej płatności i miała stanowić narzędzie prewencyjne, tak aby zachęcać podatników do starannego działania. Po upływie kilku lat stosowania tych regulacji cel prewencyjny został w wystarczającym stopniu osiągnięty, a utrzymanie podwójnej sankcji nie jest już uzasadnione, na co projektodawca wskazał wprost </w:t>
            </w:r>
            <w:r w:rsidR="00EA3D27">
              <w:rPr>
                <w:rFonts w:eastAsia="Times New Roman" w:cstheme="minorHAnsi"/>
              </w:rPr>
              <w:br/>
            </w:r>
            <w:r w:rsidRPr="00C7142B">
              <w:rPr>
                <w:rFonts w:eastAsia="Times New Roman" w:cstheme="minorHAnsi"/>
              </w:rPr>
              <w:t xml:space="preserve">w uzasadnieniu do projektu ustawy zmieniającej. </w:t>
            </w:r>
          </w:p>
          <w:p w14:paraId="2CF601B2" w14:textId="1C60A04F" w:rsidR="00C7142B" w:rsidRPr="00C7142B" w:rsidRDefault="00C7142B" w:rsidP="00C7142B">
            <w:pPr>
              <w:spacing w:before="120"/>
              <w:jc w:val="both"/>
              <w:rPr>
                <w:rFonts w:eastAsia="Times New Roman" w:cstheme="minorHAnsi"/>
              </w:rPr>
            </w:pPr>
            <w:r w:rsidRPr="00C7142B">
              <w:rPr>
                <w:rFonts w:eastAsia="Times New Roman" w:cstheme="minorHAnsi"/>
              </w:rPr>
              <w:lastRenderedPageBreak/>
              <w:t xml:space="preserve">Pozostawienie wyłącznie sankcji przewidzianej w ustawie o VAT jest wystarczające dla zapewnienia szczelności tego rozwiązania. Po uchyleniu omawianych regulacji podatnicy, którzy dokonają zapłaty na rachunek spoza wykazu, będą wciąż ponosić odpowiedzialność solidarną, całym swoim majątkiem wraz </w:t>
            </w:r>
            <w:r w:rsidR="00EA3D27">
              <w:rPr>
                <w:rFonts w:eastAsia="Times New Roman" w:cstheme="minorHAnsi"/>
              </w:rPr>
              <w:br/>
            </w:r>
            <w:r w:rsidRPr="00C7142B">
              <w:rPr>
                <w:rFonts w:eastAsia="Times New Roman" w:cstheme="minorHAnsi"/>
              </w:rPr>
              <w:t xml:space="preserve">z podmiotem dokonującym dostawy lub świadczącym usługę zarejestrowanym jako podatnik VAT czynny, za jego zaległości podatkowe w części podatku VAT proporcjonalnie przypadającej na daną dostawę lub usługę na podstawie art. 117ba Ordynacji podatkowej. </w:t>
            </w:r>
          </w:p>
          <w:p w14:paraId="74ABDE68" w14:textId="15FCA0FB" w:rsidR="00C7142B" w:rsidRPr="00C7142B" w:rsidRDefault="005B5826" w:rsidP="00C7142B">
            <w:pPr>
              <w:spacing w:before="120"/>
              <w:jc w:val="both"/>
              <w:rPr>
                <w:rFonts w:eastAsia="Times New Roman" w:cstheme="minorHAnsi"/>
              </w:rPr>
            </w:pPr>
            <w:r>
              <w:rPr>
                <w:rFonts w:eastAsia="Times New Roman" w:cstheme="minorHAnsi"/>
              </w:rPr>
              <w:t xml:space="preserve">Dodatkowo </w:t>
            </w:r>
            <w:r w:rsidR="00C7142B" w:rsidRPr="00C7142B">
              <w:rPr>
                <w:rFonts w:eastAsia="Times New Roman" w:cstheme="minorHAnsi"/>
              </w:rPr>
              <w:t xml:space="preserve">wejście w życie obligatoryjnego KSeF czyni dotychczasowe sankcje zbędnymi, bowiem powszechna cyfryzacja obrotu fakturowego za pośrednictwem KSeF zapewnia organom podatkowym nieprzerwaną widoczność transakcji, co eliminuje pierwotny cel sankcji w podatku dochodowym, a jednocześnie wraz z 1 stycznia 2027 r. zakończony zostanie okres zawieszenia stosowania kar administracyjnych w związku z nieprzestrzeganiem obowiązku fakturowania w KSeF. </w:t>
            </w:r>
          </w:p>
          <w:p w14:paraId="4F4B49BE" w14:textId="41F2CAEB" w:rsidR="00C7142B" w:rsidRPr="00C7142B" w:rsidRDefault="00C7142B" w:rsidP="00C7142B">
            <w:pPr>
              <w:spacing w:before="120"/>
              <w:jc w:val="both"/>
              <w:rPr>
                <w:rFonts w:eastAsia="Times New Roman" w:cstheme="minorHAnsi"/>
              </w:rPr>
            </w:pPr>
            <w:r w:rsidRPr="00C7142B">
              <w:rPr>
                <w:rFonts w:eastAsia="Times New Roman" w:cstheme="minorHAnsi"/>
              </w:rPr>
              <w:t xml:space="preserve">Należy podkreślić, że dotychczasowe rozwiązanie było szczególnie nieproporcjonalne w tych przypadkach, gdy </w:t>
            </w:r>
            <w:r w:rsidR="00905595">
              <w:rPr>
                <w:rFonts w:eastAsia="Times New Roman" w:cstheme="minorHAnsi"/>
              </w:rPr>
              <w:t xml:space="preserve">faktura dokumentująca dostawę towarów lub świadczenie usług została ujęta przez sprzedawcę </w:t>
            </w:r>
            <w:r w:rsidR="00A179C4">
              <w:rPr>
                <w:rFonts w:eastAsia="Times New Roman" w:cstheme="minorHAnsi"/>
              </w:rPr>
              <w:t xml:space="preserve">lub usługodawcę w deklaracji VAT, </w:t>
            </w:r>
            <w:r w:rsidR="00EA3D27">
              <w:rPr>
                <w:rFonts w:eastAsia="Times New Roman" w:cstheme="minorHAnsi"/>
              </w:rPr>
              <w:br/>
            </w:r>
            <w:r w:rsidR="00A179C4">
              <w:rPr>
                <w:rFonts w:eastAsia="Times New Roman" w:cstheme="minorHAnsi"/>
              </w:rPr>
              <w:t xml:space="preserve">a </w:t>
            </w:r>
            <w:r w:rsidRPr="00C7142B">
              <w:rPr>
                <w:rFonts w:eastAsia="Times New Roman" w:cstheme="minorHAnsi"/>
              </w:rPr>
              <w:t>podatek VAT wynikający z faktury został rozliczony.</w:t>
            </w:r>
          </w:p>
          <w:p w14:paraId="48159D26" w14:textId="77777777" w:rsidR="00A179C4" w:rsidRDefault="00C7142B" w:rsidP="00C7142B">
            <w:pPr>
              <w:spacing w:before="120"/>
              <w:jc w:val="both"/>
              <w:rPr>
                <w:rFonts w:eastAsia="Times New Roman" w:cstheme="minorHAnsi"/>
              </w:rPr>
            </w:pPr>
            <w:r w:rsidRPr="00C7142B">
              <w:rPr>
                <w:rFonts w:eastAsia="Times New Roman" w:cstheme="minorHAnsi"/>
              </w:rPr>
              <w:t xml:space="preserve">Na gruncie podatku VAT, w odniesieniu do mechanizmu podzielonej płatności, przewidziana została regulacja (art. 108a ust. 7 i 8 ustawy o VAT), w świetle której nie nakłada się dodatkowego zobowiązania podatkowego na podatnika dokonującego zapłaty z pominięciem mechanizmu podzielonej płatności w przypadku, w którym dostawca lub usługodawca rozliczył całą kwotę podatku wynikającą z faktury, która została </w:t>
            </w:r>
            <w:r w:rsidRPr="00C7142B">
              <w:rPr>
                <w:rFonts w:eastAsia="Times New Roman" w:cstheme="minorHAnsi"/>
              </w:rPr>
              <w:lastRenderedPageBreak/>
              <w:t xml:space="preserve">zapłacona z naruszeniem tego mechanizmu. Z kolei uregulowanie przez dostawcę lub usługodawcę należnego podatku VAT, pomimo płatności na rachunek spoza białej listy, nie prowadzi do realizacji odpowiedzialności solidarnej z art. 117ba Ordynacji podatkowej. </w:t>
            </w:r>
          </w:p>
          <w:p w14:paraId="1658E714" w14:textId="5BC5256D" w:rsidR="00C7142B" w:rsidRPr="00C7142B" w:rsidRDefault="00A179C4" w:rsidP="00C7142B">
            <w:pPr>
              <w:spacing w:before="120"/>
              <w:jc w:val="both"/>
              <w:rPr>
                <w:rFonts w:eastAsia="Times New Roman" w:cstheme="minorHAnsi"/>
              </w:rPr>
            </w:pPr>
            <w:r>
              <w:rPr>
                <w:rFonts w:eastAsia="Times New Roman" w:cstheme="minorHAnsi"/>
              </w:rPr>
              <w:t>Tego rodzaju mechanizmu zabrakło jednak na gruncie podatków dochodowych, których literaln</w:t>
            </w:r>
            <w:r w:rsidR="00F4226F">
              <w:rPr>
                <w:rFonts w:eastAsia="Times New Roman" w:cstheme="minorHAnsi"/>
              </w:rPr>
              <w:t>e</w:t>
            </w:r>
            <w:r>
              <w:rPr>
                <w:rFonts w:eastAsia="Times New Roman" w:cstheme="minorHAnsi"/>
              </w:rPr>
              <w:t xml:space="preserve"> brzmienie, </w:t>
            </w:r>
            <w:r w:rsidR="00F4226F">
              <w:rPr>
                <w:rFonts w:eastAsia="Times New Roman" w:cstheme="minorHAnsi"/>
              </w:rPr>
              <w:t xml:space="preserve">bez uwzględnienia mechanizmu proporcjonalności, nakazywało wyłączenie </w:t>
            </w:r>
            <w:r w:rsidR="00EA3D27">
              <w:rPr>
                <w:rFonts w:eastAsia="Times New Roman" w:cstheme="minorHAnsi"/>
              </w:rPr>
              <w:br/>
            </w:r>
            <w:r w:rsidR="00F4226F">
              <w:rPr>
                <w:rFonts w:eastAsia="Times New Roman" w:cstheme="minorHAnsi"/>
              </w:rPr>
              <w:t xml:space="preserve">z kosztów podatkowych wydatków zapłaconych na </w:t>
            </w:r>
            <w:r w:rsidR="005E3E45">
              <w:rPr>
                <w:rFonts w:eastAsia="Times New Roman" w:cstheme="minorHAnsi"/>
              </w:rPr>
              <w:t>rachunek spoza wykazu podatników, nawet w sytuacji, w której sprzedawca lub usługodawca rozliczył podatek</w:t>
            </w:r>
            <w:r w:rsidR="00E3740B">
              <w:rPr>
                <w:rFonts w:eastAsia="Times New Roman" w:cstheme="minorHAnsi"/>
              </w:rPr>
              <w:t xml:space="preserve"> VAT z tytułu danej faktury. W takiej sytuacji sprzedawca lub usługodawca nie dążył do ukrycia przychodu (skoro go ewidencjonował </w:t>
            </w:r>
            <w:r w:rsidR="00EA3D27">
              <w:rPr>
                <w:rFonts w:eastAsia="Times New Roman" w:cstheme="minorHAnsi"/>
              </w:rPr>
              <w:br/>
            </w:r>
            <w:r w:rsidR="00E3740B">
              <w:rPr>
                <w:rFonts w:eastAsia="Times New Roman" w:cstheme="minorHAnsi"/>
              </w:rPr>
              <w:t>i deklarował organom podatkowym).</w:t>
            </w:r>
            <w:r w:rsidR="00C7142B" w:rsidRPr="00C7142B">
              <w:rPr>
                <w:rFonts w:eastAsia="Times New Roman" w:cstheme="minorHAnsi"/>
              </w:rPr>
              <w:t xml:space="preserve"> </w:t>
            </w:r>
          </w:p>
          <w:p w14:paraId="6BA59C2A" w14:textId="5F383DE8" w:rsidR="00C7142B" w:rsidRPr="00C7142B" w:rsidRDefault="00C7142B" w:rsidP="00C7142B">
            <w:pPr>
              <w:spacing w:before="120"/>
              <w:jc w:val="both"/>
              <w:rPr>
                <w:rFonts w:eastAsia="Times New Roman" w:cstheme="minorHAnsi"/>
              </w:rPr>
            </w:pPr>
            <w:r w:rsidRPr="00C7142B">
              <w:rPr>
                <w:rFonts w:eastAsia="Times New Roman" w:cstheme="minorHAnsi"/>
              </w:rPr>
              <w:t>Celem wprowadzenia art. 15d ustawy o CIT oraz art. 22p ustawy o PIT było w szczególności przeciwdziałanie niedeklarowaniu dochodów przez sprzedawców. Mając na uwadze ten cel, należy dojść do wniosku, że w przypadku, w którym sprzedawca rozlicza określone przychody, brak jest konieczności penalizowania nabywcy w ten sposób, że traci on prawo do zaliczenia wydatku do kosztów uzyskania przychodów. W takiej sytuacji pozbawianie nabywcy prawa do zaliczenia wydatku do kosztów podatkowych</w:t>
            </w:r>
            <w:r w:rsidR="00E3740B">
              <w:rPr>
                <w:rFonts w:eastAsia="Times New Roman" w:cstheme="minorHAnsi"/>
              </w:rPr>
              <w:t>, niezależnie od rozliczenia</w:t>
            </w:r>
            <w:r w:rsidRPr="00C7142B">
              <w:rPr>
                <w:rFonts w:eastAsia="Times New Roman" w:cstheme="minorHAnsi"/>
              </w:rPr>
              <w:t xml:space="preserve"> </w:t>
            </w:r>
            <w:r w:rsidR="00E3740B">
              <w:rPr>
                <w:rFonts w:eastAsia="Times New Roman" w:cstheme="minorHAnsi"/>
              </w:rPr>
              <w:t xml:space="preserve">danej faktury przez sprzedawcę lub usługodawcę, </w:t>
            </w:r>
            <w:r w:rsidRPr="00C7142B">
              <w:rPr>
                <w:rFonts w:eastAsia="Times New Roman" w:cstheme="minorHAnsi"/>
              </w:rPr>
              <w:t xml:space="preserve">jest nakładaniem na nabywcę sankcji w postaci opodatkowania de facto nie dochodu, ale przychodu. </w:t>
            </w:r>
          </w:p>
          <w:p w14:paraId="4B64F669" w14:textId="77777777" w:rsidR="00C7142B" w:rsidRPr="00C7142B" w:rsidRDefault="00C7142B" w:rsidP="00C7142B">
            <w:pPr>
              <w:spacing w:before="120"/>
              <w:jc w:val="both"/>
              <w:rPr>
                <w:rFonts w:eastAsia="Times New Roman" w:cstheme="minorHAnsi"/>
              </w:rPr>
            </w:pPr>
            <w:r w:rsidRPr="00C7142B">
              <w:rPr>
                <w:rFonts w:eastAsia="Times New Roman" w:cstheme="minorHAnsi"/>
              </w:rPr>
              <w:t>Projekt zakłada zniesienie przywołanych sankcji z dniem 1 stycznia 2027 r. Oznacza to, że transakcje dokonane przed tym dniem z pominięciem białej listy lub mechanizmu podzielonej płatności nadal podlegać będą dotychczasowym sankcjom, nawet jeżeli podatek VAT wynikający z danej faktury został przez sprzedawcę w całości rozliczony.</w:t>
            </w:r>
          </w:p>
          <w:p w14:paraId="7B4DFD6C" w14:textId="5E82280B" w:rsidR="00C7142B" w:rsidRPr="00C7142B" w:rsidRDefault="0068694C" w:rsidP="00C7142B">
            <w:pPr>
              <w:spacing w:before="120"/>
              <w:jc w:val="both"/>
              <w:rPr>
                <w:rFonts w:eastAsia="Times New Roman" w:cstheme="minorHAnsi"/>
              </w:rPr>
            </w:pPr>
            <w:r>
              <w:rPr>
                <w:rFonts w:eastAsia="Times New Roman" w:cstheme="minorHAnsi"/>
              </w:rPr>
              <w:lastRenderedPageBreak/>
              <w:t xml:space="preserve">Uważamy za </w:t>
            </w:r>
            <w:r w:rsidR="00C7142B" w:rsidRPr="00C7142B">
              <w:rPr>
                <w:rFonts w:eastAsia="Times New Roman" w:cstheme="minorHAnsi"/>
              </w:rPr>
              <w:t xml:space="preserve">uzasadnione wprowadzenie do projektu ustawy przepisu przejściowego, który obejmowałby okresy rozliczeniowe poprzedzające 1 stycznia 2027 r. Przepis taki powinien umożliwiać zaliczenie do kosztów uzyskania przychodów wydatków dokonanych z pominięciem wymogów dotyczących </w:t>
            </w:r>
            <w:r w:rsidR="00FB0E75">
              <w:rPr>
                <w:rFonts w:eastAsia="Times New Roman" w:cstheme="minorHAnsi"/>
              </w:rPr>
              <w:t xml:space="preserve">tzw. </w:t>
            </w:r>
            <w:r w:rsidR="00C7142B" w:rsidRPr="00C7142B">
              <w:rPr>
                <w:rFonts w:eastAsia="Times New Roman" w:cstheme="minorHAnsi"/>
              </w:rPr>
              <w:t>białej listy lub mechanizmu podzielonej płatności w sytuacji, w której podatek VAT wynikający z faktury dokumentującej daną transakcję został przez dostawcę lub usługodawcę rozliczony w całości.</w:t>
            </w:r>
          </w:p>
          <w:p w14:paraId="7A000BEC" w14:textId="4B14A5C4" w:rsidR="00C7142B" w:rsidRPr="00C7142B" w:rsidRDefault="00C7142B" w:rsidP="00C7142B">
            <w:pPr>
              <w:spacing w:before="120"/>
              <w:jc w:val="both"/>
              <w:rPr>
                <w:rFonts w:eastAsia="Times New Roman" w:cstheme="minorHAnsi"/>
              </w:rPr>
            </w:pPr>
            <w:r w:rsidRPr="00C7142B">
              <w:rPr>
                <w:rFonts w:eastAsia="Times New Roman" w:cstheme="minorHAnsi"/>
              </w:rPr>
              <w:t>Takie rozwiązanie byłoby spójne z ratio legis regulacji (ochrona interesu fiskalnego Skarbu Państwa), a jednocześnie stanowiłoby wyraz realizacji zasady proporcjonalności</w:t>
            </w:r>
            <w:r w:rsidR="00F602AA">
              <w:rPr>
                <w:rFonts w:eastAsia="Times New Roman" w:cstheme="minorHAnsi"/>
              </w:rPr>
              <w:t xml:space="preserve"> wynikającej z Konstytucji RP oraz prawa Unii Europejskiej</w:t>
            </w:r>
            <w:r w:rsidRPr="00C7142B">
              <w:rPr>
                <w:rFonts w:eastAsia="Times New Roman" w:cstheme="minorHAnsi"/>
              </w:rPr>
              <w:t>.</w:t>
            </w:r>
          </w:p>
          <w:p w14:paraId="3FAB27FC" w14:textId="35399F17" w:rsidR="00F56DB6" w:rsidRDefault="00C7142B" w:rsidP="00C7142B">
            <w:pPr>
              <w:spacing w:before="120"/>
              <w:jc w:val="both"/>
              <w:rPr>
                <w:rFonts w:eastAsia="Times New Roman" w:cstheme="minorHAnsi"/>
              </w:rPr>
            </w:pPr>
            <w:r w:rsidRPr="00C7142B">
              <w:rPr>
                <w:rFonts w:eastAsia="Times New Roman" w:cstheme="minorHAnsi"/>
              </w:rPr>
              <w:t xml:space="preserve">Proponowany przepis przejściowy wdraża na grunt ustaw </w:t>
            </w:r>
            <w:r w:rsidR="00EA3D27">
              <w:rPr>
                <w:rFonts w:eastAsia="Times New Roman" w:cstheme="minorHAnsi"/>
              </w:rPr>
              <w:br/>
            </w:r>
            <w:r w:rsidRPr="00C7142B">
              <w:rPr>
                <w:rFonts w:eastAsia="Times New Roman" w:cstheme="minorHAnsi"/>
              </w:rPr>
              <w:t xml:space="preserve">o podatkach dochodowych mechanizm analogiczny do tego, który od 2020 r. funkcjonuje w art. 108a ust. 8 ustawy o VAT. </w:t>
            </w:r>
          </w:p>
          <w:p w14:paraId="6E799808" w14:textId="278BF7B8" w:rsidR="00C7142B" w:rsidRPr="00112B2D" w:rsidRDefault="00C7142B" w:rsidP="00C7142B">
            <w:pPr>
              <w:spacing w:before="120"/>
              <w:jc w:val="both"/>
              <w:rPr>
                <w:rFonts w:eastAsia="Times New Roman" w:cstheme="minorHAnsi"/>
              </w:rPr>
            </w:pPr>
            <w:r w:rsidRPr="00C7142B">
              <w:rPr>
                <w:rFonts w:eastAsia="Times New Roman" w:cstheme="minorHAnsi"/>
              </w:rPr>
              <w:t xml:space="preserve">Zgodnie z art. 108a ust. 8 ustawy o VAT sankcja nie jest stosowana, jeżeli dostawca lub usługodawca rozliczył całą kwotę podatku wynikającą z faktury, która została zapłacona poza mechanizmem podzielonej płatności. Skoro ustawodawca na gruncie VAT uznał, że brak sankcji jest uzasadniony w sytuacji prawidłowego rozliczenia </w:t>
            </w:r>
            <w:r w:rsidR="00F23C9D">
              <w:rPr>
                <w:rFonts w:eastAsia="Times New Roman" w:cstheme="minorHAnsi"/>
              </w:rPr>
              <w:t xml:space="preserve">podatku </w:t>
            </w:r>
            <w:r w:rsidRPr="00C7142B">
              <w:rPr>
                <w:rFonts w:eastAsia="Times New Roman" w:cstheme="minorHAnsi"/>
              </w:rPr>
              <w:t>przez sprzedawcę, tym bardziej brak sankcji w podatkach dochodowych powinien być regułą.</w:t>
            </w:r>
          </w:p>
        </w:tc>
        <w:tc>
          <w:tcPr>
            <w:tcW w:w="1223" w:type="pct"/>
          </w:tcPr>
          <w:p w14:paraId="0082FB13" w14:textId="340C0EAE" w:rsidR="00202FA9" w:rsidRPr="00F216DF" w:rsidRDefault="00C7142B" w:rsidP="00F216DF">
            <w:pPr>
              <w:spacing w:before="120"/>
              <w:jc w:val="both"/>
              <w:rPr>
                <w:rFonts w:eastAsia="Times New Roman" w:cstheme="minorHAnsi"/>
              </w:rPr>
            </w:pPr>
            <w:r w:rsidRPr="00F216DF">
              <w:rPr>
                <w:rFonts w:eastAsia="Times New Roman" w:cstheme="minorHAnsi"/>
              </w:rPr>
              <w:lastRenderedPageBreak/>
              <w:t>Proponuje się dodanie przepisu przejściowego w następującym brzmieniu:</w:t>
            </w:r>
          </w:p>
          <w:p w14:paraId="11C7799C" w14:textId="4DFB06B0" w:rsidR="00202FA9" w:rsidRPr="00F216DF" w:rsidRDefault="00202FA9" w:rsidP="00F216DF">
            <w:pPr>
              <w:spacing w:before="120"/>
              <w:jc w:val="both"/>
              <w:rPr>
                <w:rFonts w:eastAsia="Times New Roman" w:cstheme="minorHAnsi"/>
              </w:rPr>
            </w:pPr>
            <w:r w:rsidRPr="00F216DF">
              <w:rPr>
                <w:rFonts w:eastAsia="Times New Roman" w:cstheme="minorHAnsi"/>
              </w:rPr>
              <w:t xml:space="preserve">Art. [X] </w:t>
            </w:r>
            <w:r w:rsidR="00C7142B" w:rsidRPr="00F216DF">
              <w:rPr>
                <w:rFonts w:eastAsia="Times New Roman" w:cstheme="minorHAnsi"/>
              </w:rPr>
              <w:t>Przepisów art. 22p ust. 1 pkt 2 i 3 oraz art. 22p ust. 2 ustawy zmienianej w art. 1, w brzmieniu dotychczasowym, nie stosuje się do płatności dokonanych przed dniem 1 stycznia 2027 r. na rachunek inny niż zawarty w wykazie podmiotów, o którym mowa w art. 96b ust. 1 ustawy o podatku od towarów i usług, lub z pominięciem mechanizmu podzielonej płatności, jeżeli dostawca towarów lub usługodawca rozliczył całą kwotę podatku od towarów i usług wynikającą z faktury dokumentującej daną transakcję.</w:t>
            </w:r>
          </w:p>
          <w:p w14:paraId="49CA6377" w14:textId="14A93711" w:rsidR="00202FA9" w:rsidRPr="00F216DF" w:rsidRDefault="00202FA9" w:rsidP="00F216DF">
            <w:pPr>
              <w:spacing w:before="120"/>
              <w:jc w:val="both"/>
              <w:rPr>
                <w:rFonts w:eastAsia="Times New Roman" w:cstheme="minorHAnsi"/>
              </w:rPr>
            </w:pPr>
            <w:r w:rsidRPr="00F216DF">
              <w:rPr>
                <w:rFonts w:eastAsia="Times New Roman" w:cstheme="minorHAnsi"/>
              </w:rPr>
              <w:lastRenderedPageBreak/>
              <w:t>Art. [X] Przepisów art. 15d ust. 1 pkt 2 i 3 oraz art. 15d ust. 2 ustawy zmienianej w art. 2, w brzmieniu dotychczasowym, nie stosuje się do płatności dokonanych przed dniem 1 stycznia 2027 r. na rachunek inny niż zawarty w wykazie podmiotów, o którym mowa w art. 96b ust. 1 ustawy o podatku od towarów i usług, lub z pominięciem mechanizmu podzielonej płatności, jeżeli dostawca towarów lub usługodawca rozliczył całą kwotę podatku od towarów i usług wynikającą z faktury dokumentującej daną transakcję.</w:t>
            </w:r>
          </w:p>
        </w:tc>
      </w:tr>
    </w:tbl>
    <w:p w14:paraId="0FC84D79" w14:textId="77777777" w:rsidR="003E5529" w:rsidRPr="00A464D7" w:rsidRDefault="003E5529" w:rsidP="00A464D7">
      <w:pPr>
        <w:jc w:val="both"/>
        <w:rPr>
          <w:rFonts w:cstheme="minorHAnsi"/>
        </w:rPr>
      </w:pPr>
    </w:p>
    <w:p w14:paraId="1250C598" w14:textId="77777777" w:rsidR="003E5529" w:rsidRDefault="003E5529" w:rsidP="003E5529"/>
    <w:p w14:paraId="432FE482" w14:textId="4C7CF7FD" w:rsidR="0084728B" w:rsidRPr="00AC529D" w:rsidRDefault="00AC529D">
      <w:pPr>
        <w:rPr>
          <w:b/>
          <w:bCs/>
          <w:i/>
          <w:iCs/>
        </w:rPr>
      </w:pPr>
      <w:r w:rsidRPr="00AC529D">
        <w:rPr>
          <w:b/>
          <w:bCs/>
          <w:i/>
          <w:iCs/>
        </w:rPr>
        <w:t>KL/279/71/ASW/2026</w:t>
      </w:r>
    </w:p>
    <w:sectPr w:rsidR="0084728B" w:rsidRPr="00AC529D" w:rsidSect="003E552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FAB42" w14:textId="77777777" w:rsidR="0073358A" w:rsidRDefault="0073358A" w:rsidP="003E5529">
      <w:pPr>
        <w:spacing w:after="0" w:line="240" w:lineRule="auto"/>
      </w:pPr>
      <w:r>
        <w:separator/>
      </w:r>
    </w:p>
  </w:endnote>
  <w:endnote w:type="continuationSeparator" w:id="0">
    <w:p w14:paraId="4F30957E" w14:textId="77777777" w:rsidR="0073358A" w:rsidRDefault="0073358A" w:rsidP="003E5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779E6" w14:textId="77777777" w:rsidR="0073358A" w:rsidRDefault="0073358A" w:rsidP="003E5529">
      <w:pPr>
        <w:spacing w:after="0" w:line="240" w:lineRule="auto"/>
      </w:pPr>
      <w:r>
        <w:separator/>
      </w:r>
    </w:p>
  </w:footnote>
  <w:footnote w:type="continuationSeparator" w:id="0">
    <w:p w14:paraId="76FF87AA" w14:textId="77777777" w:rsidR="0073358A" w:rsidRDefault="0073358A" w:rsidP="003E55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461E"/>
    <w:multiLevelType w:val="hybridMultilevel"/>
    <w:tmpl w:val="A62454A4"/>
    <w:lvl w:ilvl="0" w:tplc="56B48A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74016E1"/>
    <w:multiLevelType w:val="hybridMultilevel"/>
    <w:tmpl w:val="195E92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820438"/>
    <w:multiLevelType w:val="hybridMultilevel"/>
    <w:tmpl w:val="CC7664E0"/>
    <w:lvl w:ilvl="0" w:tplc="56B48A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3CD3520"/>
    <w:multiLevelType w:val="hybridMultilevel"/>
    <w:tmpl w:val="59384E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CEA43E7"/>
    <w:multiLevelType w:val="hybridMultilevel"/>
    <w:tmpl w:val="899E18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9CA2EE4"/>
    <w:multiLevelType w:val="hybridMultilevel"/>
    <w:tmpl w:val="32C64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FAB5580"/>
    <w:multiLevelType w:val="hybridMultilevel"/>
    <w:tmpl w:val="B30A099A"/>
    <w:lvl w:ilvl="0" w:tplc="56B48A4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43E08B88"/>
    <w:multiLevelType w:val="hybridMultilevel"/>
    <w:tmpl w:val="FFFFFFFF"/>
    <w:lvl w:ilvl="0" w:tplc="FFFFFFFF">
      <w:start w:val="1"/>
      <w:numFmt w:val="bullet"/>
      <w:lvlText w:val="o"/>
      <w:lvlJc w:val="left"/>
      <w:pPr>
        <w:ind w:left="720" w:hanging="360"/>
      </w:pPr>
      <w:rPr>
        <w:rFonts w:ascii="Courier New" w:hAnsi="Courier New" w:hint="default"/>
      </w:rPr>
    </w:lvl>
    <w:lvl w:ilvl="1" w:tplc="33F495B8">
      <w:start w:val="1"/>
      <w:numFmt w:val="bullet"/>
      <w:lvlText w:val="o"/>
      <w:lvlJc w:val="left"/>
      <w:pPr>
        <w:ind w:left="1440" w:hanging="360"/>
      </w:pPr>
      <w:rPr>
        <w:rFonts w:ascii="Courier New" w:hAnsi="Courier New" w:hint="default"/>
      </w:rPr>
    </w:lvl>
    <w:lvl w:ilvl="2" w:tplc="2F08BC5A">
      <w:start w:val="1"/>
      <w:numFmt w:val="bullet"/>
      <w:lvlText w:val=""/>
      <w:lvlJc w:val="left"/>
      <w:pPr>
        <w:ind w:left="2160" w:hanging="360"/>
      </w:pPr>
      <w:rPr>
        <w:rFonts w:ascii="Wingdings" w:hAnsi="Wingdings" w:hint="default"/>
      </w:rPr>
    </w:lvl>
    <w:lvl w:ilvl="3" w:tplc="805A5B26">
      <w:start w:val="1"/>
      <w:numFmt w:val="bullet"/>
      <w:lvlText w:val=""/>
      <w:lvlJc w:val="left"/>
      <w:pPr>
        <w:ind w:left="2880" w:hanging="360"/>
      </w:pPr>
      <w:rPr>
        <w:rFonts w:ascii="Symbol" w:hAnsi="Symbol" w:hint="default"/>
      </w:rPr>
    </w:lvl>
    <w:lvl w:ilvl="4" w:tplc="3258AD98">
      <w:start w:val="1"/>
      <w:numFmt w:val="bullet"/>
      <w:lvlText w:val="o"/>
      <w:lvlJc w:val="left"/>
      <w:pPr>
        <w:ind w:left="3600" w:hanging="360"/>
      </w:pPr>
      <w:rPr>
        <w:rFonts w:ascii="Courier New" w:hAnsi="Courier New" w:hint="default"/>
      </w:rPr>
    </w:lvl>
    <w:lvl w:ilvl="5" w:tplc="4F3E7EE8">
      <w:start w:val="1"/>
      <w:numFmt w:val="bullet"/>
      <w:lvlText w:val=""/>
      <w:lvlJc w:val="left"/>
      <w:pPr>
        <w:ind w:left="4320" w:hanging="360"/>
      </w:pPr>
      <w:rPr>
        <w:rFonts w:ascii="Wingdings" w:hAnsi="Wingdings" w:hint="default"/>
      </w:rPr>
    </w:lvl>
    <w:lvl w:ilvl="6" w:tplc="F724A7E4">
      <w:start w:val="1"/>
      <w:numFmt w:val="bullet"/>
      <w:lvlText w:val=""/>
      <w:lvlJc w:val="left"/>
      <w:pPr>
        <w:ind w:left="5040" w:hanging="360"/>
      </w:pPr>
      <w:rPr>
        <w:rFonts w:ascii="Symbol" w:hAnsi="Symbol" w:hint="default"/>
      </w:rPr>
    </w:lvl>
    <w:lvl w:ilvl="7" w:tplc="47448F4A">
      <w:start w:val="1"/>
      <w:numFmt w:val="bullet"/>
      <w:lvlText w:val="o"/>
      <w:lvlJc w:val="left"/>
      <w:pPr>
        <w:ind w:left="5760" w:hanging="360"/>
      </w:pPr>
      <w:rPr>
        <w:rFonts w:ascii="Courier New" w:hAnsi="Courier New" w:hint="default"/>
      </w:rPr>
    </w:lvl>
    <w:lvl w:ilvl="8" w:tplc="6C208948">
      <w:start w:val="1"/>
      <w:numFmt w:val="bullet"/>
      <w:lvlText w:val=""/>
      <w:lvlJc w:val="left"/>
      <w:pPr>
        <w:ind w:left="6480" w:hanging="360"/>
      </w:pPr>
      <w:rPr>
        <w:rFonts w:ascii="Wingdings" w:hAnsi="Wingdings" w:hint="default"/>
      </w:rPr>
    </w:lvl>
  </w:abstractNum>
  <w:abstractNum w:abstractNumId="8" w15:restartNumberingAfterBreak="0">
    <w:nsid w:val="472D4311"/>
    <w:multiLevelType w:val="hybridMultilevel"/>
    <w:tmpl w:val="36A4A2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BE70FEC"/>
    <w:multiLevelType w:val="hybridMultilevel"/>
    <w:tmpl w:val="8AB6CC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A466EA6"/>
    <w:multiLevelType w:val="hybridMultilevel"/>
    <w:tmpl w:val="4BB61B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1251E96"/>
    <w:multiLevelType w:val="hybridMultilevel"/>
    <w:tmpl w:val="DAA6B9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9D860B7"/>
    <w:multiLevelType w:val="hybridMultilevel"/>
    <w:tmpl w:val="54C09D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25D1E02"/>
    <w:multiLevelType w:val="hybridMultilevel"/>
    <w:tmpl w:val="EB1657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5A40AD2"/>
    <w:multiLevelType w:val="hybridMultilevel"/>
    <w:tmpl w:val="FFFFFFFF"/>
    <w:lvl w:ilvl="0" w:tplc="FFFFFFFF">
      <w:start w:val="1"/>
      <w:numFmt w:val="bullet"/>
      <w:lvlText w:val="o"/>
      <w:lvlJc w:val="left"/>
      <w:pPr>
        <w:ind w:left="720" w:hanging="360"/>
      </w:pPr>
      <w:rPr>
        <w:rFonts w:ascii="Courier New" w:hAnsi="Courier New" w:hint="default"/>
      </w:rPr>
    </w:lvl>
    <w:lvl w:ilvl="1" w:tplc="795AFDF6">
      <w:start w:val="1"/>
      <w:numFmt w:val="bullet"/>
      <w:lvlText w:val="o"/>
      <w:lvlJc w:val="left"/>
      <w:pPr>
        <w:ind w:left="1440" w:hanging="360"/>
      </w:pPr>
      <w:rPr>
        <w:rFonts w:ascii="Courier New" w:hAnsi="Courier New" w:hint="default"/>
      </w:rPr>
    </w:lvl>
    <w:lvl w:ilvl="2" w:tplc="8C8EA5F4">
      <w:start w:val="1"/>
      <w:numFmt w:val="bullet"/>
      <w:lvlText w:val=""/>
      <w:lvlJc w:val="left"/>
      <w:pPr>
        <w:ind w:left="2160" w:hanging="360"/>
      </w:pPr>
      <w:rPr>
        <w:rFonts w:ascii="Wingdings" w:hAnsi="Wingdings" w:hint="default"/>
      </w:rPr>
    </w:lvl>
    <w:lvl w:ilvl="3" w:tplc="0D585A36">
      <w:start w:val="1"/>
      <w:numFmt w:val="bullet"/>
      <w:lvlText w:val=""/>
      <w:lvlJc w:val="left"/>
      <w:pPr>
        <w:ind w:left="2880" w:hanging="360"/>
      </w:pPr>
      <w:rPr>
        <w:rFonts w:ascii="Symbol" w:hAnsi="Symbol" w:hint="default"/>
      </w:rPr>
    </w:lvl>
    <w:lvl w:ilvl="4" w:tplc="20748C00">
      <w:start w:val="1"/>
      <w:numFmt w:val="bullet"/>
      <w:lvlText w:val="o"/>
      <w:lvlJc w:val="left"/>
      <w:pPr>
        <w:ind w:left="3600" w:hanging="360"/>
      </w:pPr>
      <w:rPr>
        <w:rFonts w:ascii="Courier New" w:hAnsi="Courier New" w:hint="default"/>
      </w:rPr>
    </w:lvl>
    <w:lvl w:ilvl="5" w:tplc="800CF50C">
      <w:start w:val="1"/>
      <w:numFmt w:val="bullet"/>
      <w:lvlText w:val=""/>
      <w:lvlJc w:val="left"/>
      <w:pPr>
        <w:ind w:left="4320" w:hanging="360"/>
      </w:pPr>
      <w:rPr>
        <w:rFonts w:ascii="Wingdings" w:hAnsi="Wingdings" w:hint="default"/>
      </w:rPr>
    </w:lvl>
    <w:lvl w:ilvl="6" w:tplc="74D8231E">
      <w:start w:val="1"/>
      <w:numFmt w:val="bullet"/>
      <w:lvlText w:val=""/>
      <w:lvlJc w:val="left"/>
      <w:pPr>
        <w:ind w:left="5040" w:hanging="360"/>
      </w:pPr>
      <w:rPr>
        <w:rFonts w:ascii="Symbol" w:hAnsi="Symbol" w:hint="default"/>
      </w:rPr>
    </w:lvl>
    <w:lvl w:ilvl="7" w:tplc="B688F3CC">
      <w:start w:val="1"/>
      <w:numFmt w:val="bullet"/>
      <w:lvlText w:val="o"/>
      <w:lvlJc w:val="left"/>
      <w:pPr>
        <w:ind w:left="5760" w:hanging="360"/>
      </w:pPr>
      <w:rPr>
        <w:rFonts w:ascii="Courier New" w:hAnsi="Courier New" w:hint="default"/>
      </w:rPr>
    </w:lvl>
    <w:lvl w:ilvl="8" w:tplc="9C76D03A">
      <w:start w:val="1"/>
      <w:numFmt w:val="bullet"/>
      <w:lvlText w:val=""/>
      <w:lvlJc w:val="left"/>
      <w:pPr>
        <w:ind w:left="6480" w:hanging="360"/>
      </w:pPr>
      <w:rPr>
        <w:rFonts w:ascii="Wingdings" w:hAnsi="Wingdings" w:hint="default"/>
      </w:rPr>
    </w:lvl>
  </w:abstractNum>
  <w:num w:numId="1" w16cid:durableId="1711570413">
    <w:abstractNumId w:val="5"/>
  </w:num>
  <w:num w:numId="2" w16cid:durableId="458381569">
    <w:abstractNumId w:val="8"/>
  </w:num>
  <w:num w:numId="3" w16cid:durableId="2072189380">
    <w:abstractNumId w:val="4"/>
  </w:num>
  <w:num w:numId="4" w16cid:durableId="1324548575">
    <w:abstractNumId w:val="13"/>
  </w:num>
  <w:num w:numId="5" w16cid:durableId="193347897">
    <w:abstractNumId w:val="10"/>
  </w:num>
  <w:num w:numId="6" w16cid:durableId="2103723901">
    <w:abstractNumId w:val="9"/>
  </w:num>
  <w:num w:numId="7" w16cid:durableId="2085569432">
    <w:abstractNumId w:val="11"/>
  </w:num>
  <w:num w:numId="8" w16cid:durableId="1191146585">
    <w:abstractNumId w:val="6"/>
  </w:num>
  <w:num w:numId="9" w16cid:durableId="1585727665">
    <w:abstractNumId w:val="0"/>
  </w:num>
  <w:num w:numId="10" w16cid:durableId="1804544776">
    <w:abstractNumId w:val="2"/>
  </w:num>
  <w:num w:numId="11" w16cid:durableId="177543555">
    <w:abstractNumId w:val="12"/>
  </w:num>
  <w:num w:numId="12" w16cid:durableId="1500342409">
    <w:abstractNumId w:val="1"/>
  </w:num>
  <w:num w:numId="13" w16cid:durableId="539709949">
    <w:abstractNumId w:val="7"/>
  </w:num>
  <w:num w:numId="14" w16cid:durableId="835078195">
    <w:abstractNumId w:val="14"/>
  </w:num>
  <w:num w:numId="15" w16cid:durableId="20052330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529"/>
    <w:rsid w:val="0001234E"/>
    <w:rsid w:val="000173F3"/>
    <w:rsid w:val="00023422"/>
    <w:rsid w:val="000562D8"/>
    <w:rsid w:val="00085C02"/>
    <w:rsid w:val="000F1A04"/>
    <w:rsid w:val="000F35D5"/>
    <w:rsid w:val="00112B2D"/>
    <w:rsid w:val="001230D4"/>
    <w:rsid w:val="00127AA1"/>
    <w:rsid w:val="0014469A"/>
    <w:rsid w:val="00146CB5"/>
    <w:rsid w:val="00165E20"/>
    <w:rsid w:val="001978E2"/>
    <w:rsid w:val="00202FA9"/>
    <w:rsid w:val="00205BCF"/>
    <w:rsid w:val="002230C1"/>
    <w:rsid w:val="00256029"/>
    <w:rsid w:val="002630D9"/>
    <w:rsid w:val="002657F9"/>
    <w:rsid w:val="00277614"/>
    <w:rsid w:val="0028021C"/>
    <w:rsid w:val="00315A24"/>
    <w:rsid w:val="00315D83"/>
    <w:rsid w:val="00334E2E"/>
    <w:rsid w:val="0034618E"/>
    <w:rsid w:val="003603BC"/>
    <w:rsid w:val="003639B3"/>
    <w:rsid w:val="0036485D"/>
    <w:rsid w:val="00370EA4"/>
    <w:rsid w:val="00394ABE"/>
    <w:rsid w:val="003E1063"/>
    <w:rsid w:val="003E5529"/>
    <w:rsid w:val="003E7FE4"/>
    <w:rsid w:val="00411662"/>
    <w:rsid w:val="0041405B"/>
    <w:rsid w:val="004442C3"/>
    <w:rsid w:val="00467CBF"/>
    <w:rsid w:val="00477CF2"/>
    <w:rsid w:val="00486797"/>
    <w:rsid w:val="00496CA9"/>
    <w:rsid w:val="00510F96"/>
    <w:rsid w:val="005530C7"/>
    <w:rsid w:val="00582F25"/>
    <w:rsid w:val="00592D2A"/>
    <w:rsid w:val="005B5826"/>
    <w:rsid w:val="005C724D"/>
    <w:rsid w:val="005D2064"/>
    <w:rsid w:val="005E3E45"/>
    <w:rsid w:val="00622E53"/>
    <w:rsid w:val="0062312A"/>
    <w:rsid w:val="00630220"/>
    <w:rsid w:val="0066267B"/>
    <w:rsid w:val="00670B59"/>
    <w:rsid w:val="00672011"/>
    <w:rsid w:val="00677205"/>
    <w:rsid w:val="0068694C"/>
    <w:rsid w:val="00686C4A"/>
    <w:rsid w:val="006938C5"/>
    <w:rsid w:val="006A7D51"/>
    <w:rsid w:val="006B6FBA"/>
    <w:rsid w:val="006E6532"/>
    <w:rsid w:val="00720C35"/>
    <w:rsid w:val="0073358A"/>
    <w:rsid w:val="00741F84"/>
    <w:rsid w:val="0074280B"/>
    <w:rsid w:val="007524CC"/>
    <w:rsid w:val="00755A1B"/>
    <w:rsid w:val="0077388D"/>
    <w:rsid w:val="007827DF"/>
    <w:rsid w:val="007831A9"/>
    <w:rsid w:val="007A0E59"/>
    <w:rsid w:val="007B67F0"/>
    <w:rsid w:val="007E1474"/>
    <w:rsid w:val="007E6AAF"/>
    <w:rsid w:val="00827FBC"/>
    <w:rsid w:val="0084728B"/>
    <w:rsid w:val="00870EF8"/>
    <w:rsid w:val="00884817"/>
    <w:rsid w:val="008A2696"/>
    <w:rsid w:val="008A78AF"/>
    <w:rsid w:val="008C06D2"/>
    <w:rsid w:val="008C17DC"/>
    <w:rsid w:val="00905595"/>
    <w:rsid w:val="00915D5B"/>
    <w:rsid w:val="0092266F"/>
    <w:rsid w:val="00933505"/>
    <w:rsid w:val="009337AE"/>
    <w:rsid w:val="00957633"/>
    <w:rsid w:val="00994722"/>
    <w:rsid w:val="009A761B"/>
    <w:rsid w:val="009B0FA3"/>
    <w:rsid w:val="009D698C"/>
    <w:rsid w:val="009F1EE7"/>
    <w:rsid w:val="009F2746"/>
    <w:rsid w:val="00A01777"/>
    <w:rsid w:val="00A1116D"/>
    <w:rsid w:val="00A1168F"/>
    <w:rsid w:val="00A14EEF"/>
    <w:rsid w:val="00A179C4"/>
    <w:rsid w:val="00A346F1"/>
    <w:rsid w:val="00A46017"/>
    <w:rsid w:val="00A464D7"/>
    <w:rsid w:val="00A83930"/>
    <w:rsid w:val="00A93694"/>
    <w:rsid w:val="00A9440D"/>
    <w:rsid w:val="00AA6A8C"/>
    <w:rsid w:val="00AB49A0"/>
    <w:rsid w:val="00AB6078"/>
    <w:rsid w:val="00AC521B"/>
    <w:rsid w:val="00AC529D"/>
    <w:rsid w:val="00AD0F43"/>
    <w:rsid w:val="00AD67AF"/>
    <w:rsid w:val="00AF6A1E"/>
    <w:rsid w:val="00B04BE1"/>
    <w:rsid w:val="00B052E6"/>
    <w:rsid w:val="00B3634B"/>
    <w:rsid w:val="00B447D9"/>
    <w:rsid w:val="00B44CDB"/>
    <w:rsid w:val="00B5670A"/>
    <w:rsid w:val="00B71B0C"/>
    <w:rsid w:val="00B724CB"/>
    <w:rsid w:val="00BA0A65"/>
    <w:rsid w:val="00BA17BD"/>
    <w:rsid w:val="00BC058C"/>
    <w:rsid w:val="00BE3A21"/>
    <w:rsid w:val="00BE6278"/>
    <w:rsid w:val="00BE7957"/>
    <w:rsid w:val="00C03785"/>
    <w:rsid w:val="00C20A13"/>
    <w:rsid w:val="00C4295F"/>
    <w:rsid w:val="00C44F04"/>
    <w:rsid w:val="00C614AD"/>
    <w:rsid w:val="00C7142B"/>
    <w:rsid w:val="00C80BE3"/>
    <w:rsid w:val="00C84EA1"/>
    <w:rsid w:val="00CB2030"/>
    <w:rsid w:val="00CE0C41"/>
    <w:rsid w:val="00D12248"/>
    <w:rsid w:val="00D33A49"/>
    <w:rsid w:val="00D65D6E"/>
    <w:rsid w:val="00D8022D"/>
    <w:rsid w:val="00D8347A"/>
    <w:rsid w:val="00D86B31"/>
    <w:rsid w:val="00DA3FCA"/>
    <w:rsid w:val="00DA424E"/>
    <w:rsid w:val="00DB0F68"/>
    <w:rsid w:val="00DB5513"/>
    <w:rsid w:val="00DD332A"/>
    <w:rsid w:val="00DF1C3E"/>
    <w:rsid w:val="00DF54D3"/>
    <w:rsid w:val="00DF6748"/>
    <w:rsid w:val="00DF78FF"/>
    <w:rsid w:val="00E179B9"/>
    <w:rsid w:val="00E27B83"/>
    <w:rsid w:val="00E3740B"/>
    <w:rsid w:val="00E41007"/>
    <w:rsid w:val="00E465B1"/>
    <w:rsid w:val="00E467EE"/>
    <w:rsid w:val="00E478C4"/>
    <w:rsid w:val="00E47CAE"/>
    <w:rsid w:val="00E67B8B"/>
    <w:rsid w:val="00EA3D27"/>
    <w:rsid w:val="00EA4CE7"/>
    <w:rsid w:val="00EF5715"/>
    <w:rsid w:val="00F216DF"/>
    <w:rsid w:val="00F21D64"/>
    <w:rsid w:val="00F23C9D"/>
    <w:rsid w:val="00F4226F"/>
    <w:rsid w:val="00F434BF"/>
    <w:rsid w:val="00F56DB6"/>
    <w:rsid w:val="00F602AA"/>
    <w:rsid w:val="00F62EDB"/>
    <w:rsid w:val="00F9283D"/>
    <w:rsid w:val="00F95E1D"/>
    <w:rsid w:val="00FB0E75"/>
    <w:rsid w:val="00FB1185"/>
    <w:rsid w:val="00FB23DC"/>
    <w:rsid w:val="00FC30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9E605"/>
  <w15:chartTrackingRefBased/>
  <w15:docId w15:val="{E380F614-71F3-48CF-9DC6-870124EB3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337AE"/>
    <w:rPr>
      <w:kern w:val="0"/>
      <w14:ligatures w14:val="none"/>
    </w:rPr>
  </w:style>
  <w:style w:type="paragraph" w:styleId="Nagwek1">
    <w:name w:val="heading 1"/>
    <w:basedOn w:val="Normalny"/>
    <w:next w:val="Normalny"/>
    <w:link w:val="Nagwek1Znak"/>
    <w:uiPriority w:val="9"/>
    <w:qFormat/>
    <w:rsid w:val="003E55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E55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E5529"/>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E5529"/>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E5529"/>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E552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E552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E552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E552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E5529"/>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E5529"/>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E5529"/>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E5529"/>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E5529"/>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E552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E552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E552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E5529"/>
    <w:rPr>
      <w:rFonts w:eastAsiaTheme="majorEastAsia" w:cstheme="majorBidi"/>
      <w:color w:val="272727" w:themeColor="text1" w:themeTint="D8"/>
    </w:rPr>
  </w:style>
  <w:style w:type="paragraph" w:styleId="Tytu">
    <w:name w:val="Title"/>
    <w:basedOn w:val="Normalny"/>
    <w:next w:val="Normalny"/>
    <w:link w:val="TytuZnak"/>
    <w:uiPriority w:val="10"/>
    <w:qFormat/>
    <w:rsid w:val="003E55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E552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E552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E552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E5529"/>
    <w:pPr>
      <w:spacing w:before="160"/>
      <w:jc w:val="center"/>
    </w:pPr>
    <w:rPr>
      <w:i/>
      <w:iCs/>
      <w:color w:val="404040" w:themeColor="text1" w:themeTint="BF"/>
    </w:rPr>
  </w:style>
  <w:style w:type="character" w:customStyle="1" w:styleId="CytatZnak">
    <w:name w:val="Cytat Znak"/>
    <w:basedOn w:val="Domylnaczcionkaakapitu"/>
    <w:link w:val="Cytat"/>
    <w:uiPriority w:val="29"/>
    <w:rsid w:val="003E5529"/>
    <w:rPr>
      <w:i/>
      <w:iCs/>
      <w:color w:val="404040" w:themeColor="text1" w:themeTint="BF"/>
    </w:rPr>
  </w:style>
  <w:style w:type="paragraph" w:styleId="Akapitzlist">
    <w:name w:val="List Paragraph"/>
    <w:basedOn w:val="Normalny"/>
    <w:uiPriority w:val="34"/>
    <w:qFormat/>
    <w:rsid w:val="003E5529"/>
    <w:pPr>
      <w:ind w:left="720"/>
      <w:contextualSpacing/>
    </w:pPr>
  </w:style>
  <w:style w:type="character" w:styleId="Wyrnienieintensywne">
    <w:name w:val="Intense Emphasis"/>
    <w:basedOn w:val="Domylnaczcionkaakapitu"/>
    <w:uiPriority w:val="21"/>
    <w:qFormat/>
    <w:rsid w:val="003E5529"/>
    <w:rPr>
      <w:i/>
      <w:iCs/>
      <w:color w:val="2F5496" w:themeColor="accent1" w:themeShade="BF"/>
    </w:rPr>
  </w:style>
  <w:style w:type="paragraph" w:styleId="Cytatintensywny">
    <w:name w:val="Intense Quote"/>
    <w:basedOn w:val="Normalny"/>
    <w:next w:val="Normalny"/>
    <w:link w:val="CytatintensywnyZnak"/>
    <w:uiPriority w:val="30"/>
    <w:qFormat/>
    <w:rsid w:val="003E55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E5529"/>
    <w:rPr>
      <w:i/>
      <w:iCs/>
      <w:color w:val="2F5496" w:themeColor="accent1" w:themeShade="BF"/>
    </w:rPr>
  </w:style>
  <w:style w:type="character" w:styleId="Odwoanieintensywne">
    <w:name w:val="Intense Reference"/>
    <w:basedOn w:val="Domylnaczcionkaakapitu"/>
    <w:uiPriority w:val="32"/>
    <w:qFormat/>
    <w:rsid w:val="003E5529"/>
    <w:rPr>
      <w:b/>
      <w:bCs/>
      <w:smallCaps/>
      <w:color w:val="2F5496" w:themeColor="accent1" w:themeShade="BF"/>
      <w:spacing w:val="5"/>
    </w:rPr>
  </w:style>
  <w:style w:type="table" w:styleId="Tabela-Siatka">
    <w:name w:val="Table Grid"/>
    <w:basedOn w:val="Standardowy"/>
    <w:uiPriority w:val="39"/>
    <w:rsid w:val="003E552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UAKTUprzedmiotregulacjiustawylubrozporzdzenia">
    <w:name w:val="TYTUŁ_AKTU – przedmiot regulacji ustawy lub rozporządzenia"/>
    <w:next w:val="Normalny"/>
    <w:uiPriority w:val="6"/>
    <w:qFormat/>
    <w:rsid w:val="003E5529"/>
    <w:pPr>
      <w:keepNext/>
      <w:suppressAutoHyphens/>
      <w:spacing w:before="120" w:after="360" w:line="360" w:lineRule="auto"/>
      <w:jc w:val="center"/>
    </w:pPr>
    <w:rPr>
      <w:rFonts w:ascii="Times" w:eastAsiaTheme="minorEastAsia" w:hAnsi="Times" w:cs="Arial"/>
      <w:b/>
      <w:bCs/>
      <w:kern w:val="0"/>
      <w:sz w:val="24"/>
      <w:szCs w:val="24"/>
      <w:lang w:eastAsia="pl-PL"/>
      <w14:ligatures w14:val="none"/>
    </w:rPr>
  </w:style>
  <w:style w:type="paragraph" w:styleId="Tekstprzypisudolnego">
    <w:name w:val="footnote text"/>
    <w:basedOn w:val="Normalny"/>
    <w:link w:val="TekstprzypisudolnegoZnak"/>
    <w:uiPriority w:val="99"/>
    <w:semiHidden/>
    <w:unhideWhenUsed/>
    <w:rsid w:val="003E552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E5529"/>
    <w:rPr>
      <w:kern w:val="0"/>
      <w:sz w:val="20"/>
      <w:szCs w:val="20"/>
      <w14:ligatures w14:val="none"/>
    </w:rPr>
  </w:style>
  <w:style w:type="character" w:styleId="Odwoanieprzypisudolnego">
    <w:name w:val="footnote reference"/>
    <w:basedOn w:val="Domylnaczcionkaakapitu"/>
    <w:uiPriority w:val="99"/>
    <w:semiHidden/>
    <w:unhideWhenUsed/>
    <w:rsid w:val="003E5529"/>
    <w:rPr>
      <w:vertAlign w:val="superscript"/>
    </w:rPr>
  </w:style>
  <w:style w:type="character" w:styleId="Odwoaniedokomentarza">
    <w:name w:val="annotation reference"/>
    <w:basedOn w:val="Domylnaczcionkaakapitu"/>
    <w:uiPriority w:val="99"/>
    <w:semiHidden/>
    <w:unhideWhenUsed/>
    <w:rsid w:val="00BE3A21"/>
    <w:rPr>
      <w:sz w:val="16"/>
      <w:szCs w:val="16"/>
    </w:rPr>
  </w:style>
  <w:style w:type="paragraph" w:styleId="Tekstkomentarza">
    <w:name w:val="annotation text"/>
    <w:basedOn w:val="Normalny"/>
    <w:link w:val="TekstkomentarzaZnak"/>
    <w:uiPriority w:val="99"/>
    <w:unhideWhenUsed/>
    <w:rsid w:val="00BE3A21"/>
    <w:pPr>
      <w:spacing w:line="240" w:lineRule="auto"/>
    </w:pPr>
    <w:rPr>
      <w:kern w:val="2"/>
      <w:sz w:val="20"/>
      <w:szCs w:val="20"/>
      <w14:ligatures w14:val="standardContextual"/>
    </w:rPr>
  </w:style>
  <w:style w:type="character" w:customStyle="1" w:styleId="TekstkomentarzaZnak">
    <w:name w:val="Tekst komentarza Znak"/>
    <w:basedOn w:val="Domylnaczcionkaakapitu"/>
    <w:link w:val="Tekstkomentarza"/>
    <w:uiPriority w:val="99"/>
    <w:rsid w:val="00BE3A21"/>
    <w:rPr>
      <w:sz w:val="20"/>
      <w:szCs w:val="20"/>
    </w:rPr>
  </w:style>
  <w:style w:type="paragraph" w:styleId="Tematkomentarza">
    <w:name w:val="annotation subject"/>
    <w:basedOn w:val="Tekstkomentarza"/>
    <w:next w:val="Tekstkomentarza"/>
    <w:link w:val="TematkomentarzaZnak"/>
    <w:uiPriority w:val="99"/>
    <w:semiHidden/>
    <w:unhideWhenUsed/>
    <w:rsid w:val="002630D9"/>
    <w:rPr>
      <w:b/>
      <w:bCs/>
      <w:kern w:val="0"/>
      <w14:ligatures w14:val="none"/>
    </w:rPr>
  </w:style>
  <w:style w:type="character" w:customStyle="1" w:styleId="TematkomentarzaZnak">
    <w:name w:val="Temat komentarza Znak"/>
    <w:basedOn w:val="TekstkomentarzaZnak"/>
    <w:link w:val="Tematkomentarza"/>
    <w:uiPriority w:val="99"/>
    <w:semiHidden/>
    <w:rsid w:val="002630D9"/>
    <w:rPr>
      <w:b/>
      <w:bCs/>
      <w:kern w:val="0"/>
      <w:sz w:val="20"/>
      <w:szCs w:val="20"/>
      <w14:ligatures w14:val="none"/>
    </w:rPr>
  </w:style>
  <w:style w:type="paragraph" w:styleId="Poprawka">
    <w:name w:val="Revision"/>
    <w:hidden/>
    <w:uiPriority w:val="99"/>
    <w:semiHidden/>
    <w:rsid w:val="00C7142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https://sip.lex.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17</Pages>
  <Words>4347</Words>
  <Characters>28300</Characters>
  <Application>Microsoft Office Word</Application>
  <DocSecurity>0</DocSecurity>
  <Lines>808</Lines>
  <Paragraphs>140</Paragraphs>
  <ScaleCrop>false</ScaleCrop>
  <Company>DZP</Company>
  <LinksUpToDate>false</LinksUpToDate>
  <CharactersWithSpaces>32507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DZP</dc:creator>
  <cp:lastModifiedBy>Magdalena Widlicka</cp:lastModifiedBy>
  <cp:revision>43</cp:revision>
  <cp:lastPrinted>2026-04-20T15:04:00Z</cp:lastPrinted>
  <dcterms:created xsi:type="dcterms:W3CDTF">2026-04-21T08:10:00Z</dcterms:created>
  <dcterms:modified xsi:type="dcterms:W3CDTF">2026-04-21T15:20:00Z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f992c5-0aaf-4a20-9f0a-3efb30d8418a_Enabled">
    <vt:lpwstr>true</vt:lpwstr>
  </property>
  <property fmtid="{D5CDD505-2E9C-101B-9397-08002B2CF9AE}" pid="3" name="MSIP_Label_41f992c5-0aaf-4a20-9f0a-3efb30d8418a_SetDate">
    <vt:lpwstr>2026-04-20T15:04:29Z</vt:lpwstr>
  </property>
  <property fmtid="{D5CDD505-2E9C-101B-9397-08002B2CF9AE}" pid="4" name="MSIP_Label_41f992c5-0aaf-4a20-9f0a-3efb30d8418a_Method">
    <vt:lpwstr>Standard</vt:lpwstr>
  </property>
  <property fmtid="{D5CDD505-2E9C-101B-9397-08002B2CF9AE}" pid="5" name="MSIP_Label_41f992c5-0aaf-4a20-9f0a-3efb30d8418a_Name">
    <vt:lpwstr>Informacja Służbowa</vt:lpwstr>
  </property>
  <property fmtid="{D5CDD505-2E9C-101B-9397-08002B2CF9AE}" pid="6" name="MSIP_Label_41f992c5-0aaf-4a20-9f0a-3efb30d8418a_SiteId">
    <vt:lpwstr>c4401c5a-3f02-4a4a-a660-3943af27c558</vt:lpwstr>
  </property>
  <property fmtid="{D5CDD505-2E9C-101B-9397-08002B2CF9AE}" pid="7" name="MSIP_Label_41f992c5-0aaf-4a20-9f0a-3efb30d8418a_ActionId">
    <vt:lpwstr>9ee45755-3db8-4e40-b53f-28a9ff2630eb</vt:lpwstr>
  </property>
  <property fmtid="{D5CDD505-2E9C-101B-9397-08002B2CF9AE}" pid="8" name="MSIP_Label_41f992c5-0aaf-4a20-9f0a-3efb30d8418a_ContentBits">
    <vt:lpwstr>0</vt:lpwstr>
  </property>
  <property fmtid="{D5CDD505-2E9C-101B-9397-08002B2CF9AE}" pid="9" name="MSIP_Label_41f992c5-0aaf-4a20-9f0a-3efb30d8418a_Tag">
    <vt:lpwstr>10, 3, 0, 1</vt:lpwstr>
  </property>
</Properties>
</file>