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13BC4" w14:textId="13EEF2D0" w:rsidR="00254D26" w:rsidRPr="00254D26" w:rsidRDefault="00254D26" w:rsidP="00254D26">
      <w:pPr>
        <w:pStyle w:val="Akapitzlist"/>
        <w:spacing w:after="120" w:line="276" w:lineRule="auto"/>
        <w:ind w:left="1069"/>
        <w:jc w:val="center"/>
        <w:rPr>
          <w:b/>
          <w:bCs/>
        </w:rPr>
      </w:pPr>
      <w:r w:rsidRPr="00254D26">
        <w:rPr>
          <w:rFonts w:ascii="CIDFont+F3" w:hAnsi="CIDFont+F3" w:cs="CIDFont+F3"/>
          <w:b/>
          <w:bCs/>
        </w:rPr>
        <w:t>U</w:t>
      </w:r>
      <w:r w:rsidRPr="00254D26">
        <w:rPr>
          <w:rFonts w:ascii="CIDFont+F3" w:hAnsi="CIDFont+F3" w:cs="CIDFont+F3"/>
          <w:b/>
          <w:bCs/>
        </w:rPr>
        <w:t xml:space="preserve">wagi do poszczególnych pozycji słownika znaczników dla podmiotów sporządzających sprawozdanie finansowe </w:t>
      </w:r>
      <w:r w:rsidRPr="00254D26">
        <w:rPr>
          <w:b/>
          <w:bCs/>
        </w:rPr>
        <w:t>zgodnie z Międzynarodowymi Standardami Sprawozdawczości Finansowej.</w:t>
      </w:r>
    </w:p>
    <w:tbl>
      <w:tblPr>
        <w:tblStyle w:val="Tabela-Siatka"/>
        <w:tblW w:w="14190" w:type="dxa"/>
        <w:tblLook w:val="04A0" w:firstRow="1" w:lastRow="0" w:firstColumn="1" w:lastColumn="0" w:noHBand="0" w:noVBand="1"/>
      </w:tblPr>
      <w:tblGrid>
        <w:gridCol w:w="2122"/>
        <w:gridCol w:w="3079"/>
        <w:gridCol w:w="3583"/>
        <w:gridCol w:w="5406"/>
      </w:tblGrid>
      <w:tr w:rsidR="00C63347" w:rsidRPr="00CC263E" w14:paraId="0476F32E" w14:textId="77777777" w:rsidTr="000F3BCF">
        <w:trPr>
          <w:trHeight w:val="894"/>
        </w:trPr>
        <w:tc>
          <w:tcPr>
            <w:tcW w:w="2122" w:type="dxa"/>
          </w:tcPr>
          <w:p w14:paraId="65C138A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Kod znacznika</w:t>
            </w:r>
          </w:p>
        </w:tc>
        <w:tc>
          <w:tcPr>
            <w:tcW w:w="3079" w:type="dxa"/>
          </w:tcPr>
          <w:p w14:paraId="40A8533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Opis znacznika</w:t>
            </w:r>
          </w:p>
        </w:tc>
        <w:tc>
          <w:tcPr>
            <w:tcW w:w="3583" w:type="dxa"/>
          </w:tcPr>
          <w:p w14:paraId="148D1CF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Proponowana zmiana</w:t>
            </w:r>
          </w:p>
        </w:tc>
        <w:tc>
          <w:tcPr>
            <w:tcW w:w="5406" w:type="dxa"/>
          </w:tcPr>
          <w:p w14:paraId="049C8A6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Uzasadnienie</w:t>
            </w:r>
          </w:p>
        </w:tc>
      </w:tr>
      <w:tr w:rsidR="00C63347" w:rsidRPr="00CC263E" w14:paraId="1E7BECEF" w14:textId="77777777" w:rsidTr="000F3BCF">
        <w:trPr>
          <w:trHeight w:val="455"/>
        </w:trPr>
        <w:tc>
          <w:tcPr>
            <w:tcW w:w="2122" w:type="dxa"/>
          </w:tcPr>
          <w:p w14:paraId="625BEA0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MSSF_W_316</w:t>
            </w:r>
            <w:proofErr w:type="spellEnd"/>
          </w:p>
          <w:p w14:paraId="7B2ED35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MSSF_W_321</w:t>
            </w:r>
            <w:proofErr w:type="spellEnd"/>
          </w:p>
        </w:tc>
        <w:tc>
          <w:tcPr>
            <w:tcW w:w="3079" w:type="dxa"/>
          </w:tcPr>
          <w:p w14:paraId="4E6F33B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z tytułu umów z klientami</w:t>
            </w:r>
          </w:p>
        </w:tc>
        <w:tc>
          <w:tcPr>
            <w:tcW w:w="3583" w:type="dxa"/>
          </w:tcPr>
          <w:p w14:paraId="1B1F851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 szczegółowych dla przychodów ze sprzedaży produktów, usług i towarów;</w:t>
            </w:r>
          </w:p>
          <w:p w14:paraId="2341912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pozostawienie tylko znacznika łącznego dla przychodów z tytułu umów z klientami.</w:t>
            </w:r>
          </w:p>
        </w:tc>
        <w:tc>
          <w:tcPr>
            <w:tcW w:w="5406" w:type="dxa"/>
          </w:tcPr>
          <w:p w14:paraId="25698DA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podział przychodów na przychody ze sprzedaży produktów, usług i towarów nie jest obowiązkowy a spółki mogą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prezentować przychody w różnych podziałach, niekoniecznie tym konkretnym zaproponowanym w znacznikach. W szczególności, spółki w swojej prezentacji podziału przychodów mogą łączyć np. przychody ze sprzedaży usług i towarów. Wprowadzenie obowiązku dodatkowego znakowania w stosunku do zakresu wymogów sprawozdawczości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zauważalnie zwiększy obciążenia raportowe spółek i może wymagać wdrożenia zmian w systemach księgowych.</w:t>
            </w:r>
          </w:p>
          <w:p w14:paraId="5D6C4AB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3347" w:rsidRPr="00CC263E" w14:paraId="2E39BD80" w14:textId="77777777" w:rsidTr="000F3BCF">
        <w:trPr>
          <w:trHeight w:val="455"/>
        </w:trPr>
        <w:tc>
          <w:tcPr>
            <w:tcW w:w="2122" w:type="dxa"/>
          </w:tcPr>
          <w:p w14:paraId="133D501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MSSF_W_323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3237205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MSSF_W_362</w:t>
            </w:r>
            <w:proofErr w:type="spellEnd"/>
          </w:p>
        </w:tc>
        <w:tc>
          <w:tcPr>
            <w:tcW w:w="3079" w:type="dxa"/>
          </w:tcPr>
          <w:p w14:paraId="07E1294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ze zbycia materiałów,</w:t>
            </w:r>
          </w:p>
          <w:p w14:paraId="63F8BFE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Wartość zbytych materiałów</w:t>
            </w:r>
          </w:p>
        </w:tc>
        <w:tc>
          <w:tcPr>
            <w:tcW w:w="3583" w:type="dxa"/>
          </w:tcPr>
          <w:p w14:paraId="58E64B6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</w:t>
            </w:r>
          </w:p>
        </w:tc>
        <w:tc>
          <w:tcPr>
            <w:tcW w:w="5406" w:type="dxa"/>
          </w:tcPr>
          <w:p w14:paraId="15E82D8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odrębna prezentacja tych przychodów i kosztów nie jest obowiązkowa i spółki często nie ewidencjonują ich na wydzielonych kontach. Wprowadzenie obowiązku dodatkowego znakowania w stosunku do zakresu wymogów sprawozdawczości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zauważalnie zwiększy obciążenia raportowe spółek i będzie wymagać wdrożenia zmian w procesach księgowych i planie kont spółek generując dodatkowe koszty.</w:t>
            </w:r>
          </w:p>
          <w:p w14:paraId="0728405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72459C30" w14:textId="77777777" w:rsidTr="000F3BCF">
        <w:trPr>
          <w:trHeight w:val="300"/>
        </w:trPr>
        <w:tc>
          <w:tcPr>
            <w:tcW w:w="2122" w:type="dxa"/>
            <w:vMerge w:val="restart"/>
          </w:tcPr>
          <w:p w14:paraId="7827943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MSSF_W_327</w:t>
            </w:r>
            <w:proofErr w:type="spellEnd"/>
          </w:p>
          <w:p w14:paraId="216CFA9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MSSF_W_329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;</w:t>
            </w:r>
          </w:p>
          <w:p w14:paraId="6CD61DC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MSSF_W_365</w:t>
            </w:r>
            <w:proofErr w:type="spellEnd"/>
          </w:p>
          <w:p w14:paraId="6D41AB4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MSSF_W_367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;</w:t>
            </w:r>
          </w:p>
          <w:p w14:paraId="0B553F1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MSSF_W_339</w:t>
            </w:r>
            <w:proofErr w:type="spellEnd"/>
          </w:p>
          <w:p w14:paraId="6061AC3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MSSF_W_341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;</w:t>
            </w:r>
          </w:p>
          <w:p w14:paraId="1E18C4E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MSSF_W_378</w:t>
            </w:r>
            <w:proofErr w:type="spellEnd"/>
          </w:p>
          <w:p w14:paraId="37467C4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MSSF_W_380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;</w:t>
            </w:r>
          </w:p>
          <w:p w14:paraId="2619952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MSSF_W_402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3E7B638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MSSF_W_421</w:t>
            </w:r>
            <w:proofErr w:type="spellEnd"/>
          </w:p>
          <w:p w14:paraId="1EA585D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3079" w:type="dxa"/>
            <w:vMerge w:val="restart"/>
          </w:tcPr>
          <w:p w14:paraId="4F0C362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Przychody - Aktualizacja wartości aktywów niefinansowych</w:t>
            </w:r>
          </w:p>
          <w:p w14:paraId="2285BCE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Aktualizacja wartości aktywów niefinansowych</w:t>
            </w:r>
          </w:p>
          <w:p w14:paraId="7FAD8C4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- Aktualizacja wartości aktywów finansowych</w:t>
            </w:r>
          </w:p>
          <w:p w14:paraId="3FEAE11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Aktualizacja wartości aktywów finansowych</w:t>
            </w:r>
          </w:p>
          <w:p w14:paraId="30C95DC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381EBCB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 i</w:t>
            </w:r>
          </w:p>
          <w:p w14:paraId="0E3B494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Kategoria inwestycyjna</w:t>
            </w:r>
          </w:p>
          <w:p w14:paraId="1377A9A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70B4124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472D365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Usunięcie odrębnych znaczników dla przychodów i kosztów a zamiast tego utworzenie wspólnego znacznika dla wartości netto (przychody/koszty) w ramach kategorii</w:t>
            </w:r>
          </w:p>
        </w:tc>
        <w:tc>
          <w:tcPr>
            <w:tcW w:w="5406" w:type="dxa"/>
          </w:tcPr>
          <w:p w14:paraId="2C8B2CE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przychodów i kosztów z tytułu aktualizacji wartości, więc spółki na kontach wynikowych często nie prowadzą ewidencji w podziale na utworzenie i rozwiązanie odpisów aktualizujących, tylko zmiany odpisów księgują na wspólnym koncie w kwotach netto. W efekcie, nie można jednoznacznie przypisać takiej zmiany netto dla wielu pozycji ani do znacznika dla przychodów ani do znacznika dla kosztów. Konieczność dodatkowego podziału zapisów na przychody i koszty wymagałaby zmian w procesach księgowych i planie kont spółek i wiązałaby się z dodatkowym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obciążeniem/kosztami dla spółek, nie wnosząc zauważalnej wartości dodanej.</w:t>
            </w:r>
          </w:p>
        </w:tc>
      </w:tr>
      <w:tr w:rsidR="00C63347" w:rsidRPr="00CC263E" w14:paraId="0E8C0B49" w14:textId="77777777" w:rsidTr="000F3BCF">
        <w:trPr>
          <w:trHeight w:val="1055"/>
        </w:trPr>
        <w:tc>
          <w:tcPr>
            <w:tcW w:w="2122" w:type="dxa"/>
            <w:vMerge/>
          </w:tcPr>
          <w:p w14:paraId="7385BF3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9" w:type="dxa"/>
            <w:vMerge/>
          </w:tcPr>
          <w:p w14:paraId="6D05A2D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0C4496F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aktualizacji wartości aktywów niefinansowych i finansowych a zamiast tego utworzenie wspólnego znacznika dla aktualizacji wartości aktywów w ramach kategorii</w:t>
            </w:r>
          </w:p>
        </w:tc>
        <w:tc>
          <w:tcPr>
            <w:tcW w:w="5406" w:type="dxa"/>
          </w:tcPr>
          <w:p w14:paraId="3E60C751" w14:textId="77777777" w:rsidR="00C63347" w:rsidRPr="00CC263E" w:rsidRDefault="00C63347" w:rsidP="000F3BCF">
            <w:pPr>
              <w:rPr>
                <w:rFonts w:cstheme="minorHAnsi"/>
                <w:color w:val="00B050"/>
                <w:sz w:val="20"/>
                <w:szCs w:val="20"/>
                <w:highlight w:val="yellow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nie wymagają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odrębnej prezentacji efektu aktualizacji wartości aktywów niefinansowych i finansowych, więc spółki nie zawsze mają w księgach wydzielone konta dla aktualizacji wartości tych rodzajów aktywów. Przykładowo, spółki często posiadają 1 wspólne konto dla aktualizacji wartości wszystkich należności i aktywów kontraktowych. </w:t>
            </w:r>
          </w:p>
          <w:p w14:paraId="21CB47BE" w14:textId="77777777" w:rsidR="00C63347" w:rsidRPr="00CC263E" w:rsidRDefault="00C63347" w:rsidP="000F3BCF">
            <w:pPr>
              <w:rPr>
                <w:rFonts w:cstheme="minorHAnsi"/>
                <w:color w:val="00B050"/>
                <w:sz w:val="20"/>
                <w:szCs w:val="20"/>
                <w:highlight w:val="yellow"/>
              </w:rPr>
            </w:pPr>
          </w:p>
        </w:tc>
      </w:tr>
      <w:tr w:rsidR="00C63347" w:rsidRPr="00CC263E" w14:paraId="64F64E9B" w14:textId="77777777" w:rsidTr="000F3BCF">
        <w:trPr>
          <w:trHeight w:val="455"/>
        </w:trPr>
        <w:tc>
          <w:tcPr>
            <w:tcW w:w="2122" w:type="dxa"/>
          </w:tcPr>
          <w:p w14:paraId="2D99990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MSSF_W_328</w:t>
            </w:r>
            <w:proofErr w:type="spellEnd"/>
          </w:p>
          <w:p w14:paraId="7890938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MSSF_W_366</w:t>
            </w:r>
            <w:proofErr w:type="spellEnd"/>
          </w:p>
        </w:tc>
        <w:tc>
          <w:tcPr>
            <w:tcW w:w="3079" w:type="dxa"/>
          </w:tcPr>
          <w:p w14:paraId="5D77C6A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i Koszty - Aktualizacja wartości aktywów niefinansowych - Odpisy aktualizujące wartości należności</w:t>
            </w:r>
          </w:p>
        </w:tc>
        <w:tc>
          <w:tcPr>
            <w:tcW w:w="3583" w:type="dxa"/>
          </w:tcPr>
          <w:p w14:paraId="570BF79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odpisów aktualizujących należności jako aktywa niefinansowe</w:t>
            </w:r>
          </w:p>
        </w:tc>
        <w:tc>
          <w:tcPr>
            <w:tcW w:w="5406" w:type="dxa"/>
          </w:tcPr>
          <w:p w14:paraId="012715CF" w14:textId="77777777" w:rsidR="00C63347" w:rsidRPr="00CC263E" w:rsidRDefault="00C63347" w:rsidP="000F3BCF">
            <w:pPr>
              <w:rPr>
                <w:rFonts w:cstheme="minorHAnsi"/>
                <w:color w:val="00B050"/>
                <w:sz w:val="20"/>
                <w:szCs w:val="20"/>
                <w:highlight w:val="yellow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nie wymagają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odrębnej prezentacji efektu aktualizacji wartości aktywów niefinansowych i finansowych, więc spółki nie zawsze mają w księgach wydzielone konta dla aktualizacji wartości tych rodzajów aktywów. Przykładowo, spółki często posiadają 1 wspólne konto dla aktualizacji wartości wszystkich należności i aktywów kontraktowych. </w:t>
            </w:r>
          </w:p>
          <w:p w14:paraId="537C5C85" w14:textId="77777777" w:rsidR="00C63347" w:rsidRPr="00CC263E" w:rsidRDefault="00C63347" w:rsidP="000F3BCF">
            <w:pPr>
              <w:rPr>
                <w:rFonts w:cstheme="minorHAnsi"/>
                <w:color w:val="00B050"/>
                <w:sz w:val="20"/>
                <w:szCs w:val="20"/>
                <w:highlight w:val="yellow"/>
              </w:rPr>
            </w:pPr>
          </w:p>
        </w:tc>
      </w:tr>
      <w:tr w:rsidR="00C63347" w:rsidRPr="00CC263E" w14:paraId="2AF83A30" w14:textId="77777777" w:rsidTr="000F3BCF">
        <w:trPr>
          <w:trHeight w:val="455"/>
        </w:trPr>
        <w:tc>
          <w:tcPr>
            <w:tcW w:w="2122" w:type="dxa"/>
          </w:tcPr>
          <w:p w14:paraId="5832720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MSSF_W_333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24CD7E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7903613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MSSF_W_392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1B5E3A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MSSF_W_413</w:t>
            </w:r>
            <w:proofErr w:type="spellEnd"/>
          </w:p>
          <w:p w14:paraId="09EA978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07C4733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</w:tcPr>
          <w:p w14:paraId="1685801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- Rozwiązanie rezerw</w:t>
            </w:r>
          </w:p>
          <w:p w14:paraId="1A8ED9A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Utworzenie rezerw</w:t>
            </w:r>
          </w:p>
          <w:p w14:paraId="7540AE7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4D71DA0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23C7283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2A5EE41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1560B72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3A5EE52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przychodów i kosztów a zamiast tego utworzenie wspólnego znacznika dla wartości netto (przychody/koszty) w ramach kategorii</w:t>
            </w:r>
          </w:p>
        </w:tc>
        <w:tc>
          <w:tcPr>
            <w:tcW w:w="5406" w:type="dxa"/>
          </w:tcPr>
          <w:p w14:paraId="6589D36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przychodów i kosztów z tytułu rozwiązania/utworzenia rezerw, więc spółki na kontach wynikowych często nie prowadzą ewidencji w podziale na utworzenie i rozwiązanie rezerw, tylko zmiany rezerw księgują na wspólnym koncie w kwotach netto. W efekcie, nie można jednoznacznie przypisać takiej zmiany netto dla wielu pozycji ani do znacznika dla przychodów ani do znacznika dla kosztów. Konieczność dodatkowego podziału zapisów na przychody i koszty wymagałaby zmian w procesach księgowych i planie kont spółek i wiązałaby się z dodatkowym obciążeniem/kosztami dla spółek, nie wnosząc zauważalnej wartości dodanej.</w:t>
            </w:r>
          </w:p>
          <w:p w14:paraId="7380B04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51525B9D" w14:textId="77777777" w:rsidTr="000F3BCF">
        <w:trPr>
          <w:trHeight w:val="455"/>
        </w:trPr>
        <w:tc>
          <w:tcPr>
            <w:tcW w:w="2122" w:type="dxa"/>
          </w:tcPr>
          <w:p w14:paraId="0FDD108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MSSF_W_334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ED0547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0944A33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MSSF_W_393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936038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MSSF_W_414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831C1F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MSSF_W_433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47E9C5A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MSSF_W_445</w:t>
            </w:r>
            <w:proofErr w:type="spellEnd"/>
          </w:p>
          <w:p w14:paraId="6E4FF9E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</w:tcPr>
          <w:p w14:paraId="0D33A84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i Koszty - Wycena, rozliczenie instrumentów pochodnych</w:t>
            </w:r>
          </w:p>
          <w:p w14:paraId="11CC7C9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6CD4BF4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38BA6AB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629C042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finansowania</w:t>
            </w:r>
          </w:p>
          <w:p w14:paraId="1658560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55E9798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przychodów i kosztów a zamiast tego utworzenie wspólnego znacznika dla wartości netto (przychody/koszty) w ramach kategorii</w:t>
            </w:r>
          </w:p>
        </w:tc>
        <w:tc>
          <w:tcPr>
            <w:tcW w:w="5406" w:type="dxa"/>
          </w:tcPr>
          <w:p w14:paraId="78E7025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przychodów i kosztów z wyceny/rozliczenia, więc spółki na kontach wynikowych często nie prowadzą ewidencji w podziale przychody i koszty, tylko zmiany dla tych tytułów księgują na wspólnym koncie w kwotach netto. W efekcie, nie można jednoznacznie przypisać takiej zmiany netto dla wielu pozycji ani do znacznika dla przychodów ani do znacznika dla kosztów. Konieczność dodatkowego podziału zapisów na przychody i koszty wymagałaby zmian w procesach księgowych i planie kont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spółek i wiązałaby się z dodatkowym obciążeniem/kosztami dla spółek, nie wnosząc zauważalnej wartości dodanej.</w:t>
            </w:r>
          </w:p>
        </w:tc>
      </w:tr>
      <w:tr w:rsidR="00C63347" w:rsidRPr="00CC263E" w14:paraId="75B87445" w14:textId="77777777" w:rsidTr="000F3BCF">
        <w:trPr>
          <w:trHeight w:val="455"/>
        </w:trPr>
        <w:tc>
          <w:tcPr>
            <w:tcW w:w="2122" w:type="dxa"/>
          </w:tcPr>
          <w:p w14:paraId="5F9167E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MSSF_W_342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684D03C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MSSF_W_381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6D95EB5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MSSF_W_394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B72357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MSSF_W_415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577A979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MSSF_W_434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517130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MSSF_W_446</w:t>
            </w:r>
            <w:proofErr w:type="spellEnd"/>
          </w:p>
        </w:tc>
        <w:tc>
          <w:tcPr>
            <w:tcW w:w="3079" w:type="dxa"/>
          </w:tcPr>
          <w:p w14:paraId="3142388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z tytułu dodatnich różnic kursowych,</w:t>
            </w:r>
          </w:p>
          <w:p w14:paraId="547F815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z tytułu ujemnych różnic kursowych</w:t>
            </w:r>
          </w:p>
          <w:p w14:paraId="3A91A87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00F8D07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6462735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2FF0CCF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finansowania</w:t>
            </w:r>
          </w:p>
          <w:p w14:paraId="43F31F2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60FF00B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przychodów i kosztów a zamiast tego utworzenie wspólnego znacznika dla wartości netto (przychody/koszty) w ramach kategorii</w:t>
            </w:r>
          </w:p>
        </w:tc>
        <w:tc>
          <w:tcPr>
            <w:tcW w:w="5406" w:type="dxa"/>
          </w:tcPr>
          <w:p w14:paraId="31CA8B3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przychodów i kosztów z tytułu różnic kursowych, więc spółki na kontach wynikowych często nie prowadzą ewidencji w podziale przychody i koszty, tylko różnice kursowe księgują na wspólnym koncie w kwotach netto. W efekcie, nie można jednoznacznie przypisać takiej zmiany netto dla wielu pozycji ani do znacznika dla przychodów ani do znacznika dla kosztów. Konieczność dodatkowego podziału zapisów na przychody i koszty wymagałaby zmian w procesach księgowych i planie kont spółek i wiązałaby się z dodatkowym obciążeniem/kosztami dla spółek, nie wnosząc zauważalnej wartości dodanej.</w:t>
            </w:r>
          </w:p>
          <w:p w14:paraId="424BEC6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11F57F89" w14:textId="77777777" w:rsidTr="000F3BCF">
        <w:trPr>
          <w:trHeight w:val="455"/>
        </w:trPr>
        <w:tc>
          <w:tcPr>
            <w:tcW w:w="2122" w:type="dxa"/>
          </w:tcPr>
          <w:p w14:paraId="405160E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MSSF_W_344</w:t>
            </w:r>
            <w:proofErr w:type="spellEnd"/>
          </w:p>
          <w:p w14:paraId="0CFF055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MSSF_W_349</w:t>
            </w:r>
            <w:proofErr w:type="spellEnd"/>
          </w:p>
        </w:tc>
        <w:tc>
          <w:tcPr>
            <w:tcW w:w="3079" w:type="dxa"/>
          </w:tcPr>
          <w:p w14:paraId="2E7C8D6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Koszty związane z przychodami z tytułu umów z klientami</w:t>
            </w:r>
          </w:p>
        </w:tc>
        <w:tc>
          <w:tcPr>
            <w:tcW w:w="3583" w:type="dxa"/>
          </w:tcPr>
          <w:p w14:paraId="7B49AE7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Doprecyzowanie opisu, do czego odnosi się podział na jednostki powiązane i pozostałe. </w:t>
            </w:r>
          </w:p>
          <w:p w14:paraId="54B6E35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073C983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3AA72E8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3AB0904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229C36E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Usunięcie odrębnych znaczników dla podmiotów powiązanych i pozostałych, jeśli dotyczy to podziału kosztów związanych z przychodami od podmiotów powiązanych i pozostałych</w:t>
            </w:r>
          </w:p>
          <w:p w14:paraId="5DF33BD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574AC37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Nie jest jednoznaczne, do czego odnosi się podział znaczników na podmioty powiązane i pozostałe. Czy chodzi o koszty poniesione do podmiotów powiązanych i pozostałych (zakupy od podmiotów powiązanych i pozostałych), czy też o wysokość kosztów poniesionych w związku z przychodami od podmiotów powiązanych i pozostałych.</w:t>
            </w:r>
          </w:p>
          <w:p w14:paraId="6A38FCA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27415F6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nie wymagają wyodrębniania kosztów wytworzenia sprzedanych produktów, usług i materiałów w podziale na to, czy dotyczą sprzedaży do podmiotów powiązanych czy pozostałych. Spółki nie prowadzą ewidencji kosztów w podziale na podmioty, do których nastąpiła sprzedaż.</w:t>
            </w:r>
          </w:p>
        </w:tc>
      </w:tr>
      <w:tr w:rsidR="00C63347" w:rsidRPr="00CC263E" w14:paraId="022194EF" w14:textId="77777777" w:rsidTr="000F3BCF">
        <w:trPr>
          <w:trHeight w:val="455"/>
        </w:trPr>
        <w:tc>
          <w:tcPr>
            <w:tcW w:w="2122" w:type="dxa"/>
          </w:tcPr>
          <w:p w14:paraId="122A561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MSSF_W_354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7D3516A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MSSF_W_355</w:t>
            </w:r>
            <w:proofErr w:type="spellEnd"/>
          </w:p>
          <w:p w14:paraId="78B2F94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</w:tcPr>
          <w:p w14:paraId="051124B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Podatki i opłaty – Podatek akcyzowy,</w:t>
            </w:r>
          </w:p>
          <w:p w14:paraId="7DBAE5F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Podatki i opłaty – Pozostałe podatki i opłaty</w:t>
            </w:r>
          </w:p>
        </w:tc>
        <w:tc>
          <w:tcPr>
            <w:tcW w:w="3583" w:type="dxa"/>
          </w:tcPr>
          <w:p w14:paraId="0615DC6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odrębnego znacznika dla podatku akcyzowego;</w:t>
            </w:r>
          </w:p>
          <w:p w14:paraId="0FB5059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pozostawienie 1 wspólnego znacznika dla podatków i opłat</w:t>
            </w:r>
          </w:p>
        </w:tc>
        <w:tc>
          <w:tcPr>
            <w:tcW w:w="5406" w:type="dxa"/>
          </w:tcPr>
          <w:p w14:paraId="2EA4C8E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wyodrębniania kosztów z tytułu podatku akcyzowego, więc spółki na kontach wynikowych często nie prowadzą ewidencji tych kosztów na osobnym koncie.</w:t>
            </w:r>
          </w:p>
          <w:p w14:paraId="02BC053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3C150B5C" w14:textId="77777777" w:rsidTr="000F3BCF">
        <w:trPr>
          <w:trHeight w:val="455"/>
        </w:trPr>
        <w:tc>
          <w:tcPr>
            <w:tcW w:w="2122" w:type="dxa"/>
          </w:tcPr>
          <w:p w14:paraId="5D5B48E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MSSF_W_357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208999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MSSF_W_358</w:t>
            </w:r>
            <w:proofErr w:type="spellEnd"/>
          </w:p>
        </w:tc>
        <w:tc>
          <w:tcPr>
            <w:tcW w:w="3079" w:type="dxa"/>
          </w:tcPr>
          <w:p w14:paraId="6EF9C3B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Ubezpieczenia społeczne i inne świadczenia,</w:t>
            </w:r>
          </w:p>
          <w:p w14:paraId="7ED75A9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- Ubezpieczenia społeczne i inne świadczenia - Emerytalne</w:t>
            </w:r>
          </w:p>
        </w:tc>
        <w:tc>
          <w:tcPr>
            <w:tcW w:w="3583" w:type="dxa"/>
          </w:tcPr>
          <w:p w14:paraId="26BA40F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odrębnego znacznika dla świadczeń emerytalnych;</w:t>
            </w:r>
          </w:p>
          <w:p w14:paraId="525B514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pozostawienie 1 wspólnego znacznika dla ubezpieczeń społecznych i innych świadczeń</w:t>
            </w:r>
          </w:p>
        </w:tc>
        <w:tc>
          <w:tcPr>
            <w:tcW w:w="5406" w:type="dxa"/>
          </w:tcPr>
          <w:p w14:paraId="1449A27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wyodrębniania kosztów z tytułu świadczeń emerytalnych, więc spółki na kontach wynikowych często nie prowadzą ewidencji tych kosztów na osobnym koncie.</w:t>
            </w:r>
          </w:p>
          <w:p w14:paraId="67EAF71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  <w:highlight w:val="yellow"/>
              </w:rPr>
            </w:pPr>
          </w:p>
        </w:tc>
      </w:tr>
      <w:tr w:rsidR="00C63347" w:rsidRPr="00CC263E" w14:paraId="2713FE3D" w14:textId="77777777" w:rsidTr="000F3BCF">
        <w:trPr>
          <w:trHeight w:val="455"/>
        </w:trPr>
        <w:tc>
          <w:tcPr>
            <w:tcW w:w="2122" w:type="dxa"/>
          </w:tcPr>
          <w:p w14:paraId="0E61AD8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MSSF_W_363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5449E29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MSSF_W_364</w:t>
            </w:r>
            <w:proofErr w:type="spellEnd"/>
          </w:p>
          <w:p w14:paraId="3187761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79" w:type="dxa"/>
          </w:tcPr>
          <w:p w14:paraId="34C9BD5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Koszty zbycia niefinansowych aktywów trwałych - dla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podmiotów powiązanych /pozostałych</w:t>
            </w:r>
          </w:p>
          <w:p w14:paraId="3A70EDB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195D950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Usunięcie odrębnego znacznika dla kosztów zbycia do podmiotów powiązanych i pozostałych</w:t>
            </w:r>
          </w:p>
        </w:tc>
        <w:tc>
          <w:tcPr>
            <w:tcW w:w="5406" w:type="dxa"/>
          </w:tcPr>
          <w:p w14:paraId="3629E7F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 przypadku zbycia aktywów, tylko przychody ze zbycia tych aktywów są księgowane w podziale na przychody od podmiotów powiązanych i pozostałych; koszty zbycia aktywów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nie są w księgach ewidencjonowane w podziale wg tego, do jakiego rodzaju podmiotu zostały dane aktywa zbyte. Taki podział kosztów nie jest wymagany przez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. W efekcie, zastosowanie tych znaczników nie będzie możliwe.</w:t>
            </w:r>
          </w:p>
          <w:p w14:paraId="00B47C5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38743B80" w14:textId="77777777" w:rsidTr="000F3BCF">
        <w:trPr>
          <w:trHeight w:val="455"/>
        </w:trPr>
        <w:tc>
          <w:tcPr>
            <w:tcW w:w="2122" w:type="dxa"/>
          </w:tcPr>
          <w:p w14:paraId="450D26B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MSSF_W_369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492A3B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MSSF_W_370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8A071D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MSSF_W_419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E3AFE7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MSSF_W_420</w:t>
            </w:r>
            <w:proofErr w:type="spellEnd"/>
          </w:p>
          <w:p w14:paraId="28412D7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677B03D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z tytułu rozchodu aktywów finansowych - w podmiotach powiązanych/pozostałych</w:t>
            </w:r>
          </w:p>
          <w:p w14:paraId="754EB9A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6835FDA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7A501D5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6E81BB1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01F3353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odrębnego znacznika dla kosztów aktywów w podmiotach powiązanych i pozostałych</w:t>
            </w:r>
          </w:p>
          <w:p w14:paraId="6A4CC941" w14:textId="77777777" w:rsidR="00C63347" w:rsidRPr="00CC263E" w:rsidRDefault="00C63347" w:rsidP="000F3BCF">
            <w:pPr>
              <w:rPr>
                <w:rFonts w:cstheme="minorHAnsi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5406" w:type="dxa"/>
          </w:tcPr>
          <w:p w14:paraId="1ED1B9C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 przypadku rozchodu aktywów finansowych, tylko przychody z rozchodu są księgowane w podziale na przychody od podmiotów powiązanych i pozostałych; koszty zbycia aktywów nie są w księgach ewidencjonowane w podziale wg tego, w jakich podmiotach były te aktywa ani do jakiego rodzaju podmiotu zostały te aktywa zbyte. Taki podział kosztów nie jest wymagany przez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. W efekcie, zastosowanie tych znaczników nie będzie możliwe.</w:t>
            </w:r>
          </w:p>
          <w:p w14:paraId="6ECFE43F" w14:textId="77777777" w:rsidR="00C63347" w:rsidRPr="00CC263E" w:rsidRDefault="00C63347" w:rsidP="000F3BCF">
            <w:pPr>
              <w:rPr>
                <w:rFonts w:cstheme="minorHAnsi"/>
                <w:color w:val="00B050"/>
                <w:sz w:val="20"/>
                <w:szCs w:val="20"/>
              </w:rPr>
            </w:pPr>
          </w:p>
        </w:tc>
      </w:tr>
      <w:tr w:rsidR="00C63347" w:rsidRPr="00CC263E" w14:paraId="1C2D9B54" w14:textId="77777777" w:rsidTr="000F3BCF">
        <w:trPr>
          <w:trHeight w:val="455"/>
        </w:trPr>
        <w:tc>
          <w:tcPr>
            <w:tcW w:w="2122" w:type="dxa"/>
          </w:tcPr>
          <w:p w14:paraId="5E1B65A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MSSF_W_374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5C17B4C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MSSF_W_403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47FDCF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MSSF_W_422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084D987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MSSF_W_435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3DE32A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MSSF_W_447</w:t>
            </w:r>
            <w:proofErr w:type="spellEnd"/>
          </w:p>
        </w:tc>
        <w:tc>
          <w:tcPr>
            <w:tcW w:w="3079" w:type="dxa"/>
          </w:tcPr>
          <w:p w14:paraId="1E49A6A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Przychody/Koszty - Nieefektywna część zabezpieczeń przepływów pieniężnych</w:t>
            </w:r>
          </w:p>
          <w:p w14:paraId="0A8A3B4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741166B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5A9D61D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62BFC20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finansowania</w:t>
            </w:r>
          </w:p>
          <w:p w14:paraId="7183A4F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625B8AF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Usunięcie znacznika dla nieefektywnej części wyceny zabezpieczeń przepływów pieniężnych. </w:t>
            </w:r>
          </w:p>
        </w:tc>
        <w:tc>
          <w:tcPr>
            <w:tcW w:w="5406" w:type="dxa"/>
          </w:tcPr>
          <w:p w14:paraId="6CEE0DD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jest wymagane odrębne wykazanie w rachunku zysków i strat n</w:t>
            </w:r>
            <w:r w:rsidRPr="00CC263E">
              <w:rPr>
                <w:rFonts w:cstheme="minorHAnsi"/>
                <w:sz w:val="20"/>
                <w:szCs w:val="20"/>
              </w:rPr>
              <w:t>ieefektywnej części zabezpieczeń przepływów pieniężnych. Zwykle nie jest ona ewidencjonowana na osobnym koncie, często jest raportowana w notach do sprawozdania finansowego na podstawie osobnych systemów do wyceny instrumentów.</w:t>
            </w:r>
          </w:p>
          <w:p w14:paraId="039636E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Jest to część składowa wyceny i rozliczenia instrumentów pochodnych ujętych w ramach znaczników </w:t>
            </w: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MSSF_W_334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oraz </w:t>
            </w: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MSSF_W_373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i analogicznych znaczników w pozostałych kategoriach.</w:t>
            </w:r>
          </w:p>
          <w:p w14:paraId="34C59D3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3347" w:rsidRPr="00CC263E" w14:paraId="4F04830C" w14:textId="77777777" w:rsidTr="000F3BCF">
        <w:trPr>
          <w:trHeight w:val="455"/>
        </w:trPr>
        <w:tc>
          <w:tcPr>
            <w:tcW w:w="2122" w:type="dxa"/>
          </w:tcPr>
          <w:p w14:paraId="1CACB68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MSSF_W_336</w:t>
            </w:r>
            <w:proofErr w:type="spellEnd"/>
          </w:p>
          <w:p w14:paraId="28E2A6F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MSSF_W_338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A2D2B3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MSSF_W_391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51E0187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MSSF_W_397</w:t>
            </w:r>
            <w:proofErr w:type="spellEnd"/>
          </w:p>
          <w:p w14:paraId="1D16DF7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MSSF_W_399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1187194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MSSF_W_425</w:t>
            </w:r>
            <w:proofErr w:type="spellEnd"/>
          </w:p>
          <w:p w14:paraId="06E215E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MSSF_W_427</w:t>
            </w:r>
            <w:proofErr w:type="spellEnd"/>
          </w:p>
        </w:tc>
        <w:tc>
          <w:tcPr>
            <w:tcW w:w="3079" w:type="dxa"/>
          </w:tcPr>
          <w:p w14:paraId="2A6F3FF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– Odsetki</w:t>
            </w:r>
          </w:p>
          <w:p w14:paraId="08F4F88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38EE8C0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327E217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2BD5911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finansowania</w:t>
            </w:r>
          </w:p>
          <w:p w14:paraId="3B2B08A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7CF8A3F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odrębnych znaczników dla przychodów odsetkowych obliczonych w oparciu o metodę efektywnej stopy procentowej i pozostałych przychodów odsetkowych; </w:t>
            </w:r>
          </w:p>
          <w:p w14:paraId="69B75A1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pozostawienie 1 wspólnego znacznika dla wszystkich przychodów odsetkowych w ramach kategorii</w:t>
            </w:r>
          </w:p>
          <w:p w14:paraId="3A087EC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72F437E9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Czy są potrzebne te znaczniki w kategorii finansowania?</w:t>
            </w:r>
          </w:p>
          <w:p w14:paraId="1E11D88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06" w:type="dxa"/>
          </w:tcPr>
          <w:p w14:paraId="2DABDE9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wymagane jest odrębne wykazanie w rachunku zysków i strat przychodów odsetkowych obliczonych w oparciu o metodę efektywnej stopy procentowej w przypadku, gdy są one wliczane do przychodów podstawowych (ang.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revenue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), nie ma natomiast wymogu odrębnego ujawniania takich przychodów w przypadku, gdy są one wliczane do przychodów innych niż podstawowe (ang.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interest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income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). W proponowanych znacznikach nie ma rozróżnienia pomiędzy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interest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revenue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a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interest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income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 co może powodować problemy z interpretacją poszczególnych znaczników. W naszej ocenie najlepszym rozwiązaniem byłoby pozostawienie 1 wspólnego znacznika dla wszystkich przychodów odsetkowych w działalności operacyjnej, niezależnie od tego, czy są one zaliczane do przychodów podstawowych czy nie.</w:t>
            </w:r>
          </w:p>
          <w:p w14:paraId="3587789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 </w:t>
            </w:r>
          </w:p>
          <w:p w14:paraId="2929E6A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ma wymogu odrębnej prezentacji przychodów odsetkowych w działalności inwestycyjnej w zależności od metody kalkulacji przychodów odsetkowych.</w:t>
            </w:r>
          </w:p>
          <w:p w14:paraId="4781D46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5ABD6CE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Zgłaszamy wątpliwość, czy potrzebne są znaczniki dotyczące przychodów odsetkowych w kategorii finansowania – jakiego rodzaju transakcje miałyby być oznaczone tymi znacznikami?</w:t>
            </w:r>
          </w:p>
          <w:p w14:paraId="300871D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6B38E3B2" w14:textId="77777777" w:rsidTr="000F3BCF">
        <w:trPr>
          <w:trHeight w:val="455"/>
        </w:trPr>
        <w:tc>
          <w:tcPr>
            <w:tcW w:w="2122" w:type="dxa"/>
          </w:tcPr>
          <w:p w14:paraId="7B244EC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MSSF_W_375</w:t>
            </w:r>
            <w:proofErr w:type="spellEnd"/>
          </w:p>
          <w:p w14:paraId="3AF020C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MSSF_W_377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927754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MSSF_W_416</w:t>
            </w:r>
            <w:proofErr w:type="spellEnd"/>
          </w:p>
          <w:p w14:paraId="69CBC51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MSSF_W_418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4955E7F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MSSF_W_437</w:t>
            </w:r>
            <w:proofErr w:type="spellEnd"/>
          </w:p>
          <w:p w14:paraId="7FAFCC6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MSSF_W_439</w:t>
            </w:r>
            <w:proofErr w:type="spellEnd"/>
          </w:p>
        </w:tc>
        <w:tc>
          <w:tcPr>
            <w:tcW w:w="3079" w:type="dxa"/>
          </w:tcPr>
          <w:p w14:paraId="1642ADE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Koszty – Odsetki</w:t>
            </w:r>
          </w:p>
          <w:p w14:paraId="1715EF8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3F91DC0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operacyjna</w:t>
            </w:r>
          </w:p>
          <w:p w14:paraId="59B2491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inwestycyjna</w:t>
            </w:r>
          </w:p>
          <w:p w14:paraId="27ABB83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Kategoria finansowania</w:t>
            </w:r>
          </w:p>
          <w:p w14:paraId="01C64E2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83" w:type="dxa"/>
          </w:tcPr>
          <w:p w14:paraId="2FAFF40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odrębnych znaczników dla kosztów odsetkowych obliczonych w oparciu o metodę efektywnej stopy procentowej i pozostałych kosztów odsetkowych; </w:t>
            </w:r>
          </w:p>
          <w:p w14:paraId="0C3242B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pozostawienie 1 wspólnego znacznika dla wszystkich kosztów odsetkowych w ramach kategorii finansowania</w:t>
            </w:r>
          </w:p>
          <w:p w14:paraId="7F35FC2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5516912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Czy są potrzebne te znaczniki w kategorii operacyjnej i inwestycyjnej?</w:t>
            </w:r>
          </w:p>
          <w:p w14:paraId="5DCB2EC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06" w:type="dxa"/>
          </w:tcPr>
          <w:p w14:paraId="56CD74A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ma wymogu odrębnej prezentacji kosztów odsetkowych w zależności od metody kalkulacji tych kosztów. Spółki zwykle księgują koszty odsetkowe na wspólnym koncie.</w:t>
            </w:r>
          </w:p>
          <w:p w14:paraId="23023DD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280BE40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Zgłaszamy wątpliwość, czy potrzebne są znaczniki dotyczące kosztów odsetkowych w kategorii operacyjnej i inwestycyjnej – jakiego rodzaju transakcje miałyby być oznaczone tymi znacznikami?</w:t>
            </w:r>
          </w:p>
        </w:tc>
      </w:tr>
      <w:tr w:rsidR="00C63347" w:rsidRPr="00CC263E" w14:paraId="1C9E9D93" w14:textId="77777777" w:rsidTr="000F3BCF">
        <w:trPr>
          <w:trHeight w:val="2415"/>
        </w:trPr>
        <w:tc>
          <w:tcPr>
            <w:tcW w:w="2122" w:type="dxa"/>
          </w:tcPr>
          <w:p w14:paraId="0084121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MSSF_W_387</w:t>
            </w:r>
            <w:proofErr w:type="spellEnd"/>
          </w:p>
          <w:p w14:paraId="65B78C1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MSSF_W_388</w:t>
            </w:r>
            <w:proofErr w:type="spellEnd"/>
          </w:p>
          <w:p w14:paraId="4D8753D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MSSF_W_408</w:t>
            </w:r>
            <w:proofErr w:type="spellEnd"/>
          </w:p>
          <w:p w14:paraId="5BA7FE2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MSSF_W_409</w:t>
            </w:r>
            <w:proofErr w:type="spellEnd"/>
          </w:p>
        </w:tc>
        <w:tc>
          <w:tcPr>
            <w:tcW w:w="3079" w:type="dxa"/>
          </w:tcPr>
          <w:p w14:paraId="56CCF31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Przychody - Aktualizacja wartości nieruchomości inwestycyjnych</w:t>
            </w:r>
          </w:p>
          <w:p w14:paraId="0F9738B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Koszty - Aktualizacja wartości nieruchomości inwestycyjnych</w:t>
            </w:r>
          </w:p>
        </w:tc>
        <w:tc>
          <w:tcPr>
            <w:tcW w:w="3583" w:type="dxa"/>
          </w:tcPr>
          <w:p w14:paraId="3767792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Usunięcie odrębnych znaczników dla przychodów i kosztów a zamiast tego utworzenie wspólnego znacznika dla wartości netto (przychody/koszty)</w:t>
            </w:r>
          </w:p>
          <w:p w14:paraId="179FC19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66D33B7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509DFEA1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583E469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68281D5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Usunięcie odrębnych znaczników dla podmiotów powiązanych i pozostałych</w:t>
            </w:r>
          </w:p>
        </w:tc>
        <w:tc>
          <w:tcPr>
            <w:tcW w:w="5406" w:type="dxa"/>
          </w:tcPr>
          <w:p w14:paraId="65F9D1A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przychodów i kosztów z aktualizacji wartości, więc s</w:t>
            </w:r>
            <w:r w:rsidRPr="00CC263E">
              <w:rPr>
                <w:rFonts w:cstheme="minorHAnsi"/>
                <w:sz w:val="20"/>
                <w:szCs w:val="20"/>
              </w:rPr>
              <w:t>półki na kontach wynikowych często nie prowadzą ewidencji w podziale na przychody oraz koszty, tylko zmiany księgują na wspólnym koncie w kwotach netto, więc nie można jednoznacznie przypisać takiej zmiany netto dla wielu pozycji ani do znacznika dla przychodów ani do znacznika dla kosztów.</w:t>
            </w:r>
          </w:p>
          <w:p w14:paraId="3BEC6E4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784F4A4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Przychody i koszty z tytułu aktualizacji wartości nieruchomości inwestycyjnych nie dotyczą podmiotów zewnętrznych.</w:t>
            </w:r>
          </w:p>
          <w:p w14:paraId="14E126E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3347" w:rsidRPr="00CC263E" w14:paraId="325D79B2" w14:textId="77777777" w:rsidTr="000F3BCF">
        <w:trPr>
          <w:trHeight w:val="455"/>
        </w:trPr>
        <w:tc>
          <w:tcPr>
            <w:tcW w:w="2122" w:type="dxa"/>
          </w:tcPr>
          <w:p w14:paraId="0C0FDD9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MSSF_W_390</w:t>
            </w:r>
            <w:proofErr w:type="spellEnd"/>
          </w:p>
          <w:p w14:paraId="57B4540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MSSF_W_411</w:t>
            </w:r>
            <w:proofErr w:type="spellEnd"/>
          </w:p>
        </w:tc>
        <w:tc>
          <w:tcPr>
            <w:tcW w:w="3079" w:type="dxa"/>
          </w:tcPr>
          <w:p w14:paraId="3C09560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Przychody z Inwestycji w jednostkach stowarzyszonych, wspólnych przedsięwzięciach i</w:t>
            </w:r>
          </w:p>
          <w:p w14:paraId="4D364C8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jednostkach zależnych nieobjętych konsolidacją -</w:t>
            </w:r>
          </w:p>
          <w:p w14:paraId="37234FF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wycenianych metodą praw własności - z tytułu wyceny;</w:t>
            </w:r>
          </w:p>
          <w:p w14:paraId="60BF2D3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  <w:p w14:paraId="21366E3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Koszty z inwestycji w jednostkach stowarzyszonych, wspólnych przedsięwzięciach i jednostkach zależnych nieobjętych konsolidacją - wycenianych metodą praw własności - z tytułu wyceny.</w:t>
            </w:r>
          </w:p>
          <w:p w14:paraId="402E5E7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4DEBB19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lastRenderedPageBreak/>
              <w:t>Usunięcie odrębnych znaczników dla przychodów i kosztów a zamiast tego utworzenie wspólnego znacznika dla wartości netto (przychody/koszty)</w:t>
            </w:r>
          </w:p>
          <w:p w14:paraId="6608889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706D763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przychodów i kosztów z wyceny, więc spółki na kontach wynikowych często nie prowadzą ewidencji w podziale przychody i koszty, tylko zmiany wyceny księgują na wspólnym koncie w kwotach netto. W efekcie, nie można jednoznacznie przypisać takiej zmiany netto ani do znacznika dla przychodów ani do znacznika dla kosztów. Konieczność dodatkowego podziału zapisów na przychody i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koszty wymagałaby zmian w procesach księgowych i planie kont spółek i wiązałaby się z dodatkowym obciążeniem/kosztami dla spółek.</w:t>
            </w:r>
          </w:p>
        </w:tc>
      </w:tr>
      <w:tr w:rsidR="00C63347" w:rsidRPr="00CC263E" w14:paraId="3D9170D5" w14:textId="77777777" w:rsidTr="000F3BCF">
        <w:trPr>
          <w:trHeight w:val="455"/>
        </w:trPr>
        <w:tc>
          <w:tcPr>
            <w:tcW w:w="2122" w:type="dxa"/>
          </w:tcPr>
          <w:p w14:paraId="4712676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lastRenderedPageBreak/>
              <w:t>MSSF_W_428</w:t>
            </w:r>
            <w:proofErr w:type="spellEnd"/>
          </w:p>
          <w:p w14:paraId="2816783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MSSF_W_429</w:t>
            </w:r>
            <w:proofErr w:type="spellEnd"/>
          </w:p>
          <w:p w14:paraId="010DE77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MSSF_W_440</w:t>
            </w:r>
            <w:proofErr w:type="spellEnd"/>
          </w:p>
          <w:p w14:paraId="0D7576C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MSSF_W_441</w:t>
            </w:r>
            <w:proofErr w:type="spellEnd"/>
          </w:p>
        </w:tc>
        <w:tc>
          <w:tcPr>
            <w:tcW w:w="3079" w:type="dxa"/>
          </w:tcPr>
          <w:p w14:paraId="6E5A931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Przychody wynikające ze zmian stóp procentowych;</w:t>
            </w:r>
          </w:p>
          <w:p w14:paraId="23CB080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Koszty wynikające ze zmian stóp procentowych.</w:t>
            </w:r>
          </w:p>
          <w:p w14:paraId="3EFEFAA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56E204B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Usunięcie znaczników.  </w:t>
            </w:r>
          </w:p>
          <w:p w14:paraId="37DD02C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34C1767F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Zmiana stóp procentowych jest jednym z elementów wyceny przychodów i kosztów finansowych i nie jest osobno ewidencjonowana.</w:t>
            </w:r>
          </w:p>
          <w:p w14:paraId="7CEBC1EC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Wpływ zmian stóp procentowych jest ujęty w znacznikach </w:t>
            </w:r>
          </w:p>
          <w:p w14:paraId="7B7B682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MSSF_W_444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oraz </w:t>
            </w: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MSSF_W_445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>.</w:t>
            </w:r>
          </w:p>
          <w:p w14:paraId="48569B5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3347" w:rsidRPr="00CC263E" w14:paraId="26E1C9E0" w14:textId="77777777" w:rsidTr="000F3BCF">
        <w:trPr>
          <w:trHeight w:val="455"/>
        </w:trPr>
        <w:tc>
          <w:tcPr>
            <w:tcW w:w="2122" w:type="dxa"/>
          </w:tcPr>
          <w:p w14:paraId="0FA25F4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MSSF_W_430</w:t>
            </w:r>
            <w:proofErr w:type="spellEnd"/>
          </w:p>
          <w:p w14:paraId="632D7CE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MSSF_W_431</w:t>
            </w:r>
            <w:proofErr w:type="spellEnd"/>
          </w:p>
          <w:p w14:paraId="631DBBE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MSSF_W_442</w:t>
            </w:r>
            <w:proofErr w:type="spellEnd"/>
          </w:p>
          <w:p w14:paraId="06BD7A4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MSSF_W_443</w:t>
            </w:r>
            <w:proofErr w:type="spellEnd"/>
          </w:p>
        </w:tc>
        <w:tc>
          <w:tcPr>
            <w:tcW w:w="3079" w:type="dxa"/>
          </w:tcPr>
          <w:p w14:paraId="2E090A4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Przychód z tytułu zaprzestania ujmowania zobowiązań;</w:t>
            </w:r>
          </w:p>
          <w:p w14:paraId="2BDD064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 xml:space="preserve">Koszty z tytułu zaprzestania ujmowania zobowiązań. </w:t>
            </w:r>
          </w:p>
        </w:tc>
        <w:tc>
          <w:tcPr>
            <w:tcW w:w="3583" w:type="dxa"/>
          </w:tcPr>
          <w:p w14:paraId="59460D75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Usunięcie znaczników</w:t>
            </w:r>
          </w:p>
        </w:tc>
        <w:tc>
          <w:tcPr>
            <w:tcW w:w="5406" w:type="dxa"/>
          </w:tcPr>
          <w:p w14:paraId="6F7F288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cstheme="minorHAnsi"/>
                <w:sz w:val="20"/>
                <w:szCs w:val="20"/>
              </w:rPr>
              <w:t xml:space="preserve"> nie wymagają osobnego ujawniania wpływu na wynik z tytułu zaprzestania ujmowania zobowiązań. Spółki nie prowadzą tak szczegółowej, osobnej ewidencji dotyczące tego typu transakcji, więc nie można jednoznacznie przypisać takich znaczników.  </w:t>
            </w:r>
          </w:p>
          <w:p w14:paraId="7C42B9E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3347" w:rsidRPr="00CC263E" w14:paraId="65C71587" w14:textId="77777777" w:rsidTr="000F3BCF">
        <w:trPr>
          <w:trHeight w:val="455"/>
        </w:trPr>
        <w:tc>
          <w:tcPr>
            <w:tcW w:w="2122" w:type="dxa"/>
          </w:tcPr>
          <w:p w14:paraId="3F0A67D3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MSSF_W_432</w:t>
            </w:r>
            <w:proofErr w:type="spellEnd"/>
          </w:p>
          <w:p w14:paraId="0D3DCE24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cstheme="minorHAnsi"/>
                <w:sz w:val="20"/>
                <w:szCs w:val="20"/>
              </w:rPr>
              <w:t>MSSF_W_444</w:t>
            </w:r>
            <w:proofErr w:type="spellEnd"/>
          </w:p>
        </w:tc>
        <w:tc>
          <w:tcPr>
            <w:tcW w:w="3079" w:type="dxa"/>
          </w:tcPr>
          <w:p w14:paraId="1719EF4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Przychód - Aktualizacja wartości zobowiązań;</w:t>
            </w:r>
          </w:p>
          <w:p w14:paraId="58FE4DF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Koszt - Aktualizacja wartości zobowiązań</w:t>
            </w:r>
          </w:p>
        </w:tc>
        <w:tc>
          <w:tcPr>
            <w:tcW w:w="3583" w:type="dxa"/>
          </w:tcPr>
          <w:p w14:paraId="2F01D34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Usunięcie odrębnych znaczników dla przychodów i kosztów a zamiast tego utworzenie wspólnego znacznika dla wartości netto (przychody/koszty);</w:t>
            </w:r>
          </w:p>
          <w:p w14:paraId="7412F666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16839C52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cstheme="minorHAnsi"/>
                <w:sz w:val="20"/>
                <w:szCs w:val="20"/>
              </w:rPr>
              <w:t>Spółki na kontach wynikowych często nie prowadzą ewidencji w podziale na przychody oraz koszty aktualizacji wartości zobowiązań, tylko księgują na wspólnym koncie w kwotach netto, więc nie można jednoznacznie przypisać takiej zmiany netto dla wielu pozycji ani do znacznika dla przychodów ani do znacznika dla kosztów.</w:t>
            </w:r>
          </w:p>
          <w:p w14:paraId="5210B39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63347" w:rsidRPr="00CC263E" w14:paraId="2443AD44" w14:textId="77777777" w:rsidTr="000F3BCF">
        <w:trPr>
          <w:trHeight w:val="455"/>
        </w:trPr>
        <w:tc>
          <w:tcPr>
            <w:tcW w:w="2122" w:type="dxa"/>
          </w:tcPr>
          <w:p w14:paraId="2191BC2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MSSF_W_326</w:t>
            </w:r>
            <w:proofErr w:type="spellEnd"/>
          </w:p>
        </w:tc>
        <w:tc>
          <w:tcPr>
            <w:tcW w:w="3079" w:type="dxa"/>
          </w:tcPr>
          <w:p w14:paraId="6EECE5E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Przychody - Dotacje</w:t>
            </w:r>
          </w:p>
        </w:tc>
        <w:tc>
          <w:tcPr>
            <w:tcW w:w="3583" w:type="dxa"/>
          </w:tcPr>
          <w:p w14:paraId="113CF42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</w:t>
            </w:r>
          </w:p>
        </w:tc>
        <w:tc>
          <w:tcPr>
            <w:tcW w:w="5406" w:type="dxa"/>
          </w:tcPr>
          <w:p w14:paraId="6A6EAA1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Polityka spółek w zakresie ujmowania dotacji jest różna, w niektórych spółkach otrzymane dotacje pomniejszają koszty, więc nie ma możliwości kompletnego oznakowania dotacji.</w:t>
            </w:r>
          </w:p>
          <w:p w14:paraId="3281451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1D093FB1" w14:textId="77777777" w:rsidTr="000F3BCF">
        <w:trPr>
          <w:trHeight w:val="455"/>
        </w:trPr>
        <w:tc>
          <w:tcPr>
            <w:tcW w:w="2122" w:type="dxa"/>
          </w:tcPr>
          <w:p w14:paraId="535AC87E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MSSF_W_449</w:t>
            </w:r>
            <w:proofErr w:type="spellEnd"/>
          </w:p>
          <w:p w14:paraId="5CCA6BDA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MSSF_W_451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5C98817B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MSSF_W_456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61AC2C1D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MSSF_W_457</w:t>
            </w:r>
            <w:proofErr w:type="spellEnd"/>
          </w:p>
          <w:p w14:paraId="25254BF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22E05777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Znaczniki dla działalności zaniechanej</w:t>
            </w:r>
          </w:p>
          <w:p w14:paraId="1388391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6C01E39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 rozróżniających działalność zaniechaną</w:t>
            </w:r>
          </w:p>
          <w:p w14:paraId="1F8419D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29DFA01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Wszystkie transakcje gospodarcze są ujmowane w systemie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FK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natomiast raportowanie wyniku w podziale na działalność kontynuowaną i zaniechaną może opierać się o wyliczenia przeprowadzane poza systemem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FK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– w szczególności, gdy decyzja o zaniechaniu danej działalności zapadła w trakcie roku finansowego. W efekcie, wprowadzenie dedykowanych znaczników dla działalności zaniechanej w księgach rachunkowych może być bardzo trudne do wykonania (jeśli w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ogóle możliwe) i wiązać się ze znaczącymi nakładami finansowymi dla spółek.</w:t>
            </w:r>
          </w:p>
          <w:p w14:paraId="030CCC6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6BB46DD3" w14:textId="77777777" w:rsidTr="000F3BCF">
        <w:trPr>
          <w:trHeight w:val="455"/>
        </w:trPr>
        <w:tc>
          <w:tcPr>
            <w:tcW w:w="2122" w:type="dxa"/>
          </w:tcPr>
          <w:p w14:paraId="06DD215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MSSF_W_458</w:t>
            </w:r>
            <w:proofErr w:type="spellEnd"/>
          </w:p>
        </w:tc>
        <w:tc>
          <w:tcPr>
            <w:tcW w:w="3079" w:type="dxa"/>
          </w:tcPr>
          <w:p w14:paraId="6C553F1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Pozostałe obowiązkowe zmniejszenia zysku</w:t>
            </w:r>
          </w:p>
          <w:p w14:paraId="1D61C3C0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(zwiększenia straty)</w:t>
            </w:r>
          </w:p>
          <w:p w14:paraId="4A9F5C5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5EA73DC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</w:t>
            </w:r>
          </w:p>
        </w:tc>
        <w:tc>
          <w:tcPr>
            <w:tcW w:w="5406" w:type="dxa"/>
          </w:tcPr>
          <w:p w14:paraId="50FA5EB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Pozycja ta jest kalką z ustawy o rachunkowości, nie jest kategorią stosowaną w sprawozdaniach finansowych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.</w:t>
            </w:r>
          </w:p>
          <w:p w14:paraId="300FDD95" w14:textId="77777777" w:rsidR="00C63347" w:rsidRPr="00CC263E" w:rsidRDefault="00C63347" w:rsidP="000F3BCF">
            <w:pPr>
              <w:rPr>
                <w:rFonts w:eastAsia="Helvetica 55 Roman" w:cstheme="minorHAnsi"/>
                <w:color w:val="0070C0"/>
                <w:sz w:val="20"/>
                <w:szCs w:val="20"/>
              </w:rPr>
            </w:pPr>
          </w:p>
        </w:tc>
      </w:tr>
      <w:tr w:rsidR="00C63347" w:rsidRPr="00CC263E" w14:paraId="36E032EE" w14:textId="77777777" w:rsidTr="000F3BCF">
        <w:trPr>
          <w:trHeight w:val="455"/>
        </w:trPr>
        <w:tc>
          <w:tcPr>
            <w:tcW w:w="2122" w:type="dxa"/>
          </w:tcPr>
          <w:p w14:paraId="03E6298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2FD496E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MSSF_BA_12</w:t>
            </w:r>
            <w:proofErr w:type="spellEnd"/>
          </w:p>
          <w:p w14:paraId="09AF15B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1CE0942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Wartości niematerialne - Zaliczki na wartości niematerialne</w:t>
            </w:r>
          </w:p>
        </w:tc>
        <w:tc>
          <w:tcPr>
            <w:tcW w:w="3583" w:type="dxa"/>
          </w:tcPr>
          <w:p w14:paraId="6EA0560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</w:t>
            </w:r>
          </w:p>
        </w:tc>
        <w:tc>
          <w:tcPr>
            <w:tcW w:w="5406" w:type="dxa"/>
          </w:tcPr>
          <w:p w14:paraId="181093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zaliczek na wartości niematerialne. 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 zaliczki nie muszą być prezentowane jako wartości niematerialne, mogą na przykład być prezentowane jako pozostałe aktywa. Pozostawienie tego znacznika będzie powodować problemy interpretacyjne – tj. czy należy go wykorzystywać w przypadku, gdy zaliczki nie są prezentowane jako wartości niematerialne, czy nie.</w:t>
            </w:r>
          </w:p>
          <w:p w14:paraId="4EFC0F3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33BC5007" w14:textId="77777777" w:rsidTr="000F3BCF">
        <w:trPr>
          <w:trHeight w:val="455"/>
        </w:trPr>
        <w:tc>
          <w:tcPr>
            <w:tcW w:w="2122" w:type="dxa"/>
          </w:tcPr>
          <w:p w14:paraId="520EA3A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</w:t>
            </w:r>
            <w:proofErr w:type="spellEnd"/>
          </w:p>
          <w:p w14:paraId="16A9640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MSSF_BA_27</w:t>
            </w:r>
            <w:proofErr w:type="spellEnd"/>
          </w:p>
          <w:p w14:paraId="7B6E83D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59C54E4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Rzeczowe aktywa trwałe - Środki trwałe</w:t>
            </w:r>
          </w:p>
        </w:tc>
        <w:tc>
          <w:tcPr>
            <w:tcW w:w="3583" w:type="dxa"/>
          </w:tcPr>
          <w:p w14:paraId="015A205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gruntów, budynków, lokali i obiektów inżynierii lądowej i wodnej, Urządzeń technicznych i maszyn, Środków transportu, Innych środków trwałych</w:t>
            </w:r>
          </w:p>
          <w:p w14:paraId="7996815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 zamiast tego utworzenie wspólnych znaczników dla wszystkich rodzajów środków trwałych</w:t>
            </w:r>
          </w:p>
          <w:p w14:paraId="1DEBDB9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7C54FDA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prezentacji środków trwałych w podziale wskazanym w liście znaczników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który jest kalką wymagań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UoR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. 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spółki stosują w bilansie inne podziały środków trwałych na rodzaje, w zależności od specyfiki danej spółki. W efekcie, nie wszystkie spółki posiadają w księgach podział środków trwałych na grupy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UoR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i zastosowanie tych znaczników nie będzie możliwe bez znaczących nakładów finansowych na zmiany w procesach i systemach księgowych.</w:t>
            </w:r>
          </w:p>
          <w:p w14:paraId="63941E4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 przypadku spółek, które nie posiadają w księgach takiego podziału środków trwałych, kalkulacja wartości wg takiego podziału na potrzeby raportowania do GUS odbywa się poza systemem księgowym.</w:t>
            </w:r>
          </w:p>
          <w:p w14:paraId="44595FC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0DE1CA76" w14:textId="77777777" w:rsidTr="000F3BCF">
        <w:trPr>
          <w:trHeight w:val="455"/>
        </w:trPr>
        <w:tc>
          <w:tcPr>
            <w:tcW w:w="2122" w:type="dxa"/>
          </w:tcPr>
          <w:p w14:paraId="5A56E44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MSSF_BA_30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</w:t>
            </w:r>
          </w:p>
          <w:p w14:paraId="527F3E9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MSSF_BA_31</w:t>
            </w:r>
            <w:proofErr w:type="spellEnd"/>
          </w:p>
        </w:tc>
        <w:tc>
          <w:tcPr>
            <w:tcW w:w="3079" w:type="dxa"/>
          </w:tcPr>
          <w:p w14:paraId="7690404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Rzeczowe aktywa trwałe - Zaliczki na środki trwałe w budowie</w:t>
            </w:r>
          </w:p>
          <w:p w14:paraId="16FECA7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47A94B8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</w:t>
            </w:r>
          </w:p>
        </w:tc>
        <w:tc>
          <w:tcPr>
            <w:tcW w:w="5406" w:type="dxa"/>
          </w:tcPr>
          <w:p w14:paraId="44C4861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zaliczek na rzeczowe aktywa trwałe. 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 zaliczki nie muszą być prezentowane jako rzeczowe aktywa trwałe, mogą na przykład być prezentowane jako pozostałe aktywa. Pozostawienie tego znacznika będzie powodować problemy interpretacyjne – tj. czy należy go wykorzystywać w przypadku, gdy zaliczki nie są prezentowane jako rzeczowe aktywa trwałe, czy nie.</w:t>
            </w:r>
          </w:p>
          <w:p w14:paraId="4259E63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425E2E6D" w14:textId="77777777" w:rsidTr="000F3BCF">
        <w:trPr>
          <w:trHeight w:val="455"/>
        </w:trPr>
        <w:tc>
          <w:tcPr>
            <w:tcW w:w="2122" w:type="dxa"/>
          </w:tcPr>
          <w:p w14:paraId="2A20DBB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MSSF_BA_38</w:t>
            </w:r>
            <w:proofErr w:type="spellEnd"/>
          </w:p>
          <w:p w14:paraId="499A0D4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MSSF_BA_121</w:t>
            </w:r>
            <w:proofErr w:type="spellEnd"/>
          </w:p>
          <w:p w14:paraId="35FCBBD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MSSF_BA_123</w:t>
            </w:r>
            <w:proofErr w:type="spellEnd"/>
          </w:p>
          <w:p w14:paraId="3BBF909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3F1A7DA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7653E54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Należności długoterminowe od podmiotów powiązanych</w:t>
            </w:r>
          </w:p>
          <w:p w14:paraId="0B8FE50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2A5230B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Należności krótkoterminowe od podmiotów powiązanych</w:t>
            </w:r>
          </w:p>
        </w:tc>
        <w:tc>
          <w:tcPr>
            <w:tcW w:w="3583" w:type="dxa"/>
          </w:tcPr>
          <w:p w14:paraId="2E23709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Usunięcie odrębnych znaczników dla należności długo i krótkoterminowych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oraz podziału na do 12 miesięcy i powyżej.</w:t>
            </w:r>
          </w:p>
        </w:tc>
        <w:tc>
          <w:tcPr>
            <w:tcW w:w="5406" w:type="dxa"/>
          </w:tcPr>
          <w:p w14:paraId="20A211D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W spółkach często nie wszystkie należności są ewidencjonowane w księgach w podziale na długoterminowe i krótkoterminowe (w tym w podziale na do 12 miesięcy i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powyżej). Podział na potrzeby sprawozdania jest często robiony poza systemem księgowym na podstawie danych z systemów źródłowych. Konieczność dodatkowego podziału zapisów w księgach wymagałaby zmian w procesach księgowych i planie kont spółek oraz wiązałaby się z dodatkowym obciążeniem/kosztami dla spółek.</w:t>
            </w:r>
          </w:p>
          <w:p w14:paraId="0494250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28846D4A" w14:textId="77777777" w:rsidTr="000F3BCF">
        <w:trPr>
          <w:trHeight w:val="455"/>
        </w:trPr>
        <w:tc>
          <w:tcPr>
            <w:tcW w:w="2122" w:type="dxa"/>
          </w:tcPr>
          <w:p w14:paraId="3227E91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MSSF_BA_39</w:t>
            </w:r>
            <w:proofErr w:type="spellEnd"/>
          </w:p>
          <w:p w14:paraId="4026A50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MSSF_BA_122</w:t>
            </w:r>
            <w:proofErr w:type="spellEnd"/>
          </w:p>
          <w:p w14:paraId="2595A67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MSSF_BA_124</w:t>
            </w:r>
            <w:proofErr w:type="spellEnd"/>
          </w:p>
        </w:tc>
        <w:tc>
          <w:tcPr>
            <w:tcW w:w="3079" w:type="dxa"/>
          </w:tcPr>
          <w:p w14:paraId="791F90B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długoterminowe - Odpisy aktualizujące wartość należności od podmiotów powiązanych;</w:t>
            </w:r>
          </w:p>
          <w:p w14:paraId="4AFFE83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567C6C1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krótkoterminowe - Odpisy aktualizujące wartość należności z tytułu dostaw i usług, od podmiotów powiązanych w okresie spłaty do 12 miesięcy;</w:t>
            </w:r>
          </w:p>
          <w:p w14:paraId="7E4C37B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Odpisy aktualizujące wartość należności z tytułu dostaw i usług, od podmiotów powiązanych w okresie spłaty powyżej 12 miesięcy</w:t>
            </w:r>
          </w:p>
          <w:p w14:paraId="4D03A8D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20708C0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odpisów od należności długo i krótkoterminowych oraz podziału na do 12 miesięcy i powyżej.</w:t>
            </w:r>
          </w:p>
          <w:p w14:paraId="18B8DF8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076428F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 spółkach często nie wszystkie odpisy na należności są ewidencjonowane w księgach w podziale na długoterminowe i krótkoterminowe (w tym w podziale na do 12 miesięcy i powyżej). Podział na potrzeby sprawozdania jest często robiony poza systemem księgowym na podstawie danych z systemów źródłowych. Konieczność dodatkowego podziału zapisów w księgach wymagałaby zmian w procesach księgowych i planie kont spółek oraz wiązałaby się z dodatkowym obciążeniem/kosztami dla spółek.</w:t>
            </w:r>
          </w:p>
        </w:tc>
      </w:tr>
      <w:tr w:rsidR="00C63347" w:rsidRPr="00CC263E" w14:paraId="2A7FDF3E" w14:textId="77777777" w:rsidTr="000F3BCF">
        <w:trPr>
          <w:trHeight w:val="455"/>
        </w:trPr>
        <w:tc>
          <w:tcPr>
            <w:tcW w:w="2122" w:type="dxa"/>
          </w:tcPr>
          <w:p w14:paraId="7B61766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MSSF_BA_40</w:t>
            </w:r>
            <w:proofErr w:type="spellEnd"/>
          </w:p>
          <w:p w14:paraId="6507B13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MSSF_BA_131</w:t>
            </w:r>
            <w:proofErr w:type="spellEnd"/>
          </w:p>
          <w:p w14:paraId="73278C5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MSSF_BA_133</w:t>
            </w:r>
            <w:proofErr w:type="spellEnd"/>
          </w:p>
        </w:tc>
        <w:tc>
          <w:tcPr>
            <w:tcW w:w="3079" w:type="dxa"/>
          </w:tcPr>
          <w:p w14:paraId="4F3F9FE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długoterminowe od podmiotów pozostałych</w:t>
            </w:r>
          </w:p>
          <w:p w14:paraId="56E620A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5580A32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krótkoterminowe od podmiotów pozostałych</w:t>
            </w:r>
          </w:p>
        </w:tc>
        <w:tc>
          <w:tcPr>
            <w:tcW w:w="3583" w:type="dxa"/>
          </w:tcPr>
          <w:p w14:paraId="42FFF73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należności długo i krótkoterminowych oraz podziału na do 12 miesięcy i powyżej.</w:t>
            </w:r>
          </w:p>
        </w:tc>
        <w:tc>
          <w:tcPr>
            <w:tcW w:w="5406" w:type="dxa"/>
          </w:tcPr>
          <w:p w14:paraId="70BCEAD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 spółkach często nie wszystkie należności są ewidencjonowane w księgach w podziale na długoterminowe i krótkoterminowe (w tym w podziale na do 12 miesięcy i powyżej). Podział na potrzeby sprawozdania jest często robiony poza systemem księgowym na podstawie danych z systemów źródłowych. Konieczność dodatkowego podziału zapisów w księgach wymagałaby zmian w procesach księgowych i planie kont spółek oraz wiązałaby się z dodatkowym obciążeniem/kosztami dla spółek.</w:t>
            </w:r>
          </w:p>
          <w:p w14:paraId="1A8990A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29111B8E" w14:textId="77777777" w:rsidTr="000F3BCF">
        <w:trPr>
          <w:trHeight w:val="455"/>
        </w:trPr>
        <w:tc>
          <w:tcPr>
            <w:tcW w:w="2122" w:type="dxa"/>
          </w:tcPr>
          <w:p w14:paraId="06A40F5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MSSF_BA_41</w:t>
            </w:r>
            <w:proofErr w:type="spellEnd"/>
          </w:p>
          <w:p w14:paraId="5EEC35F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MSSF_BA_132</w:t>
            </w:r>
            <w:proofErr w:type="spellEnd"/>
          </w:p>
          <w:p w14:paraId="26DF56F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MSSF_BA_132</w:t>
            </w:r>
            <w:proofErr w:type="spellEnd"/>
          </w:p>
        </w:tc>
        <w:tc>
          <w:tcPr>
            <w:tcW w:w="3079" w:type="dxa"/>
          </w:tcPr>
          <w:p w14:paraId="6119175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długoterminowe - Odpisy aktualizujące wartość należności od pozostałych podmiotów;</w:t>
            </w:r>
          </w:p>
          <w:p w14:paraId="1AA0CF2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2638CD2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Należności krótkoterminowe - Odpisy aktualizujące wartość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należności z tytułu dostaw i usług, od podmiotów powiązanych w okresie spłaty do 12 miesięcy;</w:t>
            </w:r>
          </w:p>
          <w:p w14:paraId="6C227EB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Odpisy aktualizujące wartość należności z tytułu dostaw i usług, od podmiotów powiązanych w okresie spłaty powyżej 12 miesięcy</w:t>
            </w:r>
          </w:p>
          <w:p w14:paraId="026546B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0256D8E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Usunięcie odrębnych znaczników dla odpisów od należności długo i krótkoterminowych oraz podziału na do 12 miesięcy i powyżej.</w:t>
            </w:r>
          </w:p>
          <w:p w14:paraId="58CB405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08709CE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 spółkach często nie wszystkie odpisy na należności są ewidencjonowane w podziale na długoterminowe i krótkoterminowe (w tym w podziale na do 12 miesięcy i powyżej). Podział na potrzeby sprawozdania jest często robiony poza systemem księgowym na podstawie danych z systemów źródłowych. Konieczność dodatkowego podziału zapisów w księgach wymagałaby zmian w procesach księgowych i planie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kont spółek oraz wiązałaby się z dodatkowym obciążeniem/kosztami dla spółek.</w:t>
            </w:r>
          </w:p>
          <w:p w14:paraId="633FFE7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009994FA" w14:textId="77777777" w:rsidTr="000F3BCF">
        <w:trPr>
          <w:trHeight w:val="3375"/>
        </w:trPr>
        <w:tc>
          <w:tcPr>
            <w:tcW w:w="2122" w:type="dxa"/>
          </w:tcPr>
          <w:p w14:paraId="105ADCA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MSSF_BA_45</w:t>
            </w:r>
            <w:proofErr w:type="spellEnd"/>
          </w:p>
          <w:p w14:paraId="08CF796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MSSF_BA_50</w:t>
            </w:r>
            <w:proofErr w:type="spellEnd"/>
          </w:p>
          <w:p w14:paraId="1A71985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MSSF_BA_59</w:t>
            </w:r>
            <w:proofErr w:type="spellEnd"/>
          </w:p>
          <w:p w14:paraId="12ED603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MSSF_BA_62</w:t>
            </w:r>
            <w:proofErr w:type="spellEnd"/>
          </w:p>
          <w:p w14:paraId="3790594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37BD969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MSSF_BA_150</w:t>
            </w:r>
            <w:proofErr w:type="spellEnd"/>
          </w:p>
          <w:p w14:paraId="7F47EA1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MSSF_BA_155</w:t>
            </w:r>
            <w:proofErr w:type="spellEnd"/>
          </w:p>
          <w:p w14:paraId="04ED35A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MSSF_BA_164</w:t>
            </w:r>
            <w:proofErr w:type="spellEnd"/>
          </w:p>
          <w:p w14:paraId="1B2FF65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MSSF_BA_165</w:t>
            </w:r>
            <w:proofErr w:type="spellEnd"/>
          </w:p>
        </w:tc>
        <w:tc>
          <w:tcPr>
            <w:tcW w:w="3079" w:type="dxa"/>
          </w:tcPr>
          <w:p w14:paraId="1A0A946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długoterminowe w jednostkach powiązanych;</w:t>
            </w:r>
          </w:p>
          <w:p w14:paraId="22EB94E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krótkoterminowe w jednostkach powiązanych;</w:t>
            </w:r>
          </w:p>
          <w:p w14:paraId="42BCFE5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6776634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wartości akcji i udziałów oraz odpisów w podziale na metodę wyceny a zamiast tego utworzenie wspólnych znaczników dla wartości udziałów oraz wspólnych znaczników dla odpisów, odpowiednio krótkoterminowych i długoterminowych.</w:t>
            </w:r>
          </w:p>
        </w:tc>
        <w:tc>
          <w:tcPr>
            <w:tcW w:w="5406" w:type="dxa"/>
          </w:tcPr>
          <w:p w14:paraId="43CBE83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w sprawozdaniu z sytuacji finansowej w podziale na </w:t>
            </w:r>
            <w:r w:rsidRPr="00CC263E">
              <w:rPr>
                <w:rFonts w:cstheme="minorHAnsi"/>
                <w:sz w:val="20"/>
                <w:szCs w:val="20"/>
              </w:rPr>
              <w:t xml:space="preserve">metody wyceny aktywów. Spółki często ewidencjonują posiadane akcje i udziały na jednym koncie, bez rozróżnienia według jakiej metody są one wyceniane.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>Konieczność dodatkowego podziału zapisów wymagałaby zmian w procesach księgowych i planie kont spółek i wiązałaby się z dodatkowym obciążeniem/kosztami dla spółek.</w:t>
            </w:r>
          </w:p>
        </w:tc>
      </w:tr>
      <w:tr w:rsidR="00C63347" w:rsidRPr="00CC263E" w14:paraId="12B744EF" w14:textId="77777777" w:rsidTr="000F3BCF">
        <w:trPr>
          <w:trHeight w:val="455"/>
        </w:trPr>
        <w:tc>
          <w:tcPr>
            <w:tcW w:w="2122" w:type="dxa"/>
          </w:tcPr>
          <w:p w14:paraId="1EF4F75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MSSF_BA_51</w:t>
            </w:r>
            <w:proofErr w:type="spellEnd"/>
          </w:p>
          <w:p w14:paraId="36C27BA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MSSF_BA_54</w:t>
            </w:r>
            <w:proofErr w:type="spellEnd"/>
          </w:p>
          <w:p w14:paraId="5E0DDAD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MSSF_BA_156</w:t>
            </w:r>
            <w:proofErr w:type="spellEnd"/>
          </w:p>
          <w:p w14:paraId="549067B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MSSF_BA_159</w:t>
            </w:r>
            <w:proofErr w:type="spellEnd"/>
          </w:p>
        </w:tc>
        <w:tc>
          <w:tcPr>
            <w:tcW w:w="3079" w:type="dxa"/>
          </w:tcPr>
          <w:p w14:paraId="42E848A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Długoterminowe Inne papiery wartościowe w podmiotach powiązanych;</w:t>
            </w:r>
          </w:p>
          <w:p w14:paraId="6438E33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Krótkoterminowe inne papiery wartościowe w jednostkach powiązanych</w:t>
            </w:r>
          </w:p>
        </w:tc>
        <w:tc>
          <w:tcPr>
            <w:tcW w:w="3583" w:type="dxa"/>
          </w:tcPr>
          <w:p w14:paraId="7571DB6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innych papierów wartościowych oraz odpisów w podziale na metodę wyceny a zamiast tego utworzenie wspólnych znaczników dla wartości papierów oraz wspólnych znaczników dla odpisów, odpowiednio krótkoterminowych i długoterminowych.</w:t>
            </w:r>
          </w:p>
          <w:p w14:paraId="2BFA9BC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4837760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w sprawozdaniu z sytuacji finansowej w podziale na </w:t>
            </w:r>
            <w:r w:rsidRPr="00CC263E">
              <w:rPr>
                <w:rFonts w:cstheme="minorHAnsi"/>
                <w:sz w:val="20"/>
                <w:szCs w:val="20"/>
              </w:rPr>
              <w:t xml:space="preserve">metody wyceny aktywów. Spółki często ewidencjonują posiadane akcje i udziały na jednym koncie, bez rozróżnienia według jakiej metody są one wyceniane.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>Konieczność dodatkowego podziału zapisów wymagałaby zmian w procesach księgowych i planie kont spółek i wiązałaby się z dodatkowym obciążeniem/kosztami dla spółek.</w:t>
            </w:r>
          </w:p>
        </w:tc>
      </w:tr>
      <w:tr w:rsidR="00C63347" w:rsidRPr="00CC263E" w14:paraId="4E85E46F" w14:textId="77777777" w:rsidTr="000F3BCF">
        <w:trPr>
          <w:trHeight w:val="455"/>
        </w:trPr>
        <w:tc>
          <w:tcPr>
            <w:tcW w:w="2122" w:type="dxa"/>
          </w:tcPr>
          <w:p w14:paraId="1BDC314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MSSF_BA_55</w:t>
            </w:r>
            <w:proofErr w:type="spellEnd"/>
          </w:p>
          <w:p w14:paraId="695A7FC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MSSF_BA_58</w:t>
            </w:r>
            <w:proofErr w:type="spellEnd"/>
          </w:p>
          <w:p w14:paraId="4FE5B89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MSSF_BA_160</w:t>
            </w:r>
            <w:proofErr w:type="spellEnd"/>
          </w:p>
          <w:p w14:paraId="3AE80A0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MSSF_BA_163</w:t>
            </w:r>
            <w:proofErr w:type="spellEnd"/>
          </w:p>
        </w:tc>
        <w:tc>
          <w:tcPr>
            <w:tcW w:w="3079" w:type="dxa"/>
          </w:tcPr>
          <w:p w14:paraId="72D62BD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długoterminowe</w:t>
            </w:r>
          </w:p>
          <w:p w14:paraId="1D5E0F1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 podmiotach powiązanych:</w:t>
            </w:r>
          </w:p>
          <w:p w14:paraId="3C75893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Udzielone pożyczki </w:t>
            </w:r>
          </w:p>
          <w:p w14:paraId="041F0FF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Krótkoterminowe</w:t>
            </w:r>
          </w:p>
          <w:p w14:paraId="36B3C3D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 podmiotach powiązanych:</w:t>
            </w:r>
          </w:p>
          <w:p w14:paraId="296D759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Udzielone pożyczki </w:t>
            </w:r>
          </w:p>
          <w:p w14:paraId="6744CAD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552681A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4148E4E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pożyczek oraz odpisów pożyczek wycenianych w zamortyzowanym koszcie i wartości godziwej a zamiast tego utworzenie po jednym znaczniku dla pożyczek oraz odpisów, odpowiednio dla krótkoterminowych i długoterminowych.</w:t>
            </w:r>
          </w:p>
        </w:tc>
        <w:tc>
          <w:tcPr>
            <w:tcW w:w="5406" w:type="dxa"/>
          </w:tcPr>
          <w:p w14:paraId="2482F1E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w sprawozdaniu z sytuacji finansowej w podziale na </w:t>
            </w:r>
            <w:r w:rsidRPr="00CC263E">
              <w:rPr>
                <w:rFonts w:cstheme="minorHAnsi"/>
                <w:sz w:val="20"/>
                <w:szCs w:val="20"/>
              </w:rPr>
              <w:t xml:space="preserve">metody wyceny aktywów.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>Spółki często nie prowadzą aż tak szczegółowej ewidencji pożyczek w podziale na metodę wyceny. Konieczność dodatkowego podziału zapisów wymagałaby zmian w procesach księgowych i planie kont spółek i wiązałaby się z dodatkowym obciążeniem/kosztami dla spółek.</w:t>
            </w:r>
          </w:p>
        </w:tc>
      </w:tr>
      <w:tr w:rsidR="00C63347" w:rsidRPr="00CC263E" w14:paraId="692B53D1" w14:textId="77777777" w:rsidTr="000F3BCF">
        <w:trPr>
          <w:trHeight w:val="455"/>
        </w:trPr>
        <w:tc>
          <w:tcPr>
            <w:tcW w:w="2122" w:type="dxa"/>
          </w:tcPr>
          <w:p w14:paraId="019949C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MSSF_BA_65</w:t>
            </w:r>
            <w:proofErr w:type="spellEnd"/>
          </w:p>
          <w:p w14:paraId="70B0D7E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MSSF_BA_70</w:t>
            </w:r>
            <w:proofErr w:type="spellEnd"/>
          </w:p>
          <w:p w14:paraId="4B58572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MSSF_BA_79</w:t>
            </w:r>
            <w:proofErr w:type="spellEnd"/>
          </w:p>
          <w:p w14:paraId="171406B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MSSF_BA_80</w:t>
            </w:r>
            <w:proofErr w:type="spellEnd"/>
          </w:p>
          <w:p w14:paraId="7652D0B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MSSF_BA_168</w:t>
            </w:r>
            <w:proofErr w:type="spellEnd"/>
          </w:p>
          <w:p w14:paraId="621D800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MSSF_BA_173</w:t>
            </w:r>
            <w:proofErr w:type="spellEnd"/>
          </w:p>
          <w:p w14:paraId="20C46E8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MSSF_BA_182</w:t>
            </w:r>
            <w:proofErr w:type="spellEnd"/>
          </w:p>
          <w:p w14:paraId="2AD0BB1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MSSF_BA_183</w:t>
            </w:r>
            <w:proofErr w:type="spellEnd"/>
          </w:p>
          <w:p w14:paraId="24A5FB8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0EAE6CC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długoterminowe - akcje i udziały posiadane w podmiotach pozostałych.</w:t>
            </w:r>
          </w:p>
          <w:p w14:paraId="548F5A1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krótkoterminowe - akcje i udziały posiadane w podmiotach pozostałych</w:t>
            </w:r>
          </w:p>
        </w:tc>
        <w:tc>
          <w:tcPr>
            <w:tcW w:w="3583" w:type="dxa"/>
          </w:tcPr>
          <w:p w14:paraId="1A7F273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wartości akcji i udziałów oraz odpisów w podziale na metodę wyceny a zamiast tego utworzenie wspólnych znaczników dla wartości udziałów oraz wspólnych znaczników dla odpisów, odpowiednio krótkoterminowych i długoterminowych.</w:t>
            </w:r>
          </w:p>
        </w:tc>
        <w:tc>
          <w:tcPr>
            <w:tcW w:w="5406" w:type="dxa"/>
          </w:tcPr>
          <w:p w14:paraId="1B10A8E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w sprawozdaniu z sytuacji finansowej w podziale na </w:t>
            </w:r>
            <w:r w:rsidRPr="00CC263E">
              <w:rPr>
                <w:rFonts w:cstheme="minorHAnsi"/>
                <w:sz w:val="20"/>
                <w:szCs w:val="20"/>
              </w:rPr>
              <w:t xml:space="preserve">metody wyceny aktywów.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>Spółki często ewidencjonują posiadane akcje i udziały na jednym koncie, bez rozróżnienia według jakiej metody są one wyceniane. Konieczność dodatkowego podziału zapisów wymagałaby zmian w procesach księgowych i planie kont spółek i wiązałaby się z dodatkowym obciążeniem/kosztami dla spółek.</w:t>
            </w:r>
          </w:p>
        </w:tc>
      </w:tr>
      <w:tr w:rsidR="00C63347" w:rsidRPr="00CC263E" w14:paraId="3CB95D95" w14:textId="77777777" w:rsidTr="000F3BCF">
        <w:trPr>
          <w:trHeight w:val="455"/>
        </w:trPr>
        <w:tc>
          <w:tcPr>
            <w:tcW w:w="2122" w:type="dxa"/>
          </w:tcPr>
          <w:p w14:paraId="3E3B6CD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MSSF_BA_71</w:t>
            </w:r>
            <w:proofErr w:type="spellEnd"/>
          </w:p>
          <w:p w14:paraId="08CB4DE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MSSF_BA_74</w:t>
            </w:r>
            <w:proofErr w:type="spellEnd"/>
          </w:p>
          <w:p w14:paraId="7A772EB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MSSF_BA_174</w:t>
            </w:r>
            <w:proofErr w:type="spellEnd"/>
          </w:p>
          <w:p w14:paraId="4947FFF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MSSF_BA_177</w:t>
            </w:r>
            <w:proofErr w:type="spellEnd"/>
          </w:p>
        </w:tc>
        <w:tc>
          <w:tcPr>
            <w:tcW w:w="3079" w:type="dxa"/>
          </w:tcPr>
          <w:p w14:paraId="6A34811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Długoterminowe Inne papiery wartościowe w podmiotach pozostałych;</w:t>
            </w:r>
          </w:p>
          <w:p w14:paraId="7B4A77E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Krótkoterminowe inne papiery wartościowe w jednostkach pozostałych;</w:t>
            </w:r>
          </w:p>
        </w:tc>
        <w:tc>
          <w:tcPr>
            <w:tcW w:w="3583" w:type="dxa"/>
          </w:tcPr>
          <w:p w14:paraId="72E6932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wartości innych papierów wartościowych oraz odpisów w podziale na metodę wyceny a zamiast tego utworzenie wspólnych znaczników dla wartości innych papierów wartościowych oraz wspólnych znaczników dla odpisów, odpowiednio krótkoterminowych i długoterminowych.</w:t>
            </w:r>
          </w:p>
          <w:p w14:paraId="12A784C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3F9E734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w sprawozdaniu z sytuacji finansowej w podziale na </w:t>
            </w:r>
            <w:r w:rsidRPr="00CC263E">
              <w:rPr>
                <w:rFonts w:cstheme="minorHAnsi"/>
                <w:sz w:val="20"/>
                <w:szCs w:val="20"/>
              </w:rPr>
              <w:t xml:space="preserve">metody wyceny aktywów. Spółki często ewidencjonują posiadane akcje i udziały na jednym koncie, bez rozróżnienia według jakiej metody są one wyceniane.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>Konieczność dodatkowego podziału zapisów wymagałaby zmian w procesach księgowych i planie kont spółek i wiązałaby się z dodatkowym obciążeniem/kosztami dla spółek.</w:t>
            </w:r>
          </w:p>
        </w:tc>
      </w:tr>
      <w:tr w:rsidR="00C63347" w:rsidRPr="00CC263E" w14:paraId="61BB3460" w14:textId="77777777" w:rsidTr="000F3BCF">
        <w:trPr>
          <w:trHeight w:val="455"/>
        </w:trPr>
        <w:tc>
          <w:tcPr>
            <w:tcW w:w="2122" w:type="dxa"/>
          </w:tcPr>
          <w:p w14:paraId="2E48017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MSSF_BA_75</w:t>
            </w:r>
            <w:proofErr w:type="spellEnd"/>
          </w:p>
          <w:p w14:paraId="1B6CC7A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MSSF_BA_77</w:t>
            </w:r>
            <w:proofErr w:type="spellEnd"/>
          </w:p>
          <w:p w14:paraId="3734764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MSSF_BA_178</w:t>
            </w:r>
            <w:proofErr w:type="spellEnd"/>
          </w:p>
          <w:p w14:paraId="72AAAAD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MSSF_BA_181</w:t>
            </w:r>
            <w:proofErr w:type="spellEnd"/>
          </w:p>
        </w:tc>
        <w:tc>
          <w:tcPr>
            <w:tcW w:w="3079" w:type="dxa"/>
          </w:tcPr>
          <w:p w14:paraId="18687ED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Aktywa długoterminowe w podmiotach pozostałych - </w:t>
            </w:r>
          </w:p>
          <w:p w14:paraId="7BD64F9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Udzielone pożyczki </w:t>
            </w:r>
          </w:p>
          <w:p w14:paraId="67B79BF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Aktywa krótkoterminowe w podmiotach pozostałych - </w:t>
            </w:r>
          </w:p>
          <w:p w14:paraId="09E6F30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Udzielone pożyczki</w:t>
            </w:r>
          </w:p>
        </w:tc>
        <w:tc>
          <w:tcPr>
            <w:tcW w:w="3583" w:type="dxa"/>
          </w:tcPr>
          <w:p w14:paraId="7C06120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pożyczek oraz odpisów pożyczek wycenianych w zamortyzowanym koszcie i wartości godziwej a zamiast tego utworzenie wspólnych znaczników dla wartości pożyczek oraz wspólnych znaczników dla odpisów, odpowiednio krótkoterminowych i długoterminowych.</w:t>
            </w:r>
          </w:p>
        </w:tc>
        <w:tc>
          <w:tcPr>
            <w:tcW w:w="5406" w:type="dxa"/>
          </w:tcPr>
          <w:p w14:paraId="0FEEA97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w sprawozdaniu z sytuacji finansowej w podziale na </w:t>
            </w:r>
            <w:r w:rsidRPr="00CC263E">
              <w:rPr>
                <w:rFonts w:cstheme="minorHAnsi"/>
                <w:sz w:val="20"/>
                <w:szCs w:val="20"/>
              </w:rPr>
              <w:t xml:space="preserve">metody wyceny aktywów.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>Spółki często nie prowadzą aż tak szczegółowej ewidencji pożyczek w podziale na metodę wyceny. Konieczność dodatkowego podziału zapisów wymagałaby zmian w procesach księgowych i planie kont spółek i wiązałaby się z dodatkowym obciążeniem/kosztami dla spółek.</w:t>
            </w:r>
          </w:p>
          <w:p w14:paraId="51E88EC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07ABA4AA" w14:textId="77777777" w:rsidTr="000F3BCF">
        <w:trPr>
          <w:trHeight w:val="455"/>
        </w:trPr>
        <w:tc>
          <w:tcPr>
            <w:tcW w:w="2122" w:type="dxa"/>
          </w:tcPr>
          <w:p w14:paraId="65D521E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3C82DC1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MSSF_BA_85</w:t>
            </w:r>
            <w:proofErr w:type="spellEnd"/>
          </w:p>
          <w:p w14:paraId="0341F5D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MSSF_BA_186</w:t>
            </w:r>
            <w:proofErr w:type="spellEnd"/>
          </w:p>
          <w:p w14:paraId="147FDA6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MSSF_BA_188</w:t>
            </w:r>
            <w:proofErr w:type="spellEnd"/>
          </w:p>
          <w:p w14:paraId="07EB1B0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MSSF_BP_251</w:t>
            </w:r>
            <w:proofErr w:type="spellEnd"/>
          </w:p>
          <w:p w14:paraId="6177E7E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MSSF_BP_255</w:t>
            </w:r>
            <w:proofErr w:type="spellEnd"/>
          </w:p>
          <w:p w14:paraId="500964E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MSSF_BP_260</w:t>
            </w:r>
            <w:proofErr w:type="spellEnd"/>
          </w:p>
          <w:p w14:paraId="137020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MSSF_BP_264</w:t>
            </w:r>
            <w:proofErr w:type="spellEnd"/>
          </w:p>
          <w:p w14:paraId="4FA04A8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MSSF_BP_269</w:t>
            </w:r>
            <w:proofErr w:type="spellEnd"/>
          </w:p>
          <w:p w14:paraId="535803E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MSSF_BP_278</w:t>
            </w:r>
            <w:proofErr w:type="spellEnd"/>
          </w:p>
          <w:p w14:paraId="729B374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MSSF_BP_283</w:t>
            </w:r>
            <w:proofErr w:type="spellEnd"/>
          </w:p>
          <w:p w14:paraId="47A4374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MSSF_BP_292</w:t>
            </w:r>
            <w:proofErr w:type="spellEnd"/>
          </w:p>
        </w:tc>
        <w:tc>
          <w:tcPr>
            <w:tcW w:w="3079" w:type="dxa"/>
          </w:tcPr>
          <w:p w14:paraId="01EA216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Instrumenty finansowe pochodne długoterminowe i krótkoterminowe</w:t>
            </w:r>
          </w:p>
          <w:p w14:paraId="0E0F0D4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Instrumenty finansowe zabezpieczające długoterminowe i krótkoterminowe</w:t>
            </w:r>
          </w:p>
          <w:p w14:paraId="727D5FD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4ED2C66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i zobowiązania</w:t>
            </w:r>
          </w:p>
        </w:tc>
        <w:tc>
          <w:tcPr>
            <w:tcW w:w="3583" w:type="dxa"/>
          </w:tcPr>
          <w:p w14:paraId="0712044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odrębnych znaczników dla instrumentów pochodnych oraz instrumentów finansowych zabezpieczających a w zamian utworzenie jednego znacznika dla instrumentów pochodnych (odpowiednio długoterminowych i krótkoterminowych aktywów i zobowiązań) </w:t>
            </w:r>
          </w:p>
          <w:p w14:paraId="593C089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6F22640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prezentacji w sprawozdaniu z sytuacji finansowej instrumentów pochodnych w podziale na zabezpieczające i niezabezpieczające.</w:t>
            </w:r>
          </w:p>
          <w:p w14:paraId="1564D60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5872E6A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Dodatkowo, obecna nazwa znacznika Instrumenty finansowe pochodne wydaje się być nieprecyzyjna,  ponieważ występują również znaczniki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MSSF_BA_85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oraz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MSSF_BA_188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Instrumenty finansowe zabezpieczające, które też zawierają instrumenty pochodne. Czy to oznacza, że znaczniki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oraz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MSSF_BA_186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dotyczą tylko instrumentów pochodnych niezabezpieczających? Analogicznie ta sama sytuacja występuje po stronie zobowiązań.</w:t>
            </w:r>
          </w:p>
          <w:p w14:paraId="4B07DCB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5694496D" w14:textId="77777777" w:rsidTr="000F3BCF">
        <w:trPr>
          <w:trHeight w:val="455"/>
        </w:trPr>
        <w:tc>
          <w:tcPr>
            <w:tcW w:w="2122" w:type="dxa"/>
          </w:tcPr>
          <w:p w14:paraId="5ED8C01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MSSF_BA_84</w:t>
            </w:r>
            <w:proofErr w:type="spellEnd"/>
          </w:p>
          <w:p w14:paraId="3C4ECE6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MSSF_BA_86</w:t>
            </w:r>
            <w:proofErr w:type="spellEnd"/>
          </w:p>
          <w:p w14:paraId="36515C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MSSF_BA_187</w:t>
            </w:r>
            <w:proofErr w:type="spellEnd"/>
          </w:p>
          <w:p w14:paraId="6A5B2EB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MSSF_BA_189</w:t>
            </w:r>
            <w:proofErr w:type="spellEnd"/>
          </w:p>
          <w:p w14:paraId="471C962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2EB8FDF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09F364C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Instrumenty finansowe zabezpieczające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dłuterminowe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i krótkoterminowe - Odpisy aktualizujące wartość instrumentów finansowych pochodnych wycenianych do wartości godziwej przez wynik</w:t>
            </w:r>
          </w:p>
          <w:p w14:paraId="596E697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7BD1743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znaczników </w:t>
            </w:r>
          </w:p>
        </w:tc>
        <w:tc>
          <w:tcPr>
            <w:tcW w:w="5406" w:type="dxa"/>
          </w:tcPr>
          <w:p w14:paraId="2D6353D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Instrumenty pochodne zabezpieczające są wyceniane w wartości godziwej, której częścią składową według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jest ryzyko kredytowe, czyli cała wycena jest ujęta w znacznikach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MSSF_BA_83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MSSF_BA_85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MSSF_BA_186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oraz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MSSF_BA_188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.</w:t>
            </w:r>
          </w:p>
        </w:tc>
      </w:tr>
      <w:tr w:rsidR="00C63347" w:rsidRPr="00CC263E" w14:paraId="5E53F3B8" w14:textId="77777777" w:rsidTr="000F3BCF">
        <w:trPr>
          <w:trHeight w:val="455"/>
        </w:trPr>
        <w:tc>
          <w:tcPr>
            <w:tcW w:w="2122" w:type="dxa"/>
          </w:tcPr>
          <w:p w14:paraId="11D1D12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MSSF_BA_91</w:t>
            </w:r>
            <w:proofErr w:type="spellEnd"/>
          </w:p>
          <w:p w14:paraId="3950ECD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MSSF_BA_92</w:t>
            </w:r>
            <w:proofErr w:type="spellEnd"/>
          </w:p>
          <w:p w14:paraId="709A54E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MSSF_BA_197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6BB93F7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MSSF_BA_198</w:t>
            </w:r>
            <w:proofErr w:type="spellEnd"/>
          </w:p>
          <w:p w14:paraId="3CC3E48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422339C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5C6D6C1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Długoterminowe oraz krótkoterminowe aktywa z tytułu umów z klientami</w:t>
            </w:r>
          </w:p>
        </w:tc>
        <w:tc>
          <w:tcPr>
            <w:tcW w:w="3583" w:type="dxa"/>
          </w:tcPr>
          <w:p w14:paraId="6CD8FA3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Wyodrębnienie znaczników dla aktywów z tytułu umów z klientami poza grupę Rozliczenia międzyokresowe</w:t>
            </w:r>
          </w:p>
        </w:tc>
        <w:tc>
          <w:tcPr>
            <w:tcW w:w="5406" w:type="dxa"/>
          </w:tcPr>
          <w:p w14:paraId="5B04B30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aktywa z tytułu umów z klientami nie są elementem rozliczeń międzyokresowych, tylko spółki zwykle prezentują je jako odrębną pozycję w sprawozdaniu z sytuacji finansowej.</w:t>
            </w:r>
          </w:p>
        </w:tc>
      </w:tr>
      <w:tr w:rsidR="00C63347" w:rsidRPr="00CC263E" w14:paraId="0D76BAE6" w14:textId="77777777" w:rsidTr="000F3BCF">
        <w:trPr>
          <w:trHeight w:val="455"/>
        </w:trPr>
        <w:tc>
          <w:tcPr>
            <w:tcW w:w="2122" w:type="dxa"/>
          </w:tcPr>
          <w:p w14:paraId="55B9C93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MSSF_BA_93</w:t>
            </w:r>
            <w:proofErr w:type="spellEnd"/>
          </w:p>
          <w:p w14:paraId="53680D2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MSSF_BA_94</w:t>
            </w:r>
            <w:proofErr w:type="spellEnd"/>
          </w:p>
          <w:p w14:paraId="59CC8AE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MSSF_BA_199</w:t>
            </w:r>
            <w:proofErr w:type="spellEnd"/>
          </w:p>
          <w:p w14:paraId="16F9603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MSSF_BA_200</w:t>
            </w:r>
            <w:proofErr w:type="spellEnd"/>
          </w:p>
        </w:tc>
        <w:tc>
          <w:tcPr>
            <w:tcW w:w="3079" w:type="dxa"/>
          </w:tcPr>
          <w:p w14:paraId="77ECDC7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Aktywowane koszty doprowadzenia do zawarcia</w:t>
            </w:r>
          </w:p>
          <w:p w14:paraId="54D2D42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umowy</w:t>
            </w:r>
          </w:p>
        </w:tc>
        <w:tc>
          <w:tcPr>
            <w:tcW w:w="3583" w:type="dxa"/>
          </w:tcPr>
          <w:p w14:paraId="372230B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Wyodrębnienie znaczników dla kosztów doprowadzenia do zawarcia umowy poza grupę Rozliczenia międzyokresowe </w:t>
            </w:r>
          </w:p>
          <w:p w14:paraId="35B4A89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6EB3775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aktywa z tytułu umów z klientami nie są elementem rozliczeń międzyokresowych, spółki zwykle prezentują je jako odrębną pozycję w sprawozdaniu z sytuacji finansowej.</w:t>
            </w:r>
          </w:p>
          <w:p w14:paraId="75F685C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7C105F9A" w14:textId="77777777" w:rsidTr="000F3BCF">
        <w:trPr>
          <w:trHeight w:val="455"/>
        </w:trPr>
        <w:tc>
          <w:tcPr>
            <w:tcW w:w="2122" w:type="dxa"/>
          </w:tcPr>
          <w:p w14:paraId="1EECC56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MSSF_BA_100</w:t>
            </w:r>
            <w:proofErr w:type="spellEnd"/>
          </w:p>
          <w:p w14:paraId="7C5E9F1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MSSF_BA_101</w:t>
            </w:r>
            <w:proofErr w:type="spellEnd"/>
          </w:p>
        </w:tc>
        <w:tc>
          <w:tcPr>
            <w:tcW w:w="3079" w:type="dxa"/>
          </w:tcPr>
          <w:p w14:paraId="550A33E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Aktywa trwałe przeznaczone do sprzedaży</w:t>
            </w:r>
          </w:p>
        </w:tc>
        <w:tc>
          <w:tcPr>
            <w:tcW w:w="3583" w:type="dxa"/>
          </w:tcPr>
          <w:p w14:paraId="0376438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</w:t>
            </w:r>
          </w:p>
        </w:tc>
        <w:tc>
          <w:tcPr>
            <w:tcW w:w="5406" w:type="dxa"/>
          </w:tcPr>
          <w:p w14:paraId="6B09F36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Spółki często nie wydzielają w księgach aktywów przeznaczonych do sprzedaży na osobne konta, więc nie ma możliwości wykorzystania tych znaczników. Dane do prezentacji w sprawozdaniu z sytuacji finansowej aktywów jako przeznaczone do sprzedaży pozyskiwane są poza systemem księgowym. </w:t>
            </w:r>
          </w:p>
          <w:p w14:paraId="77CC84D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31715785" w14:textId="77777777" w:rsidTr="000F3BCF">
        <w:trPr>
          <w:trHeight w:val="455"/>
        </w:trPr>
        <w:tc>
          <w:tcPr>
            <w:tcW w:w="2122" w:type="dxa"/>
          </w:tcPr>
          <w:p w14:paraId="1B3085C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MSSF_BA_114</w:t>
            </w:r>
            <w:proofErr w:type="spellEnd"/>
          </w:p>
          <w:p w14:paraId="2F887C8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MSSF_BA_115</w:t>
            </w:r>
            <w:proofErr w:type="spellEnd"/>
          </w:p>
        </w:tc>
        <w:tc>
          <w:tcPr>
            <w:tcW w:w="3079" w:type="dxa"/>
          </w:tcPr>
          <w:p w14:paraId="221F30F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Zapasy - Zaliczki na dostawy i usługi</w:t>
            </w:r>
          </w:p>
          <w:p w14:paraId="21A59A3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6919215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znaczników </w:t>
            </w:r>
          </w:p>
        </w:tc>
        <w:tc>
          <w:tcPr>
            <w:tcW w:w="5406" w:type="dxa"/>
          </w:tcPr>
          <w:p w14:paraId="0420004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zaliczek na zapasy. 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, zaliczki nie muszą być prezentowane jako zapasy, mogą na przykład być prezentowane jako pozostałe aktywa. Pozostawienie tego znacznika będzie powodować problemy interpretacyjne – tj. czy należy go wykorzystywać w przypadku, gdy zaliczki nie są prezentowane jako zapasy, czy nie.</w:t>
            </w:r>
          </w:p>
          <w:p w14:paraId="5AB6CA07" w14:textId="77777777" w:rsidR="00C63347" w:rsidRPr="00CC263E" w:rsidRDefault="00C63347" w:rsidP="000F3BCF">
            <w:pPr>
              <w:rPr>
                <w:rFonts w:eastAsia="Helvetica 55 Roman" w:cstheme="minorHAnsi"/>
                <w:color w:val="00B050"/>
                <w:sz w:val="20"/>
                <w:szCs w:val="20"/>
              </w:rPr>
            </w:pPr>
          </w:p>
        </w:tc>
      </w:tr>
      <w:tr w:rsidR="00C63347" w:rsidRPr="00CC263E" w14:paraId="5CBB4D38" w14:textId="77777777" w:rsidTr="000F3BCF">
        <w:trPr>
          <w:trHeight w:val="455"/>
        </w:trPr>
        <w:tc>
          <w:tcPr>
            <w:tcW w:w="2122" w:type="dxa"/>
          </w:tcPr>
          <w:p w14:paraId="64374F2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MSSF_BA_118</w:t>
            </w:r>
            <w:proofErr w:type="spellEnd"/>
          </w:p>
          <w:p w14:paraId="38E449B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MSSF_BA_119</w:t>
            </w:r>
            <w:proofErr w:type="spellEnd"/>
          </w:p>
        </w:tc>
        <w:tc>
          <w:tcPr>
            <w:tcW w:w="3079" w:type="dxa"/>
          </w:tcPr>
          <w:p w14:paraId="28ED7E7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Zapasy - Aktywa z tytułu prawa do zwrotu</w:t>
            </w:r>
          </w:p>
          <w:p w14:paraId="3A19C53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09B0BAD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</w:t>
            </w:r>
          </w:p>
        </w:tc>
        <w:tc>
          <w:tcPr>
            <w:tcW w:w="5406" w:type="dxa"/>
          </w:tcPr>
          <w:p w14:paraId="5BFC590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aktuwów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z tytułu prawa do zwrotu. 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prawo do zwrotu nie musi być prezentowane jako zapasy, mogą na przykład być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prezentowane jako pozostałe aktywa. Pozostawienie tego znacznika będzie powodować problemy interpretacyjne – tj. czy należy go wykorzystywać w przypadku, gdy prawo 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zwortu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 nie jest prezentowane jako zapasy, czy nie.</w:t>
            </w:r>
          </w:p>
          <w:p w14:paraId="7AEFCDE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670D3DE0" w14:textId="77777777" w:rsidTr="000F3BCF">
        <w:trPr>
          <w:trHeight w:val="455"/>
        </w:trPr>
        <w:tc>
          <w:tcPr>
            <w:tcW w:w="2122" w:type="dxa"/>
          </w:tcPr>
          <w:p w14:paraId="188E34A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MSSF_BA_127</w:t>
            </w:r>
            <w:proofErr w:type="spellEnd"/>
          </w:p>
          <w:p w14:paraId="22861C2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MSSF_BA_128</w:t>
            </w:r>
            <w:proofErr w:type="spellEnd"/>
          </w:p>
          <w:p w14:paraId="0DF2837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MSSF_BA_137</w:t>
            </w:r>
            <w:proofErr w:type="spellEnd"/>
          </w:p>
          <w:p w14:paraId="2BAB60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MSSF_BA_138</w:t>
            </w:r>
            <w:proofErr w:type="spellEnd"/>
          </w:p>
        </w:tc>
        <w:tc>
          <w:tcPr>
            <w:tcW w:w="3079" w:type="dxa"/>
          </w:tcPr>
          <w:p w14:paraId="68A6AA8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od podmiotów powiązanych - Dochodzone na drodze sądowej</w:t>
            </w:r>
          </w:p>
        </w:tc>
        <w:tc>
          <w:tcPr>
            <w:tcW w:w="3583" w:type="dxa"/>
          </w:tcPr>
          <w:p w14:paraId="5CE8ACB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 jako zbyt szczegółowego</w:t>
            </w:r>
          </w:p>
        </w:tc>
        <w:tc>
          <w:tcPr>
            <w:tcW w:w="5406" w:type="dxa"/>
          </w:tcPr>
          <w:p w14:paraId="65361695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należności dochodzonych na drodze sądowej. Spółki na kontach bilansowych często nie prowadzą tak szczegółowej ewidencji.</w:t>
            </w:r>
          </w:p>
        </w:tc>
      </w:tr>
      <w:tr w:rsidR="00C63347" w:rsidRPr="00CC263E" w14:paraId="1179A698" w14:textId="77777777" w:rsidTr="000F3BCF">
        <w:trPr>
          <w:trHeight w:val="455"/>
        </w:trPr>
        <w:tc>
          <w:tcPr>
            <w:tcW w:w="2122" w:type="dxa"/>
          </w:tcPr>
          <w:p w14:paraId="020B9BD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MSSF_BA_141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1267067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MSSF_BA_148</w:t>
            </w:r>
            <w:proofErr w:type="spellEnd"/>
          </w:p>
          <w:p w14:paraId="156FB7E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79EF245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z tytułu podatków, dotacji, ceł, ubezpieczeń społecznych i zdrowotnych oraz</w:t>
            </w:r>
          </w:p>
          <w:p w14:paraId="6652B888" w14:textId="77777777" w:rsidR="00C63347" w:rsidRPr="00CC263E" w:rsidRDefault="00C63347" w:rsidP="000F3BCF">
            <w:pPr>
              <w:rPr>
                <w:rFonts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innych świadczeń</w:t>
            </w:r>
          </w:p>
        </w:tc>
        <w:tc>
          <w:tcPr>
            <w:tcW w:w="3583" w:type="dxa"/>
          </w:tcPr>
          <w:p w14:paraId="0E7E34D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poszczególnych podatków a zamiast tego utworzenie 1 wspólnego znacznika dla należności z tytułu podatków</w:t>
            </w:r>
          </w:p>
          <w:p w14:paraId="1ABCEF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5D417B5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34262EA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37D9437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24FD206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ze zbiorczego znacznika należności z tytułu dotacji</w:t>
            </w:r>
          </w:p>
          <w:p w14:paraId="1DD15E9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0426D021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tych poszczególnych rodzajów należności. Spółki na kontach bilansowych często nie prowadzą tak szczegółowej ewidencji, tylko księgują należności podatkowe (poza VAT i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CIT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>) na wspólnym koncie. Konieczność dodatkowego podziału zapisów wymagałaby zmian w procesach księgowych i planie kont spółek i wiązałaby się z dodatkowym obciążeniem/kosztami dla spółek.</w:t>
            </w:r>
          </w:p>
          <w:p w14:paraId="600B2C7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27B5F76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Prezentacja należności z tytułu podatków łącznie z należnościami z tytułu dotacji jest kalką prezentacji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UoR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która nie jest stosowana przez spółki sporządzające sprawozdanie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(podatki i dotacje są regulowane przez odrębne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i łączenie tych tytułów we wspólnej pozycji w sprawozdaniu finansowym nie jest stosowane).</w:t>
            </w:r>
          </w:p>
          <w:p w14:paraId="0AE1BF6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74D56D86" w14:textId="77777777" w:rsidTr="000F3BCF">
        <w:trPr>
          <w:trHeight w:val="455"/>
        </w:trPr>
        <w:tc>
          <w:tcPr>
            <w:tcW w:w="2122" w:type="dxa"/>
          </w:tcPr>
          <w:p w14:paraId="02F8E19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MSSF_BA_206</w:t>
            </w:r>
            <w:proofErr w:type="spellEnd"/>
          </w:p>
          <w:p w14:paraId="20F27B6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MSSF_BA_213</w:t>
            </w:r>
            <w:proofErr w:type="spellEnd"/>
          </w:p>
        </w:tc>
        <w:tc>
          <w:tcPr>
            <w:tcW w:w="3079" w:type="dxa"/>
          </w:tcPr>
          <w:p w14:paraId="1174DE5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Należności od pozostałych podmiotów</w:t>
            </w:r>
          </w:p>
        </w:tc>
        <w:tc>
          <w:tcPr>
            <w:tcW w:w="3583" w:type="dxa"/>
          </w:tcPr>
          <w:p w14:paraId="4B82516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wskaźników dla poszczególnych rodzajów kontrahentów</w:t>
            </w:r>
          </w:p>
        </w:tc>
        <w:tc>
          <w:tcPr>
            <w:tcW w:w="5406" w:type="dxa"/>
          </w:tcPr>
          <w:p w14:paraId="61798CD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tych poszczególnych rodzajów należności. Spółki na kontach bilansowych często nie prowadzą tak szczegółowej ewidencji, tylko księgują transakcje na wspólnym koncie. Konieczność dodatkowego podziału zapisów wymagałaby zmian w procesach księgowych i planie kont spółek i wiązałaby się z dodatkowym obciążeniem/kosztami dla spółek. </w:t>
            </w:r>
          </w:p>
          <w:p w14:paraId="0F1C3B2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4916A328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  <w:r w:rsidRPr="00CC263E">
              <w:rPr>
                <w:rFonts w:eastAsiaTheme="minorEastAsia" w:cstheme="minorHAnsi"/>
                <w:sz w:val="20"/>
                <w:szCs w:val="20"/>
              </w:rPr>
              <w:t>Jeśli te pozycje dotyczyłyby tylko banków, należy je przenieść do grupy znaczników BANK.</w:t>
            </w:r>
          </w:p>
          <w:p w14:paraId="047E1AC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7F61303D" w14:textId="77777777" w:rsidTr="000F3BCF">
        <w:trPr>
          <w:trHeight w:val="455"/>
        </w:trPr>
        <w:tc>
          <w:tcPr>
            <w:tcW w:w="2122" w:type="dxa"/>
          </w:tcPr>
          <w:p w14:paraId="3AD7A0D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MSSF_BA_190</w:t>
            </w:r>
            <w:proofErr w:type="spellEnd"/>
          </w:p>
          <w:p w14:paraId="7D425F59" w14:textId="77777777" w:rsidR="00C63347" w:rsidRPr="00CC263E" w:rsidRDefault="00C63347" w:rsidP="000F3BCF">
            <w:pPr>
              <w:rPr>
                <w:rFonts w:eastAsia="Helvetica 55 Roman" w:cstheme="minorHAnsi"/>
                <w:color w:val="0070C0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MSSF_BA_194</w:t>
            </w:r>
            <w:proofErr w:type="spellEnd"/>
          </w:p>
        </w:tc>
        <w:tc>
          <w:tcPr>
            <w:tcW w:w="3079" w:type="dxa"/>
          </w:tcPr>
          <w:p w14:paraId="7650D43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Inwestycje krótkoterminowe - Krótkoterminowe aktywa finansowe - Środki pieniężne i inne aktywa pieniężne</w:t>
            </w:r>
          </w:p>
          <w:p w14:paraId="15EA17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5099204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Wyodrębnienie znaczników dla środków pieniężnych poza grupę Inwestycje krótkoterminowe;</w:t>
            </w:r>
          </w:p>
          <w:p w14:paraId="1D7824C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  <w:p w14:paraId="2526B53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Usunięcie odrębnych znaczników na inne środki pieniężne i inne aktywa pieniężne jako zbyt szczegółowych i zastąpienie ich 1 wspólnym znacznikiem.</w:t>
            </w:r>
          </w:p>
          <w:p w14:paraId="5903B6A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7E84230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Lista znaczników opiera się na prezentacji sprawozdania z sytuacji finansowej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UoR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. Natomiast spółki raportujące sprawozdania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zazwyczaj prezentują środki pieniężne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jako odrębną pozycję, a nie jako podgrupę inwestycji krótkoterminowych.</w:t>
            </w:r>
          </w:p>
          <w:p w14:paraId="2E409A03" w14:textId="77777777" w:rsidR="00C63347" w:rsidRPr="00CC263E" w:rsidRDefault="00C63347" w:rsidP="000F3BCF">
            <w:pPr>
              <w:rPr>
                <w:rFonts w:eastAsia="Helvetica 55 Roman" w:cstheme="minorHAnsi"/>
                <w:color w:val="0070C0"/>
                <w:sz w:val="20"/>
                <w:szCs w:val="20"/>
              </w:rPr>
            </w:pPr>
          </w:p>
        </w:tc>
      </w:tr>
      <w:tr w:rsidR="00C63347" w:rsidRPr="00CC263E" w14:paraId="7D21E9D0" w14:textId="77777777" w:rsidTr="000F3BCF">
        <w:trPr>
          <w:trHeight w:val="455"/>
        </w:trPr>
        <w:tc>
          <w:tcPr>
            <w:tcW w:w="2122" w:type="dxa"/>
          </w:tcPr>
          <w:p w14:paraId="4E849B7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MSSF_BP_216</w:t>
            </w:r>
            <w:proofErr w:type="spellEnd"/>
          </w:p>
          <w:p w14:paraId="504D995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MSSF_BP_219</w:t>
            </w:r>
            <w:proofErr w:type="spellEnd"/>
          </w:p>
        </w:tc>
        <w:tc>
          <w:tcPr>
            <w:tcW w:w="3079" w:type="dxa"/>
          </w:tcPr>
          <w:p w14:paraId="4BFFBE3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Kapitał zapasowy</w:t>
            </w:r>
          </w:p>
        </w:tc>
        <w:tc>
          <w:tcPr>
            <w:tcW w:w="3583" w:type="dxa"/>
          </w:tcPr>
          <w:p w14:paraId="2D326076" w14:textId="680A70B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odrębnych znaczników dla źródeł powstania kapitału </w:t>
            </w:r>
            <w:r w:rsidR="002678BD" w:rsidRPr="00CC263E">
              <w:rPr>
                <w:rFonts w:eastAsia="Helvetica 55 Roman" w:cstheme="minorHAnsi"/>
                <w:sz w:val="20"/>
                <w:szCs w:val="20"/>
              </w:rPr>
              <w:t>zapasowego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i utworzenie jednego znacznika dla kapitału zapasowego.</w:t>
            </w:r>
          </w:p>
        </w:tc>
        <w:tc>
          <w:tcPr>
            <w:tcW w:w="5406" w:type="dxa"/>
          </w:tcPr>
          <w:p w14:paraId="00AB661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pozycji składowych kapitału zapasowego w sprawozdaniu z sytuacji finansowej. Spółki często nie prowadzą aż tak szczegółowej ewidencji na osobnych kontach księgowych. Konieczność dodatkowego podziału zapisów wymagałaby zmian w procesach księgowych i planie kont spółek i wiązałaby się z dodatkowym obciążeniem/kosztami dla spółek.</w:t>
            </w:r>
          </w:p>
          <w:p w14:paraId="4A781DF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43EFBFC0" w14:textId="77777777" w:rsidTr="000F3BCF">
        <w:trPr>
          <w:trHeight w:val="455"/>
        </w:trPr>
        <w:tc>
          <w:tcPr>
            <w:tcW w:w="2122" w:type="dxa"/>
          </w:tcPr>
          <w:p w14:paraId="1913C38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MSSF_BP_220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</w:t>
            </w:r>
          </w:p>
          <w:p w14:paraId="263FF7E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MSSF_BP_227</w:t>
            </w:r>
            <w:proofErr w:type="spellEnd"/>
          </w:p>
        </w:tc>
        <w:tc>
          <w:tcPr>
            <w:tcW w:w="3079" w:type="dxa"/>
          </w:tcPr>
          <w:p w14:paraId="7F16B3D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Kapitał (fundusz) z aktualizacji wyceny</w:t>
            </w:r>
          </w:p>
        </w:tc>
        <w:tc>
          <w:tcPr>
            <w:tcW w:w="3583" w:type="dxa"/>
          </w:tcPr>
          <w:p w14:paraId="24FECF5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źródeł powstania kapitału z aktualizacji wyceny i utworzenie jednego znacznika dla kapitału z aktualizacji wyceny.</w:t>
            </w:r>
          </w:p>
        </w:tc>
        <w:tc>
          <w:tcPr>
            <w:tcW w:w="5406" w:type="dxa"/>
          </w:tcPr>
          <w:p w14:paraId="5E6452E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pozycji składowych kapitału z aktualizacji wyceny w sprawozdaniu z sytuacji finansowej. Spółki często nie prowadzą aż tak szczegółowej ewidencji na osobnych kontach księgowych. Konieczność dodatkowego podziału zapisów wymagałaby zmian w procesach księgowych i planie kont spółek i wiązałaby się z dodatkowym obciążeniem/kosztami dla spółek.</w:t>
            </w:r>
          </w:p>
          <w:p w14:paraId="49CC76A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7B87D22B" w14:textId="77777777" w:rsidTr="000F3BCF">
        <w:trPr>
          <w:trHeight w:val="455"/>
        </w:trPr>
        <w:tc>
          <w:tcPr>
            <w:tcW w:w="2122" w:type="dxa"/>
          </w:tcPr>
          <w:p w14:paraId="5F9C0A9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MSSF_BP_228</w:t>
            </w:r>
            <w:proofErr w:type="spellEnd"/>
          </w:p>
          <w:p w14:paraId="004FBEB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MSSF_BP_235</w:t>
            </w:r>
            <w:proofErr w:type="spellEnd"/>
          </w:p>
        </w:tc>
        <w:tc>
          <w:tcPr>
            <w:tcW w:w="3079" w:type="dxa"/>
          </w:tcPr>
          <w:p w14:paraId="0E5352B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Pozostałe kapitały (fundusze) rezerwowe</w:t>
            </w:r>
          </w:p>
        </w:tc>
        <w:tc>
          <w:tcPr>
            <w:tcW w:w="3583" w:type="dxa"/>
          </w:tcPr>
          <w:p w14:paraId="2D99C64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źródeł powstania pozostałych kapitałów i utworzenie jednego znacznika dla pozostałych kapitałów rezerwowych.</w:t>
            </w:r>
          </w:p>
        </w:tc>
        <w:tc>
          <w:tcPr>
            <w:tcW w:w="5406" w:type="dxa"/>
          </w:tcPr>
          <w:p w14:paraId="7F573FD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pozycji składowych kapitałów rezerwowych w sprawozdaniu z sytuacji finansowej. Spółki często nie prowadzą aż tak szczegółowej ewidencji na osobnych kontach księgowych. Konieczność dodatkowego podziału zapisów wymagałaby zmian w procesach księgowych i planie kont spółek i wiązałaby się z dodatkowym obciążeniem/kosztami dla spółek.</w:t>
            </w:r>
          </w:p>
          <w:p w14:paraId="5138650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4BC7C87C" w14:textId="77777777" w:rsidTr="000F3BCF">
        <w:trPr>
          <w:trHeight w:val="455"/>
        </w:trPr>
        <w:tc>
          <w:tcPr>
            <w:tcW w:w="2122" w:type="dxa"/>
          </w:tcPr>
          <w:p w14:paraId="2496B0A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MSSF_BP_237</w:t>
            </w:r>
            <w:proofErr w:type="spellEnd"/>
          </w:p>
          <w:p w14:paraId="440412B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MSSF_BP_241</w:t>
            </w:r>
            <w:proofErr w:type="spellEnd"/>
          </w:p>
        </w:tc>
        <w:tc>
          <w:tcPr>
            <w:tcW w:w="3079" w:type="dxa"/>
          </w:tcPr>
          <w:p w14:paraId="6B4FEA9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Zysk (strata) z lat ubiegłych</w:t>
            </w:r>
          </w:p>
        </w:tc>
        <w:tc>
          <w:tcPr>
            <w:tcW w:w="3583" w:type="dxa"/>
          </w:tcPr>
          <w:p w14:paraId="73E6E44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znaczników dla źródeł powstania zysków (strat) z lat ubiegłych i utworzenie 1 wspólnego znacznika.</w:t>
            </w:r>
          </w:p>
        </w:tc>
        <w:tc>
          <w:tcPr>
            <w:tcW w:w="5406" w:type="dxa"/>
          </w:tcPr>
          <w:p w14:paraId="7BD0D17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pozycji składowych zysków (strat) z lat ubiegłych. Spółki często nie prowadzą aż tak szczegółowej ewidencji na osobnych kontach księgowych. Konieczność dodatkowego podziału zapisów wymagałaby zmian w procesach księgowych i planie kont spółek i wiązałaby się z dodatkowym obciążeniem/kosztami dla spółek.</w:t>
            </w:r>
          </w:p>
          <w:p w14:paraId="150068F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31789B7B" w14:textId="77777777" w:rsidTr="000F3BCF">
        <w:trPr>
          <w:trHeight w:val="455"/>
        </w:trPr>
        <w:tc>
          <w:tcPr>
            <w:tcW w:w="2122" w:type="dxa"/>
          </w:tcPr>
          <w:p w14:paraId="4A63277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MSSF_BP_236</w:t>
            </w:r>
            <w:proofErr w:type="spellEnd"/>
          </w:p>
        </w:tc>
        <w:tc>
          <w:tcPr>
            <w:tcW w:w="3079" w:type="dxa"/>
          </w:tcPr>
          <w:p w14:paraId="58ED178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Zysk (strata) netto</w:t>
            </w:r>
          </w:p>
        </w:tc>
        <w:tc>
          <w:tcPr>
            <w:tcW w:w="3583" w:type="dxa"/>
          </w:tcPr>
          <w:p w14:paraId="1AAD85F2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znacznika, jeśli dane miałyby być przekazywane częściej niż za cały rok obrotowy.</w:t>
            </w:r>
          </w:p>
        </w:tc>
        <w:tc>
          <w:tcPr>
            <w:tcW w:w="5406" w:type="dxa"/>
          </w:tcPr>
          <w:p w14:paraId="0DF842D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Możliwe do zastosowania jedynie po zakończeniu roku obrotowego. W czasie roku obrotowego w systemach księgowych nie stosuje się konta dotyczące zysku/straty netto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za bieżący okres. Kwota ta jest sumą kont przychodowych i kosztowych. Dlatego nie jest możliwe użycie takiego znacznika w przypadku, gdy byłby obowiązek przekazywania danych częściej niż rocznie.</w:t>
            </w:r>
          </w:p>
          <w:p w14:paraId="08293F9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3FBBA990" w14:textId="77777777" w:rsidTr="000F3BCF">
        <w:trPr>
          <w:trHeight w:val="455"/>
        </w:trPr>
        <w:tc>
          <w:tcPr>
            <w:tcW w:w="2122" w:type="dxa"/>
          </w:tcPr>
          <w:p w14:paraId="7AF1968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bookmarkStart w:id="0" w:name="_Hlk229038986"/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MSSF_BP_242</w:t>
            </w:r>
            <w:proofErr w:type="spellEnd"/>
          </w:p>
        </w:tc>
        <w:tc>
          <w:tcPr>
            <w:tcW w:w="3079" w:type="dxa"/>
          </w:tcPr>
          <w:p w14:paraId="2129630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Odpisy z zysku netto w ciągu roku obrotowego (wielkość</w:t>
            </w:r>
          </w:p>
          <w:p w14:paraId="4BC9129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ujemna)</w:t>
            </w:r>
          </w:p>
        </w:tc>
        <w:tc>
          <w:tcPr>
            <w:tcW w:w="3583" w:type="dxa"/>
          </w:tcPr>
          <w:p w14:paraId="7BDAAE7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znacznika </w:t>
            </w:r>
          </w:p>
        </w:tc>
        <w:tc>
          <w:tcPr>
            <w:tcW w:w="5406" w:type="dxa"/>
          </w:tcPr>
          <w:p w14:paraId="0F63673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Pozycja ta jest kalką z ustawy o rachunkowości, nie jest kategorią stosowaną w sprawozdaniach finansowych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. Zgodnie 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odpisy są prezentowane w kosztach.</w:t>
            </w:r>
          </w:p>
          <w:p w14:paraId="737A8E8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6D32FBD0" w14:textId="77777777" w:rsidTr="000F3BCF">
        <w:trPr>
          <w:trHeight w:val="1650"/>
        </w:trPr>
        <w:tc>
          <w:tcPr>
            <w:tcW w:w="2122" w:type="dxa"/>
          </w:tcPr>
          <w:p w14:paraId="1D64DA5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MSSF_BP_266</w:t>
            </w:r>
            <w:proofErr w:type="spellEnd"/>
          </w:p>
          <w:p w14:paraId="4119446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MSSF_BP_277</w:t>
            </w:r>
            <w:proofErr w:type="spellEnd"/>
          </w:p>
          <w:p w14:paraId="0162D70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MSSF_BP_280</w:t>
            </w:r>
            <w:proofErr w:type="spellEnd"/>
          </w:p>
          <w:p w14:paraId="47DEE6D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MSSF_BP_291</w:t>
            </w:r>
            <w:proofErr w:type="spellEnd"/>
          </w:p>
          <w:p w14:paraId="4D4A25F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309F369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Zobowiązania z tytułu umów z klientami</w:t>
            </w:r>
          </w:p>
        </w:tc>
        <w:tc>
          <w:tcPr>
            <w:tcW w:w="3583" w:type="dxa"/>
          </w:tcPr>
          <w:p w14:paraId="66FE321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znaczników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MSSF_BP_277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oraz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MSSF_BP_291</w:t>
            </w:r>
            <w:proofErr w:type="spellEnd"/>
          </w:p>
          <w:p w14:paraId="40D4AA7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399D939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Znaczniki zdublowane dla części krótkoterminowej – znacznik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MSSF_BP_266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jest taki sam jak znacznik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MSSF_BP_277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znacznik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MSSF_BP_280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jest taki sam jak znacznik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MSSF_BP_291</w:t>
            </w:r>
            <w:proofErr w:type="spellEnd"/>
          </w:p>
        </w:tc>
      </w:tr>
      <w:tr w:rsidR="00C63347" w:rsidRPr="00CC263E" w14:paraId="40940FE1" w14:textId="77777777" w:rsidTr="000F3BCF">
        <w:trPr>
          <w:trHeight w:val="455"/>
        </w:trPr>
        <w:tc>
          <w:tcPr>
            <w:tcW w:w="2122" w:type="dxa"/>
          </w:tcPr>
          <w:p w14:paraId="57F3481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MSSF_BP_254</w:t>
            </w:r>
            <w:proofErr w:type="spellEnd"/>
          </w:p>
          <w:p w14:paraId="2B22233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MSSF_BP_263</w:t>
            </w:r>
            <w:proofErr w:type="spellEnd"/>
          </w:p>
          <w:p w14:paraId="57AE45B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MSSF_BP_276</w:t>
            </w:r>
            <w:proofErr w:type="spellEnd"/>
          </w:p>
          <w:p w14:paraId="53B5F2B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MSSF_BP_290</w:t>
            </w:r>
            <w:proofErr w:type="spellEnd"/>
          </w:p>
          <w:p w14:paraId="062D6A3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1751877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Zobowiązania wekslowe</w:t>
            </w:r>
          </w:p>
        </w:tc>
        <w:tc>
          <w:tcPr>
            <w:tcW w:w="3583" w:type="dxa"/>
          </w:tcPr>
          <w:p w14:paraId="2DC7C4B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 z powodu zbyt dużej szczegółowości</w:t>
            </w:r>
          </w:p>
        </w:tc>
        <w:tc>
          <w:tcPr>
            <w:tcW w:w="5406" w:type="dxa"/>
          </w:tcPr>
          <w:p w14:paraId="63D369F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zobowiązań wekslowych. Spółki na kontach bilansowych często nie prowadzą tak szczegółowej ewidencji.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Transkacje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powinny być wykazane w ramach pozostałych zobowiązań.</w:t>
            </w:r>
          </w:p>
        </w:tc>
      </w:tr>
      <w:bookmarkEnd w:id="0"/>
      <w:tr w:rsidR="00C63347" w:rsidRPr="00CC263E" w14:paraId="2CBDAB21" w14:textId="77777777" w:rsidTr="000F3BCF">
        <w:trPr>
          <w:trHeight w:val="455"/>
        </w:trPr>
        <w:tc>
          <w:tcPr>
            <w:tcW w:w="2122" w:type="dxa"/>
          </w:tcPr>
          <w:p w14:paraId="0B31EF9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MSSF_BP_272</w:t>
            </w:r>
            <w:proofErr w:type="spellEnd"/>
          </w:p>
          <w:p w14:paraId="15C197A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MSSF_BP_273</w:t>
            </w:r>
            <w:proofErr w:type="spellEnd"/>
          </w:p>
          <w:p w14:paraId="3EE397B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MSSF_BP_286</w:t>
            </w:r>
            <w:proofErr w:type="spellEnd"/>
          </w:p>
          <w:p w14:paraId="3C3F39B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MSSF_BP_287</w:t>
            </w:r>
            <w:proofErr w:type="spellEnd"/>
          </w:p>
        </w:tc>
        <w:tc>
          <w:tcPr>
            <w:tcW w:w="3079" w:type="dxa"/>
          </w:tcPr>
          <w:p w14:paraId="6096083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Zobowiązania krótkoterminowe </w:t>
            </w:r>
          </w:p>
          <w:p w14:paraId="76C5B43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 tytułu dostaw i usług, o okresie</w:t>
            </w:r>
          </w:p>
          <w:p w14:paraId="199F8F7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wymagalności:</w:t>
            </w:r>
          </w:p>
          <w:p w14:paraId="194F172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Do 12 miesięcy / Powyżej 12 miesięcy</w:t>
            </w:r>
          </w:p>
          <w:p w14:paraId="0A380DF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237D35B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znaczników dla okresów wymagalności, utworzenie jednego bez podziału na okres wymagalności.</w:t>
            </w:r>
          </w:p>
        </w:tc>
        <w:tc>
          <w:tcPr>
            <w:tcW w:w="5406" w:type="dxa"/>
          </w:tcPr>
          <w:p w14:paraId="15829E0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W spółkach często zobowiązania krótkoterminowe nie są ewidencjonowane w księgach w podziale na okres zapadalności do 12 miesięcy i powyżej. Konieczność dodatkowego podziału zapisów w księgach wymagałaby zmian w procesach księgowych i planie kont spółek oraz wiązałaby się z dodatkowym obciążeniem/kosztami dla spółek.</w:t>
            </w:r>
          </w:p>
          <w:p w14:paraId="4EF51F46" w14:textId="77777777" w:rsidR="00C63347" w:rsidRPr="00CC263E" w:rsidRDefault="00C63347" w:rsidP="000F3BCF">
            <w:pPr>
              <w:rPr>
                <w:rFonts w:eastAsia="Helvetica 55 Roman" w:cstheme="minorHAnsi"/>
                <w:color w:val="00B050"/>
                <w:sz w:val="20"/>
                <w:szCs w:val="20"/>
              </w:rPr>
            </w:pPr>
          </w:p>
        </w:tc>
      </w:tr>
      <w:tr w:rsidR="00C63347" w:rsidRPr="00CC263E" w14:paraId="7215FA54" w14:textId="77777777" w:rsidTr="000F3BCF">
        <w:trPr>
          <w:trHeight w:val="455"/>
        </w:trPr>
        <w:tc>
          <w:tcPr>
            <w:tcW w:w="2122" w:type="dxa"/>
          </w:tcPr>
          <w:p w14:paraId="035ADDA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MSSF_BP_274</w:t>
            </w:r>
            <w:proofErr w:type="spellEnd"/>
          </w:p>
          <w:p w14:paraId="4FF5AF7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MSSF_BP_288</w:t>
            </w:r>
            <w:proofErr w:type="spellEnd"/>
          </w:p>
          <w:p w14:paraId="1F58A493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3079" w:type="dxa"/>
          </w:tcPr>
          <w:p w14:paraId="26AE4E0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Zaliczki otrzymane na dostawy i usługi</w:t>
            </w:r>
          </w:p>
        </w:tc>
        <w:tc>
          <w:tcPr>
            <w:tcW w:w="3583" w:type="dxa"/>
          </w:tcPr>
          <w:p w14:paraId="07F540D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 jako zbyt szczegółowego</w:t>
            </w:r>
          </w:p>
        </w:tc>
        <w:tc>
          <w:tcPr>
            <w:tcW w:w="5406" w:type="dxa"/>
          </w:tcPr>
          <w:p w14:paraId="66C50BB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zaliczek. Spółki na kontach bilansowych często nie prowadzą tak szczegółowej ewidencji. </w:t>
            </w:r>
          </w:p>
          <w:p w14:paraId="30601BC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6AEBE149" w14:textId="77777777" w:rsidTr="000F3BCF">
        <w:trPr>
          <w:trHeight w:val="455"/>
        </w:trPr>
        <w:tc>
          <w:tcPr>
            <w:tcW w:w="2122" w:type="dxa"/>
          </w:tcPr>
          <w:p w14:paraId="5031575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MSSF_BP_275</w:t>
            </w:r>
            <w:proofErr w:type="spellEnd"/>
          </w:p>
          <w:p w14:paraId="0FF04A9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MSSF_BP_289</w:t>
            </w:r>
            <w:proofErr w:type="spellEnd"/>
          </w:p>
        </w:tc>
        <w:tc>
          <w:tcPr>
            <w:tcW w:w="3079" w:type="dxa"/>
          </w:tcPr>
          <w:p w14:paraId="106A869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Zobowiązanie do zwrotu zapłaty</w:t>
            </w:r>
          </w:p>
        </w:tc>
        <w:tc>
          <w:tcPr>
            <w:tcW w:w="3583" w:type="dxa"/>
          </w:tcPr>
          <w:p w14:paraId="61B9C20A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 jako zbyt szczegółowego</w:t>
            </w:r>
          </w:p>
        </w:tc>
        <w:tc>
          <w:tcPr>
            <w:tcW w:w="5406" w:type="dxa"/>
          </w:tcPr>
          <w:p w14:paraId="2E55F78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tych zobowiązań. Spółki na kontach bilansowych często nie prowadzą tak szczegółowej ewidencji. </w:t>
            </w:r>
          </w:p>
          <w:p w14:paraId="33053C6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17D809E9" w14:textId="77777777" w:rsidTr="000F3BCF">
        <w:trPr>
          <w:trHeight w:val="455"/>
        </w:trPr>
        <w:tc>
          <w:tcPr>
            <w:tcW w:w="2122" w:type="dxa"/>
          </w:tcPr>
          <w:p w14:paraId="762E967E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MSSF_BP_300</w:t>
            </w:r>
            <w:proofErr w:type="spellEnd"/>
          </w:p>
        </w:tc>
        <w:tc>
          <w:tcPr>
            <w:tcW w:w="3079" w:type="dxa"/>
          </w:tcPr>
          <w:p w14:paraId="74504C0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Zobowiązania Z tytułu podatków, ceł, dotacji, ubezpieczeń i innych</w:t>
            </w:r>
          </w:p>
          <w:p w14:paraId="47822DF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Świadczeń - Dotacje</w:t>
            </w:r>
          </w:p>
        </w:tc>
        <w:tc>
          <w:tcPr>
            <w:tcW w:w="3583" w:type="dxa"/>
          </w:tcPr>
          <w:p w14:paraId="682A533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znacznika </w:t>
            </w:r>
          </w:p>
        </w:tc>
        <w:tc>
          <w:tcPr>
            <w:tcW w:w="5406" w:type="dxa"/>
          </w:tcPr>
          <w:p w14:paraId="3AC65F4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Prezentacja zobowiązań z tytułu podatków łącznie ze zobowiązaniami z tytułu dotacji jest kalką prezentacji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UoR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, która nie jest stosowana przez spółki sporządzające 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 xml:space="preserve">sprawozdanie wg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(podatki i dotacje są regulowane przez odrębne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MSR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i łączenie tych tytułów we wspólnej pozycji w sprawozdaniu finansowym nie jest stosowane).</w:t>
            </w:r>
          </w:p>
          <w:p w14:paraId="674331BD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63347" w:rsidRPr="00CC263E" w14:paraId="5CA1CD28" w14:textId="77777777" w:rsidTr="000F3BCF">
        <w:trPr>
          <w:trHeight w:val="455"/>
        </w:trPr>
        <w:tc>
          <w:tcPr>
            <w:tcW w:w="2122" w:type="dxa"/>
          </w:tcPr>
          <w:p w14:paraId="5600F8D9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lastRenderedPageBreak/>
              <w:t>MSSF_BP_304</w:t>
            </w:r>
            <w:proofErr w:type="spellEnd"/>
          </w:p>
        </w:tc>
        <w:tc>
          <w:tcPr>
            <w:tcW w:w="3079" w:type="dxa"/>
          </w:tcPr>
          <w:p w14:paraId="7E57886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Zobowiązania bezpośrednio związane z aktywami trwałymi zaklasyfikowanymi jako</w:t>
            </w:r>
          </w:p>
          <w:p w14:paraId="7F19B781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przeznaczone do zbycia</w:t>
            </w:r>
          </w:p>
        </w:tc>
        <w:tc>
          <w:tcPr>
            <w:tcW w:w="3583" w:type="dxa"/>
          </w:tcPr>
          <w:p w14:paraId="18A1BE16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znacznika</w:t>
            </w:r>
          </w:p>
        </w:tc>
        <w:tc>
          <w:tcPr>
            <w:tcW w:w="5406" w:type="dxa"/>
          </w:tcPr>
          <w:p w14:paraId="10060CF7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Spółki często nie wydzielają w księgach tych zobowiązań na osobne konta, więc nie ma możliwości wykorzystania tych znaczników. Dane do prezentacji w sprawozdaniu z sytuacji finansowej zobowiązań bezpośrednio związanych z aktywami przeznaczonymi do sprzedaży pozyskiwane są poza systemem księgowym. </w:t>
            </w:r>
          </w:p>
          <w:p w14:paraId="532C1155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7D9B35AB" w14:textId="77777777" w:rsidTr="000F3BCF">
        <w:trPr>
          <w:trHeight w:val="455"/>
        </w:trPr>
        <w:tc>
          <w:tcPr>
            <w:tcW w:w="2122" w:type="dxa"/>
          </w:tcPr>
          <w:p w14:paraId="46486B38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MSSF_BP_305</w:t>
            </w:r>
            <w:proofErr w:type="spellEnd"/>
          </w:p>
          <w:p w14:paraId="63462E9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MSSF_BP_308</w:t>
            </w:r>
            <w:proofErr w:type="spellEnd"/>
          </w:p>
        </w:tc>
        <w:tc>
          <w:tcPr>
            <w:tcW w:w="3079" w:type="dxa"/>
          </w:tcPr>
          <w:p w14:paraId="167547B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Rozliczenia międzyokresowe - Dotacje</w:t>
            </w:r>
          </w:p>
        </w:tc>
        <w:tc>
          <w:tcPr>
            <w:tcW w:w="3583" w:type="dxa"/>
          </w:tcPr>
          <w:p w14:paraId="2C4E2069" w14:textId="6CD481D9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Usunięcie znacznika dla dotacji jako zbyt szczegółowego, a pozostawienie jednego znacznika dla rozliczeń międzyokresowych, </w:t>
            </w:r>
            <w:r w:rsidR="002678BD" w:rsidRPr="00CC263E">
              <w:rPr>
                <w:rFonts w:eastAsia="Helvetica 55 Roman" w:cstheme="minorHAnsi"/>
                <w:sz w:val="20"/>
                <w:szCs w:val="20"/>
              </w:rPr>
              <w:t>odpowiednio</w:t>
            </w: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długoterminowych i krótkoterminowych.</w:t>
            </w:r>
          </w:p>
          <w:p w14:paraId="4C3E348F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  <w:tc>
          <w:tcPr>
            <w:tcW w:w="5406" w:type="dxa"/>
          </w:tcPr>
          <w:p w14:paraId="097338AE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rozliczeń międzyokresowych z tytułu dotacji. Spółki na kontach bilansowych często nie prowadzą tak szczegółowej ewidencji, tylko księgują transakcje na wspólnym koncie. </w:t>
            </w:r>
          </w:p>
          <w:p w14:paraId="24521FD0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</w:p>
        </w:tc>
      </w:tr>
      <w:tr w:rsidR="00C63347" w:rsidRPr="00CC263E" w14:paraId="1AC1AE02" w14:textId="77777777" w:rsidTr="000F3BCF">
        <w:trPr>
          <w:trHeight w:val="455"/>
        </w:trPr>
        <w:tc>
          <w:tcPr>
            <w:tcW w:w="2122" w:type="dxa"/>
          </w:tcPr>
          <w:p w14:paraId="4666C96C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od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MSSF_BP_309</w:t>
            </w:r>
            <w:proofErr w:type="spellEnd"/>
          </w:p>
          <w:p w14:paraId="704A0814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do </w:t>
            </w: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MSSF_BP_316</w:t>
            </w:r>
            <w:proofErr w:type="spellEnd"/>
          </w:p>
        </w:tc>
        <w:tc>
          <w:tcPr>
            <w:tcW w:w="3079" w:type="dxa"/>
          </w:tcPr>
          <w:p w14:paraId="6324CAEB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Zobowiązania wobec pozostałych podmiotów</w:t>
            </w:r>
          </w:p>
        </w:tc>
        <w:tc>
          <w:tcPr>
            <w:tcW w:w="3583" w:type="dxa"/>
          </w:tcPr>
          <w:p w14:paraId="158989B1" w14:textId="77777777" w:rsidR="00C63347" w:rsidRPr="00CC263E" w:rsidRDefault="00C63347" w:rsidP="000F3BCF">
            <w:pPr>
              <w:rPr>
                <w:rFonts w:eastAsia="Helvetica 55 Roman" w:cstheme="minorHAnsi"/>
                <w:color w:val="0070C0"/>
                <w:sz w:val="20"/>
                <w:szCs w:val="20"/>
              </w:rPr>
            </w:pPr>
            <w:r w:rsidRPr="00CC263E">
              <w:rPr>
                <w:rFonts w:eastAsia="Helvetica 55 Roman" w:cstheme="minorHAnsi"/>
                <w:sz w:val="20"/>
                <w:szCs w:val="20"/>
              </w:rPr>
              <w:t>Usunięcie odrębnych wskaźników dla poszczególnych rodzajów kontrahentów</w:t>
            </w:r>
          </w:p>
        </w:tc>
        <w:tc>
          <w:tcPr>
            <w:tcW w:w="5406" w:type="dxa"/>
          </w:tcPr>
          <w:p w14:paraId="5874097D" w14:textId="77777777" w:rsidR="00C63347" w:rsidRPr="00CC263E" w:rsidRDefault="00C63347" w:rsidP="000F3BCF">
            <w:pPr>
              <w:rPr>
                <w:rFonts w:eastAsia="Helvetica 55 Roman" w:cstheme="minorHAnsi"/>
                <w:sz w:val="20"/>
                <w:szCs w:val="20"/>
              </w:rPr>
            </w:pPr>
            <w:proofErr w:type="spellStart"/>
            <w:r w:rsidRPr="00CC263E">
              <w:rPr>
                <w:rFonts w:eastAsia="Helvetica 55 Roman" w:cstheme="minorHAnsi"/>
                <w:sz w:val="20"/>
                <w:szCs w:val="20"/>
              </w:rPr>
              <w:t>MSSF</w:t>
            </w:r>
            <w:proofErr w:type="spellEnd"/>
            <w:r w:rsidRPr="00CC263E">
              <w:rPr>
                <w:rFonts w:eastAsia="Helvetica 55 Roman" w:cstheme="minorHAnsi"/>
                <w:sz w:val="20"/>
                <w:szCs w:val="20"/>
              </w:rPr>
              <w:t xml:space="preserve"> nie wymagają odrębnej prezentacji tych poszczególnych rodzajów zobowiązań. Spółki na kontach bilansowych często nie prowadzą tak szczegółowej ewidencji, tylko księgują transakcje na wspólnym koncie. Konieczność dodatkowego podziału zapisów wymagałaby zmian w procesach księgowych i planie kont spółek i wiązałaby się z dodatkowym obciążeniem/kosztami dla spółek. </w:t>
            </w:r>
          </w:p>
          <w:p w14:paraId="769CF778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</w:p>
          <w:p w14:paraId="7ECEA87B" w14:textId="77777777" w:rsidR="00C63347" w:rsidRPr="00CC263E" w:rsidRDefault="00C63347" w:rsidP="000F3BCF">
            <w:pPr>
              <w:rPr>
                <w:rFonts w:eastAsiaTheme="minorEastAsia" w:cstheme="minorHAnsi"/>
                <w:sz w:val="20"/>
                <w:szCs w:val="20"/>
              </w:rPr>
            </w:pPr>
            <w:r w:rsidRPr="00CC263E">
              <w:rPr>
                <w:rFonts w:eastAsiaTheme="minorEastAsia" w:cstheme="minorHAnsi"/>
                <w:sz w:val="20"/>
                <w:szCs w:val="20"/>
              </w:rPr>
              <w:t>Jeśli te pozycje dotyczyłyby tylko banków, należy je przenieść do grupy znaczników BANK.</w:t>
            </w:r>
          </w:p>
          <w:p w14:paraId="59227A7B" w14:textId="77777777" w:rsidR="00C63347" w:rsidRPr="00CC263E" w:rsidRDefault="00C63347" w:rsidP="000F3BCF">
            <w:pPr>
              <w:rPr>
                <w:rFonts w:eastAsia="Helvetica 55 Roman" w:cstheme="minorHAnsi"/>
                <w:color w:val="0070C0"/>
                <w:sz w:val="20"/>
                <w:szCs w:val="20"/>
              </w:rPr>
            </w:pPr>
          </w:p>
        </w:tc>
      </w:tr>
    </w:tbl>
    <w:p w14:paraId="6F16F65E" w14:textId="77777777" w:rsidR="0084728B" w:rsidRDefault="0084728B" w:rsidP="00254D26"/>
    <w:p w14:paraId="6B96EA65" w14:textId="77777777" w:rsidR="003D613C" w:rsidRDefault="003D613C" w:rsidP="003C6CFB">
      <w:pPr>
        <w:ind w:left="708"/>
      </w:pPr>
    </w:p>
    <w:p w14:paraId="17BC84AB" w14:textId="77777777" w:rsidR="003D613C" w:rsidRPr="00254D26" w:rsidRDefault="003D613C" w:rsidP="00254D26"/>
    <w:sectPr w:rsidR="003D613C" w:rsidRPr="00254D26" w:rsidSect="00254D26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13239" w14:textId="77777777" w:rsidR="006E5461" w:rsidRDefault="006E5461" w:rsidP="00037F6A">
      <w:pPr>
        <w:spacing w:after="0" w:line="240" w:lineRule="auto"/>
      </w:pPr>
      <w:r>
        <w:separator/>
      </w:r>
    </w:p>
  </w:endnote>
  <w:endnote w:type="continuationSeparator" w:id="0">
    <w:p w14:paraId="7B9381C1" w14:textId="77777777" w:rsidR="006E5461" w:rsidRDefault="006E5461" w:rsidP="0003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 55 Roman">
    <w:altName w:val="Arial"/>
    <w:charset w:val="00"/>
    <w:family w:val="swiss"/>
    <w:pitch w:val="variable"/>
    <w:sig w:usb0="A00002A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4AC3" w14:textId="77777777" w:rsidR="006E5461" w:rsidRDefault="006E5461" w:rsidP="00037F6A">
      <w:pPr>
        <w:spacing w:after="0" w:line="240" w:lineRule="auto"/>
      </w:pPr>
      <w:r>
        <w:separator/>
      </w:r>
    </w:p>
  </w:footnote>
  <w:footnote w:type="continuationSeparator" w:id="0">
    <w:p w14:paraId="07BF34F8" w14:textId="77777777" w:rsidR="006E5461" w:rsidRDefault="006E5461" w:rsidP="00037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10A9CD8"/>
    <w:lvl w:ilvl="0">
      <w:start w:val="1"/>
      <w:numFmt w:val="decimal"/>
      <w:pStyle w:val="Listanumerowana"/>
      <w:lvlText w:val="%1."/>
      <w:lvlJc w:val="left"/>
      <w:pPr>
        <w:ind w:left="360" w:hanging="360"/>
      </w:pPr>
      <w:rPr>
        <w:rFonts w:hint="default"/>
        <w:color w:val="4472C4" w:themeColor="accent1"/>
      </w:rPr>
    </w:lvl>
  </w:abstractNum>
  <w:abstractNum w:abstractNumId="1" w15:restartNumberingAfterBreak="0">
    <w:nsid w:val="FFFFFF89"/>
    <w:multiLevelType w:val="singleLevel"/>
    <w:tmpl w:val="B1C8E22E"/>
    <w:lvl w:ilvl="0">
      <w:start w:val="1"/>
      <w:numFmt w:val="bullet"/>
      <w:pStyle w:val="Listapunktowana"/>
      <w:lvlText w:val="n"/>
      <w:lvlJc w:val="left"/>
      <w:pPr>
        <w:ind w:left="360" w:hanging="360"/>
      </w:pPr>
      <w:rPr>
        <w:rFonts w:ascii="Wingdings" w:hAnsi="Wingdings" w:hint="default"/>
        <w:color w:val="4472C4" w:themeColor="accent1"/>
        <w:sz w:val="18"/>
      </w:rPr>
    </w:lvl>
  </w:abstractNum>
  <w:abstractNum w:abstractNumId="2" w15:restartNumberingAfterBreak="0">
    <w:nsid w:val="26BC2AA1"/>
    <w:multiLevelType w:val="hybridMultilevel"/>
    <w:tmpl w:val="7696F0EC"/>
    <w:lvl w:ilvl="0" w:tplc="B792E186">
      <w:start w:val="1"/>
      <w:numFmt w:val="decimal"/>
      <w:lvlText w:val="%1."/>
      <w:lvlJc w:val="left"/>
      <w:pPr>
        <w:ind w:left="1069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745F30"/>
    <w:multiLevelType w:val="hybridMultilevel"/>
    <w:tmpl w:val="BFE8C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387330">
    <w:abstractNumId w:val="1"/>
  </w:num>
  <w:num w:numId="2" w16cid:durableId="1453137609">
    <w:abstractNumId w:val="0"/>
  </w:num>
  <w:num w:numId="3" w16cid:durableId="1252934635">
    <w:abstractNumId w:val="2"/>
  </w:num>
  <w:num w:numId="4" w16cid:durableId="626550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C6"/>
    <w:rsid w:val="00037F6A"/>
    <w:rsid w:val="000B6EC6"/>
    <w:rsid w:val="00254D26"/>
    <w:rsid w:val="002678BD"/>
    <w:rsid w:val="003C6CFB"/>
    <w:rsid w:val="003D613C"/>
    <w:rsid w:val="006E5461"/>
    <w:rsid w:val="0084728B"/>
    <w:rsid w:val="00A9440D"/>
    <w:rsid w:val="00C63347"/>
    <w:rsid w:val="00CC263E"/>
    <w:rsid w:val="00E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59F6"/>
  <w15:chartTrackingRefBased/>
  <w15:docId w15:val="{22E3F7C0-B23C-4B1B-9E05-7551003D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9" w:unhideWhenUsed="1" w:qFormat="1"/>
    <w:lsdException w:name="heading 6" w:semiHidden="1" w:uiPriority="59" w:unhideWhenUsed="1" w:qFormat="1"/>
    <w:lsdException w:name="heading 7" w:semiHidden="1" w:uiPriority="59" w:unhideWhenUsed="1" w:qFormat="1"/>
    <w:lsdException w:name="heading 8" w:semiHidden="1" w:uiPriority="59" w:unhideWhenUsed="1" w:qFormat="1"/>
    <w:lsdException w:name="heading 9" w:semiHidden="1" w:uiPriority="5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3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uiPriority="59" w:qFormat="1"/>
    <w:lsdException w:name="Intense Reference" w:uiPriority="59" w:qFormat="1"/>
    <w:lsdException w:name="Book Title" w:uiPriority="5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B6EC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5"/>
    <w:qFormat/>
    <w:rsid w:val="000B6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5"/>
    <w:unhideWhenUsed/>
    <w:qFormat/>
    <w:rsid w:val="000B6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5"/>
    <w:unhideWhenUsed/>
    <w:qFormat/>
    <w:rsid w:val="000B6E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5"/>
    <w:unhideWhenUsed/>
    <w:qFormat/>
    <w:rsid w:val="000B6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59"/>
    <w:semiHidden/>
    <w:unhideWhenUsed/>
    <w:qFormat/>
    <w:rsid w:val="000B6E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59"/>
    <w:semiHidden/>
    <w:unhideWhenUsed/>
    <w:qFormat/>
    <w:rsid w:val="000B6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59"/>
    <w:semiHidden/>
    <w:unhideWhenUsed/>
    <w:qFormat/>
    <w:rsid w:val="000B6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59"/>
    <w:semiHidden/>
    <w:unhideWhenUsed/>
    <w:qFormat/>
    <w:rsid w:val="000B6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59"/>
    <w:semiHidden/>
    <w:unhideWhenUsed/>
    <w:qFormat/>
    <w:rsid w:val="000B6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5"/>
    <w:rsid w:val="000B6E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5"/>
    <w:rsid w:val="000B6E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5"/>
    <w:rsid w:val="000B6E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5"/>
    <w:rsid w:val="000B6EC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59"/>
    <w:semiHidden/>
    <w:rsid w:val="000B6EC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59"/>
    <w:semiHidden/>
    <w:rsid w:val="000B6E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59"/>
    <w:semiHidden/>
    <w:rsid w:val="000B6E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59"/>
    <w:semiHidden/>
    <w:rsid w:val="000B6E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59"/>
    <w:semiHidden/>
    <w:rsid w:val="000B6E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3"/>
    <w:qFormat/>
    <w:rsid w:val="000B6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3"/>
    <w:rsid w:val="000B6EC6"/>
    <w:rPr>
      <w:i/>
      <w:iCs/>
      <w:color w:val="404040" w:themeColor="text1" w:themeTint="BF"/>
    </w:rPr>
  </w:style>
  <w:style w:type="paragraph" w:styleId="Akapitzlist">
    <w:name w:val="List Paragraph"/>
    <w:aliases w:val="Wyliczanie,BulletC,Listaszerű bekezdés1,List Paragraph à moi,Dot pt,F5 List Paragraph,Numbered Para 1,No Spacing1,List Paragraph Char Char Char,Indicator Text,Bullet Points,MAIN CONTENT,IFCL - List Paragraph,????,????1,Bullet List,numbere"/>
    <w:basedOn w:val="Normalny"/>
    <w:link w:val="AkapitzlistZnak"/>
    <w:uiPriority w:val="34"/>
    <w:qFormat/>
    <w:rsid w:val="000B6EC6"/>
    <w:pPr>
      <w:ind w:left="720"/>
      <w:contextualSpacing/>
    </w:pPr>
  </w:style>
  <w:style w:type="character" w:styleId="Wyrnienieintensywne">
    <w:name w:val="Intense Emphasis"/>
    <w:basedOn w:val="Domylnaczcionkaakapitu"/>
    <w:uiPriority w:val="39"/>
    <w:qFormat/>
    <w:rsid w:val="000B6EC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59"/>
    <w:qFormat/>
    <w:rsid w:val="000B6E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59"/>
    <w:rsid w:val="000B6EC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59"/>
    <w:qFormat/>
    <w:rsid w:val="000B6EC6"/>
    <w:rPr>
      <w:b/>
      <w:bCs/>
      <w:smallCaps/>
      <w:color w:val="2F5496" w:themeColor="accent1" w:themeShade="BF"/>
      <w:spacing w:val="5"/>
    </w:rPr>
  </w:style>
  <w:style w:type="paragraph" w:customStyle="1" w:styleId="BrochH1">
    <w:name w:val="Broch H1"/>
    <w:next w:val="BrochS1"/>
    <w:uiPriority w:val="6"/>
    <w:qFormat/>
    <w:rsid w:val="000B6EC6"/>
    <w:pPr>
      <w:pageBreakBefore/>
      <w:spacing w:after="0" w:line="360" w:lineRule="atLeast"/>
    </w:pPr>
    <w:rPr>
      <w:rFonts w:asciiTheme="majorHAnsi" w:eastAsiaTheme="majorEastAsia" w:hAnsiTheme="majorHAnsi" w:cstheme="majorBidi"/>
      <w:color w:val="4472C4" w:themeColor="accent1"/>
      <w:kern w:val="0"/>
      <w:sz w:val="36"/>
      <w:szCs w:val="32"/>
      <w14:ligatures w14:val="none"/>
    </w:rPr>
  </w:style>
  <w:style w:type="paragraph" w:customStyle="1" w:styleId="BrochS1">
    <w:name w:val="Broch S1"/>
    <w:next w:val="Tekstpodstawowy"/>
    <w:uiPriority w:val="6"/>
    <w:qFormat/>
    <w:rsid w:val="000B6EC6"/>
    <w:pPr>
      <w:keepNext/>
      <w:keepLines/>
      <w:spacing w:after="360" w:line="360" w:lineRule="atLeast"/>
    </w:pPr>
    <w:rPr>
      <w:rFonts w:asciiTheme="majorHAnsi" w:eastAsiaTheme="majorEastAsia" w:hAnsiTheme="majorHAnsi" w:cstheme="majorBidi"/>
      <w:color w:val="000000" w:themeColor="text1"/>
      <w:kern w:val="0"/>
      <w:sz w:val="36"/>
      <w:szCs w:val="32"/>
      <w14:ligatures w14:val="none"/>
    </w:rPr>
  </w:style>
  <w:style w:type="paragraph" w:styleId="Tekstpodstawowy">
    <w:name w:val="Body Text"/>
    <w:link w:val="TekstpodstawowyZnak"/>
    <w:qFormat/>
    <w:rsid w:val="000B6EC6"/>
    <w:pPr>
      <w:spacing w:after="120" w:line="260" w:lineRule="atLeast"/>
    </w:pPr>
    <w:rPr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B6EC6"/>
    <w:rPr>
      <w:kern w:val="0"/>
      <w14:ligatures w14:val="none"/>
    </w:rPr>
  </w:style>
  <w:style w:type="paragraph" w:customStyle="1" w:styleId="BrochX1">
    <w:name w:val="Broch X1"/>
    <w:next w:val="Tekstpodstawowy"/>
    <w:uiPriority w:val="6"/>
    <w:qFormat/>
    <w:rsid w:val="000B6EC6"/>
    <w:pPr>
      <w:pageBreakBefore/>
      <w:spacing w:after="240" w:line="360" w:lineRule="atLeast"/>
    </w:pPr>
    <w:rPr>
      <w:rFonts w:asciiTheme="majorHAnsi" w:eastAsiaTheme="majorEastAsia" w:hAnsiTheme="majorHAnsi" w:cstheme="majorBidi"/>
      <w:color w:val="4472C4" w:themeColor="accent1"/>
      <w:kern w:val="0"/>
      <w:sz w:val="36"/>
      <w:szCs w:val="32"/>
      <w14:ligatures w14:val="none"/>
    </w:rPr>
  </w:style>
  <w:style w:type="paragraph" w:customStyle="1" w:styleId="BrochH2">
    <w:name w:val="Broch H2"/>
    <w:basedOn w:val="BrochH1"/>
    <w:next w:val="Tekstpodstawowy"/>
    <w:uiPriority w:val="7"/>
    <w:qFormat/>
    <w:rsid w:val="000B6EC6"/>
    <w:pPr>
      <w:keepNext/>
      <w:pageBreakBefore w:val="0"/>
      <w:spacing w:after="120" w:line="320" w:lineRule="atLeast"/>
    </w:pPr>
    <w:rPr>
      <w:color w:val="000000" w:themeColor="text1"/>
      <w:sz w:val="28"/>
    </w:rPr>
  </w:style>
  <w:style w:type="paragraph" w:customStyle="1" w:styleId="BrochH3">
    <w:name w:val="Broch H3"/>
    <w:basedOn w:val="BrochH2"/>
    <w:next w:val="Tekstpodstawowy"/>
    <w:uiPriority w:val="7"/>
    <w:qFormat/>
    <w:rsid w:val="000B6EC6"/>
    <w:pPr>
      <w:spacing w:line="280" w:lineRule="atLeast"/>
    </w:pPr>
    <w:rPr>
      <w:sz w:val="24"/>
    </w:rPr>
  </w:style>
  <w:style w:type="paragraph" w:customStyle="1" w:styleId="BrochH4">
    <w:name w:val="Broch H4"/>
    <w:basedOn w:val="BrochH3"/>
    <w:next w:val="Tekstpodstawowy"/>
    <w:uiPriority w:val="7"/>
    <w:qFormat/>
    <w:rsid w:val="000B6EC6"/>
    <w:rPr>
      <w:rFonts w:asciiTheme="minorHAnsi" w:hAnsiTheme="minorHAnsi"/>
    </w:rPr>
  </w:style>
  <w:style w:type="paragraph" w:customStyle="1" w:styleId="TableHeader">
    <w:name w:val="Table Header"/>
    <w:link w:val="TableHeaderChar"/>
    <w:uiPriority w:val="9"/>
    <w:qFormat/>
    <w:rsid w:val="000B6EC6"/>
    <w:pPr>
      <w:keepNext/>
      <w:spacing w:before="60" w:after="60" w:line="240" w:lineRule="atLeast"/>
    </w:pPr>
    <w:rPr>
      <w:kern w:val="0"/>
      <w:sz w:val="20"/>
      <w14:ligatures w14:val="none"/>
    </w:rPr>
  </w:style>
  <w:style w:type="character" w:customStyle="1" w:styleId="TableHeaderChar">
    <w:name w:val="Table Header Char"/>
    <w:basedOn w:val="TekstpodstawowyZnak"/>
    <w:link w:val="TableHeader"/>
    <w:uiPriority w:val="9"/>
    <w:rsid w:val="000B6EC6"/>
    <w:rPr>
      <w:kern w:val="0"/>
      <w:sz w:val="20"/>
      <w14:ligatures w14:val="none"/>
    </w:rPr>
  </w:style>
  <w:style w:type="paragraph" w:customStyle="1" w:styleId="TableText">
    <w:name w:val="Table Text"/>
    <w:uiPriority w:val="10"/>
    <w:qFormat/>
    <w:rsid w:val="000B6EC6"/>
    <w:pPr>
      <w:spacing w:before="40" w:after="40" w:line="220" w:lineRule="atLeast"/>
    </w:pPr>
    <w:rPr>
      <w:color w:val="000000" w:themeColor="text1"/>
      <w:kern w:val="0"/>
      <w:sz w:val="18"/>
      <w14:ligatures w14:val="none"/>
    </w:rPr>
  </w:style>
  <w:style w:type="paragraph" w:customStyle="1" w:styleId="FooterPage">
    <w:name w:val="Footer Page"/>
    <w:basedOn w:val="Stopka"/>
    <w:link w:val="FooterPageChar"/>
    <w:uiPriority w:val="37"/>
    <w:qFormat/>
    <w:rsid w:val="000B6EC6"/>
    <w:pPr>
      <w:tabs>
        <w:tab w:val="clear" w:pos="4536"/>
        <w:tab w:val="clear" w:pos="9072"/>
        <w:tab w:val="right" w:pos="9526"/>
      </w:tabs>
      <w:spacing w:line="260" w:lineRule="atLeast"/>
      <w:jc w:val="right"/>
    </w:pPr>
    <w:rPr>
      <w:color w:val="4472C4" w:themeColor="accent1"/>
    </w:rPr>
  </w:style>
  <w:style w:type="character" w:customStyle="1" w:styleId="FooterPageChar">
    <w:name w:val="Footer Page Char"/>
    <w:basedOn w:val="StopkaZnak"/>
    <w:link w:val="FooterPage"/>
    <w:uiPriority w:val="37"/>
    <w:rsid w:val="000B6EC6"/>
    <w:rPr>
      <w:color w:val="4472C4" w:themeColor="accent1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B6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EC6"/>
    <w:rPr>
      <w:kern w:val="0"/>
      <w14:ligatures w14:val="none"/>
    </w:rPr>
  </w:style>
  <w:style w:type="paragraph" w:customStyle="1" w:styleId="Graphics">
    <w:name w:val="Graphics"/>
    <w:link w:val="GraphicsChar"/>
    <w:uiPriority w:val="3"/>
    <w:qFormat/>
    <w:rsid w:val="000B6EC6"/>
    <w:pPr>
      <w:spacing w:after="240" w:line="280" w:lineRule="atLeast"/>
    </w:pPr>
    <w:rPr>
      <w:noProof/>
      <w:color w:val="000000" w:themeColor="text1"/>
      <w:kern w:val="0"/>
      <w:sz w:val="24"/>
      <w:lang w:eastAsia="en-GB"/>
      <w14:ligatures w14:val="none"/>
    </w:rPr>
  </w:style>
  <w:style w:type="character" w:customStyle="1" w:styleId="GraphicsChar">
    <w:name w:val="Graphics Char"/>
    <w:basedOn w:val="TekstpodstawowyZnak"/>
    <w:link w:val="Graphics"/>
    <w:uiPriority w:val="3"/>
    <w:rsid w:val="000B6EC6"/>
    <w:rPr>
      <w:noProof/>
      <w:color w:val="000000" w:themeColor="text1"/>
      <w:kern w:val="0"/>
      <w:sz w:val="24"/>
      <w:lang w:eastAsia="en-GB"/>
      <w14:ligatures w14:val="none"/>
    </w:rPr>
  </w:style>
  <w:style w:type="paragraph" w:customStyle="1" w:styleId="FooterOrange">
    <w:name w:val="Footer Orange"/>
    <w:basedOn w:val="Stopka"/>
    <w:link w:val="FooterOrangeChar"/>
    <w:uiPriority w:val="37"/>
    <w:qFormat/>
    <w:rsid w:val="000B6EC6"/>
    <w:pPr>
      <w:tabs>
        <w:tab w:val="clear" w:pos="4536"/>
        <w:tab w:val="clear" w:pos="9072"/>
        <w:tab w:val="right" w:pos="9526"/>
      </w:tabs>
      <w:spacing w:line="260" w:lineRule="atLeast"/>
    </w:pPr>
    <w:rPr>
      <w:noProof/>
      <w:color w:val="4472C4" w:themeColor="accent1"/>
    </w:rPr>
  </w:style>
  <w:style w:type="character" w:customStyle="1" w:styleId="FooterOrangeChar">
    <w:name w:val="Footer Orange Char"/>
    <w:basedOn w:val="Domylnaczcionkaakapitu"/>
    <w:link w:val="FooterOrange"/>
    <w:uiPriority w:val="37"/>
    <w:rsid w:val="000B6EC6"/>
    <w:rPr>
      <w:noProof/>
      <w:color w:val="4472C4" w:themeColor="accent1"/>
      <w:kern w:val="0"/>
      <w14:ligatures w14:val="none"/>
    </w:rPr>
  </w:style>
  <w:style w:type="paragraph" w:styleId="Legenda">
    <w:name w:val="caption"/>
    <w:next w:val="Tekstpodstawowy"/>
    <w:uiPriority w:val="3"/>
    <w:qFormat/>
    <w:rsid w:val="000B6EC6"/>
    <w:pPr>
      <w:keepNext/>
      <w:spacing w:before="40" w:after="120" w:line="240" w:lineRule="atLeast"/>
    </w:pPr>
    <w:rPr>
      <w:iCs/>
      <w:color w:val="4472C4" w:themeColor="accent1"/>
      <w:kern w:val="0"/>
      <w:sz w:val="20"/>
      <w:szCs w:val="18"/>
      <w14:ligatures w14:val="none"/>
    </w:rPr>
  </w:style>
  <w:style w:type="paragraph" w:styleId="Listapunktowana">
    <w:name w:val="List Bullet"/>
    <w:uiPriority w:val="1"/>
    <w:qFormat/>
    <w:rsid w:val="000B6EC6"/>
    <w:pPr>
      <w:numPr>
        <w:numId w:val="1"/>
      </w:numPr>
      <w:spacing w:after="80" w:line="260" w:lineRule="atLeast"/>
      <w:ind w:left="0" w:firstLine="0"/>
    </w:pPr>
    <w:rPr>
      <w:kern w:val="0"/>
      <w14:ligatures w14:val="none"/>
    </w:rPr>
  </w:style>
  <w:style w:type="paragraph" w:styleId="Listanumerowana">
    <w:name w:val="List Number"/>
    <w:uiPriority w:val="2"/>
    <w:qFormat/>
    <w:rsid w:val="000B6EC6"/>
    <w:pPr>
      <w:numPr>
        <w:numId w:val="2"/>
      </w:numPr>
      <w:spacing w:after="80" w:line="260" w:lineRule="atLeast"/>
      <w:ind w:left="0" w:firstLine="0"/>
    </w:pPr>
    <w:rPr>
      <w:kern w:val="0"/>
      <w14:ligatures w14:val="none"/>
    </w:rPr>
  </w:style>
  <w:style w:type="character" w:styleId="Pogrubienie">
    <w:name w:val="Strong"/>
    <w:basedOn w:val="Domylnaczcionkaakapitu"/>
    <w:uiPriority w:val="39"/>
    <w:qFormat/>
    <w:rsid w:val="000B6EC6"/>
    <w:rPr>
      <w:b/>
      <w:bCs/>
    </w:rPr>
  </w:style>
  <w:style w:type="character" w:styleId="Uwydatnienie">
    <w:name w:val="Emphasis"/>
    <w:basedOn w:val="Domylnaczcionkaakapitu"/>
    <w:uiPriority w:val="39"/>
    <w:rsid w:val="000B6EC6"/>
    <w:rPr>
      <w:i/>
      <w:iCs/>
    </w:rPr>
  </w:style>
  <w:style w:type="paragraph" w:styleId="Bezodstpw">
    <w:name w:val="No Spacing"/>
    <w:uiPriority w:val="10"/>
    <w:qFormat/>
    <w:rsid w:val="000B6EC6"/>
    <w:pPr>
      <w:spacing w:after="0" w:line="240" w:lineRule="auto"/>
    </w:pPr>
    <w:rPr>
      <w:kern w:val="0"/>
      <w14:ligatures w14:val="none"/>
    </w:rPr>
  </w:style>
  <w:style w:type="character" w:styleId="Wyrnieniedelikatne">
    <w:name w:val="Subtle Emphasis"/>
    <w:basedOn w:val="Domylnaczcionkaakapitu"/>
    <w:uiPriority w:val="39"/>
    <w:rsid w:val="000B6EC6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59"/>
    <w:qFormat/>
    <w:rsid w:val="000B6EC6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59"/>
    <w:rsid w:val="000B6EC6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0B6E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6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6EC6"/>
    <w:rPr>
      <w:kern w:val="0"/>
      <w14:ligatures w14:val="none"/>
    </w:rPr>
  </w:style>
  <w:style w:type="character" w:customStyle="1" w:styleId="AkapitzlistZnak">
    <w:name w:val="Akapit z listą Znak"/>
    <w:aliases w:val="Wyliczanie Znak,BulletC Znak,Listaszerű bekezdés1 Znak,List Paragraph à moi Znak,Dot pt Znak,F5 List Paragraph Znak,Numbered Para 1 Znak,No Spacing1 Znak,List Paragraph Char Char Char Znak,Indicator Text Znak,Bullet Points Znak"/>
    <w:link w:val="Akapitzlist"/>
    <w:uiPriority w:val="34"/>
    <w:qFormat/>
    <w:locked/>
    <w:rsid w:val="00037F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5894</Words>
  <Characters>35366</Characters>
  <Application>Microsoft Office Word</Application>
  <DocSecurity>0</DocSecurity>
  <Lines>294</Lines>
  <Paragraphs>82</Paragraphs>
  <ScaleCrop>false</ScaleCrop>
  <Company/>
  <LinksUpToDate>false</LinksUpToDate>
  <CharactersWithSpaces>41178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Słomińska-Wernik</dc:creator>
  <cp:keywords/>
  <dc:description/>
  <cp:lastModifiedBy>Anna Słomińska-Wernik</cp:lastModifiedBy>
  <cp:revision>8</cp:revision>
  <dcterms:created xsi:type="dcterms:W3CDTF">2026-05-13T12:04:00Z</dcterms:created>
  <dcterms:modified xsi:type="dcterms:W3CDTF">2026-05-13T14:01:00Z</dcterms:modified>
</cp:coreProperties>
</file>