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19367" w14:textId="77777777" w:rsidR="007F1114" w:rsidRDefault="00CA2841" w:rsidP="008F4852">
      <w:pPr>
        <w:spacing w:after="0" w:line="240" w:lineRule="auto"/>
        <w:jc w:val="center"/>
        <w:rPr>
          <w:rFonts w:cstheme="minorHAnsi"/>
          <w:b/>
          <w:bCs/>
        </w:rPr>
      </w:pPr>
      <w:bookmarkStart w:id="0" w:name="_Hlk107398740"/>
      <w:r w:rsidRPr="00FA5965">
        <w:rPr>
          <w:rFonts w:cstheme="minorHAnsi"/>
          <w:b/>
          <w:bCs/>
        </w:rPr>
        <w:t xml:space="preserve">Uwagi </w:t>
      </w:r>
      <w:r w:rsidR="00007CAA" w:rsidRPr="00FA5965">
        <w:rPr>
          <w:rFonts w:cstheme="minorHAnsi"/>
          <w:b/>
          <w:bCs/>
        </w:rPr>
        <w:t xml:space="preserve"> </w:t>
      </w:r>
    </w:p>
    <w:p w14:paraId="653DA768" w14:textId="54FF5E4D" w:rsidR="00894E5C" w:rsidRPr="00FA5965" w:rsidRDefault="00CA2841" w:rsidP="008F4852">
      <w:pPr>
        <w:spacing w:after="0" w:line="240" w:lineRule="auto"/>
        <w:jc w:val="center"/>
        <w:rPr>
          <w:rFonts w:cstheme="minorHAnsi"/>
          <w:b/>
          <w:bCs/>
        </w:rPr>
      </w:pPr>
      <w:r w:rsidRPr="00FA5965">
        <w:rPr>
          <w:rFonts w:cstheme="minorHAnsi"/>
          <w:b/>
          <w:bCs/>
        </w:rPr>
        <w:t>do projektu</w:t>
      </w:r>
      <w:bookmarkStart w:id="1" w:name="_Hlk163464623"/>
      <w:r w:rsidR="00894E5C" w:rsidRPr="00FA5965">
        <w:rPr>
          <w:rFonts w:cstheme="minorHAnsi"/>
          <w:b/>
          <w:bCs/>
        </w:rPr>
        <w:t xml:space="preserve"> ustawy</w:t>
      </w:r>
      <w:r w:rsidR="00894E5C" w:rsidRPr="00FA5965">
        <w:rPr>
          <w:rFonts w:eastAsia="Times New Roman" w:cstheme="minorHAnsi"/>
          <w:b/>
          <w:color w:val="000000" w:themeColor="text1"/>
          <w:lang w:eastAsia="pl-PL"/>
        </w:rPr>
        <w:t xml:space="preserve"> </w:t>
      </w:r>
      <w:r w:rsidR="00894E5C" w:rsidRPr="00FA5965">
        <w:rPr>
          <w:rFonts w:cstheme="minorHAnsi"/>
          <w:b/>
          <w:bCs/>
        </w:rPr>
        <w:t xml:space="preserve">o </w:t>
      </w:r>
      <w:r w:rsidR="00BD1829" w:rsidRPr="00FA5965">
        <w:rPr>
          <w:rFonts w:cstheme="minorHAnsi"/>
          <w:b/>
          <w:bCs/>
        </w:rPr>
        <w:t xml:space="preserve">zmianie ustawy </w:t>
      </w:r>
      <w:r w:rsidR="00B864FF" w:rsidRPr="00FA5965">
        <w:rPr>
          <w:rFonts w:cstheme="minorHAnsi"/>
          <w:b/>
          <w:bCs/>
        </w:rPr>
        <w:t>– Prawo energetyczne</w:t>
      </w:r>
    </w:p>
    <w:bookmarkEnd w:id="1"/>
    <w:p w14:paraId="304455B3" w14:textId="2BDE5E6D" w:rsidR="00CA2841" w:rsidRPr="00FA5965" w:rsidRDefault="00B91BB7" w:rsidP="008B766F">
      <w:pPr>
        <w:spacing w:after="0" w:line="240" w:lineRule="auto"/>
        <w:jc w:val="center"/>
        <w:rPr>
          <w:rFonts w:cstheme="minorHAnsi"/>
          <w:b/>
          <w:bCs/>
        </w:rPr>
      </w:pPr>
      <w:r w:rsidRPr="00FA5965">
        <w:rPr>
          <w:rFonts w:cstheme="minorHAnsi"/>
          <w:b/>
          <w:bCs/>
        </w:rPr>
        <w:t>(</w:t>
      </w:r>
      <w:r w:rsidR="00894E5C" w:rsidRPr="00FA5965">
        <w:rPr>
          <w:rFonts w:cstheme="minorHAnsi"/>
          <w:b/>
          <w:bCs/>
        </w:rPr>
        <w:t>nr</w:t>
      </w:r>
      <w:r w:rsidR="00B864FF" w:rsidRPr="00FA5965">
        <w:rPr>
          <w:rFonts w:cstheme="minorHAnsi"/>
          <w:b/>
          <w:bCs/>
        </w:rPr>
        <w:t xml:space="preserve"> UC</w:t>
      </w:r>
      <w:r w:rsidR="00BD1829" w:rsidRPr="00FA5965">
        <w:rPr>
          <w:rFonts w:cstheme="minorHAnsi"/>
          <w:b/>
          <w:bCs/>
        </w:rPr>
        <w:t>1</w:t>
      </w:r>
      <w:r w:rsidR="00B864FF" w:rsidRPr="00FA5965">
        <w:rPr>
          <w:rFonts w:cstheme="minorHAnsi"/>
          <w:b/>
          <w:bCs/>
        </w:rPr>
        <w:t>21</w:t>
      </w:r>
      <w:r w:rsidR="00894E5C" w:rsidRPr="00FA5965">
        <w:rPr>
          <w:rFonts w:cstheme="minorHAnsi"/>
          <w:b/>
          <w:bCs/>
        </w:rPr>
        <w:t xml:space="preserve"> w Wykazie prac legislacyjnych i programowych Rady Ministrów)</w:t>
      </w:r>
    </w:p>
    <w:p w14:paraId="711D6FEE" w14:textId="77777777" w:rsidR="00CA2841" w:rsidRPr="00FA5965" w:rsidRDefault="00CA2841" w:rsidP="008B766F">
      <w:pPr>
        <w:spacing w:after="0" w:line="240" w:lineRule="auto"/>
        <w:rPr>
          <w:rFonts w:cstheme="minorHAnsi"/>
        </w:rPr>
      </w:pPr>
    </w:p>
    <w:tbl>
      <w:tblPr>
        <w:tblStyle w:val="Tabela-Siatka"/>
        <w:tblpPr w:leftFromText="142" w:rightFromText="142" w:vertAnchor="text" w:horzAnchor="margin" w:tblpXSpec="center" w:tblpY="58"/>
        <w:tblW w:w="15740" w:type="dxa"/>
        <w:tblLayout w:type="fixed"/>
        <w:tblLook w:val="04A0" w:firstRow="1" w:lastRow="0" w:firstColumn="1" w:lastColumn="0" w:noHBand="0" w:noVBand="1"/>
      </w:tblPr>
      <w:tblGrid>
        <w:gridCol w:w="562"/>
        <w:gridCol w:w="1701"/>
        <w:gridCol w:w="2694"/>
        <w:gridCol w:w="5103"/>
        <w:gridCol w:w="4252"/>
        <w:gridCol w:w="1428"/>
      </w:tblGrid>
      <w:tr w:rsidR="0090574C" w:rsidRPr="00FA5965" w14:paraId="47E9ED08" w14:textId="77777777" w:rsidTr="47F0BFFF">
        <w:trPr>
          <w:trHeight w:val="551"/>
          <w:tblHeader/>
        </w:trPr>
        <w:tc>
          <w:tcPr>
            <w:tcW w:w="562" w:type="dxa"/>
          </w:tcPr>
          <w:p w14:paraId="115BF413" w14:textId="6257DDCF" w:rsidR="0090574C" w:rsidRPr="00FA5965" w:rsidRDefault="0090574C" w:rsidP="008B766F">
            <w:pPr>
              <w:jc w:val="center"/>
              <w:rPr>
                <w:rFonts w:cstheme="minorHAnsi"/>
                <w:b/>
                <w:bCs/>
              </w:rPr>
            </w:pPr>
            <w:r w:rsidRPr="00FA5965">
              <w:rPr>
                <w:rFonts w:cstheme="minorHAnsi"/>
                <w:b/>
                <w:bCs/>
              </w:rPr>
              <w:t>Lp.</w:t>
            </w:r>
          </w:p>
        </w:tc>
        <w:tc>
          <w:tcPr>
            <w:tcW w:w="1701" w:type="dxa"/>
          </w:tcPr>
          <w:p w14:paraId="0FAF4510" w14:textId="4FD6EB74" w:rsidR="0090574C" w:rsidRPr="00FA5965" w:rsidRDefault="0090574C" w:rsidP="008B766F">
            <w:pPr>
              <w:jc w:val="center"/>
              <w:rPr>
                <w:rFonts w:cstheme="minorHAnsi"/>
                <w:b/>
                <w:bCs/>
              </w:rPr>
            </w:pPr>
            <w:r w:rsidRPr="00FA5965">
              <w:rPr>
                <w:rFonts w:cstheme="minorHAnsi"/>
                <w:b/>
                <w:bCs/>
              </w:rPr>
              <w:t>Podmiot wnoszący uwag</w:t>
            </w:r>
            <w:r w:rsidR="00B91BB7" w:rsidRPr="00FA5965">
              <w:rPr>
                <w:rFonts w:cstheme="minorHAnsi"/>
                <w:b/>
                <w:bCs/>
              </w:rPr>
              <w:t>ę</w:t>
            </w:r>
          </w:p>
        </w:tc>
        <w:tc>
          <w:tcPr>
            <w:tcW w:w="2694" w:type="dxa"/>
          </w:tcPr>
          <w:p w14:paraId="51F92737" w14:textId="48E4A866" w:rsidR="0090574C" w:rsidRPr="00FA5965" w:rsidRDefault="0090574C" w:rsidP="008B766F">
            <w:pPr>
              <w:jc w:val="center"/>
              <w:rPr>
                <w:rFonts w:cstheme="minorHAnsi"/>
                <w:b/>
                <w:bCs/>
              </w:rPr>
            </w:pPr>
            <w:r w:rsidRPr="00FA5965">
              <w:rPr>
                <w:rFonts w:cstheme="minorHAnsi"/>
                <w:b/>
                <w:bCs/>
              </w:rPr>
              <w:t>Jednostka redakcyjna, do której wnoszon</w:t>
            </w:r>
            <w:r w:rsidR="00B91BB7" w:rsidRPr="00FA5965">
              <w:rPr>
                <w:rFonts w:cstheme="minorHAnsi"/>
                <w:b/>
                <w:bCs/>
              </w:rPr>
              <w:t>a jest</w:t>
            </w:r>
            <w:r w:rsidRPr="00FA5965">
              <w:rPr>
                <w:rFonts w:cstheme="minorHAnsi"/>
                <w:b/>
                <w:bCs/>
              </w:rPr>
              <w:t xml:space="preserve"> uwag</w:t>
            </w:r>
            <w:r w:rsidR="00B91BB7" w:rsidRPr="00FA5965">
              <w:rPr>
                <w:rFonts w:cstheme="minorHAnsi"/>
                <w:b/>
                <w:bCs/>
              </w:rPr>
              <w:t>a</w:t>
            </w:r>
            <w:r w:rsidR="004F2D1D" w:rsidRPr="00FA5965">
              <w:rPr>
                <w:rStyle w:val="Odwoanieprzypisudolnego"/>
                <w:rFonts w:cstheme="minorHAnsi"/>
                <w:b/>
                <w:bCs/>
              </w:rPr>
              <w:footnoteReference w:customMarkFollows="1" w:id="1"/>
              <w:t>1)</w:t>
            </w:r>
          </w:p>
        </w:tc>
        <w:tc>
          <w:tcPr>
            <w:tcW w:w="5103" w:type="dxa"/>
          </w:tcPr>
          <w:p w14:paraId="74AACE5A" w14:textId="0BDDBBD7" w:rsidR="0090574C" w:rsidRPr="00FA5965" w:rsidRDefault="0090574C" w:rsidP="008B766F">
            <w:pPr>
              <w:jc w:val="center"/>
              <w:rPr>
                <w:rFonts w:cstheme="minorHAnsi"/>
                <w:b/>
                <w:bCs/>
              </w:rPr>
            </w:pPr>
            <w:r w:rsidRPr="00FA5965">
              <w:rPr>
                <w:rFonts w:cstheme="minorHAnsi"/>
                <w:b/>
                <w:bCs/>
              </w:rPr>
              <w:t>Treść uwagi</w:t>
            </w:r>
          </w:p>
        </w:tc>
        <w:tc>
          <w:tcPr>
            <w:tcW w:w="4252" w:type="dxa"/>
          </w:tcPr>
          <w:p w14:paraId="7C9E6D74" w14:textId="597CDAA9" w:rsidR="0090574C" w:rsidRPr="00FA5965" w:rsidRDefault="0090574C" w:rsidP="008B766F">
            <w:pPr>
              <w:jc w:val="center"/>
              <w:rPr>
                <w:rFonts w:cstheme="minorHAnsi"/>
                <w:b/>
                <w:bCs/>
              </w:rPr>
            </w:pPr>
            <w:r w:rsidRPr="00FA5965">
              <w:rPr>
                <w:rFonts w:cstheme="minorHAnsi"/>
                <w:b/>
                <w:bCs/>
              </w:rPr>
              <w:t xml:space="preserve">Propozycja </w:t>
            </w:r>
            <w:r w:rsidR="00773DAD" w:rsidRPr="00FA5965">
              <w:rPr>
                <w:rFonts w:cstheme="minorHAnsi"/>
                <w:b/>
                <w:bCs/>
              </w:rPr>
              <w:t>brzmienia</w:t>
            </w:r>
            <w:r w:rsidR="00C93278" w:rsidRPr="00FA5965">
              <w:rPr>
                <w:rFonts w:cstheme="minorHAnsi"/>
                <w:b/>
                <w:bCs/>
              </w:rPr>
              <w:t xml:space="preserve"> przepisu</w:t>
            </w:r>
          </w:p>
        </w:tc>
        <w:tc>
          <w:tcPr>
            <w:tcW w:w="1428" w:type="dxa"/>
          </w:tcPr>
          <w:p w14:paraId="2C049C38" w14:textId="382C7B91" w:rsidR="0090574C" w:rsidRPr="00FA5965" w:rsidRDefault="0090574C" w:rsidP="008B766F">
            <w:pPr>
              <w:jc w:val="center"/>
              <w:rPr>
                <w:rFonts w:cstheme="minorHAnsi"/>
                <w:b/>
                <w:bCs/>
              </w:rPr>
            </w:pPr>
            <w:r w:rsidRPr="00FA5965">
              <w:rPr>
                <w:rFonts w:cstheme="minorHAnsi"/>
                <w:b/>
                <w:bCs/>
              </w:rPr>
              <w:t>Stanowisko do uwagi</w:t>
            </w:r>
          </w:p>
        </w:tc>
      </w:tr>
      <w:tr w:rsidR="0090574C" w:rsidRPr="00FA5965" w14:paraId="4AE66715" w14:textId="77777777" w:rsidTr="47F0BFFF">
        <w:tc>
          <w:tcPr>
            <w:tcW w:w="562" w:type="dxa"/>
          </w:tcPr>
          <w:p w14:paraId="6AFC8947" w14:textId="209B4F9F" w:rsidR="0090574C" w:rsidRPr="00FA5965" w:rsidRDefault="00FC7B1A" w:rsidP="008B766F">
            <w:pPr>
              <w:jc w:val="center"/>
              <w:rPr>
                <w:rFonts w:cstheme="minorHAnsi"/>
              </w:rPr>
            </w:pPr>
            <w:r w:rsidRPr="00FA5965">
              <w:rPr>
                <w:rFonts w:cstheme="minorHAnsi"/>
              </w:rPr>
              <w:t>1</w:t>
            </w:r>
          </w:p>
        </w:tc>
        <w:tc>
          <w:tcPr>
            <w:tcW w:w="1701" w:type="dxa"/>
          </w:tcPr>
          <w:p w14:paraId="752B4D6B" w14:textId="38DBF640" w:rsidR="0090574C" w:rsidRPr="00FA5965" w:rsidRDefault="00E65900" w:rsidP="008B766F">
            <w:pPr>
              <w:jc w:val="both"/>
              <w:rPr>
                <w:rFonts w:cstheme="minorHAnsi"/>
              </w:rPr>
            </w:pPr>
            <w:r w:rsidRPr="00FA5965">
              <w:rPr>
                <w:rFonts w:cstheme="minorHAnsi"/>
              </w:rPr>
              <w:t>Konfederacja Lewiatan</w:t>
            </w:r>
          </w:p>
        </w:tc>
        <w:tc>
          <w:tcPr>
            <w:tcW w:w="2694" w:type="dxa"/>
          </w:tcPr>
          <w:p w14:paraId="4BE4A1DC" w14:textId="77777777" w:rsidR="00FC7B1A" w:rsidRPr="00FA5965" w:rsidRDefault="00FC7B1A" w:rsidP="00FC7B1A">
            <w:pPr>
              <w:jc w:val="both"/>
              <w:rPr>
                <w:rFonts w:cstheme="minorHAnsi"/>
              </w:rPr>
            </w:pPr>
            <w:r w:rsidRPr="00FA5965">
              <w:rPr>
                <w:rFonts w:cstheme="minorHAnsi"/>
              </w:rPr>
              <w:t>Art. 1 pkt 3 lit. c w zakresie dodawanego art. 5 ust. 6 pkt 3</w:t>
            </w:r>
          </w:p>
          <w:p w14:paraId="1945FFFA" w14:textId="2C6C256D" w:rsidR="0090574C" w:rsidRPr="00FA5965" w:rsidRDefault="0090574C" w:rsidP="2B98EA0A">
            <w:pPr>
              <w:jc w:val="both"/>
              <w:rPr>
                <w:rFonts w:cstheme="minorHAnsi"/>
              </w:rPr>
            </w:pPr>
          </w:p>
        </w:tc>
        <w:tc>
          <w:tcPr>
            <w:tcW w:w="5103" w:type="dxa"/>
          </w:tcPr>
          <w:p w14:paraId="19ED8B96" w14:textId="115BDE73" w:rsidR="2B98EA0A" w:rsidRPr="00FA5965" w:rsidRDefault="2B98EA0A" w:rsidP="2B98EA0A">
            <w:pPr>
              <w:pStyle w:val="Akapitzlist"/>
              <w:numPr>
                <w:ilvl w:val="0"/>
                <w:numId w:val="2"/>
              </w:numPr>
              <w:spacing w:line="257" w:lineRule="auto"/>
              <w:ind w:left="357" w:hanging="357"/>
              <w:jc w:val="both"/>
              <w:rPr>
                <w:rFonts w:eastAsia="Lato" w:cstheme="minorHAnsi"/>
              </w:rPr>
            </w:pPr>
            <w:r w:rsidRPr="00FA5965">
              <w:rPr>
                <w:rFonts w:eastAsia="Lato" w:cstheme="minorHAnsi"/>
              </w:rPr>
              <w:t>Proponowane regulacje są surowsze niż wymogi</w:t>
            </w:r>
            <w:r w:rsidR="008B5608" w:rsidRPr="00FA5965">
              <w:rPr>
                <w:rFonts w:eastAsia="Lato" w:cstheme="minorHAnsi"/>
              </w:rPr>
              <w:t xml:space="preserve"> </w:t>
            </w:r>
            <w:r w:rsidRPr="00FA5965">
              <w:rPr>
                <w:rFonts w:eastAsia="Lato" w:cstheme="minorHAnsi"/>
              </w:rPr>
              <w:t>dyrektywy EED (art. 21 ust. 3 mówi o „bezpośrednim” powiadamianiu odbiorców a nie o powiadamianiu „przy użyciu środków bezpośredniego porozumiewania się na odległość”).</w:t>
            </w:r>
          </w:p>
          <w:p w14:paraId="5477ABB9" w14:textId="3E3E1058" w:rsidR="2B98EA0A" w:rsidRPr="00FA5965" w:rsidRDefault="2B98EA0A" w:rsidP="2B98EA0A">
            <w:pPr>
              <w:pStyle w:val="Akapitzlist"/>
              <w:numPr>
                <w:ilvl w:val="0"/>
                <w:numId w:val="2"/>
              </w:numPr>
              <w:spacing w:line="257" w:lineRule="auto"/>
              <w:ind w:left="357" w:hanging="357"/>
              <w:jc w:val="both"/>
              <w:rPr>
                <w:rFonts w:eastAsia="Lato" w:cstheme="minorHAnsi"/>
              </w:rPr>
            </w:pPr>
            <w:r w:rsidRPr="00FA5965">
              <w:rPr>
                <w:rFonts w:eastAsia="Lato" w:cstheme="minorHAnsi"/>
              </w:rPr>
              <w:t>Wymóg powiadomienia „przy użyciu środków bezpośredniego porozumiewania się na odległość” nakłada na sprzedawców obowiązki niemożliwe do spełniania w obecnych realiach. Aby zrealizować ten obowiązek sprzedawca musi dysponować adresem mailowym lub numerem tel</w:t>
            </w:r>
            <w:r w:rsidR="008B5608" w:rsidRPr="00FA5965">
              <w:rPr>
                <w:rFonts w:eastAsia="Lato" w:cstheme="minorHAnsi"/>
              </w:rPr>
              <w:t>efonu</w:t>
            </w:r>
            <w:r w:rsidRPr="00FA5965">
              <w:rPr>
                <w:rFonts w:eastAsia="Lato" w:cstheme="minorHAnsi"/>
              </w:rPr>
              <w:t xml:space="preserve"> odbiorcy, jak również jego zgodą na korzystanie z tych kanałów komunikacji, podczas gdy sprzedawcy nie dysponują takimi danymi i zgodami, a wielu odbiorców nie zgadza się na taki sposób komunikacji lub nie odpowiada na prośby sprzedawcy o udostępnienie danych i zgody. Nie jest możliwe uzyskanie tych danych w proponowanym vacatio legis (14 dni). Zgodnie z aktualnym art. 3a ust. 2 ustawy </w:t>
            </w:r>
            <w:r w:rsidR="0080440E" w:rsidRPr="00FA5965">
              <w:rPr>
                <w:rFonts w:eastAsia="Lato" w:cstheme="minorHAnsi"/>
              </w:rPr>
              <w:t>Prawo</w:t>
            </w:r>
            <w:r w:rsidRPr="00FA5965">
              <w:rPr>
                <w:rFonts w:eastAsia="Lato" w:cstheme="minorHAnsi"/>
              </w:rPr>
              <w:t xml:space="preserve"> energetyczne odbiorca może wyrazić zgodę na przekazywanie korespondencji za pomocą środków komunikacji elektronicznej, ale oczywiście nie musi tego zrobić. W tych warunkach nie sposób oczekiwać wykonania obowiązku przez sprzedawców.</w:t>
            </w:r>
          </w:p>
          <w:p w14:paraId="24E7B83E" w14:textId="2C162A40" w:rsidR="2B98EA0A" w:rsidRPr="00FA5965" w:rsidRDefault="2B98EA0A" w:rsidP="2B98EA0A">
            <w:pPr>
              <w:pStyle w:val="Akapitzlist"/>
              <w:numPr>
                <w:ilvl w:val="0"/>
                <w:numId w:val="2"/>
              </w:numPr>
              <w:spacing w:line="257" w:lineRule="auto"/>
              <w:ind w:left="357" w:hanging="357"/>
              <w:jc w:val="both"/>
              <w:rPr>
                <w:rFonts w:eastAsia="Lato" w:cstheme="minorHAnsi"/>
              </w:rPr>
            </w:pPr>
            <w:r w:rsidRPr="00FA5965">
              <w:rPr>
                <w:rFonts w:eastAsia="Lato" w:cstheme="minorHAnsi"/>
              </w:rPr>
              <w:lastRenderedPageBreak/>
              <w:t>W polskich realiach nieracjonalne jest zróżnicowanie terminów na powiadamianie odbiorców w gospodarstwach domowych i pozostałych odbiorców. Sprzedawcy nie mają informacji, którzy odbiorcy są odbiorcami w gospodarstwach domowych. Dla cen i stawek dla ciepła nie ma znaczenia jaki status ma odbiorca. Dotychczas nie było podstaw do zbierania takich informacji. Po raz pierwszy sprzedawcy stanęli prze koniecznością pozyskania takich informacji w wyniku wprowadzenia ustawy z dnia 15 września 2022 r. o szczególnych rozwiązaniach w zakresie niektórych źródeł ciepła w związku z sytuacją na rynku paliw. Niemniej jednak w tak krótkim czasie nie było możliwości zebrania tych informacji względem wszystkich odbiorców. Tym samym sprzedawcy będą zobowiązani traktować wszystkich tak samo i powiadamiać ich z zachowaniem dłuższego terminu.</w:t>
            </w:r>
          </w:p>
          <w:p w14:paraId="7F320AFA" w14:textId="4E763B10" w:rsidR="2B98EA0A" w:rsidRPr="00FA5965" w:rsidRDefault="2B98EA0A" w:rsidP="2B98EA0A">
            <w:pPr>
              <w:pStyle w:val="Akapitzlist"/>
              <w:numPr>
                <w:ilvl w:val="0"/>
                <w:numId w:val="2"/>
              </w:numPr>
              <w:spacing w:line="257" w:lineRule="auto"/>
              <w:ind w:left="357" w:hanging="357"/>
              <w:jc w:val="both"/>
              <w:rPr>
                <w:rFonts w:eastAsia="Lato" w:cstheme="minorHAnsi"/>
              </w:rPr>
            </w:pPr>
            <w:r w:rsidRPr="00FA5965">
              <w:rPr>
                <w:rFonts w:eastAsia="Lato" w:cstheme="minorHAnsi"/>
              </w:rPr>
              <w:t xml:space="preserve">Obowiązek zawiadomienia odbiorców ciepła w gospodarstwach domowych „w terminie miesiąca przed dniem wejścia w życie tej zmiany” stoi w sprzeczności z art. 47 ust. 4 ustawy pr. energetyczne, zgodnie z którym przedsiębiorstwo wprowadza taryfę do stosowania nie wcześniej niż po upływie 14 dni i nie później niż do 45 dnia od dnia jej opublikowania. Dopiero w dniu publikacji taryfy sprzedawca uzyskuje wiedzę, w jakiej dacie przypadnie możliwość wprowadzenia jej do stosowania (między 14 a 45 dni po publikacji), tymczasem zgodnie z projektowanym przepisem musi zawiadomić odbiorców na 30 dni przed tym terminem. Biorąc pod uwagę, że konieczne jest </w:t>
            </w:r>
            <w:r w:rsidRPr="00FA5965">
              <w:rPr>
                <w:rFonts w:eastAsia="Lato" w:cstheme="minorHAnsi"/>
              </w:rPr>
              <w:lastRenderedPageBreak/>
              <w:t>doliczenie czasu niezbędnego do dotarcia pism do skrzynek pocztowych odbiorców (min. 3 dni), jako termin wejścia życie taryfy sprzedawca nie może wskazać terminu krótszego 33 dni (przyjmując, że miesiąc to 30 dni) po publikacji, co oznacza, że sprzedawca może wprowadzić taryfę do stosowania nie wcześniej niż 33 i nie później niż 45 dni od jej opublikowania.</w:t>
            </w:r>
          </w:p>
          <w:p w14:paraId="5E6A99BD" w14:textId="557811D4" w:rsidR="2B98EA0A" w:rsidRPr="00FA5965" w:rsidRDefault="2B98EA0A" w:rsidP="2B98EA0A">
            <w:pPr>
              <w:pStyle w:val="Akapitzlist"/>
              <w:numPr>
                <w:ilvl w:val="0"/>
                <w:numId w:val="2"/>
              </w:numPr>
              <w:spacing w:line="257" w:lineRule="auto"/>
              <w:ind w:left="357" w:hanging="357"/>
              <w:jc w:val="both"/>
              <w:rPr>
                <w:rFonts w:eastAsia="Lato" w:cstheme="minorHAnsi"/>
              </w:rPr>
            </w:pPr>
            <w:r w:rsidRPr="00FA5965">
              <w:rPr>
                <w:rFonts w:eastAsia="Lato" w:cstheme="minorHAnsi"/>
              </w:rPr>
              <w:t xml:space="preserve">Przepis pomija zupełnie sytuację sprzedawcy, który kupuje ciepło od wytwórcy. Wytwórca zgodnie z art. 47 ust. 4 ustawy pr. energetyczne może wprowadzić taryfę do stosowania w okresie od 14 do 45 dni od dnia jej opublikowania. W tym samym terminie sprzedawca powinien rozpocząć jej stosowanie względem swoich odbiorców. Niemniej jednak projektowany przepis to uniemożliwia, dając sprzedawcy sztywny termin nie krótszy niż 30 dni. </w:t>
            </w:r>
          </w:p>
          <w:p w14:paraId="01DC9BEA" w14:textId="41CE75EA" w:rsidR="2B98EA0A" w:rsidRPr="00FA5965" w:rsidRDefault="2B98EA0A" w:rsidP="2B98EA0A">
            <w:pPr>
              <w:pStyle w:val="Akapitzlist"/>
              <w:numPr>
                <w:ilvl w:val="0"/>
                <w:numId w:val="2"/>
              </w:numPr>
              <w:ind w:left="357" w:hanging="357"/>
              <w:jc w:val="both"/>
              <w:rPr>
                <w:rFonts w:eastAsia="Lato" w:cstheme="minorHAnsi"/>
              </w:rPr>
            </w:pPr>
            <w:r w:rsidRPr="00FA5965">
              <w:rPr>
                <w:rFonts w:eastAsia="Lato" w:cstheme="minorHAnsi"/>
              </w:rPr>
              <w:t xml:space="preserve">Zwracamy również uwagę na brak odpowiednich przepisów przejściowych, które regulowałyby kwestie dotyczące taryf zatwierdzonych przed wejściem w życie ustawy, ale jeszcze nie wprowadzonych do stosowania wobec odbiorców.  </w:t>
            </w:r>
          </w:p>
        </w:tc>
        <w:tc>
          <w:tcPr>
            <w:tcW w:w="4252" w:type="dxa"/>
          </w:tcPr>
          <w:p w14:paraId="425CAB16" w14:textId="0223BC3E" w:rsidR="2B98EA0A" w:rsidRPr="00FA5965" w:rsidRDefault="00FC7B1A" w:rsidP="2B98EA0A">
            <w:pPr>
              <w:spacing w:after="160" w:line="257" w:lineRule="auto"/>
              <w:jc w:val="both"/>
              <w:rPr>
                <w:rFonts w:cstheme="minorHAnsi"/>
              </w:rPr>
            </w:pPr>
            <w:r w:rsidRPr="00FA5965">
              <w:rPr>
                <w:rFonts w:cstheme="minorHAnsi"/>
              </w:rPr>
              <w:lastRenderedPageBreak/>
              <w:t xml:space="preserve">Proponujemy wprowadzenie jednego terminu dla wszystkich klientów - </w:t>
            </w:r>
            <w:r w:rsidR="2B98EA0A" w:rsidRPr="00FA5965">
              <w:rPr>
                <w:rFonts w:eastAsia="Lato" w:cstheme="minorHAnsi"/>
              </w:rPr>
              <w:t>14 dni przed dniem wejścia w życie tej zmiany</w:t>
            </w:r>
          </w:p>
        </w:tc>
        <w:tc>
          <w:tcPr>
            <w:tcW w:w="1428" w:type="dxa"/>
          </w:tcPr>
          <w:p w14:paraId="31C0C230" w14:textId="77777777" w:rsidR="0090574C" w:rsidRPr="00FA5965" w:rsidRDefault="0090574C" w:rsidP="008B766F">
            <w:pPr>
              <w:jc w:val="both"/>
              <w:rPr>
                <w:rFonts w:cstheme="minorHAnsi"/>
              </w:rPr>
            </w:pPr>
          </w:p>
        </w:tc>
      </w:tr>
      <w:tr w:rsidR="0090574C" w:rsidRPr="00FA5965" w14:paraId="574FF95B" w14:textId="77777777" w:rsidTr="47F0BFFF">
        <w:tc>
          <w:tcPr>
            <w:tcW w:w="562" w:type="dxa"/>
          </w:tcPr>
          <w:p w14:paraId="590D690B" w14:textId="3FCC334C" w:rsidR="0090574C" w:rsidRPr="00FA5965" w:rsidRDefault="00FC7B1A" w:rsidP="008B766F">
            <w:pPr>
              <w:jc w:val="center"/>
              <w:rPr>
                <w:rFonts w:cstheme="minorHAnsi"/>
              </w:rPr>
            </w:pPr>
            <w:r w:rsidRPr="00FA5965">
              <w:rPr>
                <w:rFonts w:cstheme="minorHAnsi"/>
              </w:rPr>
              <w:lastRenderedPageBreak/>
              <w:t>2</w:t>
            </w:r>
          </w:p>
        </w:tc>
        <w:tc>
          <w:tcPr>
            <w:tcW w:w="1701" w:type="dxa"/>
          </w:tcPr>
          <w:p w14:paraId="7283C367" w14:textId="56E87E36" w:rsidR="0090574C" w:rsidRPr="00FA5965" w:rsidRDefault="00E65900" w:rsidP="008B766F">
            <w:pPr>
              <w:jc w:val="both"/>
              <w:rPr>
                <w:rFonts w:cstheme="minorHAnsi"/>
              </w:rPr>
            </w:pPr>
            <w:r w:rsidRPr="00FA5965">
              <w:rPr>
                <w:rFonts w:cstheme="minorHAnsi"/>
              </w:rPr>
              <w:t>Konfederacja Lewiatan</w:t>
            </w:r>
          </w:p>
        </w:tc>
        <w:tc>
          <w:tcPr>
            <w:tcW w:w="2694" w:type="dxa"/>
          </w:tcPr>
          <w:p w14:paraId="43EC42A6" w14:textId="3E40FA66" w:rsidR="0090574C" w:rsidRPr="00FA5965" w:rsidRDefault="2B98EA0A" w:rsidP="2B98EA0A">
            <w:pPr>
              <w:jc w:val="both"/>
              <w:rPr>
                <w:rFonts w:cstheme="minorHAnsi"/>
              </w:rPr>
            </w:pPr>
            <w:r w:rsidRPr="00FA5965">
              <w:rPr>
                <w:rFonts w:eastAsia="Lato" w:cstheme="minorHAnsi"/>
              </w:rPr>
              <w:t>Art. 1 pkt 18</w:t>
            </w:r>
          </w:p>
        </w:tc>
        <w:tc>
          <w:tcPr>
            <w:tcW w:w="5103" w:type="dxa"/>
          </w:tcPr>
          <w:p w14:paraId="33C11955" w14:textId="77777777" w:rsidR="00FC7B1A" w:rsidRPr="00FA5965" w:rsidRDefault="2B98EA0A" w:rsidP="00FC7B1A">
            <w:pPr>
              <w:jc w:val="both"/>
              <w:rPr>
                <w:rFonts w:eastAsia="Lato" w:cstheme="minorHAnsi"/>
              </w:rPr>
            </w:pPr>
            <w:r w:rsidRPr="00FA5965">
              <w:rPr>
                <w:rFonts w:eastAsia="Lato" w:cstheme="minorHAnsi"/>
              </w:rPr>
              <w:t>Projektowane przepisy posługują się nieprecyzyjnymi określeniami</w:t>
            </w:r>
            <w:r w:rsidR="00FC7B1A" w:rsidRPr="00FA5965">
              <w:rPr>
                <w:rFonts w:eastAsia="Lato" w:cstheme="minorHAnsi"/>
              </w:rPr>
              <w:t>:</w:t>
            </w:r>
          </w:p>
          <w:p w14:paraId="00900920" w14:textId="7534AA4F" w:rsidR="2B98EA0A" w:rsidRPr="00FA5965" w:rsidRDefault="00FC7B1A" w:rsidP="00FC7B1A">
            <w:pPr>
              <w:jc w:val="both"/>
              <w:rPr>
                <w:rFonts w:eastAsia="Lato" w:cstheme="minorHAnsi"/>
              </w:rPr>
            </w:pPr>
            <w:r w:rsidRPr="00FA5965">
              <w:rPr>
                <w:rFonts w:eastAsia="Lato" w:cstheme="minorHAnsi"/>
              </w:rPr>
              <w:t>-</w:t>
            </w:r>
            <w:r w:rsidR="2B98EA0A" w:rsidRPr="00FA5965">
              <w:rPr>
                <w:rFonts w:eastAsia="Lato" w:cstheme="minorHAnsi"/>
              </w:rPr>
              <w:t xml:space="preserve"> nie jest precyzyjne stwierdzenie, że ryzyko niewypełnienia obowiązku, o którym mowa w art. 5 ust. 6 pkt 2 lub 3 </w:t>
            </w:r>
            <w:r w:rsidR="2B98EA0A" w:rsidRPr="00FA5965">
              <w:rPr>
                <w:rFonts w:eastAsia="Lato" w:cstheme="minorHAnsi"/>
                <w:u w:val="single"/>
              </w:rPr>
              <w:t>powstaje</w:t>
            </w:r>
            <w:r w:rsidR="2B98EA0A" w:rsidRPr="00FA5965">
              <w:rPr>
                <w:rFonts w:eastAsia="Lato" w:cstheme="minorHAnsi"/>
              </w:rPr>
              <w:t xml:space="preserve"> „w związku z prowadzonym postępowaniem w sprawie zatwierdzenia taryfy”</w:t>
            </w:r>
          </w:p>
          <w:p w14:paraId="6C285472" w14:textId="3366C39F" w:rsidR="2B98EA0A" w:rsidRPr="00FA5965" w:rsidRDefault="00FC7B1A" w:rsidP="2B98EA0A">
            <w:pPr>
              <w:jc w:val="both"/>
              <w:rPr>
                <w:rFonts w:cstheme="minorHAnsi"/>
              </w:rPr>
            </w:pPr>
            <w:r w:rsidRPr="00FA5965">
              <w:rPr>
                <w:rFonts w:eastAsia="Lato" w:cstheme="minorHAnsi"/>
              </w:rPr>
              <w:t>-</w:t>
            </w:r>
            <w:r w:rsidR="2B98EA0A" w:rsidRPr="00FA5965">
              <w:rPr>
                <w:rFonts w:eastAsia="Lato" w:cstheme="minorHAnsi"/>
              </w:rPr>
              <w:t xml:space="preserve"> postępowanie w sprawie taryfy kończy się publikacją taryfy, więc wykonanie obowiązku powinno zostać wykonane po publikacji taryfy, a nie po niedookreślonym momencie „zakończenia postępowania”.</w:t>
            </w:r>
          </w:p>
          <w:p w14:paraId="1810D0E5" w14:textId="59C47937" w:rsidR="2B98EA0A" w:rsidRPr="00FA5965" w:rsidRDefault="2B98EA0A" w:rsidP="00E65900">
            <w:pPr>
              <w:pStyle w:val="Akapitzlist"/>
              <w:spacing w:line="257" w:lineRule="auto"/>
              <w:ind w:left="0"/>
              <w:jc w:val="both"/>
              <w:rPr>
                <w:rFonts w:eastAsia="Lato" w:cstheme="minorHAnsi"/>
              </w:rPr>
            </w:pPr>
            <w:r w:rsidRPr="00FA5965">
              <w:rPr>
                <w:rFonts w:eastAsia="Lato" w:cstheme="minorHAnsi"/>
              </w:rPr>
              <w:lastRenderedPageBreak/>
              <w:t xml:space="preserve">Przepis pomija zupełnie sytuację sprzedawcy, który kupuje ciepło od wytwórcy (przedsiębiorstwa energetycznego, którego dotyczy postępowanie o zatwierdzenie taryfy). Wytwórca taki zgodnie z art. 47 ust. 4 ustawy </w:t>
            </w:r>
            <w:r w:rsidR="00BD4156" w:rsidRPr="00FA5965">
              <w:rPr>
                <w:rFonts w:eastAsia="Lato" w:cstheme="minorHAnsi"/>
              </w:rPr>
              <w:t>Prawo</w:t>
            </w:r>
            <w:r w:rsidRPr="00FA5965">
              <w:rPr>
                <w:rFonts w:eastAsia="Lato" w:cstheme="minorHAnsi"/>
              </w:rPr>
              <w:t xml:space="preserve"> energetyczne może wprowadzić taryfę do stosowania w okresie od 14 do 45 dni od dnia jej opublikowania. W tym samym terminie sprzedawca powinien rozpocząć jej stosowanie względem swoich odbiorców. Niemniej jednak projektowany przepis to uniemożliwia, dając możliwość dokonania powiadomienia przez sprzedawcę jedynie w przypadkach odnoszących się do jego postępowania taryfowego (a nie wytwórcy).</w:t>
            </w:r>
          </w:p>
        </w:tc>
        <w:tc>
          <w:tcPr>
            <w:tcW w:w="4252" w:type="dxa"/>
          </w:tcPr>
          <w:p w14:paraId="118E3641" w14:textId="2813681C" w:rsidR="0090574C" w:rsidRPr="00FA5965" w:rsidRDefault="2B98EA0A" w:rsidP="2B98EA0A">
            <w:pPr>
              <w:jc w:val="both"/>
              <w:rPr>
                <w:rFonts w:cstheme="minorHAnsi"/>
              </w:rPr>
            </w:pPr>
            <w:r w:rsidRPr="00FA5965">
              <w:rPr>
                <w:rFonts w:eastAsia="Lato" w:cstheme="minorHAnsi"/>
              </w:rPr>
              <w:lastRenderedPageBreak/>
              <w:t>W przypadku gdy w związku z prowadzonym postępowaniem w sprawie zatwierdzenia taryfy, z wyłączeniem taryf dla paliw gazowych, występuje ryzyko niewypełnienia obowiązku, o którym mowa w art. 5 ust. 6 pkt 2 lub 3, w terminie wskazanym w tym przepisie, przedsiębiorstwo energetyczne, którego dotyczy to postępowanie</w:t>
            </w:r>
            <w:r w:rsidR="00C63C15" w:rsidRPr="00FA5965">
              <w:rPr>
                <w:rFonts w:eastAsia="Lato" w:cstheme="minorHAnsi"/>
              </w:rPr>
              <w:t xml:space="preserve"> </w:t>
            </w:r>
            <w:r w:rsidR="00C63C15" w:rsidRPr="00FA5965">
              <w:rPr>
                <w:rFonts w:eastAsia="Lato" w:cstheme="minorHAnsi"/>
                <w:b/>
                <w:bCs/>
              </w:rPr>
              <w:t>oraz</w:t>
            </w:r>
            <w:r w:rsidRPr="00FA5965">
              <w:rPr>
                <w:rFonts w:eastAsia="Lato" w:cstheme="minorHAnsi"/>
                <w:b/>
                <w:bCs/>
              </w:rPr>
              <w:t xml:space="preserve"> sprzedawca ciepła wytwarzanego przez przedsiębiorstwo energetyczne, którego dotyczy to postępowanie, </w:t>
            </w:r>
            <w:r w:rsidRPr="00FA5965">
              <w:rPr>
                <w:rFonts w:eastAsia="Lato" w:cstheme="minorHAnsi"/>
              </w:rPr>
              <w:t xml:space="preserve">wypełnia ten </w:t>
            </w:r>
            <w:r w:rsidRPr="00FA5965">
              <w:rPr>
                <w:rFonts w:eastAsia="Lato" w:cstheme="minorHAnsi"/>
              </w:rPr>
              <w:lastRenderedPageBreak/>
              <w:t>obowiązek niezwłocznie po opublikowaniu taryfy.”</w:t>
            </w:r>
          </w:p>
        </w:tc>
        <w:tc>
          <w:tcPr>
            <w:tcW w:w="1428" w:type="dxa"/>
          </w:tcPr>
          <w:p w14:paraId="17C40DBE" w14:textId="77777777" w:rsidR="0090574C" w:rsidRPr="00FA5965" w:rsidRDefault="0090574C" w:rsidP="008B766F">
            <w:pPr>
              <w:jc w:val="both"/>
              <w:rPr>
                <w:rFonts w:cstheme="minorHAnsi"/>
              </w:rPr>
            </w:pPr>
          </w:p>
        </w:tc>
      </w:tr>
      <w:tr w:rsidR="00B91BB7" w:rsidRPr="00FA5965" w14:paraId="597EDC07" w14:textId="77777777" w:rsidTr="47F0BFFF">
        <w:tc>
          <w:tcPr>
            <w:tcW w:w="562" w:type="dxa"/>
          </w:tcPr>
          <w:p w14:paraId="513652BE" w14:textId="5CC524A6" w:rsidR="00B91BB7" w:rsidRPr="00FA5965" w:rsidRDefault="00712311" w:rsidP="008B766F">
            <w:pPr>
              <w:jc w:val="center"/>
              <w:rPr>
                <w:rFonts w:cstheme="minorHAnsi"/>
              </w:rPr>
            </w:pPr>
            <w:r w:rsidRPr="00FA5965">
              <w:rPr>
                <w:rFonts w:cstheme="minorHAnsi"/>
              </w:rPr>
              <w:t>3</w:t>
            </w:r>
          </w:p>
        </w:tc>
        <w:tc>
          <w:tcPr>
            <w:tcW w:w="1701" w:type="dxa"/>
          </w:tcPr>
          <w:p w14:paraId="54F67D04" w14:textId="7427519C" w:rsidR="2B98EA0A" w:rsidRPr="00FA5965" w:rsidRDefault="00E65900" w:rsidP="2B98EA0A">
            <w:pPr>
              <w:spacing w:after="160" w:line="257" w:lineRule="auto"/>
              <w:jc w:val="both"/>
              <w:rPr>
                <w:rFonts w:cstheme="minorHAnsi"/>
              </w:rPr>
            </w:pPr>
            <w:r w:rsidRPr="00FA5965">
              <w:rPr>
                <w:rFonts w:cstheme="minorHAnsi"/>
              </w:rPr>
              <w:t>Konfederacja Lewiatan</w:t>
            </w:r>
          </w:p>
        </w:tc>
        <w:tc>
          <w:tcPr>
            <w:tcW w:w="2694" w:type="dxa"/>
          </w:tcPr>
          <w:p w14:paraId="3575ADD9" w14:textId="6679E11F" w:rsidR="2B98EA0A" w:rsidRPr="00FA5965" w:rsidRDefault="2B98EA0A" w:rsidP="2B98EA0A">
            <w:pPr>
              <w:spacing w:after="160" w:line="257" w:lineRule="auto"/>
              <w:jc w:val="both"/>
              <w:rPr>
                <w:rFonts w:cstheme="minorHAnsi"/>
              </w:rPr>
            </w:pPr>
            <w:r w:rsidRPr="00FA5965">
              <w:rPr>
                <w:rFonts w:eastAsia="Lato" w:cstheme="minorHAnsi"/>
                <w:lang w:val="pl"/>
              </w:rPr>
              <w:t xml:space="preserve">Art. 1 </w:t>
            </w:r>
            <w:r w:rsidR="002F7B34" w:rsidRPr="00FA5965">
              <w:rPr>
                <w:rFonts w:eastAsia="Lato" w:cstheme="minorHAnsi"/>
                <w:lang w:val="pl"/>
              </w:rPr>
              <w:t xml:space="preserve">pkt </w:t>
            </w:r>
            <w:r w:rsidRPr="00FA5965">
              <w:rPr>
                <w:rFonts w:eastAsia="Lato" w:cstheme="minorHAnsi"/>
                <w:lang w:val="pl"/>
              </w:rPr>
              <w:t xml:space="preserve">7 lit. </w:t>
            </w:r>
            <w:r w:rsidR="00115062" w:rsidRPr="00FA5965">
              <w:rPr>
                <w:rFonts w:eastAsia="Lato" w:cstheme="minorHAnsi"/>
                <w:lang w:val="pl"/>
              </w:rPr>
              <w:t>c w zakresie dodawanego ust. 4a</w:t>
            </w:r>
          </w:p>
        </w:tc>
        <w:tc>
          <w:tcPr>
            <w:tcW w:w="5103" w:type="dxa"/>
          </w:tcPr>
          <w:p w14:paraId="31D8925E" w14:textId="451DD528" w:rsidR="2B98EA0A" w:rsidRPr="00FA5965" w:rsidRDefault="2B98EA0A" w:rsidP="2B98EA0A">
            <w:pPr>
              <w:spacing w:after="160" w:line="257" w:lineRule="auto"/>
              <w:jc w:val="both"/>
              <w:rPr>
                <w:rFonts w:cstheme="minorHAnsi"/>
              </w:rPr>
            </w:pPr>
            <w:r w:rsidRPr="00FA5965">
              <w:rPr>
                <w:rFonts w:eastAsia="Lato" w:cstheme="minorHAnsi"/>
                <w:lang w:val="pl"/>
              </w:rPr>
              <w:t xml:space="preserve">Należy założyć, że nie powinna zostać dopuszczona sytuacja, w której opóźnienie zakończenia budowy lub znacznej modernizacji jednostki wytwórczej opartej na gazie ziemnym (niezależnie od powodów tego opóźnienia) poza termin 31 grudnia 2030 r. prowadzi do utraty przez system ciepłowniczy lub chłodniczy statusu efektywnego systemu ciepłowniczego lub chłodniczego. Dlatego zaproponowano uwagę doprecyzowującą, zgodnie z którą jednostka ta, wybudowana lub znacznie zmodernizowana po 31 grudnia 2030 r., nie jest uwzględniana przy uznaniu systemu ciepłowniczego lub chłodniczego za efektywny w odpowiednim okresie czasowym zmieniających się kryteriów efektywnego systemu ciepłowniczego, określonych w art. 1 ust. 7 lit. b </w:t>
            </w:r>
            <w:r w:rsidR="00FA5965" w:rsidRPr="00FA5965">
              <w:rPr>
                <w:rFonts w:eastAsia="Lato" w:cstheme="minorHAnsi"/>
                <w:lang w:val="pl"/>
              </w:rPr>
              <w:t>przedmiotowego p</w:t>
            </w:r>
            <w:r w:rsidRPr="00FA5965">
              <w:rPr>
                <w:rFonts w:eastAsia="Lato" w:cstheme="minorHAnsi"/>
                <w:lang w:val="pl"/>
              </w:rPr>
              <w:t xml:space="preserve">rojektu. Tym samym system może dalej być uznany za efektywny, jeżeli inne jednostki wytwórcze pracujące na sieć w danym systemie ciepłowniczym kontrybuują </w:t>
            </w:r>
            <w:r w:rsidRPr="00FA5965">
              <w:rPr>
                <w:rFonts w:eastAsia="Lato" w:cstheme="minorHAnsi"/>
                <w:lang w:val="pl"/>
              </w:rPr>
              <w:lastRenderedPageBreak/>
              <w:t>do uznania statusu efektywnego systemu ciepłowniczego.</w:t>
            </w:r>
          </w:p>
          <w:p w14:paraId="781B2A4B" w14:textId="4C2A803A" w:rsidR="2B98EA0A" w:rsidRPr="00FA5965" w:rsidRDefault="2B98EA0A" w:rsidP="2B98EA0A">
            <w:pPr>
              <w:spacing w:after="160" w:line="257" w:lineRule="auto"/>
              <w:jc w:val="both"/>
              <w:rPr>
                <w:rFonts w:cstheme="minorHAnsi"/>
              </w:rPr>
            </w:pPr>
            <w:r w:rsidRPr="00FA5965">
              <w:rPr>
                <w:rFonts w:eastAsia="Calibri" w:cstheme="minorHAnsi"/>
                <w:lang w:val="pl"/>
              </w:rPr>
              <w:t>Z</w:t>
            </w:r>
            <w:r w:rsidRPr="00FA5965">
              <w:rPr>
                <w:rFonts w:eastAsia="Lato" w:cstheme="minorHAnsi"/>
                <w:lang w:val="pl"/>
              </w:rPr>
              <w:t xml:space="preserve">godnie z definicją efektywnego systemu ciepłowniczego, jednostka wysokosprawnej kogeneracji oparta o gaz ziemny kontrybuuje do statusu do roku 2045 włącznie, a czas na realizację kogeneracji gazowych przed końcem 2030 jest krótki; również w związku ze spodziewaną nową ustawą o </w:t>
            </w:r>
            <w:r w:rsidR="00FA5965" w:rsidRPr="00FA5965">
              <w:rPr>
                <w:rFonts w:eastAsia="Lato" w:cstheme="minorHAnsi"/>
                <w:lang w:val="pl"/>
              </w:rPr>
              <w:t>r</w:t>
            </w:r>
            <w:r w:rsidRPr="00FA5965">
              <w:rPr>
                <w:rFonts w:eastAsia="Lato" w:cstheme="minorHAnsi"/>
                <w:lang w:val="pl"/>
              </w:rPr>
              <w:t xml:space="preserve">ynku </w:t>
            </w:r>
            <w:r w:rsidR="00FA5965" w:rsidRPr="00FA5965">
              <w:rPr>
                <w:rFonts w:eastAsia="Lato" w:cstheme="minorHAnsi"/>
                <w:lang w:val="pl"/>
              </w:rPr>
              <w:t>m</w:t>
            </w:r>
            <w:r w:rsidRPr="00FA5965">
              <w:rPr>
                <w:rFonts w:eastAsia="Lato" w:cstheme="minorHAnsi"/>
                <w:lang w:val="pl"/>
              </w:rPr>
              <w:t xml:space="preserve">ocy, konieczne jest wydłużenie terminu na realizację inwestycji gazowych </w:t>
            </w:r>
            <w:r w:rsidRPr="00FA5965">
              <w:rPr>
                <w:rFonts w:eastAsia="Calibri" w:cstheme="minorHAnsi"/>
                <w:lang w:val="pl"/>
              </w:rPr>
              <w:t>(nowych lub konwersji)</w:t>
            </w:r>
            <w:r w:rsidRPr="00FA5965">
              <w:rPr>
                <w:rFonts w:eastAsia="Lato" w:cstheme="minorHAnsi"/>
                <w:lang w:val="pl"/>
              </w:rPr>
              <w:t>.</w:t>
            </w:r>
          </w:p>
        </w:tc>
        <w:tc>
          <w:tcPr>
            <w:tcW w:w="4252" w:type="dxa"/>
          </w:tcPr>
          <w:p w14:paraId="4AD8F215" w14:textId="306949F9" w:rsidR="2B98EA0A" w:rsidRPr="00FA5965" w:rsidRDefault="2B98EA0A" w:rsidP="2B98EA0A">
            <w:pPr>
              <w:spacing w:after="160" w:line="257" w:lineRule="auto"/>
              <w:jc w:val="both"/>
              <w:rPr>
                <w:rFonts w:cstheme="minorHAnsi"/>
              </w:rPr>
            </w:pPr>
            <w:r w:rsidRPr="00FA5965">
              <w:rPr>
                <w:rFonts w:eastAsia="Lato" w:cstheme="minorHAnsi"/>
                <w:lang w:val="pl"/>
              </w:rPr>
              <w:lastRenderedPageBreak/>
              <w:t>c) po ust. 4 dodaje się ust. 4a-4f w brzmieniu:</w:t>
            </w:r>
          </w:p>
          <w:p w14:paraId="4D3E065E" w14:textId="40B21199" w:rsidR="2B98EA0A" w:rsidRPr="00FA5965" w:rsidRDefault="2B98EA0A" w:rsidP="2B98EA0A">
            <w:pPr>
              <w:spacing w:after="160" w:line="257" w:lineRule="auto"/>
              <w:jc w:val="both"/>
              <w:rPr>
                <w:rFonts w:cstheme="minorHAnsi"/>
              </w:rPr>
            </w:pPr>
            <w:r w:rsidRPr="00FA5965">
              <w:rPr>
                <w:rFonts w:eastAsia="Lato" w:cstheme="minorHAnsi"/>
                <w:lang w:val="pl"/>
              </w:rPr>
              <w:t>“4a. W przypadku budowy systemu ciepłowniczego lub chłodniczego lub znacznej modernizacji jednostek zaopatrujących ten system, system ciepłowniczy lub chłodniczy jest uznawany za efektywny pod warunkiem, że: (...)</w:t>
            </w:r>
          </w:p>
          <w:p w14:paraId="67DD3EC8" w14:textId="77777777" w:rsidR="00380A56" w:rsidRPr="00FA5965" w:rsidRDefault="47F0BFFF" w:rsidP="2B98EA0A">
            <w:pPr>
              <w:spacing w:after="160" w:line="257" w:lineRule="auto"/>
              <w:jc w:val="both"/>
              <w:rPr>
                <w:rFonts w:eastAsia="Lato" w:cstheme="minorHAnsi"/>
                <w:lang w:val="pl"/>
              </w:rPr>
            </w:pPr>
            <w:r w:rsidRPr="00FA5965">
              <w:rPr>
                <w:rFonts w:eastAsia="Lato" w:cstheme="minorHAnsi"/>
                <w:lang w:val="pl"/>
              </w:rPr>
              <w:t xml:space="preserve">3) żadna nowa jednostka wytwórcza nie wykorzystuje paliw kopalnych, chyba że jest to jednostka wytwórcza zasilana gazem ziemnym, której budowa lub znaczna modernizacja zakończyła się do dnia 31 grudnia 2030 r. </w:t>
            </w:r>
            <w:r w:rsidRPr="00FA5965">
              <w:rPr>
                <w:rFonts w:eastAsia="Lato" w:cstheme="minorHAnsi"/>
                <w:b/>
                <w:bCs/>
                <w:lang w:val="pl"/>
              </w:rPr>
              <w:t>lub która wytwarza energię elektryczną służącą do zasilenia pomp ciepła.</w:t>
            </w:r>
            <w:r w:rsidRPr="00FA5965">
              <w:rPr>
                <w:rFonts w:eastAsia="Lato" w:cstheme="minorHAnsi"/>
                <w:lang w:val="pl"/>
              </w:rPr>
              <w:t xml:space="preserve"> </w:t>
            </w:r>
          </w:p>
          <w:p w14:paraId="0B967231" w14:textId="21CDCFDE" w:rsidR="007C1E9B" w:rsidRPr="00FA5965" w:rsidRDefault="007C1E9B" w:rsidP="00AE1F98">
            <w:pPr>
              <w:spacing w:line="257" w:lineRule="auto"/>
              <w:jc w:val="both"/>
              <w:rPr>
                <w:rFonts w:eastAsia="Lato" w:cstheme="minorHAnsi"/>
                <w:b/>
                <w:bCs/>
              </w:rPr>
            </w:pPr>
            <w:r w:rsidRPr="00FA5965">
              <w:rPr>
                <w:rFonts w:eastAsia="Lato" w:cstheme="minorHAnsi"/>
                <w:b/>
                <w:bCs/>
              </w:rPr>
              <w:t>W przypadku, gdy:</w:t>
            </w:r>
          </w:p>
          <w:p w14:paraId="15938830" w14:textId="605081F5" w:rsidR="00AE1F98" w:rsidRPr="00FA5965" w:rsidRDefault="00AE1F98" w:rsidP="00AE1F98">
            <w:pPr>
              <w:spacing w:line="257" w:lineRule="auto"/>
              <w:jc w:val="both"/>
              <w:rPr>
                <w:rFonts w:eastAsia="Lato" w:cstheme="minorHAnsi"/>
                <w:b/>
                <w:bCs/>
              </w:rPr>
            </w:pPr>
            <w:r w:rsidRPr="00FA5965">
              <w:rPr>
                <w:rFonts w:eastAsia="Lato" w:cstheme="minorHAnsi"/>
                <w:b/>
                <w:bCs/>
              </w:rPr>
              <w:lastRenderedPageBreak/>
              <w:t>- nowa jednostka wytwórcza, będąca elementem budowanego systemu ciepłowniczego lub chłodniczego,</w:t>
            </w:r>
          </w:p>
          <w:p w14:paraId="57DC6377" w14:textId="77777777" w:rsidR="00AE1F98" w:rsidRPr="00FA5965" w:rsidRDefault="00AE1F98" w:rsidP="00AE1F98">
            <w:pPr>
              <w:spacing w:line="257" w:lineRule="auto"/>
              <w:jc w:val="both"/>
              <w:rPr>
                <w:rFonts w:eastAsia="Lato" w:cstheme="minorHAnsi"/>
                <w:b/>
                <w:bCs/>
              </w:rPr>
            </w:pPr>
            <w:r w:rsidRPr="00FA5965">
              <w:rPr>
                <w:rFonts w:eastAsia="Lato" w:cstheme="minorHAnsi"/>
                <w:b/>
                <w:bCs/>
              </w:rPr>
              <w:t>- jednostka wytwórcza poddana znacznej modernizacji,</w:t>
            </w:r>
          </w:p>
          <w:p w14:paraId="78453B9A" w14:textId="52E3830B" w:rsidR="00AE1F98" w:rsidRPr="00FA5965" w:rsidRDefault="00AE1F98" w:rsidP="00F73FBC">
            <w:pPr>
              <w:spacing w:line="257" w:lineRule="auto"/>
              <w:jc w:val="both"/>
              <w:rPr>
                <w:rFonts w:eastAsia="Lato" w:cstheme="minorHAnsi"/>
                <w:b/>
                <w:bCs/>
                <w:lang w:val="pl"/>
              </w:rPr>
            </w:pPr>
            <w:r w:rsidRPr="00FA5965">
              <w:rPr>
                <w:rFonts w:eastAsia="Lato" w:cstheme="minorHAnsi"/>
                <w:b/>
                <w:bCs/>
              </w:rPr>
              <w:t xml:space="preserve">zasilana gazem ziemnym, zostanie oddana do użytkowania po dniu 31 grudnia 2030 r., system ciepłowniczy lub chłodniczy, na </w:t>
            </w:r>
            <w:proofErr w:type="gramStart"/>
            <w:r w:rsidRPr="00FA5965">
              <w:rPr>
                <w:rFonts w:eastAsia="Lato" w:cstheme="minorHAnsi"/>
                <w:b/>
                <w:bCs/>
              </w:rPr>
              <w:t>obszarze</w:t>
            </w:r>
            <w:proofErr w:type="gramEnd"/>
            <w:r w:rsidRPr="00FA5965">
              <w:rPr>
                <w:rFonts w:eastAsia="Lato" w:cstheme="minorHAnsi"/>
                <w:b/>
                <w:bCs/>
              </w:rPr>
              <w:t xml:space="preserve"> którego znajduje się ta jednostka, zasilany z tej jednostki nie przestaje być systemem efektywnym, a ciepło wytworzone w tej jednostce dostarczone do systemu ciepłowniczego, nie wlicza się do ciepła, o którym mowa w kryteriach określonych w ust. 4.”</w:t>
            </w:r>
          </w:p>
        </w:tc>
        <w:tc>
          <w:tcPr>
            <w:tcW w:w="1428" w:type="dxa"/>
          </w:tcPr>
          <w:p w14:paraId="2EFA759D" w14:textId="77777777" w:rsidR="00B91BB7" w:rsidRPr="00FA5965" w:rsidRDefault="00B91BB7" w:rsidP="008B766F">
            <w:pPr>
              <w:jc w:val="both"/>
              <w:rPr>
                <w:rFonts w:cstheme="minorHAnsi"/>
              </w:rPr>
            </w:pPr>
          </w:p>
        </w:tc>
      </w:tr>
      <w:tr w:rsidR="00B91BB7" w:rsidRPr="00FA5965" w14:paraId="50E6FC26" w14:textId="77777777" w:rsidTr="47F0BFFF">
        <w:tc>
          <w:tcPr>
            <w:tcW w:w="562" w:type="dxa"/>
          </w:tcPr>
          <w:p w14:paraId="72CBEA22" w14:textId="6D16EC7B" w:rsidR="00B91BB7" w:rsidRPr="00FA5965" w:rsidRDefault="008F4852" w:rsidP="008B766F">
            <w:pPr>
              <w:jc w:val="center"/>
              <w:rPr>
                <w:rFonts w:cstheme="minorHAnsi"/>
              </w:rPr>
            </w:pPr>
            <w:r w:rsidRPr="00FA5965">
              <w:rPr>
                <w:rFonts w:cstheme="minorHAnsi"/>
              </w:rPr>
              <w:t>4</w:t>
            </w:r>
          </w:p>
        </w:tc>
        <w:tc>
          <w:tcPr>
            <w:tcW w:w="1701" w:type="dxa"/>
          </w:tcPr>
          <w:p w14:paraId="2683A2DF" w14:textId="032360A6" w:rsidR="2B98EA0A" w:rsidRPr="00FA5965" w:rsidRDefault="00E65900" w:rsidP="2B98EA0A">
            <w:pPr>
              <w:spacing w:after="160" w:line="257" w:lineRule="auto"/>
              <w:jc w:val="both"/>
              <w:rPr>
                <w:rFonts w:cstheme="minorHAnsi"/>
              </w:rPr>
            </w:pPr>
            <w:r w:rsidRPr="00FA5965">
              <w:rPr>
                <w:rFonts w:cstheme="minorHAnsi"/>
              </w:rPr>
              <w:t>Konfederacja Lewiatan</w:t>
            </w:r>
          </w:p>
        </w:tc>
        <w:tc>
          <w:tcPr>
            <w:tcW w:w="2694" w:type="dxa"/>
          </w:tcPr>
          <w:p w14:paraId="7C2A6B3A" w14:textId="09FEE443" w:rsidR="2B98EA0A" w:rsidRPr="00FA5965" w:rsidRDefault="2B98EA0A" w:rsidP="2B98EA0A">
            <w:pPr>
              <w:spacing w:after="160" w:line="257" w:lineRule="auto"/>
              <w:jc w:val="both"/>
              <w:rPr>
                <w:rFonts w:cstheme="minorHAnsi"/>
              </w:rPr>
            </w:pPr>
            <w:r w:rsidRPr="00FA5965">
              <w:rPr>
                <w:rFonts w:eastAsia="Lato" w:cstheme="minorHAnsi"/>
                <w:lang w:val="pl"/>
              </w:rPr>
              <w:t>Art. 1 ust. 7 lit. c</w:t>
            </w:r>
            <w:r w:rsidR="00115062" w:rsidRPr="00FA5965">
              <w:rPr>
                <w:rFonts w:eastAsia="Lato" w:cstheme="minorHAnsi"/>
                <w:lang w:val="pl"/>
              </w:rPr>
              <w:t xml:space="preserve"> w zakresie dodawanego ust. 4c</w:t>
            </w:r>
          </w:p>
        </w:tc>
        <w:tc>
          <w:tcPr>
            <w:tcW w:w="5103" w:type="dxa"/>
          </w:tcPr>
          <w:p w14:paraId="17E16F2E" w14:textId="1DE22F9B" w:rsidR="2B98EA0A" w:rsidRPr="00FA5965" w:rsidRDefault="2B98EA0A" w:rsidP="2B98EA0A">
            <w:pPr>
              <w:spacing w:after="160" w:line="257" w:lineRule="auto"/>
              <w:jc w:val="both"/>
              <w:rPr>
                <w:rFonts w:cstheme="minorHAnsi"/>
              </w:rPr>
            </w:pPr>
            <w:r w:rsidRPr="00FA5965">
              <w:rPr>
                <w:rFonts w:eastAsia="Lato" w:cstheme="minorHAnsi"/>
                <w:lang w:val="pl"/>
              </w:rPr>
              <w:t xml:space="preserve">Uznajemy, że należy wprowadzić możliwość zastosowania kryteriów emisyjnych również w odniesieniu do okresu 2026-2035 wskazanego w dyrektywie EED, niezależnie od ostatecznej daty wejścia w życie niniejszego </w:t>
            </w:r>
            <w:r w:rsidR="00FA5965">
              <w:rPr>
                <w:rFonts w:eastAsia="Lato" w:cstheme="minorHAnsi"/>
                <w:lang w:val="pl"/>
              </w:rPr>
              <w:t>p</w:t>
            </w:r>
            <w:r w:rsidRPr="00FA5965">
              <w:rPr>
                <w:rFonts w:eastAsia="Lato" w:cstheme="minorHAnsi"/>
                <w:lang w:val="pl"/>
              </w:rPr>
              <w:t>rojektu.</w:t>
            </w:r>
          </w:p>
        </w:tc>
        <w:tc>
          <w:tcPr>
            <w:tcW w:w="4252" w:type="dxa"/>
          </w:tcPr>
          <w:p w14:paraId="28E99AD1" w14:textId="6493F708" w:rsidR="2B98EA0A" w:rsidRPr="00FA5965" w:rsidRDefault="2B98EA0A" w:rsidP="008F4852">
            <w:pPr>
              <w:spacing w:line="257" w:lineRule="auto"/>
              <w:jc w:val="both"/>
              <w:rPr>
                <w:rFonts w:cstheme="minorHAnsi"/>
              </w:rPr>
            </w:pPr>
            <w:r w:rsidRPr="00FA5965">
              <w:rPr>
                <w:rFonts w:eastAsia="Lato" w:cstheme="minorHAnsi"/>
                <w:lang w:val="pl"/>
              </w:rPr>
              <w:t>c) po ust. 4 dodaje się ust. 4a-4f w brzmieniu: (...)</w:t>
            </w:r>
          </w:p>
          <w:p w14:paraId="685EC13A" w14:textId="30BD0061" w:rsidR="2B98EA0A" w:rsidRPr="00FA5965" w:rsidRDefault="2B98EA0A" w:rsidP="008F4852">
            <w:pPr>
              <w:spacing w:line="257" w:lineRule="auto"/>
              <w:jc w:val="both"/>
              <w:rPr>
                <w:rFonts w:cstheme="minorHAnsi"/>
              </w:rPr>
            </w:pPr>
            <w:r w:rsidRPr="00FA5965">
              <w:rPr>
                <w:rFonts w:eastAsia="Lato" w:cstheme="minorHAnsi"/>
                <w:lang w:val="pl"/>
              </w:rPr>
              <w:t>“4c. Przedsiębiorstwo energetyczne zajmujące się przesyłaniem lub dystrybucją ciepła lub chłodu może złożyć wniosek do ministra właściwego do spraw energii o zastosowanie na obszarze funkcjonowania systemu ciepłowniczego lub chłodniczego tego przedsiębiorstwa, w miejsce kryteriów uznania za efektywny system ciepłowniczy lub chłodniczy, o których mowa w ust. 4 pkt 2–6, kryterium maksymalnej wielkości emisji gazów cieplarnianych na jednostkę ciepła lub chłodu dostarczoną odbiorcom, wynoszącej:</w:t>
            </w:r>
          </w:p>
          <w:p w14:paraId="61E8C5F0" w14:textId="65236FD3" w:rsidR="2B98EA0A" w:rsidRPr="00FA5965" w:rsidRDefault="2B98EA0A" w:rsidP="008F4852">
            <w:pPr>
              <w:spacing w:line="257" w:lineRule="auto"/>
              <w:jc w:val="both"/>
              <w:rPr>
                <w:rFonts w:cstheme="minorHAnsi"/>
              </w:rPr>
            </w:pPr>
            <w:r w:rsidRPr="00FA5965">
              <w:rPr>
                <w:rFonts w:eastAsia="Lato" w:cstheme="minorHAnsi"/>
                <w:lang w:val="pl"/>
              </w:rPr>
              <w:t xml:space="preserve">1) od dnia </w:t>
            </w:r>
            <w:r w:rsidRPr="00FA5965">
              <w:rPr>
                <w:rFonts w:eastAsia="Lato" w:cstheme="minorHAnsi"/>
                <w:b/>
                <w:bCs/>
                <w:lang w:val="pl"/>
              </w:rPr>
              <w:t>1 stycznia 2027 r. – do 150 kg/MWh,</w:t>
            </w:r>
          </w:p>
          <w:p w14:paraId="6A9FB522" w14:textId="50A79D66" w:rsidR="2B98EA0A" w:rsidRPr="00FA5965" w:rsidRDefault="2B98EA0A" w:rsidP="008F4852">
            <w:pPr>
              <w:spacing w:line="257" w:lineRule="auto"/>
              <w:jc w:val="both"/>
              <w:rPr>
                <w:rFonts w:cstheme="minorHAnsi"/>
              </w:rPr>
            </w:pPr>
            <w:r w:rsidRPr="00FA5965">
              <w:rPr>
                <w:rFonts w:eastAsia="Lato" w:cstheme="minorHAnsi"/>
                <w:b/>
                <w:bCs/>
                <w:lang w:val="pl"/>
              </w:rPr>
              <w:t>2) od dnia 1 stycznia 2035 r. – do 100 kg/MWh,</w:t>
            </w:r>
          </w:p>
          <w:p w14:paraId="651B806F" w14:textId="582F5AE6" w:rsidR="2B98EA0A" w:rsidRPr="00FA5965" w:rsidRDefault="2B98EA0A" w:rsidP="008F4852">
            <w:pPr>
              <w:spacing w:line="257" w:lineRule="auto"/>
              <w:jc w:val="both"/>
              <w:rPr>
                <w:rFonts w:cstheme="minorHAnsi"/>
              </w:rPr>
            </w:pPr>
            <w:r w:rsidRPr="00FA5965">
              <w:rPr>
                <w:rFonts w:eastAsia="Lato" w:cstheme="minorHAnsi"/>
                <w:b/>
                <w:bCs/>
                <w:lang w:val="pl"/>
              </w:rPr>
              <w:lastRenderedPageBreak/>
              <w:t>3) od dnia 1 stycznia 2045 r. – do 50 kg/MWh,</w:t>
            </w:r>
          </w:p>
          <w:p w14:paraId="45F7959B" w14:textId="63D49D15" w:rsidR="2B98EA0A" w:rsidRPr="00FA5965" w:rsidRDefault="2B98EA0A" w:rsidP="008F4852">
            <w:pPr>
              <w:spacing w:line="257" w:lineRule="auto"/>
              <w:jc w:val="both"/>
              <w:rPr>
                <w:rFonts w:cstheme="minorHAnsi"/>
              </w:rPr>
            </w:pPr>
            <w:r w:rsidRPr="00FA5965">
              <w:rPr>
                <w:rFonts w:eastAsia="Lato" w:cstheme="minorHAnsi"/>
                <w:b/>
                <w:bCs/>
                <w:lang w:val="pl"/>
              </w:rPr>
              <w:t>4) od dnia 1 stycznia 2050 r. – 0 kg/MWh</w:t>
            </w:r>
            <w:r w:rsidRPr="00FA5965">
              <w:rPr>
                <w:rFonts w:eastAsia="Lato" w:cstheme="minorHAnsi"/>
                <w:lang w:val="pl"/>
              </w:rPr>
              <w:t xml:space="preserve"> (...).”</w:t>
            </w:r>
          </w:p>
        </w:tc>
        <w:tc>
          <w:tcPr>
            <w:tcW w:w="1428" w:type="dxa"/>
          </w:tcPr>
          <w:p w14:paraId="5D16DB46" w14:textId="77777777" w:rsidR="00B91BB7" w:rsidRPr="00FA5965" w:rsidRDefault="00B91BB7" w:rsidP="008B766F">
            <w:pPr>
              <w:jc w:val="both"/>
              <w:rPr>
                <w:rFonts w:cstheme="minorHAnsi"/>
              </w:rPr>
            </w:pPr>
          </w:p>
        </w:tc>
      </w:tr>
      <w:tr w:rsidR="00FA5965" w:rsidRPr="00FA5965" w14:paraId="6761F1D3" w14:textId="77777777" w:rsidTr="47F0BFFF">
        <w:tc>
          <w:tcPr>
            <w:tcW w:w="562" w:type="dxa"/>
          </w:tcPr>
          <w:p w14:paraId="03647FA6" w14:textId="430EA2AF" w:rsidR="00FA5965" w:rsidRPr="00FA5965" w:rsidRDefault="00FA5965" w:rsidP="00FA5965">
            <w:pPr>
              <w:jc w:val="center"/>
              <w:rPr>
                <w:rFonts w:cstheme="minorHAnsi"/>
              </w:rPr>
            </w:pPr>
            <w:r>
              <w:rPr>
                <w:rFonts w:cstheme="minorHAnsi"/>
              </w:rPr>
              <w:t>5</w:t>
            </w:r>
          </w:p>
        </w:tc>
        <w:tc>
          <w:tcPr>
            <w:tcW w:w="1701" w:type="dxa"/>
          </w:tcPr>
          <w:p w14:paraId="4181BB0D" w14:textId="1AFF6046" w:rsidR="00FA5965" w:rsidRPr="00FA5965" w:rsidRDefault="00FA5965" w:rsidP="00FA5965">
            <w:pPr>
              <w:spacing w:line="257" w:lineRule="auto"/>
              <w:jc w:val="both"/>
              <w:rPr>
                <w:rFonts w:cstheme="minorHAnsi"/>
              </w:rPr>
            </w:pPr>
            <w:r w:rsidRPr="00FA5965">
              <w:rPr>
                <w:rFonts w:cstheme="minorHAnsi"/>
              </w:rPr>
              <w:t>Konfederacja Lewiatan</w:t>
            </w:r>
          </w:p>
        </w:tc>
        <w:tc>
          <w:tcPr>
            <w:tcW w:w="2694" w:type="dxa"/>
          </w:tcPr>
          <w:p w14:paraId="28F1C0F5" w14:textId="521D24B0" w:rsidR="00FA5965" w:rsidRPr="00FA5965" w:rsidRDefault="00FA5965" w:rsidP="00FA5965">
            <w:pPr>
              <w:spacing w:line="257" w:lineRule="auto"/>
              <w:jc w:val="both"/>
              <w:rPr>
                <w:rFonts w:eastAsia="Lato" w:cstheme="minorHAnsi"/>
                <w:lang w:val="pl"/>
              </w:rPr>
            </w:pPr>
            <w:r w:rsidRPr="00FA5965">
              <w:rPr>
                <w:rFonts w:eastAsia="Lato" w:cstheme="minorHAnsi"/>
                <w:lang w:val="pl"/>
              </w:rPr>
              <w:t>Art. 1 ust. 17</w:t>
            </w:r>
          </w:p>
        </w:tc>
        <w:tc>
          <w:tcPr>
            <w:tcW w:w="5103" w:type="dxa"/>
          </w:tcPr>
          <w:p w14:paraId="5D844BAC" w14:textId="431543D0" w:rsidR="00FA5965" w:rsidRPr="00FA5965" w:rsidRDefault="00FA5965" w:rsidP="00FA5965">
            <w:pPr>
              <w:spacing w:line="257" w:lineRule="auto"/>
              <w:jc w:val="both"/>
              <w:rPr>
                <w:rFonts w:eastAsia="Lato" w:cstheme="minorHAnsi"/>
                <w:lang w:val="pl"/>
              </w:rPr>
            </w:pPr>
            <w:r w:rsidRPr="00FA5965">
              <w:rPr>
                <w:rFonts w:eastAsia="Lato" w:cstheme="minorHAnsi"/>
                <w:lang w:val="pl"/>
              </w:rPr>
              <w:t>W celu uwzględnienia pełnego potencjału systemów ciepłowniczych i chłodniczych w Polsce proponujemy objąć obowiązkiem tworzenia dodatkowej odrębnej części dotyczącej ogrzewania i chłodzenia do planu zaopatrzenia również te gminy, których liczba mieszkańców nie przekracza 45 000, ale na terenie których funkcjonuje system ciepłowniczy lub chłodniczy o mocy powyżej 5 MW.</w:t>
            </w:r>
          </w:p>
        </w:tc>
        <w:tc>
          <w:tcPr>
            <w:tcW w:w="4252" w:type="dxa"/>
          </w:tcPr>
          <w:p w14:paraId="21D74E2B" w14:textId="77777777" w:rsidR="00FA5965" w:rsidRPr="00FA5965" w:rsidRDefault="00FA5965" w:rsidP="00FA5965">
            <w:pPr>
              <w:spacing w:line="257" w:lineRule="auto"/>
              <w:jc w:val="both"/>
              <w:rPr>
                <w:rFonts w:cstheme="minorHAnsi"/>
              </w:rPr>
            </w:pPr>
            <w:r w:rsidRPr="00FA5965">
              <w:rPr>
                <w:rFonts w:eastAsia="Lato" w:cstheme="minorHAnsi"/>
                <w:lang w:val="pl"/>
              </w:rPr>
              <w:t>Art. 1 ust. 17 otrzymuje brzmienie:</w:t>
            </w:r>
          </w:p>
          <w:p w14:paraId="5BDE85A9" w14:textId="77777777" w:rsidR="00FA5965" w:rsidRPr="00FA5965" w:rsidRDefault="00FA5965" w:rsidP="00FA5965">
            <w:pPr>
              <w:spacing w:line="257" w:lineRule="auto"/>
              <w:jc w:val="both"/>
              <w:rPr>
                <w:rFonts w:cstheme="minorHAnsi"/>
              </w:rPr>
            </w:pPr>
            <w:r w:rsidRPr="00FA5965">
              <w:rPr>
                <w:rFonts w:eastAsia="Lato" w:cstheme="minorHAnsi"/>
                <w:lang w:val="pl"/>
              </w:rPr>
              <w:t>“17) po art. 20 dodaje się art. 20a i art. 20b w brzmieniu:</w:t>
            </w:r>
          </w:p>
          <w:p w14:paraId="3757E911" w14:textId="02BA8D86" w:rsidR="00FA5965" w:rsidRPr="00FA5965" w:rsidRDefault="00FA5965" w:rsidP="00FA5965">
            <w:pPr>
              <w:spacing w:line="257" w:lineRule="auto"/>
              <w:jc w:val="both"/>
              <w:rPr>
                <w:rFonts w:eastAsia="Lato" w:cstheme="minorHAnsi"/>
                <w:lang w:val="pl"/>
              </w:rPr>
            </w:pPr>
            <w:r w:rsidRPr="00FA5965">
              <w:rPr>
                <w:rFonts w:eastAsia="Lato" w:cstheme="minorHAnsi"/>
                <w:lang w:val="pl"/>
              </w:rPr>
              <w:t xml:space="preserve">Art. 20a. 1. W gminach liczących ponad 45 000 mieszkańców </w:t>
            </w:r>
            <w:r w:rsidRPr="00FA5965">
              <w:rPr>
                <w:rFonts w:eastAsia="Lato" w:cstheme="minorHAnsi"/>
                <w:b/>
                <w:bCs/>
                <w:lang w:val="pl"/>
              </w:rPr>
              <w:t xml:space="preserve">lub na terenie których funkcjonuje system ciepłowniczy lub chłodniczy o mocy powyżej 5 MW, </w:t>
            </w:r>
            <w:r w:rsidRPr="00FA5965">
              <w:rPr>
                <w:rFonts w:eastAsia="Lato" w:cstheme="minorHAnsi"/>
                <w:lang w:val="pl"/>
              </w:rPr>
              <w:t xml:space="preserve">plan zaopatrzenia zawiera dodatkowo odrębną część dotyczącą ogrzewania i chłodzenia obejmującą: (...)” </w:t>
            </w:r>
          </w:p>
        </w:tc>
        <w:tc>
          <w:tcPr>
            <w:tcW w:w="1428" w:type="dxa"/>
          </w:tcPr>
          <w:p w14:paraId="4294F403" w14:textId="77777777" w:rsidR="00FA5965" w:rsidRPr="00FA5965" w:rsidRDefault="00FA5965" w:rsidP="00FA5965">
            <w:pPr>
              <w:jc w:val="both"/>
              <w:rPr>
                <w:rFonts w:cstheme="minorHAnsi"/>
              </w:rPr>
            </w:pPr>
          </w:p>
        </w:tc>
      </w:tr>
      <w:tr w:rsidR="00B91BB7" w:rsidRPr="00FA5965" w14:paraId="0B5199B1" w14:textId="77777777" w:rsidTr="47F0BFFF">
        <w:tc>
          <w:tcPr>
            <w:tcW w:w="562" w:type="dxa"/>
          </w:tcPr>
          <w:p w14:paraId="486410FA" w14:textId="6379646D" w:rsidR="00B91BB7" w:rsidRPr="00FA5965" w:rsidRDefault="00FA5965" w:rsidP="008B766F">
            <w:pPr>
              <w:jc w:val="center"/>
              <w:rPr>
                <w:rFonts w:cstheme="minorHAnsi"/>
              </w:rPr>
            </w:pPr>
            <w:r>
              <w:rPr>
                <w:rFonts w:cstheme="minorHAnsi"/>
              </w:rPr>
              <w:t>6</w:t>
            </w:r>
          </w:p>
        </w:tc>
        <w:tc>
          <w:tcPr>
            <w:tcW w:w="1701" w:type="dxa"/>
          </w:tcPr>
          <w:p w14:paraId="0620055F" w14:textId="42859798" w:rsidR="2B98EA0A" w:rsidRPr="00FA5965" w:rsidRDefault="00E65900" w:rsidP="2B98EA0A">
            <w:pPr>
              <w:spacing w:after="160" w:line="257" w:lineRule="auto"/>
              <w:jc w:val="both"/>
              <w:rPr>
                <w:rFonts w:cstheme="minorHAnsi"/>
              </w:rPr>
            </w:pPr>
            <w:r w:rsidRPr="00FA5965">
              <w:rPr>
                <w:rFonts w:cstheme="minorHAnsi"/>
              </w:rPr>
              <w:t>Konfederacja Lewiatan</w:t>
            </w:r>
          </w:p>
        </w:tc>
        <w:tc>
          <w:tcPr>
            <w:tcW w:w="2694" w:type="dxa"/>
          </w:tcPr>
          <w:p w14:paraId="43309318" w14:textId="686E66A2" w:rsidR="2B98EA0A" w:rsidRPr="00FA5965" w:rsidRDefault="2B98EA0A" w:rsidP="2B98EA0A">
            <w:pPr>
              <w:spacing w:after="160" w:line="257" w:lineRule="auto"/>
              <w:jc w:val="both"/>
              <w:rPr>
                <w:rFonts w:cstheme="minorHAnsi"/>
              </w:rPr>
            </w:pPr>
            <w:r w:rsidRPr="00FA5965">
              <w:rPr>
                <w:rFonts w:eastAsia="Lato" w:cstheme="minorHAnsi"/>
                <w:lang w:val="pl"/>
              </w:rPr>
              <w:t xml:space="preserve">Nowa jednostka redakcyjna zmieniająca art. 3 </w:t>
            </w:r>
            <w:r w:rsidR="007F1114">
              <w:rPr>
                <w:rFonts w:eastAsia="Lato" w:cstheme="minorHAnsi"/>
                <w:lang w:val="pl"/>
              </w:rPr>
              <w:t xml:space="preserve">pkt </w:t>
            </w:r>
            <w:r w:rsidRPr="00FA5965">
              <w:rPr>
                <w:rFonts w:eastAsia="Lato" w:cstheme="minorHAnsi"/>
                <w:lang w:val="pl"/>
              </w:rPr>
              <w:t>20i</w:t>
            </w:r>
          </w:p>
        </w:tc>
        <w:tc>
          <w:tcPr>
            <w:tcW w:w="5103" w:type="dxa"/>
          </w:tcPr>
          <w:p w14:paraId="559B0582" w14:textId="2F3F0F83" w:rsidR="2B98EA0A" w:rsidRPr="00FA5965" w:rsidRDefault="2B98EA0A" w:rsidP="2B98EA0A">
            <w:pPr>
              <w:spacing w:after="160" w:line="257" w:lineRule="auto"/>
              <w:jc w:val="both"/>
              <w:rPr>
                <w:rFonts w:cstheme="minorHAnsi"/>
              </w:rPr>
            </w:pPr>
            <w:r w:rsidRPr="00FA5965">
              <w:rPr>
                <w:rFonts w:eastAsia="Lato" w:cstheme="minorHAnsi"/>
                <w:lang w:val="pl"/>
              </w:rPr>
              <w:t>Aby zapewnić pełną zgodność przepisów krajowych z wytycznymi UE zawartymi w Komunikacie Komisji C/2025/2238, proponujemy doprecyzować aktualne brzmienie definicji ciepła odpadowego i chłodu odpadowego tak, aby nie pozostawiać żadnych wątpliwości, że ciepło pochodzące z układu kondensacji spalin w jednostce kogeneracji jest kwalifikowane jako ciepło odpadowe zgodnie ze spełnieniem kryterium produktu ubocznego.</w:t>
            </w:r>
          </w:p>
        </w:tc>
        <w:tc>
          <w:tcPr>
            <w:tcW w:w="4252" w:type="dxa"/>
          </w:tcPr>
          <w:p w14:paraId="77637679" w14:textId="0CFCB02D" w:rsidR="2B98EA0A" w:rsidRPr="00FA5965" w:rsidRDefault="2B98EA0A" w:rsidP="008F4852">
            <w:pPr>
              <w:spacing w:line="257" w:lineRule="auto"/>
              <w:jc w:val="both"/>
              <w:rPr>
                <w:rFonts w:cstheme="minorHAnsi"/>
              </w:rPr>
            </w:pPr>
            <w:r w:rsidRPr="00FA5965">
              <w:rPr>
                <w:rFonts w:eastAsia="Lato" w:cstheme="minorHAnsi"/>
                <w:lang w:val="pl"/>
              </w:rPr>
              <w:t xml:space="preserve">Art. 3 </w:t>
            </w:r>
            <w:r w:rsidR="007F1114">
              <w:rPr>
                <w:rFonts w:eastAsia="Lato" w:cstheme="minorHAnsi"/>
                <w:lang w:val="pl"/>
              </w:rPr>
              <w:t>pkt</w:t>
            </w:r>
            <w:r w:rsidRPr="00FA5965">
              <w:rPr>
                <w:rFonts w:eastAsia="Lato" w:cstheme="minorHAnsi"/>
                <w:lang w:val="pl"/>
              </w:rPr>
              <w:t xml:space="preserve"> 20i otrzymuje brzmienie:</w:t>
            </w:r>
          </w:p>
          <w:p w14:paraId="225B25A0" w14:textId="4E037BCB" w:rsidR="2B98EA0A" w:rsidRPr="00FA5965" w:rsidRDefault="2B98EA0A" w:rsidP="00A82131">
            <w:pPr>
              <w:spacing w:line="257" w:lineRule="auto"/>
              <w:jc w:val="both"/>
              <w:rPr>
                <w:rFonts w:cstheme="minorHAnsi"/>
              </w:rPr>
            </w:pPr>
            <w:r w:rsidRPr="00FA5965">
              <w:rPr>
                <w:rFonts w:eastAsia="Lato" w:cstheme="minorHAnsi"/>
                <w:lang w:val="pl"/>
              </w:rPr>
              <w:t xml:space="preserve">“20i)  ciepło odpadowe i chłód odpadowy - niemożliwe do uniknięcia ciepło lub chłód, które są wytwarzane jako produkty uboczne w instalacjach przemysłowych lub instalacjach wytwórczych energii, </w:t>
            </w:r>
            <w:r w:rsidRPr="00FA5965">
              <w:rPr>
                <w:rFonts w:eastAsia="Lato" w:cstheme="minorHAnsi"/>
                <w:b/>
                <w:bCs/>
                <w:lang w:val="pl"/>
              </w:rPr>
              <w:t>w tym ciepło możliwe do odebrania w układzie kondensacji spalin,</w:t>
            </w:r>
            <w:r w:rsidRPr="00FA5965">
              <w:rPr>
                <w:rFonts w:eastAsia="Lato" w:cstheme="minorHAnsi"/>
                <w:lang w:val="pl"/>
              </w:rPr>
              <w:t xml:space="preserve"> lub w sektorze usług i które bez dostępu do systemu ciepłowniczego lub chłodniczego pozostałyby niewykorzystane, rozpraszając się w powietrzu lub w wodzie, w przypadku gdy jest lub będzie wykorzystywana kogeneracja lub gdy wykorzystanie kogeneracji nie jest możliwe”</w:t>
            </w:r>
          </w:p>
        </w:tc>
        <w:tc>
          <w:tcPr>
            <w:tcW w:w="1428" w:type="dxa"/>
          </w:tcPr>
          <w:p w14:paraId="2EFBC216" w14:textId="77777777" w:rsidR="00B91BB7" w:rsidRPr="00FA5965" w:rsidRDefault="00B91BB7" w:rsidP="008B766F">
            <w:pPr>
              <w:jc w:val="both"/>
              <w:rPr>
                <w:rFonts w:cstheme="minorHAnsi"/>
              </w:rPr>
            </w:pPr>
          </w:p>
        </w:tc>
      </w:tr>
      <w:bookmarkEnd w:id="0"/>
    </w:tbl>
    <w:p w14:paraId="4A485AB3" w14:textId="77777777" w:rsidR="00CA2841" w:rsidRDefault="00CA2841" w:rsidP="008B766F">
      <w:pPr>
        <w:spacing w:after="0" w:line="240" w:lineRule="auto"/>
        <w:rPr>
          <w:rFonts w:cstheme="minorHAnsi"/>
        </w:rPr>
      </w:pPr>
    </w:p>
    <w:p w14:paraId="2DEB898D" w14:textId="37FD25AA" w:rsidR="009E0BA7" w:rsidRPr="009E0BA7" w:rsidRDefault="009E0BA7" w:rsidP="008B766F">
      <w:pPr>
        <w:spacing w:after="0" w:line="240" w:lineRule="auto"/>
        <w:rPr>
          <w:rFonts w:cstheme="minorHAnsi"/>
          <w:b/>
          <w:bCs/>
          <w:i/>
          <w:iCs/>
        </w:rPr>
      </w:pPr>
      <w:r w:rsidRPr="009E0BA7">
        <w:rPr>
          <w:rFonts w:cstheme="minorHAnsi"/>
          <w:b/>
          <w:bCs/>
          <w:i/>
          <w:iCs/>
        </w:rPr>
        <w:t>KL/398/114/PG/2026</w:t>
      </w:r>
    </w:p>
    <w:sectPr w:rsidR="009E0BA7" w:rsidRPr="009E0BA7" w:rsidSect="00B91BB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A64B2" w14:textId="77777777" w:rsidR="00704523" w:rsidRDefault="00704523" w:rsidP="00CA2841">
      <w:pPr>
        <w:spacing w:after="0" w:line="240" w:lineRule="auto"/>
      </w:pPr>
      <w:r>
        <w:separator/>
      </w:r>
    </w:p>
  </w:endnote>
  <w:endnote w:type="continuationSeparator" w:id="0">
    <w:p w14:paraId="05C140A1" w14:textId="77777777" w:rsidR="00704523" w:rsidRDefault="00704523" w:rsidP="00CA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D957D" w14:textId="77777777" w:rsidR="00704523" w:rsidRDefault="00704523" w:rsidP="00CA2841">
      <w:pPr>
        <w:spacing w:after="0" w:line="240" w:lineRule="auto"/>
      </w:pPr>
      <w:r>
        <w:separator/>
      </w:r>
    </w:p>
  </w:footnote>
  <w:footnote w:type="continuationSeparator" w:id="0">
    <w:p w14:paraId="4855F3AB" w14:textId="77777777" w:rsidR="00704523" w:rsidRDefault="00704523" w:rsidP="00CA2841">
      <w:pPr>
        <w:spacing w:after="0" w:line="240" w:lineRule="auto"/>
      </w:pPr>
      <w:r>
        <w:continuationSeparator/>
      </w:r>
    </w:p>
  </w:footnote>
  <w:footnote w:id="1">
    <w:p w14:paraId="722C9D04" w14:textId="76DFC1E6" w:rsidR="004F2D1D" w:rsidRPr="00EF494C" w:rsidRDefault="004F2D1D">
      <w:pPr>
        <w:pStyle w:val="Tekstprzypisudolnego"/>
        <w:rPr>
          <w:rFonts w:ascii="Lato" w:hAnsi="Lato" w:cs="Times New Roman"/>
          <w:sz w:val="22"/>
          <w:szCs w:val="22"/>
        </w:rPr>
      </w:pPr>
      <w:r w:rsidRPr="00EF494C">
        <w:rPr>
          <w:rStyle w:val="Odwoanieprzypisudolnego"/>
          <w:rFonts w:ascii="Lato" w:hAnsi="Lato" w:cs="Times New Roman"/>
        </w:rPr>
        <w:t>1)</w:t>
      </w:r>
      <w:r w:rsidRPr="00EF494C">
        <w:rPr>
          <w:rFonts w:ascii="Lato" w:hAnsi="Lato" w:cs="Times New Roman"/>
        </w:rPr>
        <w:t xml:space="preserve"> </w:t>
      </w:r>
      <w:r w:rsidR="00B91BB7" w:rsidRPr="00EF494C">
        <w:rPr>
          <w:rFonts w:ascii="Lato" w:hAnsi="Lato" w:cs="Times New Roman"/>
        </w:rPr>
        <w:t>W przypadku aktu nowelizującego n</w:t>
      </w:r>
      <w:r w:rsidRPr="00EF494C">
        <w:rPr>
          <w:rFonts w:ascii="Lato" w:hAnsi="Lato" w:cs="Times New Roman"/>
        </w:rPr>
        <w:t xml:space="preserve">ależy wskazać jednostkę redakcyjną projektu </w:t>
      </w:r>
      <w:r w:rsidR="00EB31B4" w:rsidRPr="00EF494C">
        <w:rPr>
          <w:rFonts w:ascii="Lato" w:hAnsi="Lato" w:cs="Times New Roman"/>
        </w:rPr>
        <w:t>oraz jednostkę redakcyjną zmienianego aktu prawnego.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B09F4"/>
    <w:multiLevelType w:val="hybridMultilevel"/>
    <w:tmpl w:val="8A00AE10"/>
    <w:lvl w:ilvl="0" w:tplc="3FE8FB12">
      <w:start w:val="1"/>
      <w:numFmt w:val="decimal"/>
      <w:lvlText w:val="%1."/>
      <w:lvlJc w:val="left"/>
      <w:pPr>
        <w:ind w:left="720" w:hanging="360"/>
      </w:pPr>
    </w:lvl>
    <w:lvl w:ilvl="1" w:tplc="70642C02">
      <w:start w:val="1"/>
      <w:numFmt w:val="lowerLetter"/>
      <w:lvlText w:val="%2."/>
      <w:lvlJc w:val="left"/>
      <w:pPr>
        <w:ind w:left="1440" w:hanging="360"/>
      </w:pPr>
    </w:lvl>
    <w:lvl w:ilvl="2" w:tplc="C3F407E8">
      <w:start w:val="1"/>
      <w:numFmt w:val="lowerRoman"/>
      <w:lvlText w:val="%3."/>
      <w:lvlJc w:val="right"/>
      <w:pPr>
        <w:ind w:left="2160" w:hanging="180"/>
      </w:pPr>
    </w:lvl>
    <w:lvl w:ilvl="3" w:tplc="D190F886">
      <w:start w:val="1"/>
      <w:numFmt w:val="decimal"/>
      <w:lvlText w:val="%4."/>
      <w:lvlJc w:val="left"/>
      <w:pPr>
        <w:ind w:left="2880" w:hanging="360"/>
      </w:pPr>
    </w:lvl>
    <w:lvl w:ilvl="4" w:tplc="B69C2A4E">
      <w:start w:val="1"/>
      <w:numFmt w:val="lowerLetter"/>
      <w:lvlText w:val="%5."/>
      <w:lvlJc w:val="left"/>
      <w:pPr>
        <w:ind w:left="3600" w:hanging="360"/>
      </w:pPr>
    </w:lvl>
    <w:lvl w:ilvl="5" w:tplc="6E90198A">
      <w:start w:val="1"/>
      <w:numFmt w:val="lowerRoman"/>
      <w:lvlText w:val="%6."/>
      <w:lvlJc w:val="right"/>
      <w:pPr>
        <w:ind w:left="4320" w:hanging="180"/>
      </w:pPr>
    </w:lvl>
    <w:lvl w:ilvl="6" w:tplc="2EDAE42A">
      <w:start w:val="1"/>
      <w:numFmt w:val="decimal"/>
      <w:lvlText w:val="%7."/>
      <w:lvlJc w:val="left"/>
      <w:pPr>
        <w:ind w:left="5040" w:hanging="360"/>
      </w:pPr>
    </w:lvl>
    <w:lvl w:ilvl="7" w:tplc="DBD28BA6">
      <w:start w:val="1"/>
      <w:numFmt w:val="lowerLetter"/>
      <w:lvlText w:val="%8."/>
      <w:lvlJc w:val="left"/>
      <w:pPr>
        <w:ind w:left="5760" w:hanging="360"/>
      </w:pPr>
    </w:lvl>
    <w:lvl w:ilvl="8" w:tplc="D8561C62">
      <w:start w:val="1"/>
      <w:numFmt w:val="lowerRoman"/>
      <w:lvlText w:val="%9."/>
      <w:lvlJc w:val="right"/>
      <w:pPr>
        <w:ind w:left="6480" w:hanging="180"/>
      </w:pPr>
    </w:lvl>
  </w:abstractNum>
  <w:abstractNum w:abstractNumId="1" w15:restartNumberingAfterBreak="0">
    <w:nsid w:val="584B9C05"/>
    <w:multiLevelType w:val="hybridMultilevel"/>
    <w:tmpl w:val="C442AA72"/>
    <w:lvl w:ilvl="0" w:tplc="6C348CC8">
      <w:start w:val="1"/>
      <w:numFmt w:val="decimal"/>
      <w:lvlText w:val="%1."/>
      <w:lvlJc w:val="left"/>
      <w:pPr>
        <w:ind w:left="720" w:hanging="360"/>
      </w:pPr>
    </w:lvl>
    <w:lvl w:ilvl="1" w:tplc="74988C16">
      <w:start w:val="1"/>
      <w:numFmt w:val="lowerLetter"/>
      <w:lvlText w:val="%2."/>
      <w:lvlJc w:val="left"/>
      <w:pPr>
        <w:ind w:left="1440" w:hanging="360"/>
      </w:pPr>
    </w:lvl>
    <w:lvl w:ilvl="2" w:tplc="D346A926">
      <w:start w:val="1"/>
      <w:numFmt w:val="lowerRoman"/>
      <w:lvlText w:val="%3."/>
      <w:lvlJc w:val="right"/>
      <w:pPr>
        <w:ind w:left="2160" w:hanging="180"/>
      </w:pPr>
    </w:lvl>
    <w:lvl w:ilvl="3" w:tplc="87A2C938">
      <w:start w:val="1"/>
      <w:numFmt w:val="decimal"/>
      <w:lvlText w:val="%4."/>
      <w:lvlJc w:val="left"/>
      <w:pPr>
        <w:ind w:left="2880" w:hanging="360"/>
      </w:pPr>
    </w:lvl>
    <w:lvl w:ilvl="4" w:tplc="22D823AA">
      <w:start w:val="1"/>
      <w:numFmt w:val="lowerLetter"/>
      <w:lvlText w:val="%5."/>
      <w:lvlJc w:val="left"/>
      <w:pPr>
        <w:ind w:left="3600" w:hanging="360"/>
      </w:pPr>
    </w:lvl>
    <w:lvl w:ilvl="5" w:tplc="8F6205BE">
      <w:start w:val="1"/>
      <w:numFmt w:val="lowerRoman"/>
      <w:lvlText w:val="%6."/>
      <w:lvlJc w:val="right"/>
      <w:pPr>
        <w:ind w:left="4320" w:hanging="180"/>
      </w:pPr>
    </w:lvl>
    <w:lvl w:ilvl="6" w:tplc="924C0A96">
      <w:start w:val="1"/>
      <w:numFmt w:val="decimal"/>
      <w:lvlText w:val="%7."/>
      <w:lvlJc w:val="left"/>
      <w:pPr>
        <w:ind w:left="5040" w:hanging="360"/>
      </w:pPr>
    </w:lvl>
    <w:lvl w:ilvl="7" w:tplc="8CC84354">
      <w:start w:val="1"/>
      <w:numFmt w:val="lowerLetter"/>
      <w:lvlText w:val="%8."/>
      <w:lvlJc w:val="left"/>
      <w:pPr>
        <w:ind w:left="5760" w:hanging="360"/>
      </w:pPr>
    </w:lvl>
    <w:lvl w:ilvl="8" w:tplc="53BA742C">
      <w:start w:val="1"/>
      <w:numFmt w:val="lowerRoman"/>
      <w:lvlText w:val="%9."/>
      <w:lvlJc w:val="right"/>
      <w:pPr>
        <w:ind w:left="6480" w:hanging="180"/>
      </w:pPr>
    </w:lvl>
  </w:abstractNum>
  <w:num w:numId="1" w16cid:durableId="1533810182">
    <w:abstractNumId w:val="1"/>
  </w:num>
  <w:num w:numId="2" w16cid:durableId="1822309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41"/>
    <w:rsid w:val="00007CAA"/>
    <w:rsid w:val="00063B0C"/>
    <w:rsid w:val="000D2022"/>
    <w:rsid w:val="00115062"/>
    <w:rsid w:val="00140CC3"/>
    <w:rsid w:val="0019568F"/>
    <w:rsid w:val="001B734F"/>
    <w:rsid w:val="001E4824"/>
    <w:rsid w:val="002F40A8"/>
    <w:rsid w:val="002F7B34"/>
    <w:rsid w:val="00380A56"/>
    <w:rsid w:val="003969D0"/>
    <w:rsid w:val="003A6BF9"/>
    <w:rsid w:val="00435D45"/>
    <w:rsid w:val="004F2D1D"/>
    <w:rsid w:val="0065784C"/>
    <w:rsid w:val="00691459"/>
    <w:rsid w:val="006D51ED"/>
    <w:rsid w:val="006D68FB"/>
    <w:rsid w:val="00704523"/>
    <w:rsid w:val="00706547"/>
    <w:rsid w:val="00712311"/>
    <w:rsid w:val="007163F1"/>
    <w:rsid w:val="007715AF"/>
    <w:rsid w:val="00773DAD"/>
    <w:rsid w:val="007C1E9B"/>
    <w:rsid w:val="007F01C2"/>
    <w:rsid w:val="007F1114"/>
    <w:rsid w:val="0080440E"/>
    <w:rsid w:val="008140A7"/>
    <w:rsid w:val="0085062E"/>
    <w:rsid w:val="00894E5C"/>
    <w:rsid w:val="008B1756"/>
    <w:rsid w:val="008B556D"/>
    <w:rsid w:val="008B5608"/>
    <w:rsid w:val="008B766F"/>
    <w:rsid w:val="008C477E"/>
    <w:rsid w:val="008F4852"/>
    <w:rsid w:val="0090574C"/>
    <w:rsid w:val="0097307B"/>
    <w:rsid w:val="009A2597"/>
    <w:rsid w:val="009B5AD6"/>
    <w:rsid w:val="009E0BA7"/>
    <w:rsid w:val="009E504D"/>
    <w:rsid w:val="00A82131"/>
    <w:rsid w:val="00AD568C"/>
    <w:rsid w:val="00AE1F98"/>
    <w:rsid w:val="00B63F4A"/>
    <w:rsid w:val="00B829F8"/>
    <w:rsid w:val="00B864FF"/>
    <w:rsid w:val="00B91BB7"/>
    <w:rsid w:val="00BD1829"/>
    <w:rsid w:val="00BD4156"/>
    <w:rsid w:val="00C1737E"/>
    <w:rsid w:val="00C554DC"/>
    <w:rsid w:val="00C6094F"/>
    <w:rsid w:val="00C63C15"/>
    <w:rsid w:val="00C93278"/>
    <w:rsid w:val="00CA2841"/>
    <w:rsid w:val="00CD1F5F"/>
    <w:rsid w:val="00CD3075"/>
    <w:rsid w:val="00D35962"/>
    <w:rsid w:val="00D65AD4"/>
    <w:rsid w:val="00D95562"/>
    <w:rsid w:val="00E40E3D"/>
    <w:rsid w:val="00E65900"/>
    <w:rsid w:val="00EB31B4"/>
    <w:rsid w:val="00EC4C43"/>
    <w:rsid w:val="00EF494C"/>
    <w:rsid w:val="00F73FBC"/>
    <w:rsid w:val="00FA5965"/>
    <w:rsid w:val="00FB2DB4"/>
    <w:rsid w:val="00FC7B1A"/>
    <w:rsid w:val="2B98EA0A"/>
    <w:rsid w:val="47F0BF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3F60"/>
  <w15:chartTrackingRefBased/>
  <w15:docId w15:val="{6BE2EF6E-7A57-45BA-8729-04A92DBED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link w:val="TekstprzypisudolnegoZnak"/>
    <w:uiPriority w:val="99"/>
    <w:semiHidden/>
    <w:unhideWhenUsed/>
    <w:rsid w:val="2B98EA0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A2841"/>
    <w:rPr>
      <w:sz w:val="20"/>
      <w:szCs w:val="20"/>
    </w:rPr>
  </w:style>
  <w:style w:type="character" w:styleId="Odwoanieprzypisudolnego">
    <w:name w:val="footnote reference"/>
    <w:basedOn w:val="Domylnaczcionkaakapitu"/>
    <w:uiPriority w:val="99"/>
    <w:semiHidden/>
    <w:unhideWhenUsed/>
    <w:rsid w:val="00CA2841"/>
    <w:rPr>
      <w:vertAlign w:val="superscript"/>
    </w:rPr>
  </w:style>
  <w:style w:type="table" w:styleId="Tabela-Siatka">
    <w:name w:val="Table Grid"/>
    <w:basedOn w:val="Standardowy"/>
    <w:uiPriority w:val="39"/>
    <w:rsid w:val="00CA2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F2D1D"/>
    <w:rPr>
      <w:sz w:val="16"/>
      <w:szCs w:val="16"/>
    </w:rPr>
  </w:style>
  <w:style w:type="paragraph" w:styleId="Tekstkomentarza">
    <w:name w:val="annotation text"/>
    <w:link w:val="TekstkomentarzaZnak"/>
    <w:uiPriority w:val="99"/>
    <w:unhideWhenUsed/>
    <w:rsid w:val="2B98EA0A"/>
    <w:pPr>
      <w:spacing w:line="240" w:lineRule="auto"/>
    </w:pPr>
    <w:rPr>
      <w:sz w:val="20"/>
      <w:szCs w:val="20"/>
    </w:rPr>
  </w:style>
  <w:style w:type="character" w:customStyle="1" w:styleId="TekstkomentarzaZnak">
    <w:name w:val="Tekst komentarza Znak"/>
    <w:basedOn w:val="Domylnaczcionkaakapitu"/>
    <w:link w:val="Tekstkomentarza"/>
    <w:uiPriority w:val="99"/>
    <w:rsid w:val="004F2D1D"/>
    <w:rPr>
      <w:sz w:val="20"/>
      <w:szCs w:val="20"/>
    </w:rPr>
  </w:style>
  <w:style w:type="paragraph" w:styleId="Tematkomentarza">
    <w:name w:val="annotation subject"/>
    <w:basedOn w:val="Tekstkomentarza"/>
    <w:next w:val="Tekstkomentarza"/>
    <w:link w:val="TematkomentarzaZnak"/>
    <w:uiPriority w:val="99"/>
    <w:semiHidden/>
    <w:unhideWhenUsed/>
    <w:rsid w:val="004F2D1D"/>
    <w:rPr>
      <w:b/>
      <w:bCs/>
    </w:rPr>
  </w:style>
  <w:style w:type="character" w:customStyle="1" w:styleId="TematkomentarzaZnak">
    <w:name w:val="Temat komentarza Znak"/>
    <w:basedOn w:val="TekstkomentarzaZnak"/>
    <w:link w:val="Tematkomentarza"/>
    <w:uiPriority w:val="99"/>
    <w:semiHidden/>
    <w:rsid w:val="004F2D1D"/>
    <w:rPr>
      <w:b/>
      <w:bCs/>
      <w:sz w:val="20"/>
      <w:szCs w:val="20"/>
    </w:rPr>
  </w:style>
  <w:style w:type="paragraph" w:styleId="Akapitzlist">
    <w:name w:val="List Paragraph"/>
    <w:uiPriority w:val="34"/>
    <w:qFormat/>
    <w:rsid w:val="2B98E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68A9B-02CF-49B8-B19D-07AFA93A7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Pages>
  <Words>1576</Words>
  <Characters>9457</Characters>
  <Application>Microsoft Office Word</Application>
  <DocSecurity>0</DocSecurity>
  <Lines>78</Lines>
  <Paragraphs>22</Paragraphs>
  <ScaleCrop>false</ScaleCrop>
  <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Wójcikiewicz-Kawa Agata</dc:creator>
  <cp:keywords/>
  <dc:description/>
  <cp:lastModifiedBy>Magdalena Widlicka</cp:lastModifiedBy>
  <cp:revision>32</cp:revision>
  <dcterms:created xsi:type="dcterms:W3CDTF">2026-05-15T11:00:00Z</dcterms:created>
  <dcterms:modified xsi:type="dcterms:W3CDTF">2026-06-09T10:57:00Z</dcterms:modified>
</cp:coreProperties>
</file>