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759C" w14:textId="5E0533CC" w:rsidR="00C93278" w:rsidRPr="008B766F" w:rsidRDefault="00CA2841" w:rsidP="00E12F21">
      <w:pPr>
        <w:spacing w:after="0" w:line="276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8B766F">
        <w:rPr>
          <w:rFonts w:ascii="Lato" w:hAnsi="Lato" w:cs="Times New Roman"/>
          <w:b/>
          <w:bCs/>
          <w:sz w:val="20"/>
          <w:szCs w:val="20"/>
        </w:rPr>
        <w:t xml:space="preserve">Uwagi </w:t>
      </w:r>
      <w:r w:rsidR="009C3E98">
        <w:rPr>
          <w:rFonts w:ascii="Lato" w:hAnsi="Lato" w:cs="Times New Roman"/>
          <w:b/>
          <w:bCs/>
          <w:sz w:val="20"/>
          <w:szCs w:val="20"/>
        </w:rPr>
        <w:t>Konfederacji Lewiatan</w:t>
      </w:r>
    </w:p>
    <w:p w14:paraId="5401FC10" w14:textId="02BFF831" w:rsidR="000F5022" w:rsidRDefault="00CA2841" w:rsidP="004B1130">
      <w:pPr>
        <w:spacing w:after="0" w:line="276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 xml:space="preserve">do </w:t>
      </w:r>
      <w:r w:rsidR="00112EE2" w:rsidRPr="00112EE2">
        <w:rPr>
          <w:rFonts w:ascii="Lato" w:hAnsi="Lato" w:cs="Times New Roman"/>
          <w:b/>
          <w:bCs/>
          <w:sz w:val="20"/>
          <w:szCs w:val="20"/>
        </w:rPr>
        <w:t>projekt</w:t>
      </w:r>
      <w:r w:rsidR="00112EE2">
        <w:rPr>
          <w:rFonts w:ascii="Lato" w:hAnsi="Lato" w:cs="Times New Roman"/>
          <w:b/>
          <w:bCs/>
          <w:sz w:val="20"/>
          <w:szCs w:val="20"/>
        </w:rPr>
        <w:t>u</w:t>
      </w:r>
      <w:r w:rsidR="00112EE2" w:rsidRPr="00112EE2">
        <w:rPr>
          <w:rFonts w:ascii="Lato" w:hAnsi="Lato" w:cs="Times New Roman"/>
          <w:b/>
          <w:bCs/>
          <w:sz w:val="20"/>
          <w:szCs w:val="20"/>
        </w:rPr>
        <w:t xml:space="preserve"> ustawy </w:t>
      </w:r>
      <w:r w:rsidR="000F5022" w:rsidRPr="000F5022">
        <w:rPr>
          <w:rFonts w:ascii="Lato" w:hAnsi="Lato" w:cs="Times New Roman"/>
          <w:b/>
          <w:bCs/>
          <w:sz w:val="20"/>
          <w:szCs w:val="20"/>
        </w:rPr>
        <w:t xml:space="preserve">o zmianie ustawy - Kodeks postępowania w sprawach o wykroczenia </w:t>
      </w:r>
    </w:p>
    <w:p w14:paraId="711D6FEE" w14:textId="4537A4F4" w:rsidR="00CA2841" w:rsidRDefault="00E42C86" w:rsidP="004B1130">
      <w:pPr>
        <w:spacing w:after="0" w:line="276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E42C86">
        <w:rPr>
          <w:rFonts w:ascii="Lato" w:hAnsi="Lato" w:cs="Times New Roman"/>
          <w:b/>
          <w:bCs/>
          <w:sz w:val="20"/>
          <w:szCs w:val="20"/>
        </w:rPr>
        <w:t>(</w:t>
      </w:r>
      <w:r w:rsidR="000F5022">
        <w:rPr>
          <w:rFonts w:ascii="Lato" w:hAnsi="Lato" w:cs="Times New Roman"/>
          <w:b/>
          <w:bCs/>
          <w:sz w:val="20"/>
          <w:szCs w:val="20"/>
        </w:rPr>
        <w:t>UD398</w:t>
      </w:r>
      <w:r w:rsidR="00F12878">
        <w:rPr>
          <w:rFonts w:ascii="Lato" w:hAnsi="Lato" w:cs="Times New Roman"/>
          <w:b/>
          <w:bCs/>
          <w:sz w:val="20"/>
          <w:szCs w:val="20"/>
        </w:rPr>
        <w:t xml:space="preserve"> </w:t>
      </w:r>
      <w:r>
        <w:rPr>
          <w:rFonts w:ascii="Lato" w:hAnsi="Lato" w:cs="Times New Roman"/>
          <w:b/>
          <w:bCs/>
          <w:sz w:val="20"/>
          <w:szCs w:val="20"/>
        </w:rPr>
        <w:t xml:space="preserve">w Wykazie </w:t>
      </w:r>
      <w:r w:rsidR="00F12878">
        <w:rPr>
          <w:rFonts w:ascii="Lato" w:hAnsi="Lato" w:cs="Times New Roman"/>
          <w:b/>
          <w:bCs/>
          <w:sz w:val="20"/>
          <w:szCs w:val="20"/>
        </w:rPr>
        <w:t>P</w:t>
      </w:r>
      <w:r>
        <w:rPr>
          <w:rFonts w:ascii="Lato" w:hAnsi="Lato" w:cs="Times New Roman"/>
          <w:b/>
          <w:bCs/>
          <w:sz w:val="20"/>
          <w:szCs w:val="20"/>
        </w:rPr>
        <w:t xml:space="preserve">rac </w:t>
      </w:r>
      <w:r w:rsidR="00F12878">
        <w:rPr>
          <w:rFonts w:ascii="Lato" w:hAnsi="Lato" w:cs="Times New Roman"/>
          <w:b/>
          <w:bCs/>
          <w:sz w:val="20"/>
          <w:szCs w:val="20"/>
        </w:rPr>
        <w:t>L</w:t>
      </w:r>
      <w:r>
        <w:rPr>
          <w:rFonts w:ascii="Lato" w:hAnsi="Lato" w:cs="Times New Roman"/>
          <w:b/>
          <w:bCs/>
          <w:sz w:val="20"/>
          <w:szCs w:val="20"/>
        </w:rPr>
        <w:t>egislacyjnych</w:t>
      </w:r>
      <w:r w:rsidR="000F5022">
        <w:rPr>
          <w:rFonts w:ascii="Lato" w:hAnsi="Lato" w:cs="Times New Roman"/>
          <w:b/>
          <w:bCs/>
          <w:sz w:val="20"/>
          <w:szCs w:val="20"/>
        </w:rPr>
        <w:t xml:space="preserve"> Ministra Sprawiedliwości</w:t>
      </w:r>
      <w:r>
        <w:rPr>
          <w:rFonts w:ascii="Lato" w:hAnsi="Lato" w:cs="Times New Roman"/>
          <w:b/>
          <w:bCs/>
          <w:sz w:val="20"/>
          <w:szCs w:val="20"/>
        </w:rPr>
        <w:t>)</w:t>
      </w:r>
    </w:p>
    <w:p w14:paraId="38CF17DE" w14:textId="77777777" w:rsidR="00E42C86" w:rsidRPr="008B766F" w:rsidRDefault="00E42C86" w:rsidP="004B1130">
      <w:pPr>
        <w:spacing w:after="0" w:line="276" w:lineRule="auto"/>
        <w:jc w:val="center"/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574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977"/>
        <w:gridCol w:w="4961"/>
        <w:gridCol w:w="4253"/>
        <w:gridCol w:w="1286"/>
      </w:tblGrid>
      <w:tr w:rsidR="0090574C" w:rsidRPr="008B766F" w14:paraId="47E9ED08" w14:textId="77777777" w:rsidTr="00110397">
        <w:trPr>
          <w:trHeight w:val="551"/>
          <w:tblHeader/>
        </w:trPr>
        <w:tc>
          <w:tcPr>
            <w:tcW w:w="562" w:type="dxa"/>
          </w:tcPr>
          <w:p w14:paraId="115BF413" w14:textId="6257DDCF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</w:tcPr>
          <w:p w14:paraId="0FAF4510" w14:textId="4FD6EB74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Podmiot wnoszący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ę</w:t>
            </w:r>
          </w:p>
        </w:tc>
        <w:tc>
          <w:tcPr>
            <w:tcW w:w="2977" w:type="dxa"/>
          </w:tcPr>
          <w:p w14:paraId="51F92737" w14:textId="48E4A866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 jest</w:t>
            </w: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  <w:r w:rsidR="004F2D1D" w:rsidRPr="008B766F">
              <w:rPr>
                <w:rStyle w:val="Odwoanieprzypisudolnego"/>
                <w:rFonts w:ascii="Lato" w:hAnsi="Lato" w:cs="Times New Roman"/>
                <w:b/>
                <w:bCs/>
                <w:sz w:val="20"/>
                <w:szCs w:val="20"/>
              </w:rPr>
              <w:footnoteReference w:customMarkFollows="1" w:id="1"/>
              <w:t>1)</w:t>
            </w:r>
          </w:p>
        </w:tc>
        <w:tc>
          <w:tcPr>
            <w:tcW w:w="4961" w:type="dxa"/>
          </w:tcPr>
          <w:p w14:paraId="74AACE5A" w14:textId="0BDDBBD7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4253" w:type="dxa"/>
          </w:tcPr>
          <w:p w14:paraId="7C9E6D74" w14:textId="597CDAA9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</w:t>
            </w:r>
            <w:r w:rsidR="00773DAD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brzmienia</w:t>
            </w:r>
            <w:r w:rsidR="00C93278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przepisu</w:t>
            </w:r>
          </w:p>
        </w:tc>
        <w:tc>
          <w:tcPr>
            <w:tcW w:w="1286" w:type="dxa"/>
          </w:tcPr>
          <w:p w14:paraId="2C049C38" w14:textId="382C7B91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Stanowisko do uwagi</w:t>
            </w:r>
          </w:p>
        </w:tc>
      </w:tr>
      <w:tr w:rsidR="001D645C" w:rsidRPr="008B766F" w14:paraId="27D19DF6" w14:textId="77777777" w:rsidTr="00110397">
        <w:tc>
          <w:tcPr>
            <w:tcW w:w="562" w:type="dxa"/>
          </w:tcPr>
          <w:p w14:paraId="743719D4" w14:textId="77777777" w:rsidR="001D645C" w:rsidRPr="008B766F" w:rsidRDefault="001D645C" w:rsidP="001D645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0E6D6A0" w14:textId="6107C0E9" w:rsidR="001D645C" w:rsidRPr="008B766F" w:rsidRDefault="001D645C" w:rsidP="001D645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2C46E4D" w14:textId="5DFACAA0" w:rsidR="001D645C" w:rsidRPr="001D2D94" w:rsidRDefault="001D645C" w:rsidP="001D645C">
            <w:pPr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  <w:r w:rsidRPr="001D2D94">
              <w:rPr>
                <w:rFonts w:ascii="Lato" w:hAnsi="Lato"/>
                <w:color w:val="000000" w:themeColor="text1"/>
                <w:sz w:val="20"/>
                <w:szCs w:val="20"/>
              </w:rPr>
              <w:t>Art. 1 §1ah</w:t>
            </w:r>
            <w:r w:rsidR="006962F5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ustawy zmieniającej w zakresie art. 96 ustawy zmienianej</w:t>
            </w:r>
          </w:p>
        </w:tc>
        <w:tc>
          <w:tcPr>
            <w:tcW w:w="4961" w:type="dxa"/>
          </w:tcPr>
          <w:p w14:paraId="4A667853" w14:textId="24C3807A" w:rsidR="00DF7284" w:rsidRPr="001D2D94" w:rsidRDefault="00DF7284" w:rsidP="00DF7284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D2D94">
              <w:rPr>
                <w:rFonts w:ascii="Lato" w:hAnsi="Lato"/>
                <w:color w:val="000000" w:themeColor="text1"/>
                <w:sz w:val="20"/>
                <w:szCs w:val="20"/>
              </w:rPr>
              <w:t>Projekt ustawy przewiduje podniesienie górnej granicy grzywny nakładanej w postępowaniu mandatowym za czyny określone w art. 26 ust. 1 ustawy z dnia 11 maja 2001 r. – Prawo o miarach (Dz. U. z 2022 r. poz. 2063).</w:t>
            </w:r>
          </w:p>
          <w:p w14:paraId="4C19AC65" w14:textId="77777777" w:rsidR="00DF7284" w:rsidRPr="001D2D94" w:rsidRDefault="00DF7284" w:rsidP="005B06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744C84E1" w14:textId="2847B28A" w:rsidR="005B06E7" w:rsidRDefault="001D2D94" w:rsidP="001D645C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D2D94">
              <w:rPr>
                <w:rFonts w:ascii="Lato" w:hAnsi="Lato"/>
                <w:color w:val="000000" w:themeColor="text1"/>
                <w:sz w:val="20"/>
                <w:szCs w:val="20"/>
              </w:rPr>
              <w:t>Projektowany przepis nie uwzględnia specyfiki podmiotów prowadzących działalność na dużą skalę</w:t>
            </w:r>
            <w:r w:rsidR="00EA034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. </w:t>
            </w:r>
            <w:r w:rsidR="00581443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>W tego rodzaju działalności – pomimo dochowania należytej staranności organizacyjnej i technicznej – występuje, wynikające ze skali operacyjnej, statystyczne ryzyko incydentalnych uchybień.</w:t>
            </w:r>
            <w:r w:rsidR="00EA7E5A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Takie podejście </w:t>
            </w:r>
            <w:r w:rsidR="005B06E7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prowadzi do nieproporcjonalnego </w:t>
            </w:r>
            <w:r w:rsidR="00EB3882">
              <w:rPr>
                <w:rFonts w:ascii="Lato" w:hAnsi="Lato"/>
                <w:color w:val="000000" w:themeColor="text1"/>
                <w:sz w:val="20"/>
                <w:szCs w:val="20"/>
              </w:rPr>
              <w:t>ryzyk</w:t>
            </w:r>
            <w:r w:rsidR="00331EC9">
              <w:rPr>
                <w:rFonts w:ascii="Lato" w:hAnsi="Lato"/>
                <w:color w:val="000000" w:themeColor="text1"/>
                <w:sz w:val="20"/>
                <w:szCs w:val="20"/>
              </w:rPr>
              <w:t>a</w:t>
            </w:r>
            <w:r w:rsidR="00EB388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5B06E7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obciążenia podmiotów dużych względem mniejszych uczestników rynku, co pozostaje w sprzeczności </w:t>
            </w:r>
            <w:r w:rsidR="00691B0B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="005B06E7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 zasadą proporcjonalności oraz adekwatności sankcji do stopnia zawinienia i społecznej szkodliwości </w:t>
            </w:r>
            <w:r w:rsidR="005907B3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>ujawnionego czynu.</w:t>
            </w:r>
          </w:p>
          <w:p w14:paraId="5CAF89B6" w14:textId="77777777" w:rsidR="00D36DB8" w:rsidRDefault="00D36DB8" w:rsidP="001D645C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1E0EFAFD" w14:textId="57EF02D8" w:rsidR="005B06E7" w:rsidRDefault="00D36DB8" w:rsidP="001D645C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Ponadto, projektowane rozwiązanie </w:t>
            </w:r>
            <w:r w:rsidR="00C2128D" w:rsidRPr="00C2128D">
              <w:rPr>
                <w:rFonts w:ascii="Lato" w:hAnsi="Lato"/>
                <w:color w:val="000000" w:themeColor="text1"/>
                <w:sz w:val="20"/>
                <w:szCs w:val="20"/>
              </w:rPr>
              <w:t>nie różnicuj</w:t>
            </w:r>
            <w:r w:rsidR="00C2128D">
              <w:rPr>
                <w:rFonts w:ascii="Lato" w:hAnsi="Lato"/>
                <w:color w:val="000000" w:themeColor="text1"/>
                <w:sz w:val="20"/>
                <w:szCs w:val="20"/>
              </w:rPr>
              <w:t>e</w:t>
            </w:r>
            <w:r w:rsidR="00C2128D" w:rsidRPr="00C2128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naruszeń o charakterze materialnym i formalnym. Tymczasem naruszenia materialne, skutkujące rzeczywistym przekroczeniem dopuszczalnych błędów </w:t>
            </w:r>
            <w:r w:rsidR="00C2128D" w:rsidRPr="00C2128D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pomiarowych lub wpływem na wynik pomiaru, powinny być oceniane odmiennie niż uchybienia o charakterze formalnym, które nie mają wpływu na prawidłowość pomiaru, a wynikają np. z opóźnień w obiegu </w:t>
            </w:r>
            <w:proofErr w:type="gramStart"/>
            <w:r w:rsidR="00C2128D" w:rsidRPr="00C2128D">
              <w:rPr>
                <w:rFonts w:ascii="Lato" w:hAnsi="Lato"/>
                <w:color w:val="000000" w:themeColor="text1"/>
                <w:sz w:val="20"/>
                <w:szCs w:val="20"/>
              </w:rPr>
              <w:t>dokumentacji</w:t>
            </w:r>
            <w:r w:rsidR="00777976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proofErr w:type="gramEnd"/>
            <w:r w:rsidR="0077797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czy niedochowania terminów administracyjnych.</w:t>
            </w:r>
          </w:p>
          <w:p w14:paraId="2ECA68EF" w14:textId="77777777" w:rsidR="00777976" w:rsidRDefault="00777976" w:rsidP="001D645C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73DB8DF1" w14:textId="053B938F" w:rsidR="00777976" w:rsidRDefault="00777976" w:rsidP="001D645C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777976">
              <w:rPr>
                <w:rFonts w:ascii="Lato" w:hAnsi="Lato"/>
                <w:color w:val="000000" w:themeColor="text1"/>
                <w:sz w:val="20"/>
                <w:szCs w:val="20"/>
              </w:rPr>
              <w:t>W tym kontekście zasadne wydaje się wprowadzenie bardziej zróżnicowanego podejścia do wymiaru kary. Wyższe sankcje powinny być zastrzeżone dla przypadków</w:t>
            </w:r>
            <w:r w:rsidR="00D54C2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umyślnego naruszenia </w:t>
            </w:r>
            <w:proofErr w:type="gramStart"/>
            <w:r w:rsidR="00D54C24">
              <w:rPr>
                <w:rFonts w:ascii="Lato" w:hAnsi="Lato"/>
                <w:color w:val="000000" w:themeColor="text1"/>
                <w:sz w:val="20"/>
                <w:szCs w:val="20"/>
              </w:rPr>
              <w:t>przepisów</w:t>
            </w:r>
            <w:r w:rsidRPr="0077797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 w</w:t>
            </w:r>
            <w:proofErr w:type="gramEnd"/>
            <w:r w:rsidRPr="0077797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szczególności polegających na celowym niezgłaszaniu przyrządów pomiarowych do legalizacji lub świadomym unikaniu ich poddania prawnej kontroli metrologicznej w celu dalszej eksploatacji bez wymaganych dowodów tej kontroli.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777976">
              <w:rPr>
                <w:rFonts w:ascii="Lato" w:hAnsi="Lato"/>
                <w:color w:val="000000" w:themeColor="text1"/>
                <w:sz w:val="20"/>
                <w:szCs w:val="20"/>
              </w:rPr>
              <w:t>Odmiennie należy natomiast traktować przypadki, w których przyrządy pomiarowe zostały zgłoszone do właściwego organu (O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kręgowy Urząd Miar)</w:t>
            </w:r>
            <w:r w:rsidRPr="0077797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lecz z różnych przyczyn – często o charakterze nieumyślnym – nie doszło do terminowego przeprowadzenia legalizacji ponownej, skutkującego wygaśnięciem dowodów prawnej kontroli metrologicznej. </w:t>
            </w:r>
          </w:p>
          <w:p w14:paraId="07656051" w14:textId="77777777" w:rsidR="00777976" w:rsidRDefault="00777976" w:rsidP="001D645C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473A40F5" w14:textId="39FFE9C9" w:rsidR="00777976" w:rsidRPr="0092389D" w:rsidRDefault="00777976" w:rsidP="001D645C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77797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takich przypadkach maksymalny wymiar sankcji powinien być istotnie niższy, a przy wymiarze kary uwzględniane powinny być okoliczności świadczące o dochowaniu należytej staranności oraz brak realnego zagrożenia dla prawidłowości pomiarów.    </w:t>
            </w:r>
          </w:p>
        </w:tc>
        <w:tc>
          <w:tcPr>
            <w:tcW w:w="4253" w:type="dxa"/>
          </w:tcPr>
          <w:p w14:paraId="7D467D1D" w14:textId="77777777" w:rsidR="005B06E7" w:rsidRDefault="006962F5" w:rsidP="00831096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D2D9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Proponujemy wprowadzenie przepisu, który </w:t>
            </w:r>
            <w:r w:rsidR="00F100B1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zobowiązałby organ do </w:t>
            </w:r>
            <w:r w:rsidRPr="001D2D94">
              <w:rPr>
                <w:rFonts w:ascii="Lato" w:hAnsi="Lato"/>
                <w:color w:val="000000" w:themeColor="text1"/>
                <w:sz w:val="20"/>
                <w:szCs w:val="20"/>
              </w:rPr>
              <w:t>uwzględnia</w:t>
            </w:r>
            <w:r w:rsidR="00F100B1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>nia</w:t>
            </w:r>
            <w:r w:rsidRPr="001D2D9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przy wymiarze kary</w:t>
            </w:r>
            <w:r w:rsidR="0019324D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charakter i wagę naruszeń </w:t>
            </w:r>
            <w:r w:rsidR="005907B3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prawa </w:t>
            </w:r>
            <w:r w:rsidR="0019324D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dotyczących przyrządów pomiarowych służących do odmierzania paliw ciekłych oraz </w:t>
            </w:r>
            <w:r w:rsidRPr="001D2D94">
              <w:rPr>
                <w:rFonts w:ascii="Lato" w:hAnsi="Lato"/>
                <w:color w:val="000000" w:themeColor="text1"/>
                <w:sz w:val="20"/>
                <w:szCs w:val="20"/>
              </w:rPr>
              <w:t>skalę działalności podmiotu</w:t>
            </w:r>
            <w:r w:rsidR="0019324D" w:rsidRPr="001D2D9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  <w:p w14:paraId="2E6932EC" w14:textId="77777777" w:rsidR="007715DB" w:rsidRDefault="007715DB" w:rsidP="00831096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72530CAA" w14:textId="1C05E39C" w:rsidR="007715DB" w:rsidRPr="00FF31D5" w:rsidRDefault="00D54C24" w:rsidP="001551DC">
            <w:pPr>
              <w:jc w:val="both"/>
              <w:rPr>
                <w:color w:val="000000" w:themeColor="text1"/>
              </w:rPr>
            </w:pPr>
            <w:r w:rsidRPr="00D54C24">
              <w:rPr>
                <w:color w:val="000000" w:themeColor="text1"/>
              </w:rPr>
              <w:t>„§ 1ai. Wymierzając grzywnę, o której mowa w § 1ah, organ uwzględnia w szczególności charakter i wagę naruszenia przepisów dotyczących przyrządów pomiarowych służących do odmierzania paliw ciekłych oraz skalę działalności podmiotu.”</w:t>
            </w:r>
          </w:p>
        </w:tc>
        <w:tc>
          <w:tcPr>
            <w:tcW w:w="1286" w:type="dxa"/>
          </w:tcPr>
          <w:p w14:paraId="330A28F2" w14:textId="0F456533" w:rsidR="001D645C" w:rsidRPr="008B766F" w:rsidRDefault="001D645C" w:rsidP="001D645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1D645C" w:rsidRPr="008B766F" w14:paraId="597EDC07" w14:textId="77777777" w:rsidTr="00110397">
        <w:tc>
          <w:tcPr>
            <w:tcW w:w="562" w:type="dxa"/>
          </w:tcPr>
          <w:p w14:paraId="513652BE" w14:textId="524A17A0" w:rsidR="001D645C" w:rsidRPr="000E41B2" w:rsidRDefault="00AE483D" w:rsidP="000E41B2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</w:tcPr>
          <w:p w14:paraId="2C112C99" w14:textId="6B2A44BF" w:rsidR="001D645C" w:rsidRPr="000E41B2" w:rsidRDefault="001D645C" w:rsidP="000E41B2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9E8C0CD" w14:textId="5D284F87" w:rsidR="001D645C" w:rsidRPr="008B766F" w:rsidRDefault="000B73E0" w:rsidP="001D645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Kumulacja </w:t>
            </w:r>
            <w:r w:rsidR="00DF7284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z innymi reżimami odpowiedzialności</w:t>
            </w:r>
            <w:r w:rsidR="00DF7284">
              <w:rPr>
                <w:color w:val="000000" w:themeColor="text1"/>
              </w:rPr>
              <w:t xml:space="preserve"> </w:t>
            </w:r>
          </w:p>
        </w:tc>
        <w:tc>
          <w:tcPr>
            <w:tcW w:w="4961" w:type="dxa"/>
          </w:tcPr>
          <w:p w14:paraId="10A9DF42" w14:textId="5F2B4E02" w:rsidR="00C21D08" w:rsidRPr="000E41B2" w:rsidRDefault="00777976" w:rsidP="0056690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Ponadto z</w:t>
            </w:r>
            <w:r w:rsidR="00BB1F7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wracamy uwagę, 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że w odniesieniu do 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przyrządów pomiarowych (np. odmierzacze paliw ciekłych) 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projekt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ustawy 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nie uwzględnia problematyki zbiegu odpowiedzialności </w:t>
            </w:r>
            <w:r w:rsidR="00BB1F7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 tytułu wykroczeń 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z odpowiedzialnością za naruszenie warunków koncesji</w:t>
            </w:r>
            <w:r w:rsidR="00BB1F7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w sektorze paliwowo-energetycznym.</w:t>
            </w:r>
          </w:p>
          <w:p w14:paraId="389299A9" w14:textId="0D4315CA" w:rsidR="00C21D08" w:rsidRPr="000E41B2" w:rsidRDefault="00107B98" w:rsidP="0056690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Obecnie funkcjonują </w:t>
            </w:r>
            <w:r w:rsidR="0048251E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również </w:t>
            </w: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inne </w:t>
            </w:r>
            <w:r w:rsidR="00BB1F7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mechanizmy sankcyjne i nadzorcze, które </w:t>
            </w: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pozostają niezależne </w:t>
            </w:r>
            <w:r w:rsidR="00BB1F7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od postępowania mandatowego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</w:t>
            </w: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szczególności </w:t>
            </w:r>
            <w:r w:rsidR="0048251E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obowiązek informowania 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przez Główny Urząd Miar Prezesa 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Urzędu Regulacji Energetyki o stwierdzonych nieprawidłowościach metrologicznych dotyczących przyrządów pomiarowych wykorzystywanych do odmierzania paliw ciekłych.</w:t>
            </w:r>
            <w:r w:rsidR="0048251E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Na tej podstawie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Prezes U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rzędu Regulacji </w:t>
            </w:r>
            <w:proofErr w:type="gramStart"/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Energetyki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proofErr w:type="gramEnd"/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jako organ sprawujący nadzór koncesyjny nad działalnością w zakresie obrotu paliwami, może</w:t>
            </w:r>
            <w:r w:rsidR="0048251E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wszcząć postępowanie administracyjne.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Zgodnie z przepisami ustawy – Prawo energetyczne, karze pieniężnej podlega podmiot, który nie przestrzega obowiązków wynikających z udzielonej koncesji. Kara ta może zostać wymierzona w wysokości do 15% przychodu osiągniętego w poprzednim roku podatkowym z działalności objętej koncesją.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C21D0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Sankcja ta ma charakter niezależny od grzywny nakładanej w postępowaniu mandatowym, a jednocześnie jest od niej istotnie bardziej dolegliwa zarówno pod względem finansowym, jak i charakteru prawnego (postępowanie administracyjne).</w:t>
            </w:r>
          </w:p>
          <w:p w14:paraId="70102533" w14:textId="77777777" w:rsidR="00C21D08" w:rsidRPr="000E41B2" w:rsidRDefault="00C21D08" w:rsidP="0056690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61393C6E" w14:textId="6A6A626D" w:rsidR="000B73E0" w:rsidRPr="000E41B2" w:rsidRDefault="00C21D08" w:rsidP="001D645C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Ponadto Prezes U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rzędu Regulacji</w:t>
            </w: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, wymierzając kary pieniężne, kieruje się w szczególności ich funkcją prewencyjną – mają one stanowić realną i odczuwalną dolegliwość dla podmiotów naruszających przepisy oraz zapobiegać ponownemu występowaniu nieprawidłowości. Realizacja tych kompetencji służy zarówno ochronie interesów odbiorców paliw, jak i zapewnieniu bezpieczeństwa oraz zgodności z prawem użytkowania infrastruktury technicznej przez przedsiębiorców.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tym kontekście należy podkreślić, że równoległe stosowanie odpowiedzialności </w:t>
            </w:r>
            <w:r w:rsidR="0061348C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 tytułu wykroczeń </w:t>
            </w: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oraz odpowiedzialności </w:t>
            </w:r>
            <w:r w:rsidR="00107B9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administracyjnej </w:t>
            </w: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prowadzi do kumulacji sankcji za ten sam stan faktyczny. </w:t>
            </w:r>
            <w:r w:rsidR="00107B9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</w:t>
            </w:r>
            <w:r w:rsidR="00EA034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naszej ocenie </w:t>
            </w:r>
            <w:r w:rsidR="00107B98"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o</w:t>
            </w:r>
            <w:r w:rsidRPr="000E41B2">
              <w:rPr>
                <w:rFonts w:ascii="Lato" w:hAnsi="Lato"/>
                <w:color w:val="000000" w:themeColor="text1"/>
                <w:sz w:val="20"/>
                <w:szCs w:val="20"/>
              </w:rPr>
              <w:t>koliczność ta powinna być uwzględniana przy ustalaniu wymiaru kary zarówno na gruncie ustawy – Prawo o miarach, jak i ustawy – Prawo energetyczne.</w:t>
            </w:r>
          </w:p>
        </w:tc>
        <w:tc>
          <w:tcPr>
            <w:tcW w:w="4253" w:type="dxa"/>
          </w:tcPr>
          <w:p w14:paraId="6BD03E7F" w14:textId="2ABCB56C" w:rsidR="005B06E7" w:rsidRPr="00780FC8" w:rsidRDefault="00C611C2" w:rsidP="00C611C2">
            <w:pPr>
              <w:jc w:val="both"/>
              <w:rPr>
                <w:rFonts w:ascii="Lato" w:hAnsi="Lato" w:cs="Times New Roman"/>
                <w:color w:val="FF0000"/>
                <w:sz w:val="20"/>
                <w:szCs w:val="20"/>
              </w:rPr>
            </w:pPr>
            <w:r w:rsidRPr="00C611C2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Zasadne wydaje się przeprowadzenie całościowej analizy łącznego obciążenia regulacyjnego i sankcyjnego branży paliwowej obejmującej instrumenty krajowe i unijne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C611C2">
              <w:rPr>
                <w:rFonts w:ascii="Lato" w:hAnsi="Lato"/>
                <w:color w:val="000000" w:themeColor="text1"/>
                <w:sz w:val="20"/>
                <w:szCs w:val="20"/>
              </w:rPr>
              <w:t>w celu zapewnienia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C611C2">
              <w:rPr>
                <w:rFonts w:ascii="Lato" w:hAnsi="Lato"/>
                <w:color w:val="000000" w:themeColor="text1"/>
                <w:sz w:val="20"/>
                <w:szCs w:val="20"/>
              </w:rPr>
              <w:t>proporcjonalności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C611C2">
              <w:rPr>
                <w:rFonts w:ascii="Lato" w:hAnsi="Lato"/>
                <w:color w:val="000000" w:themeColor="text1"/>
                <w:sz w:val="20"/>
                <w:szCs w:val="20"/>
              </w:rPr>
              <w:t>projektowanych rozwiązań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np. w ramach oceny skutków regulacji.</w:t>
            </w:r>
          </w:p>
        </w:tc>
        <w:tc>
          <w:tcPr>
            <w:tcW w:w="1286" w:type="dxa"/>
          </w:tcPr>
          <w:p w14:paraId="2EFA759D" w14:textId="7E2524EA" w:rsidR="001D645C" w:rsidRPr="008B766F" w:rsidRDefault="001D645C" w:rsidP="008A6A3B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8A6A3B" w:rsidRPr="008B766F" w14:paraId="299EE4EF" w14:textId="77777777" w:rsidTr="00110397">
        <w:tc>
          <w:tcPr>
            <w:tcW w:w="562" w:type="dxa"/>
          </w:tcPr>
          <w:p w14:paraId="46B8BAED" w14:textId="3BB1628C" w:rsidR="008A6A3B" w:rsidRPr="00725169" w:rsidRDefault="00987912" w:rsidP="00725169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</w:tcPr>
          <w:p w14:paraId="37E7EEAA" w14:textId="6AAFE810" w:rsidR="008A6A3B" w:rsidRPr="00725169" w:rsidRDefault="008A6A3B" w:rsidP="00725169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7BBBE0F" w14:textId="03CC98A2" w:rsidR="008A6A3B" w:rsidRPr="00725169" w:rsidRDefault="008A6A3B" w:rsidP="00725169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725169">
              <w:rPr>
                <w:rFonts w:ascii="Lato" w:hAnsi="Lato"/>
                <w:color w:val="000000" w:themeColor="text1"/>
                <w:sz w:val="20"/>
                <w:szCs w:val="20"/>
              </w:rPr>
              <w:t>Art. 26</w:t>
            </w:r>
            <w:r w:rsidR="006B662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ust. 1 ustawy - </w:t>
            </w:r>
            <w:r w:rsidRPr="00725169">
              <w:rPr>
                <w:rFonts w:ascii="Lato" w:hAnsi="Lato"/>
                <w:color w:val="000000" w:themeColor="text1"/>
                <w:sz w:val="20"/>
                <w:szCs w:val="20"/>
              </w:rPr>
              <w:t>Prawo o miarach (praktyka stosowania)</w:t>
            </w:r>
          </w:p>
        </w:tc>
        <w:tc>
          <w:tcPr>
            <w:tcW w:w="4961" w:type="dxa"/>
          </w:tcPr>
          <w:p w14:paraId="730A3D31" w14:textId="664CD6D0" w:rsidR="000C0FA5" w:rsidRDefault="006B6628" w:rsidP="00644B7B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3BB6">
              <w:rPr>
                <w:rFonts w:ascii="Lato" w:hAnsi="Lato"/>
                <w:color w:val="000000" w:themeColor="text1"/>
                <w:sz w:val="20"/>
                <w:szCs w:val="20"/>
              </w:rPr>
              <w:t>Przy założeniu wprowadzenia przepisu podnoszącego górną granicę grzywny nakładanej w postępowaniu mandatowym za czyny określone w art. 26 ust. 1 ustawy z dnia 11 maja 2001 r. – Prawo o miarach (Dz. U. z 2022 r. poz. 2063)</w:t>
            </w:r>
            <w:r w:rsidR="003072DC" w:rsidRPr="00293BB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należy zwrócić uwagę, że projekt ustawy </w:t>
            </w:r>
            <w:r w:rsidR="00EA034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nie adresuje przyczyn występowania </w:t>
            </w:r>
            <w:r w:rsidR="00EA0345" w:rsidRPr="00EA0345">
              <w:rPr>
                <w:rFonts w:ascii="Lato" w:hAnsi="Lato"/>
                <w:color w:val="000000" w:themeColor="text1"/>
                <w:sz w:val="20"/>
                <w:szCs w:val="20"/>
              </w:rPr>
              <w:t>nieprawidłowych wskazań</w:t>
            </w:r>
            <w:r w:rsidR="00EA034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EA0345" w:rsidRPr="00EA0345">
              <w:rPr>
                <w:rFonts w:ascii="Lato" w:hAnsi="Lato"/>
                <w:color w:val="000000" w:themeColor="text1"/>
                <w:sz w:val="20"/>
                <w:szCs w:val="20"/>
              </w:rPr>
              <w:t>przyrządów pomiarowych</w:t>
            </w:r>
            <w:r w:rsid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>oraz opiera się na założeniu, że zaostrzenie sankcji finansowych samo w sobie doprowadzi do ograniczenia liczby stwierdzanych nieprawidłowości</w:t>
            </w:r>
          </w:p>
          <w:p w14:paraId="41D0C2C4" w14:textId="3D8E10FD" w:rsidR="00BB693B" w:rsidRDefault="00644B7B" w:rsidP="00EA034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  <w:p w14:paraId="397A3487" w14:textId="77777777" w:rsidR="00BB693B" w:rsidRDefault="00BB693B" w:rsidP="00BB693B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BB693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Nieprawidłowości te mogą wynikać z różnych okoliczności, w szczególności z:</w:t>
            </w:r>
          </w:p>
          <w:p w14:paraId="3DF66330" w14:textId="77777777" w:rsidR="00BB693B" w:rsidRPr="00BB693B" w:rsidRDefault="00BB693B" w:rsidP="00BB693B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11BD261C" w14:textId="77777777" w:rsidR="00BB693B" w:rsidRDefault="00BB693B" w:rsidP="00BB693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BB693B">
              <w:rPr>
                <w:rFonts w:ascii="Lato" w:hAnsi="Lato"/>
                <w:color w:val="000000" w:themeColor="text1"/>
                <w:sz w:val="20"/>
                <w:szCs w:val="20"/>
              </w:rPr>
              <w:t>naturalnego zużycia eksploatacyjnego,</w:t>
            </w:r>
          </w:p>
          <w:p w14:paraId="091354D8" w14:textId="77777777" w:rsidR="00BB693B" w:rsidRDefault="00BB693B" w:rsidP="00BB693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BB693B">
              <w:rPr>
                <w:rFonts w:ascii="Lato" w:hAnsi="Lato"/>
                <w:color w:val="000000" w:themeColor="text1"/>
                <w:sz w:val="20"/>
                <w:szCs w:val="20"/>
              </w:rPr>
              <w:t>błędów serwisowych,</w:t>
            </w:r>
          </w:p>
          <w:p w14:paraId="4864FA03" w14:textId="6FA787D8" w:rsidR="00BB693B" w:rsidRPr="00BB693B" w:rsidRDefault="00BB693B" w:rsidP="00BB693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BB693B">
              <w:rPr>
                <w:rFonts w:ascii="Lato" w:hAnsi="Lato"/>
                <w:color w:val="000000" w:themeColor="text1"/>
                <w:sz w:val="20"/>
                <w:szCs w:val="20"/>
              </w:rPr>
              <w:t>czynników zewnętrznych wpływających na pracę przyrządu.</w:t>
            </w:r>
          </w:p>
          <w:p w14:paraId="3D60CC98" w14:textId="77777777" w:rsidR="00BB693B" w:rsidRDefault="00BB693B" w:rsidP="00293BB6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00A0BCB2" w14:textId="793A6C2F" w:rsidR="005B06E7" w:rsidRDefault="000C0FA5" w:rsidP="00293BB6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Okoliczności te mogą prowadzić </w:t>
            </w:r>
            <w:r w:rsidR="00BB693B" w:rsidRPr="00BB693B">
              <w:rPr>
                <w:rFonts w:ascii="Lato" w:hAnsi="Lato"/>
                <w:color w:val="000000" w:themeColor="text1"/>
                <w:sz w:val="20"/>
                <w:szCs w:val="20"/>
              </w:rPr>
              <w:t>do przekroczenia dopuszczalnych błędów pomiarowych, pomimo posiadania przez przyrząd ważnej legalizacji oraz nienaruszenia cech zabezpieczających (cech urzędowych)</w:t>
            </w:r>
            <w:r w:rsidR="008A2920">
              <w:rPr>
                <w:rFonts w:ascii="Lato" w:hAnsi="Lato"/>
                <w:color w:val="000000" w:themeColor="text1"/>
                <w:sz w:val="20"/>
                <w:szCs w:val="20"/>
              </w:rPr>
              <w:t>. M</w:t>
            </w:r>
            <w:r w:rsidR="005625CC" w:rsidRPr="005625CC">
              <w:rPr>
                <w:rFonts w:ascii="Lato" w:hAnsi="Lato"/>
                <w:color w:val="000000" w:themeColor="text1"/>
                <w:sz w:val="20"/>
                <w:szCs w:val="20"/>
              </w:rPr>
              <w:t>a</w:t>
            </w:r>
            <w:r w:rsidR="008A2920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to</w:t>
            </w:r>
            <w:r w:rsidR="005625CC" w:rsidRPr="005625CC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istotne znaczenie dla oceny stopnia zawinienia oraz społecznej szkodliwości </w:t>
            </w:r>
            <w:r w:rsidR="001933E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ujawnionego </w:t>
            </w:r>
            <w:r w:rsidR="005625CC" w:rsidRPr="005625CC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czynu. W takich przypadkach, zgodnie z zasadami odpowiedzialności </w:t>
            </w:r>
            <w:r w:rsidR="005625CC">
              <w:rPr>
                <w:rFonts w:ascii="Lato" w:hAnsi="Lato"/>
                <w:color w:val="000000" w:themeColor="text1"/>
                <w:sz w:val="20"/>
                <w:szCs w:val="20"/>
              </w:rPr>
              <w:t>z tytułu wykroczeń</w:t>
            </w:r>
            <w:r w:rsidR="005625CC" w:rsidRPr="005625CC">
              <w:rPr>
                <w:rFonts w:ascii="Lato" w:hAnsi="Lato"/>
                <w:color w:val="000000" w:themeColor="text1"/>
                <w:sz w:val="20"/>
                <w:szCs w:val="20"/>
              </w:rPr>
              <w:t>, wymiar kary powinien podlegać miarkowaniu, z uwzględnieniem przyczyn naruszenia oraz jego rzeczywistego wpływu na prawidłowość pomiaru.</w:t>
            </w:r>
            <w:r w:rsidR="001933E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1933E6" w:rsidRPr="001933E6">
              <w:rPr>
                <w:rFonts w:ascii="Lato" w:hAnsi="Lato"/>
                <w:color w:val="000000" w:themeColor="text1"/>
                <w:sz w:val="20"/>
                <w:szCs w:val="20"/>
              </w:rPr>
              <w:t>Brak uwzględnienia tych okoliczności może prowadzić do naruszenia zasady proporcjonalności sankcji</w:t>
            </w:r>
            <w:r w:rsidR="0025522C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mimo </w:t>
            </w:r>
            <w:proofErr w:type="gramStart"/>
            <w:r w:rsidR="0025522C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że </w:t>
            </w:r>
            <w:r w:rsidR="00D92E0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25522C">
              <w:rPr>
                <w:rFonts w:ascii="Lato" w:hAnsi="Lato"/>
                <w:color w:val="000000" w:themeColor="text1"/>
                <w:sz w:val="20"/>
                <w:szCs w:val="20"/>
              </w:rPr>
              <w:t>zgodnie</w:t>
            </w:r>
            <w:proofErr w:type="gramEnd"/>
            <w:r w:rsidR="0025522C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z </w:t>
            </w:r>
            <w:r w:rsidR="00D92E06" w:rsidRPr="00D92E06">
              <w:rPr>
                <w:rFonts w:ascii="Lato" w:hAnsi="Lato"/>
                <w:color w:val="000000" w:themeColor="text1"/>
                <w:sz w:val="20"/>
                <w:szCs w:val="20"/>
              </w:rPr>
              <w:t>O</w:t>
            </w:r>
            <w:r w:rsidR="00D92E06">
              <w:rPr>
                <w:rFonts w:ascii="Lato" w:hAnsi="Lato"/>
                <w:color w:val="000000" w:themeColor="text1"/>
                <w:sz w:val="20"/>
                <w:szCs w:val="20"/>
              </w:rPr>
              <w:t>cen</w:t>
            </w:r>
            <w:r w:rsidR="0025522C">
              <w:rPr>
                <w:rFonts w:ascii="Lato" w:hAnsi="Lato"/>
                <w:color w:val="000000" w:themeColor="text1"/>
                <w:sz w:val="20"/>
                <w:szCs w:val="20"/>
              </w:rPr>
              <w:t>ą</w:t>
            </w:r>
            <w:r w:rsidR="00D92E0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Skutków Regulacji </w:t>
            </w:r>
            <w:r w:rsidR="0025522C" w:rsidRPr="0025522C">
              <w:rPr>
                <w:rFonts w:ascii="Lato" w:hAnsi="Lato"/>
                <w:color w:val="000000" w:themeColor="text1"/>
                <w:sz w:val="20"/>
                <w:szCs w:val="20"/>
              </w:rPr>
              <w:t>przy ustalaniu maksymalnego pułapu grzywny uwzględniono potrzebę zachowania proporcjonalności sankcji.</w:t>
            </w:r>
          </w:p>
          <w:p w14:paraId="0E66CAB1" w14:textId="77777777" w:rsidR="000C0FA5" w:rsidRDefault="000C0FA5" w:rsidP="00293BB6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5877182B" w14:textId="6DACA6B2" w:rsidR="00BB693B" w:rsidRPr="00293BB6" w:rsidRDefault="00E66DA5" w:rsidP="00293BB6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Okolicznością </w:t>
            </w:r>
            <w:r w:rsidR="00E725C1">
              <w:rPr>
                <w:rFonts w:ascii="Lato" w:hAnsi="Lato"/>
                <w:color w:val="000000" w:themeColor="text1"/>
                <w:sz w:val="20"/>
                <w:szCs w:val="20"/>
              </w:rPr>
              <w:t>niezależną od podmiotu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prowadzącego </w:t>
            </w:r>
            <w:proofErr w:type="gramStart"/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działalność </w:t>
            </w:r>
            <w:r w:rsidR="00E725C1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jest</w:t>
            </w:r>
            <w:proofErr w:type="gramEnd"/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również sytuacja, w której </w:t>
            </w:r>
            <w:r w:rsidR="000C0FA5">
              <w:rPr>
                <w:rFonts w:ascii="Lato" w:hAnsi="Lato"/>
                <w:color w:val="000000" w:themeColor="text1"/>
                <w:sz w:val="20"/>
                <w:szCs w:val="20"/>
              </w:rPr>
              <w:t>l</w:t>
            </w:r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>egalizacja przyrządów pomiarowych wykonywana jest przez ograniczoną</w:t>
            </w:r>
            <w:r w:rsid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liczbę uprawnionych podmiotów </w:t>
            </w:r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(Okręgowe Urzędy Miar), a terminy wyznaczanych wizyt i</w:t>
            </w:r>
            <w:r w:rsid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wykonania czynności legalizacyjnych </w:t>
            </w:r>
            <w:r w:rsidR="009238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wynoszą zazwyczaj od kilku dni do nawet kilku </w:t>
            </w:r>
            <w:proofErr w:type="gramStart"/>
            <w:r w:rsidR="009238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tygodni </w:t>
            </w:r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od</w:t>
            </w:r>
            <w:proofErr w:type="gramEnd"/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dnia zgłoszenia. Dodatko</w:t>
            </w:r>
            <w:r w:rsidR="009238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wo proces ten może ulec dalszemu wydłużeniu z uwagi na ograniczoną </w:t>
            </w:r>
            <w:proofErr w:type="gramStart"/>
            <w:r w:rsidR="009238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dostępność </w:t>
            </w:r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właściwych</w:t>
            </w:r>
            <w:proofErr w:type="gramEnd"/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osób (np. uprawnionego serwisanta lub przedstawiciela</w:t>
            </w:r>
            <w:r w:rsid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>producenta)</w:t>
            </w:r>
            <w:r w:rsidR="0092389D">
              <w:rPr>
                <w:rFonts w:ascii="Lato" w:hAnsi="Lato"/>
                <w:color w:val="000000" w:themeColor="text1"/>
                <w:sz w:val="20"/>
                <w:szCs w:val="20"/>
              </w:rPr>
              <w:t>, co wpływa na czas wyłączenia przyrządu z użytkowania.</w:t>
            </w:r>
            <w:r w:rsidR="000C0FA5" w:rsidRPr="000C0FA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14:paraId="6BE717D7" w14:textId="20E7DA0C" w:rsidR="005B06E7" w:rsidRPr="005B06E7" w:rsidRDefault="005B06E7" w:rsidP="003072DC">
            <w:pPr>
              <w:spacing w:before="100" w:beforeAutospacing="1" w:after="100" w:afterAutospacing="1" w:line="300" w:lineRule="atLeast"/>
            </w:pPr>
          </w:p>
        </w:tc>
        <w:tc>
          <w:tcPr>
            <w:tcW w:w="1286" w:type="dxa"/>
          </w:tcPr>
          <w:p w14:paraId="1B8A745D" w14:textId="215EA4EA" w:rsidR="008A6A3B" w:rsidRDefault="008A6A3B" w:rsidP="003623B0"/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E0F2" w14:textId="77777777" w:rsidR="00150206" w:rsidRDefault="00150206" w:rsidP="00CA2841">
      <w:pPr>
        <w:spacing w:after="0" w:line="240" w:lineRule="auto"/>
      </w:pPr>
      <w:r>
        <w:separator/>
      </w:r>
    </w:p>
  </w:endnote>
  <w:endnote w:type="continuationSeparator" w:id="0">
    <w:p w14:paraId="3B8CAF86" w14:textId="77777777" w:rsidR="00150206" w:rsidRDefault="00150206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28D5" w14:textId="77777777" w:rsidR="009B2EF5" w:rsidRDefault="009B2EF5" w:rsidP="009B2EF5">
    <w:pPr>
      <w:pStyle w:val="Stopka"/>
      <w:jc w:val="right"/>
    </w:pPr>
    <w:r>
      <w:rPr>
        <w:rFonts w:ascii="Arial" w:hAnsi="Arial" w:cs="Arial"/>
        <w:noProof/>
        <w:sz w:val="14"/>
        <w:szCs w:val="14"/>
      </w:rPr>
      <w:drawing>
        <wp:inline distT="0" distB="0" distL="0" distR="0" wp14:anchorId="3A2F2AF2" wp14:editId="3E8F48E6">
          <wp:extent cx="1915678" cy="1965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058" cy="1985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EC883B" wp14:editId="22330FC2">
              <wp:simplePos x="0" y="0"/>
              <wp:positionH relativeFrom="column">
                <wp:posOffset>539436</wp:posOffset>
              </wp:positionH>
              <wp:positionV relativeFrom="paragraph">
                <wp:posOffset>212442</wp:posOffset>
              </wp:positionV>
              <wp:extent cx="280028" cy="430040"/>
              <wp:effectExtent l="0" t="0" r="6350" b="8255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028" cy="430040"/>
                        <a:chOff x="0" y="0"/>
                        <a:chExt cx="280028" cy="430040"/>
                      </a:xfrm>
                    </wpg:grpSpPr>
                    <wps:wsp>
                      <wps:cNvPr id="6" name="Prostokąt 6"/>
                      <wps:cNvSpPr/>
                      <wps:spPr>
                        <a:xfrm>
                          <a:off x="140328" y="0"/>
                          <a:ext cx="139700" cy="42989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Prostokąt 8"/>
                      <wps:cNvSpPr/>
                      <wps:spPr>
                        <a:xfrm>
                          <a:off x="0" y="0"/>
                          <a:ext cx="140329" cy="43004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DF1F555" id="Grupa 9" o:spid="_x0000_s1026" style="position:absolute;margin-left:42.5pt;margin-top:16.75pt;width:22.05pt;height:33.85pt;z-index:251659264" coordsize="280028,43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">
              <v:rect id="Prostokąt 6" o:spid="_x0000_s1027" style="position:absolute;left:140328;width:139700;height:429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" fillcolor="#002060" stroked="f" strokeweight="1pt"/>
              <v:rect id="Prostokąt 8" o:spid="_x0000_s1028" style="position:absolute;width:140329;height:430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" fillcolor="#3cc" stroked="f" strokeweight="1pt"/>
            </v:group>
          </w:pict>
        </mc:Fallback>
      </mc:AlternateContent>
    </w:r>
    <w:r>
      <w:rPr>
        <w:rFonts w:ascii="Arial" w:hAnsi="Arial" w:cs="Arial"/>
        <w:noProof/>
        <w:sz w:val="14"/>
        <w:szCs w:val="14"/>
      </w:rPr>
      <w:drawing>
        <wp:inline distT="0" distB="0" distL="0" distR="0" wp14:anchorId="1BF05487" wp14:editId="6DE78AB8">
          <wp:extent cx="1162050" cy="200025"/>
          <wp:effectExtent l="0" t="0" r="0" b="9525"/>
          <wp:docPr id="3" name="Obraz 1" descr="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35812">
      <w:t xml:space="preserve"> </w:t>
    </w:r>
  </w:p>
  <w:tbl>
    <w:tblPr>
      <w:tblStyle w:val="Tabela-Siatka"/>
      <w:tblW w:w="8221" w:type="dxa"/>
      <w:tblInd w:w="851" w:type="dxa"/>
      <w:tblBorders>
        <w:top w:val="single" w:sz="8" w:space="0" w:color="33CCC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2126"/>
      <w:gridCol w:w="2268"/>
      <w:gridCol w:w="2693"/>
    </w:tblGrid>
    <w:tr w:rsidR="009B2EF5" w:rsidRPr="004712E5" w14:paraId="097A76E0" w14:textId="77777777" w:rsidTr="0061310D">
      <w:tc>
        <w:tcPr>
          <w:tcW w:w="1134" w:type="dxa"/>
        </w:tcPr>
        <w:p w14:paraId="4DB0541C" w14:textId="77777777" w:rsidR="009B2EF5" w:rsidRPr="004712E5" w:rsidRDefault="009B2EF5" w:rsidP="009B2EF5">
          <w:pPr>
            <w:pStyle w:val="Stopka"/>
            <w:ind w:left="-109"/>
            <w:rPr>
              <w:rFonts w:ascii="Arial" w:hAnsi="Arial" w:cs="Arial"/>
              <w:color w:val="002060"/>
              <w:sz w:val="12"/>
              <w:szCs w:val="12"/>
            </w:rPr>
          </w:pPr>
        </w:p>
      </w:tc>
      <w:tc>
        <w:tcPr>
          <w:tcW w:w="2126" w:type="dxa"/>
        </w:tcPr>
        <w:p w14:paraId="0097A332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545C73A7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Konfederacja Lewiatan</w:t>
          </w:r>
        </w:p>
        <w:p w14:paraId="79CDBA3D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 xml:space="preserve">ul. Zbyszka Cybulskiego </w:t>
          </w:r>
          <w:r>
            <w:rPr>
              <w:rFonts w:ascii="Arial" w:hAnsi="Arial" w:cs="Arial"/>
              <w:color w:val="002060"/>
              <w:sz w:val="14"/>
              <w:szCs w:val="14"/>
            </w:rPr>
            <w:t>5</w:t>
          </w:r>
        </w:p>
        <w:p w14:paraId="646EA307" w14:textId="77777777" w:rsidR="009B2EF5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00-727 Warszawa</w:t>
          </w:r>
        </w:p>
        <w:p w14:paraId="037140E7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tel. +48 22 5</w:t>
          </w:r>
          <w:r>
            <w:rPr>
              <w:rFonts w:ascii="Arial" w:hAnsi="Arial" w:cs="Arial"/>
              <w:color w:val="002060"/>
              <w:sz w:val="14"/>
              <w:szCs w:val="14"/>
            </w:rPr>
            <w:t>0 50 860</w:t>
          </w:r>
        </w:p>
        <w:p w14:paraId="2AD38CF9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>
            <w:rPr>
              <w:rFonts w:ascii="Arial" w:hAnsi="Arial" w:cs="Arial"/>
              <w:color w:val="002060"/>
              <w:sz w:val="14"/>
              <w:szCs w:val="14"/>
            </w:rPr>
            <w:t>recepcja</w:t>
          </w:r>
          <w:r w:rsidRPr="00515A24">
            <w:rPr>
              <w:rFonts w:ascii="Arial" w:hAnsi="Arial" w:cs="Arial"/>
              <w:color w:val="002060"/>
              <w:sz w:val="14"/>
              <w:szCs w:val="14"/>
            </w:rPr>
            <w:t>@lewiatan.org</w:t>
          </w:r>
        </w:p>
        <w:p w14:paraId="10D408FF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www.lewiatan.org</w:t>
          </w:r>
        </w:p>
      </w:tc>
      <w:tc>
        <w:tcPr>
          <w:tcW w:w="2268" w:type="dxa"/>
        </w:tcPr>
        <w:p w14:paraId="3169DEA0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458E7E9C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Polish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</w:t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Confederation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Lewiatan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Brussels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Office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Avenue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de </w:t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Cortenbergh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168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  <w:t xml:space="preserve">tel. </w:t>
          </w:r>
          <w:r w:rsidRPr="000179CA">
            <w:rPr>
              <w:rFonts w:ascii="Arial" w:hAnsi="Arial" w:cs="Arial"/>
              <w:color w:val="002060"/>
              <w:sz w:val="14"/>
              <w:szCs w:val="14"/>
            </w:rPr>
            <w:t>+32 2 732 12 10</w:t>
          </w:r>
          <w:r>
            <w:rPr>
              <w:rFonts w:ascii="Arial" w:hAnsi="Arial" w:cs="Arial"/>
              <w:color w:val="002060"/>
              <w:sz w:val="14"/>
              <w:szCs w:val="14"/>
            </w:rPr>
            <w:t xml:space="preserve"> </w:t>
          </w:r>
        </w:p>
      </w:tc>
      <w:tc>
        <w:tcPr>
          <w:tcW w:w="2693" w:type="dxa"/>
        </w:tcPr>
        <w:p w14:paraId="069C0263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2A145008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NIP 5262353400</w:t>
          </w:r>
        </w:p>
        <w:p w14:paraId="684F01FE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KRS 0000053779</w:t>
          </w:r>
        </w:p>
        <w:p w14:paraId="3A0C6B3B" w14:textId="77777777" w:rsidR="009B2EF5" w:rsidRPr="00FF2A24" w:rsidRDefault="009B2EF5" w:rsidP="009B2EF5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Sąd Rejonowy dla</w:t>
          </w:r>
          <w:r>
            <w:rPr>
              <w:rFonts w:ascii="Arial" w:hAnsi="Arial" w:cs="Arial"/>
              <w:color w:val="002060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</w:r>
          <w:r w:rsidRPr="00FF2A24">
            <w:rPr>
              <w:rFonts w:ascii="Arial" w:hAnsi="Arial" w:cs="Arial"/>
              <w:color w:val="002060"/>
              <w:sz w:val="14"/>
              <w:szCs w:val="14"/>
            </w:rPr>
            <w:t xml:space="preserve">m. st. Warszawy w Warszawie 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</w:r>
          <w:r w:rsidRPr="00FF2A24">
            <w:rPr>
              <w:rFonts w:ascii="Arial" w:hAnsi="Arial" w:cs="Arial"/>
              <w:color w:val="002060"/>
              <w:sz w:val="14"/>
              <w:szCs w:val="14"/>
            </w:rPr>
            <w:t>XIII Wydział Gospodarczy</w:t>
          </w:r>
        </w:p>
      </w:tc>
    </w:tr>
  </w:tbl>
  <w:p w14:paraId="769A5433" w14:textId="77777777" w:rsidR="009B2EF5" w:rsidRDefault="009B2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C26DB" w14:textId="77777777" w:rsidR="00150206" w:rsidRDefault="00150206" w:rsidP="00CA2841">
      <w:pPr>
        <w:spacing w:after="0" w:line="240" w:lineRule="auto"/>
      </w:pPr>
      <w:r>
        <w:separator/>
      </w:r>
    </w:p>
  </w:footnote>
  <w:footnote w:type="continuationSeparator" w:id="0">
    <w:p w14:paraId="3216EA9C" w14:textId="77777777" w:rsidR="00150206" w:rsidRDefault="00150206" w:rsidP="00CA2841">
      <w:pPr>
        <w:spacing w:after="0" w:line="240" w:lineRule="auto"/>
      </w:pPr>
      <w:r>
        <w:continuationSeparator/>
      </w:r>
    </w:p>
  </w:footnote>
  <w:footnote w:id="1">
    <w:p w14:paraId="722C9D04" w14:textId="76DFC1E6" w:rsidR="004F2D1D" w:rsidRPr="00EF494C" w:rsidRDefault="004F2D1D">
      <w:pPr>
        <w:pStyle w:val="Tekstprzypisudolnego"/>
        <w:rPr>
          <w:rFonts w:ascii="Lato" w:hAnsi="Lato" w:cs="Times New Roman"/>
          <w:sz w:val="22"/>
          <w:szCs w:val="22"/>
        </w:rPr>
      </w:pPr>
      <w:r w:rsidRPr="00EF494C">
        <w:rPr>
          <w:rStyle w:val="Odwoanieprzypisudolnego"/>
          <w:rFonts w:ascii="Lato" w:hAnsi="Lato" w:cs="Times New Roman"/>
        </w:rPr>
        <w:t>1)</w:t>
      </w:r>
      <w:r w:rsidRPr="00EF494C">
        <w:rPr>
          <w:rFonts w:ascii="Lato" w:hAnsi="Lato" w:cs="Times New Roman"/>
        </w:rPr>
        <w:t xml:space="preserve"> </w:t>
      </w:r>
      <w:r w:rsidR="00B91BB7" w:rsidRPr="00EF494C">
        <w:rPr>
          <w:rFonts w:ascii="Lato" w:hAnsi="Lato" w:cs="Times New Roman"/>
        </w:rPr>
        <w:t>W przypadku aktu nowelizującego n</w:t>
      </w:r>
      <w:r w:rsidRPr="00EF494C">
        <w:rPr>
          <w:rFonts w:ascii="Lato" w:hAnsi="Lato" w:cs="Times New Roman"/>
        </w:rPr>
        <w:t xml:space="preserve">ależy wskazać jednostkę redakcyjną projektu </w:t>
      </w:r>
      <w:r w:rsidR="00EB31B4" w:rsidRPr="00EF494C">
        <w:rPr>
          <w:rFonts w:ascii="Lato" w:hAnsi="Lato" w:cs="Times New Roman"/>
        </w:rPr>
        <w:t>oraz jednostkę redakcyjną zmienianego aktu prawnego.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3656D" w14:textId="084F250A" w:rsidR="009B2EF5" w:rsidRDefault="009B2EF5">
    <w:pPr>
      <w:pStyle w:val="Nagwek"/>
    </w:pPr>
    <w:r>
      <w:rPr>
        <w:noProof/>
      </w:rPr>
      <w:drawing>
        <wp:inline distT="0" distB="0" distL="0" distR="0" wp14:anchorId="5F4CB2DE" wp14:editId="1C76DE5E">
          <wp:extent cx="1559986" cy="635000"/>
          <wp:effectExtent l="0" t="0" r="2540" b="0"/>
          <wp:docPr id="15287079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707911" name="Obraz 15287079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327" cy="648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738"/>
    <w:multiLevelType w:val="multilevel"/>
    <w:tmpl w:val="5D78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76FFF"/>
    <w:multiLevelType w:val="hybridMultilevel"/>
    <w:tmpl w:val="796A4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530BB"/>
    <w:multiLevelType w:val="hybridMultilevel"/>
    <w:tmpl w:val="D4EAB9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7120C"/>
    <w:multiLevelType w:val="multilevel"/>
    <w:tmpl w:val="220C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831C78"/>
    <w:multiLevelType w:val="multilevel"/>
    <w:tmpl w:val="8BC450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843669">
    <w:abstractNumId w:val="3"/>
  </w:num>
  <w:num w:numId="2" w16cid:durableId="1483160643">
    <w:abstractNumId w:val="0"/>
  </w:num>
  <w:num w:numId="3" w16cid:durableId="847599842">
    <w:abstractNumId w:val="1"/>
  </w:num>
  <w:num w:numId="4" w16cid:durableId="362677054">
    <w:abstractNumId w:val="4"/>
  </w:num>
  <w:num w:numId="5" w16cid:durableId="1501384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41"/>
    <w:rsid w:val="00023DD3"/>
    <w:rsid w:val="00024BBA"/>
    <w:rsid w:val="00027C26"/>
    <w:rsid w:val="00042B76"/>
    <w:rsid w:val="000522AF"/>
    <w:rsid w:val="0006559C"/>
    <w:rsid w:val="000672FB"/>
    <w:rsid w:val="00074BE4"/>
    <w:rsid w:val="000B73E0"/>
    <w:rsid w:val="000C0FA5"/>
    <w:rsid w:val="000C4692"/>
    <w:rsid w:val="000D6ADE"/>
    <w:rsid w:val="000E27BE"/>
    <w:rsid w:val="000E41B2"/>
    <w:rsid w:val="000F5022"/>
    <w:rsid w:val="00107B98"/>
    <w:rsid w:val="00110397"/>
    <w:rsid w:val="00111427"/>
    <w:rsid w:val="00112EE2"/>
    <w:rsid w:val="00144C06"/>
    <w:rsid w:val="00150206"/>
    <w:rsid w:val="001551DC"/>
    <w:rsid w:val="00164023"/>
    <w:rsid w:val="001701B1"/>
    <w:rsid w:val="00182959"/>
    <w:rsid w:val="0019324D"/>
    <w:rsid w:val="001933E6"/>
    <w:rsid w:val="0019568F"/>
    <w:rsid w:val="001960C2"/>
    <w:rsid w:val="001B734F"/>
    <w:rsid w:val="001D2D94"/>
    <w:rsid w:val="001D645C"/>
    <w:rsid w:val="001E4824"/>
    <w:rsid w:val="00202178"/>
    <w:rsid w:val="00225095"/>
    <w:rsid w:val="0023702A"/>
    <w:rsid w:val="0025522C"/>
    <w:rsid w:val="00277A3D"/>
    <w:rsid w:val="0028710B"/>
    <w:rsid w:val="002902D3"/>
    <w:rsid w:val="00293BB6"/>
    <w:rsid w:val="002A27A4"/>
    <w:rsid w:val="002C1595"/>
    <w:rsid w:val="002D479B"/>
    <w:rsid w:val="002E05D3"/>
    <w:rsid w:val="002E287A"/>
    <w:rsid w:val="002E3088"/>
    <w:rsid w:val="003072DC"/>
    <w:rsid w:val="003172C6"/>
    <w:rsid w:val="00331EC9"/>
    <w:rsid w:val="00335843"/>
    <w:rsid w:val="00352DB1"/>
    <w:rsid w:val="003623B0"/>
    <w:rsid w:val="00391BB6"/>
    <w:rsid w:val="003E6E29"/>
    <w:rsid w:val="00432921"/>
    <w:rsid w:val="00435D45"/>
    <w:rsid w:val="00451E8C"/>
    <w:rsid w:val="0048202D"/>
    <w:rsid w:val="0048251E"/>
    <w:rsid w:val="004B1130"/>
    <w:rsid w:val="004C67DA"/>
    <w:rsid w:val="004E0EDF"/>
    <w:rsid w:val="004E270F"/>
    <w:rsid w:val="004F2D1D"/>
    <w:rsid w:val="004F43E1"/>
    <w:rsid w:val="0052405B"/>
    <w:rsid w:val="00530E58"/>
    <w:rsid w:val="005625CC"/>
    <w:rsid w:val="00563E4B"/>
    <w:rsid w:val="0056690A"/>
    <w:rsid w:val="00581443"/>
    <w:rsid w:val="00581B74"/>
    <w:rsid w:val="005907B3"/>
    <w:rsid w:val="005A2F19"/>
    <w:rsid w:val="005A52B2"/>
    <w:rsid w:val="005B06E7"/>
    <w:rsid w:val="005C4AEC"/>
    <w:rsid w:val="005F0213"/>
    <w:rsid w:val="0061348C"/>
    <w:rsid w:val="0062270B"/>
    <w:rsid w:val="00622744"/>
    <w:rsid w:val="00627053"/>
    <w:rsid w:val="006314B3"/>
    <w:rsid w:val="00644B7B"/>
    <w:rsid w:val="0065784C"/>
    <w:rsid w:val="006635B7"/>
    <w:rsid w:val="00673BC4"/>
    <w:rsid w:val="00690B16"/>
    <w:rsid w:val="00691B0B"/>
    <w:rsid w:val="006962F5"/>
    <w:rsid w:val="00697AF1"/>
    <w:rsid w:val="006A080B"/>
    <w:rsid w:val="006B1EAF"/>
    <w:rsid w:val="006B6628"/>
    <w:rsid w:val="006E74F8"/>
    <w:rsid w:val="006F49A0"/>
    <w:rsid w:val="006F685C"/>
    <w:rsid w:val="00713B68"/>
    <w:rsid w:val="00725169"/>
    <w:rsid w:val="00744880"/>
    <w:rsid w:val="00750F8B"/>
    <w:rsid w:val="0075596A"/>
    <w:rsid w:val="00756F67"/>
    <w:rsid w:val="007715DB"/>
    <w:rsid w:val="00773DAD"/>
    <w:rsid w:val="00777976"/>
    <w:rsid w:val="00780FC8"/>
    <w:rsid w:val="00781E0E"/>
    <w:rsid w:val="0079707F"/>
    <w:rsid w:val="007D05FA"/>
    <w:rsid w:val="007D2CD6"/>
    <w:rsid w:val="00831096"/>
    <w:rsid w:val="00844E18"/>
    <w:rsid w:val="00882FC1"/>
    <w:rsid w:val="008A2920"/>
    <w:rsid w:val="008A6A3B"/>
    <w:rsid w:val="008B1756"/>
    <w:rsid w:val="008B2082"/>
    <w:rsid w:val="008B5159"/>
    <w:rsid w:val="008B766F"/>
    <w:rsid w:val="008C3C57"/>
    <w:rsid w:val="008C7098"/>
    <w:rsid w:val="0090574C"/>
    <w:rsid w:val="00910F84"/>
    <w:rsid w:val="0092307A"/>
    <w:rsid w:val="0092389D"/>
    <w:rsid w:val="009536D0"/>
    <w:rsid w:val="00973A8C"/>
    <w:rsid w:val="00976E67"/>
    <w:rsid w:val="0098573C"/>
    <w:rsid w:val="00987912"/>
    <w:rsid w:val="00987E99"/>
    <w:rsid w:val="009A5986"/>
    <w:rsid w:val="009B2EF5"/>
    <w:rsid w:val="009B5AD6"/>
    <w:rsid w:val="009B6A3C"/>
    <w:rsid w:val="009C3E98"/>
    <w:rsid w:val="009E504D"/>
    <w:rsid w:val="00A1686C"/>
    <w:rsid w:val="00A22BB8"/>
    <w:rsid w:val="00A259EE"/>
    <w:rsid w:val="00A35036"/>
    <w:rsid w:val="00A37AAF"/>
    <w:rsid w:val="00A62DA8"/>
    <w:rsid w:val="00A76C58"/>
    <w:rsid w:val="00AE483D"/>
    <w:rsid w:val="00B212A4"/>
    <w:rsid w:val="00B24CAD"/>
    <w:rsid w:val="00B65802"/>
    <w:rsid w:val="00B707E1"/>
    <w:rsid w:val="00B829F8"/>
    <w:rsid w:val="00B91BB7"/>
    <w:rsid w:val="00BB1F78"/>
    <w:rsid w:val="00BB224A"/>
    <w:rsid w:val="00BB6314"/>
    <w:rsid w:val="00BB693B"/>
    <w:rsid w:val="00BE14F2"/>
    <w:rsid w:val="00BF1C0E"/>
    <w:rsid w:val="00C132E7"/>
    <w:rsid w:val="00C2128D"/>
    <w:rsid w:val="00C21D08"/>
    <w:rsid w:val="00C23545"/>
    <w:rsid w:val="00C611C2"/>
    <w:rsid w:val="00C643CA"/>
    <w:rsid w:val="00C65624"/>
    <w:rsid w:val="00C76B1C"/>
    <w:rsid w:val="00C93278"/>
    <w:rsid w:val="00CA2841"/>
    <w:rsid w:val="00CA7ACF"/>
    <w:rsid w:val="00CD3075"/>
    <w:rsid w:val="00CE2399"/>
    <w:rsid w:val="00D35962"/>
    <w:rsid w:val="00D36DB8"/>
    <w:rsid w:val="00D45DFC"/>
    <w:rsid w:val="00D54C24"/>
    <w:rsid w:val="00D92E06"/>
    <w:rsid w:val="00DD7AF2"/>
    <w:rsid w:val="00DF7284"/>
    <w:rsid w:val="00E12F21"/>
    <w:rsid w:val="00E16E05"/>
    <w:rsid w:val="00E24AB9"/>
    <w:rsid w:val="00E27B37"/>
    <w:rsid w:val="00E40E3D"/>
    <w:rsid w:val="00E42C86"/>
    <w:rsid w:val="00E6183C"/>
    <w:rsid w:val="00E66DA5"/>
    <w:rsid w:val="00E725C1"/>
    <w:rsid w:val="00E907DA"/>
    <w:rsid w:val="00EA0345"/>
    <w:rsid w:val="00EA7E5A"/>
    <w:rsid w:val="00EB31B4"/>
    <w:rsid w:val="00EB3882"/>
    <w:rsid w:val="00EC4C43"/>
    <w:rsid w:val="00ED12DE"/>
    <w:rsid w:val="00EE3821"/>
    <w:rsid w:val="00EE4289"/>
    <w:rsid w:val="00EE646D"/>
    <w:rsid w:val="00EF494C"/>
    <w:rsid w:val="00F05A04"/>
    <w:rsid w:val="00F100B1"/>
    <w:rsid w:val="00F10F50"/>
    <w:rsid w:val="00F12878"/>
    <w:rsid w:val="00F273F6"/>
    <w:rsid w:val="00F60DE5"/>
    <w:rsid w:val="00F8449B"/>
    <w:rsid w:val="00FC75C7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28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0F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0F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0FC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6E67"/>
    <w:pPr>
      <w:ind w:left="720"/>
      <w:contextualSpacing/>
    </w:pPr>
  </w:style>
  <w:style w:type="paragraph" w:styleId="Poprawka">
    <w:name w:val="Revision"/>
    <w:hidden/>
    <w:uiPriority w:val="99"/>
    <w:semiHidden/>
    <w:rsid w:val="00BF1C0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B2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EF5"/>
  </w:style>
  <w:style w:type="paragraph" w:styleId="Stopka">
    <w:name w:val="footer"/>
    <w:basedOn w:val="Normalny"/>
    <w:link w:val="StopkaZnak"/>
    <w:uiPriority w:val="99"/>
    <w:unhideWhenUsed/>
    <w:rsid w:val="009B2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D6EAC-11F6-4D47-8A58-288B1FFB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951</Words>
  <Characters>6672</Characters>
  <Application>Microsoft Office Word</Application>
  <DocSecurity>4</DocSecurity>
  <Lines>417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Konfederacja Lewiatan</cp:lastModifiedBy>
  <cp:revision>2</cp:revision>
  <dcterms:created xsi:type="dcterms:W3CDTF">2026-06-30T14:21:00Z</dcterms:created>
  <dcterms:modified xsi:type="dcterms:W3CDTF">2026-06-30T14:21:00Z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60e38-724b-44cb-8b52-7841a0346e9d_Enabled">
    <vt:lpwstr>true</vt:lpwstr>
  </property>
  <property fmtid="{D5CDD505-2E9C-101B-9397-08002B2CF9AE}" pid="3" name="MSIP_Label_b3b60e38-724b-44cb-8b52-7841a0346e9d_SetDate">
    <vt:lpwstr>2026-05-18T07:16:14Z</vt:lpwstr>
  </property>
  <property fmtid="{D5CDD505-2E9C-101B-9397-08002B2CF9AE}" pid="4" name="MSIP_Label_b3b60e38-724b-44cb-8b52-7841a0346e9d_Method">
    <vt:lpwstr>Standard</vt:lpwstr>
  </property>
  <property fmtid="{D5CDD505-2E9C-101B-9397-08002B2CF9AE}" pid="5" name="MSIP_Label_b3b60e38-724b-44cb-8b52-7841a0346e9d_Name">
    <vt:lpwstr>aad.gkorl.label.internal.gkorl</vt:lpwstr>
  </property>
  <property fmtid="{D5CDD505-2E9C-101B-9397-08002B2CF9AE}" pid="6" name="MSIP_Label_b3b60e38-724b-44cb-8b52-7841a0346e9d_SiteId">
    <vt:lpwstr>49ed4135-8213-4cdc-b4ed-aca2fd2e32c2</vt:lpwstr>
  </property>
  <property fmtid="{D5CDD505-2E9C-101B-9397-08002B2CF9AE}" pid="7" name="MSIP_Label_b3b60e38-724b-44cb-8b52-7841a0346e9d_ActionId">
    <vt:lpwstr>434e2150-d390-418b-9a40-01f76f977c12</vt:lpwstr>
  </property>
  <property fmtid="{D5CDD505-2E9C-101B-9397-08002B2CF9AE}" pid="8" name="MSIP_Label_b3b60e38-724b-44cb-8b52-7841a0346e9d_ContentBits">
    <vt:lpwstr>0</vt:lpwstr>
  </property>
  <property fmtid="{D5CDD505-2E9C-101B-9397-08002B2CF9AE}" pid="9" name="MSIP_Label_b3b60e38-724b-44cb-8b52-7841a0346e9d_Tag">
    <vt:lpwstr>10, 3, 0, 1</vt:lpwstr>
  </property>
</Properties>
</file>