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1FF73" w14:textId="19A14EDA" w:rsidR="00511A1D" w:rsidRPr="002C18A8" w:rsidRDefault="00FC31CE" w:rsidP="00511A1D">
      <w:pPr>
        <w:spacing w:after="240"/>
        <w:jc w:val="center"/>
        <w:rPr>
          <w:rFonts w:asciiTheme="minorHAnsi" w:hAnsiTheme="minorHAnsi" w:cstheme="minorHAnsi"/>
          <w:b/>
          <w:i/>
        </w:rPr>
      </w:pPr>
      <w:r w:rsidRPr="002C18A8">
        <w:rPr>
          <w:rFonts w:asciiTheme="minorHAnsi" w:hAnsiTheme="minorHAnsi" w:cstheme="minorHAnsi"/>
          <w:b/>
        </w:rPr>
        <w:t>Tabela</w:t>
      </w:r>
      <w:r w:rsidR="00511A1D" w:rsidRPr="002C18A8">
        <w:rPr>
          <w:rFonts w:asciiTheme="minorHAnsi" w:hAnsiTheme="minorHAnsi" w:cstheme="minorHAnsi"/>
          <w:b/>
        </w:rPr>
        <w:t xml:space="preserve"> uwag do projektu </w:t>
      </w:r>
      <w:r w:rsidR="00511A1D" w:rsidRPr="002C18A8">
        <w:rPr>
          <w:rFonts w:asciiTheme="minorHAnsi" w:hAnsiTheme="minorHAnsi" w:cstheme="minorHAnsi"/>
          <w:b/>
          <w:i/>
        </w:rPr>
        <w:t xml:space="preserve">Strategii </w:t>
      </w:r>
      <w:r w:rsidR="007B1706" w:rsidRPr="002C18A8">
        <w:rPr>
          <w:rFonts w:asciiTheme="minorHAnsi" w:hAnsiTheme="minorHAnsi" w:cstheme="minorHAnsi"/>
          <w:b/>
          <w:i/>
        </w:rPr>
        <w:t>transformacji ciepłownictwa</w:t>
      </w:r>
      <w:r w:rsidR="00511A1D" w:rsidRPr="002C18A8">
        <w:rPr>
          <w:rFonts w:asciiTheme="minorHAnsi" w:hAnsiTheme="minorHAnsi" w:cstheme="minorHAnsi"/>
          <w:b/>
          <w:i/>
        </w:rPr>
        <w:t xml:space="preserve"> do 2040 r. </w:t>
      </w:r>
    </w:p>
    <w:tbl>
      <w:tblPr>
        <w:tblStyle w:val="Tabela-Siatka"/>
        <w:tblW w:w="14734" w:type="dxa"/>
        <w:tblCellMar>
          <w:top w:w="57" w:type="dxa"/>
          <w:left w:w="57" w:type="dxa"/>
          <w:bottom w:w="57" w:type="dxa"/>
          <w:right w:w="57" w:type="dxa"/>
        </w:tblCellMar>
        <w:tblLook w:val="04A0" w:firstRow="1" w:lastRow="0" w:firstColumn="1" w:lastColumn="0" w:noHBand="0" w:noVBand="1"/>
      </w:tblPr>
      <w:tblGrid>
        <w:gridCol w:w="704"/>
        <w:gridCol w:w="1588"/>
        <w:gridCol w:w="2089"/>
        <w:gridCol w:w="4337"/>
        <w:gridCol w:w="4111"/>
        <w:gridCol w:w="1905"/>
      </w:tblGrid>
      <w:tr w:rsidR="004B4236" w:rsidRPr="002C18A8" w14:paraId="7D9EBB63" w14:textId="1E7F000C" w:rsidTr="00B321B4">
        <w:tc>
          <w:tcPr>
            <w:tcW w:w="704" w:type="dxa"/>
            <w:tcBorders>
              <w:top w:val="single" w:sz="4" w:space="0" w:color="auto"/>
              <w:left w:val="single" w:sz="4" w:space="0" w:color="auto"/>
              <w:bottom w:val="single" w:sz="4" w:space="0" w:color="auto"/>
              <w:right w:val="single" w:sz="4" w:space="0" w:color="auto"/>
            </w:tcBorders>
          </w:tcPr>
          <w:p w14:paraId="6353CE0C" w14:textId="5CF535B5" w:rsidR="004B4236" w:rsidRPr="00EE2CA1" w:rsidRDefault="004B4236" w:rsidP="00EE2CA1">
            <w:pPr>
              <w:spacing w:line="240" w:lineRule="auto"/>
              <w:rPr>
                <w:rFonts w:cstheme="minorHAnsi"/>
                <w:b/>
              </w:rPr>
            </w:pPr>
            <w:r w:rsidRPr="00EE2CA1">
              <w:rPr>
                <w:rFonts w:cstheme="minorHAnsi"/>
                <w:b/>
              </w:rPr>
              <w:t>L.p.</w:t>
            </w:r>
          </w:p>
        </w:tc>
        <w:tc>
          <w:tcPr>
            <w:tcW w:w="1588" w:type="dxa"/>
            <w:tcBorders>
              <w:top w:val="single" w:sz="4" w:space="0" w:color="auto"/>
              <w:left w:val="single" w:sz="4" w:space="0" w:color="auto"/>
              <w:bottom w:val="single" w:sz="4" w:space="0" w:color="auto"/>
              <w:right w:val="single" w:sz="4" w:space="0" w:color="auto"/>
            </w:tcBorders>
            <w:hideMark/>
          </w:tcPr>
          <w:p w14:paraId="3AC1BFBC" w14:textId="53A264A9" w:rsidR="004B4236" w:rsidRPr="002C18A8" w:rsidRDefault="00FC31CE" w:rsidP="00781BC9">
            <w:pPr>
              <w:spacing w:line="240" w:lineRule="auto"/>
              <w:jc w:val="center"/>
              <w:rPr>
                <w:rFonts w:asciiTheme="minorHAnsi" w:hAnsiTheme="minorHAnsi" w:cstheme="minorHAnsi"/>
                <w:b/>
              </w:rPr>
            </w:pPr>
            <w:r w:rsidRPr="002C18A8">
              <w:rPr>
                <w:rFonts w:asciiTheme="minorHAnsi" w:hAnsiTheme="minorHAnsi" w:cstheme="minorHAnsi"/>
                <w:b/>
              </w:rPr>
              <w:t>Podmiot z</w:t>
            </w:r>
            <w:r w:rsidR="004B4236" w:rsidRPr="002C18A8">
              <w:rPr>
                <w:rFonts w:asciiTheme="minorHAnsi" w:hAnsiTheme="minorHAnsi" w:cstheme="minorHAnsi"/>
                <w:b/>
              </w:rPr>
              <w:t xml:space="preserve">głaszający uwagę </w:t>
            </w:r>
          </w:p>
        </w:tc>
        <w:tc>
          <w:tcPr>
            <w:tcW w:w="2089" w:type="dxa"/>
            <w:tcBorders>
              <w:top w:val="single" w:sz="4" w:space="0" w:color="auto"/>
              <w:left w:val="single" w:sz="4" w:space="0" w:color="auto"/>
              <w:bottom w:val="single" w:sz="4" w:space="0" w:color="auto"/>
              <w:right w:val="single" w:sz="4" w:space="0" w:color="auto"/>
            </w:tcBorders>
            <w:hideMark/>
          </w:tcPr>
          <w:p w14:paraId="35E56AC9" w14:textId="77777777" w:rsidR="004B4236" w:rsidRPr="002C18A8" w:rsidRDefault="004B4236" w:rsidP="00781BC9">
            <w:pPr>
              <w:spacing w:line="240" w:lineRule="auto"/>
              <w:jc w:val="center"/>
              <w:rPr>
                <w:rFonts w:asciiTheme="minorHAnsi" w:hAnsiTheme="minorHAnsi" w:cstheme="minorHAnsi"/>
                <w:b/>
              </w:rPr>
            </w:pPr>
            <w:r w:rsidRPr="002C18A8">
              <w:rPr>
                <w:rFonts w:asciiTheme="minorHAnsi" w:hAnsiTheme="minorHAnsi" w:cstheme="minorHAnsi"/>
                <w:b/>
              </w:rPr>
              <w:t>Część, której dotyczy uwaga</w:t>
            </w:r>
          </w:p>
          <w:p w14:paraId="3D3E728B" w14:textId="77777777" w:rsidR="004B4236" w:rsidRPr="002C18A8" w:rsidRDefault="004B4236" w:rsidP="00781BC9">
            <w:pPr>
              <w:spacing w:line="240" w:lineRule="auto"/>
              <w:jc w:val="center"/>
              <w:rPr>
                <w:rFonts w:asciiTheme="minorHAnsi" w:hAnsiTheme="minorHAnsi" w:cstheme="minorHAnsi"/>
              </w:rPr>
            </w:pPr>
            <w:r w:rsidRPr="002C18A8">
              <w:rPr>
                <w:rFonts w:asciiTheme="minorHAnsi" w:hAnsiTheme="minorHAnsi" w:cstheme="minorHAnsi"/>
              </w:rPr>
              <w:t>(proszę wskazać nr rozdziału lub wpisać Uwagi ogólne / Inne oraz podać nr strony)</w:t>
            </w:r>
          </w:p>
        </w:tc>
        <w:tc>
          <w:tcPr>
            <w:tcW w:w="4337" w:type="dxa"/>
            <w:tcBorders>
              <w:top w:val="single" w:sz="4" w:space="0" w:color="auto"/>
              <w:left w:val="single" w:sz="4" w:space="0" w:color="auto"/>
              <w:bottom w:val="single" w:sz="4" w:space="0" w:color="auto"/>
              <w:right w:val="single" w:sz="4" w:space="0" w:color="auto"/>
            </w:tcBorders>
            <w:hideMark/>
          </w:tcPr>
          <w:p w14:paraId="323385BF" w14:textId="681B421E" w:rsidR="004B4236" w:rsidRPr="002C18A8" w:rsidRDefault="004B4236" w:rsidP="00781BC9">
            <w:pPr>
              <w:spacing w:line="240" w:lineRule="auto"/>
              <w:jc w:val="center"/>
              <w:rPr>
                <w:rFonts w:asciiTheme="minorHAnsi" w:hAnsiTheme="minorHAnsi" w:cstheme="minorHAnsi"/>
                <w:b/>
              </w:rPr>
            </w:pPr>
            <w:r w:rsidRPr="002C18A8">
              <w:rPr>
                <w:rFonts w:asciiTheme="minorHAnsi" w:hAnsiTheme="minorHAnsi" w:cstheme="minorHAnsi"/>
                <w:b/>
              </w:rPr>
              <w:t>Treść uwagi</w:t>
            </w:r>
            <w:r w:rsidR="00043C93" w:rsidRPr="002C18A8">
              <w:rPr>
                <w:rFonts w:asciiTheme="minorHAnsi" w:hAnsiTheme="minorHAnsi" w:cstheme="minorHAnsi"/>
                <w:b/>
              </w:rPr>
              <w:t xml:space="preserve"> </w:t>
            </w:r>
          </w:p>
        </w:tc>
        <w:tc>
          <w:tcPr>
            <w:tcW w:w="4111" w:type="dxa"/>
            <w:tcBorders>
              <w:top w:val="single" w:sz="4" w:space="0" w:color="auto"/>
              <w:left w:val="single" w:sz="4" w:space="0" w:color="auto"/>
              <w:bottom w:val="single" w:sz="4" w:space="0" w:color="auto"/>
              <w:right w:val="single" w:sz="4" w:space="0" w:color="auto"/>
            </w:tcBorders>
          </w:tcPr>
          <w:p w14:paraId="4CC4879A" w14:textId="5B529F82" w:rsidR="004B4236" w:rsidRPr="002C18A8" w:rsidRDefault="004B4236" w:rsidP="00781BC9">
            <w:pPr>
              <w:spacing w:line="240" w:lineRule="auto"/>
              <w:jc w:val="center"/>
              <w:rPr>
                <w:rFonts w:asciiTheme="minorHAnsi" w:hAnsiTheme="minorHAnsi" w:cstheme="minorHAnsi"/>
                <w:b/>
              </w:rPr>
            </w:pPr>
            <w:r w:rsidRPr="002C18A8">
              <w:rPr>
                <w:rFonts w:asciiTheme="minorHAnsi" w:hAnsiTheme="minorHAnsi" w:cstheme="minorHAnsi"/>
                <w:b/>
              </w:rPr>
              <w:t>Uzasadnienie</w:t>
            </w:r>
          </w:p>
        </w:tc>
        <w:tc>
          <w:tcPr>
            <w:tcW w:w="1905" w:type="dxa"/>
            <w:tcBorders>
              <w:top w:val="single" w:sz="4" w:space="0" w:color="auto"/>
              <w:left w:val="single" w:sz="4" w:space="0" w:color="auto"/>
              <w:bottom w:val="single" w:sz="4" w:space="0" w:color="auto"/>
              <w:right w:val="single" w:sz="4" w:space="0" w:color="auto"/>
            </w:tcBorders>
          </w:tcPr>
          <w:p w14:paraId="09319B43" w14:textId="14E5BD06" w:rsidR="004B4236" w:rsidRPr="002C18A8" w:rsidRDefault="004C1F4B" w:rsidP="00781BC9">
            <w:pPr>
              <w:spacing w:line="240" w:lineRule="auto"/>
              <w:jc w:val="center"/>
              <w:rPr>
                <w:rFonts w:asciiTheme="minorHAnsi" w:hAnsiTheme="minorHAnsi" w:cstheme="minorHAnsi"/>
                <w:b/>
              </w:rPr>
            </w:pPr>
            <w:r w:rsidRPr="002C18A8">
              <w:rPr>
                <w:rFonts w:asciiTheme="minorHAnsi" w:hAnsiTheme="minorHAnsi" w:cstheme="minorHAnsi"/>
                <w:b/>
                <w:bCs/>
              </w:rPr>
              <w:t>Stanowisko do uwagi</w:t>
            </w:r>
          </w:p>
        </w:tc>
      </w:tr>
      <w:tr w:rsidR="00DB4488" w:rsidRPr="002C18A8" w14:paraId="7D7BF815" w14:textId="77777777" w:rsidTr="0096780A">
        <w:tc>
          <w:tcPr>
            <w:tcW w:w="704" w:type="dxa"/>
            <w:tcBorders>
              <w:top w:val="single" w:sz="4" w:space="0" w:color="auto"/>
              <w:left w:val="single" w:sz="4" w:space="0" w:color="auto"/>
              <w:bottom w:val="single" w:sz="4" w:space="0" w:color="auto"/>
              <w:right w:val="single" w:sz="4" w:space="0" w:color="auto"/>
            </w:tcBorders>
          </w:tcPr>
          <w:p w14:paraId="33253AFE" w14:textId="77777777" w:rsidR="00DB4488" w:rsidRPr="00EE2CA1" w:rsidRDefault="00DB4488" w:rsidP="00B321B4">
            <w:pPr>
              <w:pStyle w:val="Akapitzlist"/>
              <w:numPr>
                <w:ilvl w:val="0"/>
                <w:numId w:val="10"/>
              </w:numPr>
              <w:ind w:left="82" w:hanging="312"/>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3654F7B2" w14:textId="471C57EE" w:rsidR="00DB4488" w:rsidRPr="002C18A8" w:rsidRDefault="0096780A" w:rsidP="0096780A">
            <w:pPr>
              <w:pStyle w:val="Normalny1"/>
              <w:rPr>
                <w:rFonts w:asciiTheme="minorHAnsi" w:eastAsia="Arial" w:hAnsiTheme="minorHAnsi" w:cstheme="minorHAnsi"/>
                <w:color w:val="000000" w:themeColor="text1"/>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74AF34D6" w14:textId="481D4713" w:rsidR="00DB4488" w:rsidRPr="002C18A8" w:rsidRDefault="00DB4488" w:rsidP="07B6B689">
            <w:pPr>
              <w:rPr>
                <w:rFonts w:asciiTheme="minorHAnsi" w:eastAsia="Arial" w:hAnsiTheme="minorHAnsi" w:cstheme="minorHAnsi"/>
                <w:color w:val="000000" w:themeColor="text1"/>
              </w:rPr>
            </w:pPr>
            <w:r>
              <w:rPr>
                <w:rFonts w:asciiTheme="minorHAnsi" w:eastAsia="Arial" w:hAnsiTheme="minorHAnsi" w:cstheme="minorHAnsi"/>
                <w:color w:val="000000" w:themeColor="text1"/>
              </w:rPr>
              <w:t>Uwaga ogólna</w:t>
            </w:r>
          </w:p>
        </w:tc>
        <w:tc>
          <w:tcPr>
            <w:tcW w:w="4337" w:type="dxa"/>
            <w:tcBorders>
              <w:top w:val="single" w:sz="4" w:space="0" w:color="auto"/>
              <w:left w:val="single" w:sz="4" w:space="0" w:color="auto"/>
              <w:bottom w:val="single" w:sz="4" w:space="0" w:color="auto"/>
              <w:right w:val="single" w:sz="4" w:space="0" w:color="auto"/>
            </w:tcBorders>
          </w:tcPr>
          <w:p w14:paraId="008AF965" w14:textId="35ABAB04" w:rsidR="00DB4488" w:rsidRPr="002C18A8" w:rsidRDefault="00834A1E" w:rsidP="07B6B689">
            <w:pPr>
              <w:rPr>
                <w:rFonts w:asciiTheme="minorHAnsi" w:eastAsia="Arial" w:hAnsiTheme="minorHAnsi" w:cstheme="minorHAnsi"/>
                <w:color w:val="000000" w:themeColor="text1"/>
              </w:rPr>
            </w:pPr>
            <w:r w:rsidRPr="00834A1E">
              <w:rPr>
                <w:rFonts w:asciiTheme="minorHAnsi" w:eastAsia="Arial" w:hAnsiTheme="minorHAnsi" w:cstheme="minorHAnsi"/>
                <w:color w:val="000000" w:themeColor="text1"/>
              </w:rPr>
              <w:t xml:space="preserve">Przedstawiony </w:t>
            </w:r>
            <w:r>
              <w:rPr>
                <w:rFonts w:asciiTheme="minorHAnsi" w:eastAsia="Arial" w:hAnsiTheme="minorHAnsi" w:cstheme="minorHAnsi"/>
                <w:color w:val="000000" w:themeColor="text1"/>
              </w:rPr>
              <w:t xml:space="preserve">do konsultacji publicznych </w:t>
            </w:r>
            <w:r w:rsidRPr="00834A1E">
              <w:rPr>
                <w:rFonts w:asciiTheme="minorHAnsi" w:eastAsia="Arial" w:hAnsiTheme="minorHAnsi" w:cstheme="minorHAnsi"/>
                <w:color w:val="000000" w:themeColor="text1"/>
              </w:rPr>
              <w:t>projekt stanowi długo oczekiwany i niezwykle istotny dokument strategiczny dla sektora ciepłowni</w:t>
            </w:r>
            <w:r>
              <w:rPr>
                <w:rFonts w:asciiTheme="minorHAnsi" w:eastAsia="Arial" w:hAnsiTheme="minorHAnsi" w:cstheme="minorHAnsi"/>
                <w:color w:val="000000" w:themeColor="text1"/>
              </w:rPr>
              <w:t>czego</w:t>
            </w:r>
            <w:r w:rsidRPr="00834A1E">
              <w:rPr>
                <w:rFonts w:asciiTheme="minorHAnsi" w:eastAsia="Arial" w:hAnsiTheme="minorHAnsi" w:cstheme="minorHAnsi"/>
                <w:color w:val="000000" w:themeColor="text1"/>
              </w:rPr>
              <w:t>. Po raz pierwszy w sposób kompleksowy określa długoterminową wizję rozwoju branży, wyznacza kierunki transformacji oraz wskazuje priorytety działań regulacyjnych, inwestycyjnych i organizacyjnych. Dokument odpowiada na potrzebę stworzenia przewidywalnych i stabilnych ram funkcjonowania sektora w</w:t>
            </w:r>
            <w:r w:rsidR="005707A9">
              <w:rPr>
                <w:rFonts w:asciiTheme="minorHAnsi" w:eastAsia="Arial" w:hAnsiTheme="minorHAnsi" w:cstheme="minorHAnsi"/>
                <w:color w:val="000000" w:themeColor="text1"/>
              </w:rPr>
              <w:t xml:space="preserve"> dłuższej</w:t>
            </w:r>
            <w:r w:rsidRPr="00834A1E">
              <w:rPr>
                <w:rFonts w:asciiTheme="minorHAnsi" w:eastAsia="Arial" w:hAnsiTheme="minorHAnsi" w:cstheme="minorHAnsi"/>
                <w:color w:val="000000" w:themeColor="text1"/>
              </w:rPr>
              <w:t xml:space="preserve"> perspektywie, co ma kluczowe znaczenie dla planowania wieloletnich</w:t>
            </w:r>
            <w:r w:rsidR="00E7250E">
              <w:rPr>
                <w:rFonts w:asciiTheme="minorHAnsi" w:eastAsia="Arial" w:hAnsiTheme="minorHAnsi" w:cstheme="minorHAnsi"/>
                <w:color w:val="000000" w:themeColor="text1"/>
              </w:rPr>
              <w:t>, złożonych</w:t>
            </w:r>
            <w:r w:rsidRPr="00834A1E">
              <w:rPr>
                <w:rFonts w:asciiTheme="minorHAnsi" w:eastAsia="Arial" w:hAnsiTheme="minorHAnsi" w:cstheme="minorHAnsi"/>
                <w:color w:val="000000" w:themeColor="text1"/>
              </w:rPr>
              <w:t xml:space="preserve"> inwestycji. Należy szczególnie docenić kompleksowe podejście do transformacji, uwzględniające jednocześnie bezpieczeństwo dostaw ciepła, utrzymanie akceptowalnych cen dla odbiorców, poprawę efektywności energetycznej, dekarbonizację oraz integr</w:t>
            </w:r>
            <w:r w:rsidR="00077EB4">
              <w:rPr>
                <w:rFonts w:asciiTheme="minorHAnsi" w:eastAsia="Arial" w:hAnsiTheme="minorHAnsi" w:cstheme="minorHAnsi"/>
                <w:color w:val="000000" w:themeColor="text1"/>
              </w:rPr>
              <w:t>ację sektorów</w:t>
            </w:r>
            <w:r w:rsidRPr="00834A1E">
              <w:rPr>
                <w:rFonts w:asciiTheme="minorHAnsi" w:eastAsia="Arial" w:hAnsiTheme="minorHAnsi" w:cstheme="minorHAnsi"/>
                <w:color w:val="000000" w:themeColor="text1"/>
              </w:rPr>
              <w:t xml:space="preserve">. Istotnym atutem Strategii jest również wskazanie szerokiego katalogu technologii, które mogą znaleźć zastosowanie w zależności od lokalnych </w:t>
            </w:r>
            <w:r w:rsidRPr="00834A1E">
              <w:rPr>
                <w:rFonts w:asciiTheme="minorHAnsi" w:eastAsia="Arial" w:hAnsiTheme="minorHAnsi" w:cstheme="minorHAnsi"/>
                <w:color w:val="000000" w:themeColor="text1"/>
              </w:rPr>
              <w:lastRenderedPageBreak/>
              <w:t>uwarunkowań, co pozwala zachować neutralność technologiczną i elastyczność procesu transformacji</w:t>
            </w:r>
            <w:r w:rsidR="00077EB4">
              <w:rPr>
                <w:rFonts w:asciiTheme="minorHAnsi" w:eastAsia="Arial" w:hAnsiTheme="minorHAnsi" w:cstheme="minorHAnsi"/>
                <w:color w:val="000000" w:themeColor="text1"/>
              </w:rPr>
              <w:t xml:space="preserve">, z uwzględnieniem </w:t>
            </w:r>
            <w:r w:rsidR="005C47CA">
              <w:rPr>
                <w:rFonts w:asciiTheme="minorHAnsi" w:eastAsia="Arial" w:hAnsiTheme="minorHAnsi" w:cstheme="minorHAnsi"/>
                <w:color w:val="000000" w:themeColor="text1"/>
              </w:rPr>
              <w:t>wykorzyst</w:t>
            </w:r>
            <w:r w:rsidR="00BD0CCF">
              <w:rPr>
                <w:rFonts w:asciiTheme="minorHAnsi" w:eastAsia="Arial" w:hAnsiTheme="minorHAnsi" w:cstheme="minorHAnsi"/>
                <w:color w:val="000000" w:themeColor="text1"/>
              </w:rPr>
              <w:t>ania potencjału lokalizacji, w jakiej znajduje się dany system ciepłowniczy</w:t>
            </w:r>
            <w:r w:rsidRPr="00834A1E">
              <w:rPr>
                <w:rFonts w:asciiTheme="minorHAnsi" w:eastAsia="Arial" w:hAnsiTheme="minorHAnsi" w:cstheme="minorHAnsi"/>
                <w:color w:val="000000" w:themeColor="text1"/>
              </w:rPr>
              <w:t xml:space="preserve">. Dokument stanowi także ważny punkt odniesienia dla kształtowania przyszłych instrumentów wsparcia finansowego oraz zmian legislacyjnych niezbędnych do skutecznej modernizacji sektora. </w:t>
            </w:r>
            <w:r w:rsidR="002C39C6">
              <w:rPr>
                <w:rFonts w:asciiTheme="minorHAnsi" w:eastAsia="Arial" w:hAnsiTheme="minorHAnsi" w:cstheme="minorHAnsi"/>
                <w:color w:val="000000" w:themeColor="text1"/>
              </w:rPr>
              <w:t>P</w:t>
            </w:r>
            <w:r w:rsidRPr="00834A1E">
              <w:rPr>
                <w:rFonts w:asciiTheme="minorHAnsi" w:eastAsia="Arial" w:hAnsiTheme="minorHAnsi" w:cstheme="minorHAnsi"/>
                <w:color w:val="000000" w:themeColor="text1"/>
              </w:rPr>
              <w:t>rojekt Strategii należy</w:t>
            </w:r>
            <w:r w:rsidR="002C39C6">
              <w:rPr>
                <w:rFonts w:asciiTheme="minorHAnsi" w:eastAsia="Arial" w:hAnsiTheme="minorHAnsi" w:cstheme="minorHAnsi"/>
                <w:color w:val="000000" w:themeColor="text1"/>
              </w:rPr>
              <w:t xml:space="preserve"> więc</w:t>
            </w:r>
            <w:r w:rsidRPr="00834A1E">
              <w:rPr>
                <w:rFonts w:asciiTheme="minorHAnsi" w:eastAsia="Arial" w:hAnsiTheme="minorHAnsi" w:cstheme="minorHAnsi"/>
                <w:color w:val="000000" w:themeColor="text1"/>
              </w:rPr>
              <w:t xml:space="preserve"> ocenić pozytywnie jako dokument wyznaczający kierunki rozwoju ciepłownictwa systemowego w Polsce oraz tworzący podstawy do prowadzenia spójnej i długofalowej polityki państwa w tym obszarze.</w:t>
            </w:r>
            <w:r w:rsidR="00E51C2A">
              <w:rPr>
                <w:rFonts w:asciiTheme="minorHAnsi" w:eastAsia="Arial" w:hAnsiTheme="minorHAnsi" w:cstheme="minorHAnsi"/>
                <w:color w:val="000000" w:themeColor="text1"/>
              </w:rPr>
              <w:t xml:space="preserve"> </w:t>
            </w:r>
          </w:p>
        </w:tc>
        <w:tc>
          <w:tcPr>
            <w:tcW w:w="4111" w:type="dxa"/>
            <w:tcBorders>
              <w:top w:val="single" w:sz="4" w:space="0" w:color="auto"/>
              <w:left w:val="single" w:sz="4" w:space="0" w:color="auto"/>
              <w:bottom w:val="single" w:sz="4" w:space="0" w:color="auto"/>
              <w:right w:val="single" w:sz="4" w:space="0" w:color="auto"/>
            </w:tcBorders>
          </w:tcPr>
          <w:p w14:paraId="6E8E50B6" w14:textId="77777777" w:rsidR="00DB4488" w:rsidRPr="002C18A8" w:rsidRDefault="00DB4488" w:rsidP="07B6B689">
            <w:pPr>
              <w:rPr>
                <w:rFonts w:asciiTheme="minorHAnsi" w:eastAsia="Arial" w:hAnsiTheme="minorHAnsi" w:cstheme="minorHAnsi"/>
                <w:color w:val="000000" w:themeColor="text1"/>
              </w:rPr>
            </w:pPr>
          </w:p>
        </w:tc>
        <w:tc>
          <w:tcPr>
            <w:tcW w:w="1905" w:type="dxa"/>
            <w:tcBorders>
              <w:top w:val="single" w:sz="4" w:space="0" w:color="auto"/>
              <w:left w:val="single" w:sz="4" w:space="0" w:color="auto"/>
              <w:bottom w:val="single" w:sz="4" w:space="0" w:color="auto"/>
              <w:right w:val="single" w:sz="4" w:space="0" w:color="auto"/>
            </w:tcBorders>
          </w:tcPr>
          <w:p w14:paraId="64BB38B9" w14:textId="77777777" w:rsidR="00DB4488" w:rsidRPr="002C18A8" w:rsidRDefault="00DB4488" w:rsidP="00473696">
            <w:pPr>
              <w:spacing w:line="240" w:lineRule="auto"/>
              <w:jc w:val="left"/>
              <w:rPr>
                <w:rFonts w:asciiTheme="minorHAnsi" w:hAnsiTheme="minorHAnsi" w:cstheme="minorHAnsi"/>
              </w:rPr>
            </w:pPr>
          </w:p>
        </w:tc>
      </w:tr>
      <w:tr w:rsidR="004B4236" w:rsidRPr="002C18A8" w14:paraId="731DB589" w14:textId="7BF29B0A" w:rsidTr="00B321B4">
        <w:tc>
          <w:tcPr>
            <w:tcW w:w="704" w:type="dxa"/>
            <w:tcBorders>
              <w:top w:val="single" w:sz="4" w:space="0" w:color="auto"/>
              <w:left w:val="single" w:sz="4" w:space="0" w:color="auto"/>
              <w:bottom w:val="single" w:sz="4" w:space="0" w:color="auto"/>
              <w:right w:val="single" w:sz="4" w:space="0" w:color="auto"/>
            </w:tcBorders>
          </w:tcPr>
          <w:p w14:paraId="2CB0ADDA" w14:textId="72FF13AE" w:rsidR="004B4236" w:rsidRPr="00EE2CA1" w:rsidRDefault="004B4236"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54354A93" w14:textId="60C9DA0C" w:rsidR="07B6B689" w:rsidRPr="002C18A8" w:rsidRDefault="002C39C6"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hideMark/>
          </w:tcPr>
          <w:p w14:paraId="5163C0B7" w14:textId="51C4367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Uwaga ogólna</w:t>
            </w:r>
          </w:p>
        </w:tc>
        <w:tc>
          <w:tcPr>
            <w:tcW w:w="4337" w:type="dxa"/>
            <w:tcBorders>
              <w:top w:val="single" w:sz="4" w:space="0" w:color="auto"/>
              <w:left w:val="single" w:sz="4" w:space="0" w:color="auto"/>
              <w:bottom w:val="single" w:sz="4" w:space="0" w:color="auto"/>
              <w:right w:val="single" w:sz="4" w:space="0" w:color="auto"/>
            </w:tcBorders>
          </w:tcPr>
          <w:p w14:paraId="67CB7CE5" w14:textId="7A0ACB5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Projekt Strategii odnosi się do podstawowych założeń prognostycznych </w:t>
            </w:r>
            <w:proofErr w:type="spellStart"/>
            <w:r w:rsidRPr="002C18A8">
              <w:rPr>
                <w:rFonts w:asciiTheme="minorHAnsi" w:eastAsia="Arial" w:hAnsiTheme="minorHAnsi" w:cstheme="minorHAnsi"/>
                <w:color w:val="000000" w:themeColor="text1"/>
              </w:rPr>
              <w:t>KPEiK</w:t>
            </w:r>
            <w:proofErr w:type="spellEnd"/>
            <w:r w:rsidRPr="002C18A8">
              <w:rPr>
                <w:rFonts w:asciiTheme="minorHAnsi" w:eastAsia="Arial" w:hAnsiTheme="minorHAnsi" w:cstheme="minorHAnsi"/>
                <w:color w:val="000000" w:themeColor="text1"/>
              </w:rPr>
              <w:t xml:space="preserve"> dla ciepłownictwa, jednak nie wskazano wprost, że dotyczy to również zakładanego </w:t>
            </w:r>
            <w:proofErr w:type="spellStart"/>
            <w:r w:rsidRPr="002C18A8">
              <w:rPr>
                <w:rFonts w:asciiTheme="minorHAnsi" w:eastAsia="Arial" w:hAnsiTheme="minorHAnsi" w:cstheme="minorHAnsi"/>
                <w:color w:val="000000" w:themeColor="text1"/>
              </w:rPr>
              <w:t>miksu</w:t>
            </w:r>
            <w:proofErr w:type="spellEnd"/>
            <w:r w:rsidRPr="002C18A8">
              <w:rPr>
                <w:rFonts w:asciiTheme="minorHAnsi" w:eastAsia="Arial" w:hAnsiTheme="minorHAnsi" w:cstheme="minorHAnsi"/>
                <w:color w:val="000000" w:themeColor="text1"/>
              </w:rPr>
              <w:t xml:space="preserve"> paliwowego w obu scenariuszach </w:t>
            </w:r>
            <w:proofErr w:type="spellStart"/>
            <w:r w:rsidRPr="002C18A8">
              <w:rPr>
                <w:rFonts w:asciiTheme="minorHAnsi" w:eastAsia="Arial" w:hAnsiTheme="minorHAnsi" w:cstheme="minorHAnsi"/>
                <w:color w:val="000000" w:themeColor="text1"/>
              </w:rPr>
              <w:t>KPEiK</w:t>
            </w:r>
            <w:proofErr w:type="spellEnd"/>
            <w:r w:rsidRPr="002C18A8">
              <w:rPr>
                <w:rFonts w:asciiTheme="minorHAnsi" w:eastAsia="Arial" w:hAnsiTheme="minorHAnsi" w:cstheme="minorHAnsi"/>
                <w:color w:val="000000" w:themeColor="text1"/>
              </w:rPr>
              <w:t xml:space="preserve"> do roku 2040. Prośba o doprecyzowanie. Jest to istotne w kontekście m.in. precyzyjnego określenia roli biomasy w transformacji ciepłownictwa.</w:t>
            </w:r>
          </w:p>
        </w:tc>
        <w:tc>
          <w:tcPr>
            <w:tcW w:w="4111" w:type="dxa"/>
            <w:tcBorders>
              <w:top w:val="single" w:sz="4" w:space="0" w:color="auto"/>
              <w:left w:val="single" w:sz="4" w:space="0" w:color="auto"/>
              <w:bottom w:val="single" w:sz="4" w:space="0" w:color="auto"/>
              <w:right w:val="single" w:sz="4" w:space="0" w:color="auto"/>
            </w:tcBorders>
          </w:tcPr>
          <w:p w14:paraId="2072CE31" w14:textId="755AC40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 </w:t>
            </w:r>
          </w:p>
        </w:tc>
        <w:tc>
          <w:tcPr>
            <w:tcW w:w="1905" w:type="dxa"/>
            <w:tcBorders>
              <w:top w:val="single" w:sz="4" w:space="0" w:color="auto"/>
              <w:left w:val="single" w:sz="4" w:space="0" w:color="auto"/>
              <w:bottom w:val="single" w:sz="4" w:space="0" w:color="auto"/>
              <w:right w:val="single" w:sz="4" w:space="0" w:color="auto"/>
            </w:tcBorders>
          </w:tcPr>
          <w:p w14:paraId="2532D91A" w14:textId="26FA9669" w:rsidR="004B4236" w:rsidRPr="002C18A8" w:rsidRDefault="004B4236" w:rsidP="00473696">
            <w:pPr>
              <w:spacing w:line="240" w:lineRule="auto"/>
              <w:jc w:val="left"/>
              <w:rPr>
                <w:rFonts w:asciiTheme="minorHAnsi" w:hAnsiTheme="minorHAnsi" w:cstheme="minorHAnsi"/>
              </w:rPr>
            </w:pPr>
          </w:p>
        </w:tc>
      </w:tr>
      <w:tr w:rsidR="00550026" w:rsidRPr="002C18A8" w14:paraId="6A83FFA4" w14:textId="77777777" w:rsidTr="0096780A">
        <w:tc>
          <w:tcPr>
            <w:tcW w:w="704" w:type="dxa"/>
            <w:tcBorders>
              <w:top w:val="single" w:sz="4" w:space="0" w:color="auto"/>
              <w:left w:val="single" w:sz="4" w:space="0" w:color="auto"/>
              <w:bottom w:val="single" w:sz="4" w:space="0" w:color="auto"/>
              <w:right w:val="single" w:sz="4" w:space="0" w:color="auto"/>
            </w:tcBorders>
          </w:tcPr>
          <w:p w14:paraId="766930FB" w14:textId="77777777" w:rsidR="00550026" w:rsidRPr="00EE2CA1" w:rsidRDefault="00550026"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3C88F4CF" w14:textId="6A80A9BE" w:rsidR="00550026" w:rsidRDefault="0096780A" w:rsidP="0096780A">
            <w:pPr>
              <w:pStyle w:val="Normalny1"/>
              <w:rPr>
                <w:rFonts w:asciiTheme="minorHAnsi" w:eastAsia="Arial" w:hAnsiTheme="minorHAnsi" w:cstheme="minorHAnsi"/>
                <w:color w:val="000000" w:themeColor="text1"/>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6D248B21" w14:textId="4D19AF12" w:rsidR="00550026" w:rsidRPr="002C18A8" w:rsidRDefault="00550026" w:rsidP="00550026">
            <w:pPr>
              <w:rPr>
                <w:rFonts w:asciiTheme="minorHAnsi" w:eastAsia="Arial" w:hAnsiTheme="minorHAnsi" w:cstheme="minorHAnsi"/>
                <w:color w:val="000000" w:themeColor="text1"/>
              </w:rPr>
            </w:pPr>
            <w:r w:rsidRPr="002C18A8">
              <w:rPr>
                <w:rFonts w:asciiTheme="minorHAnsi" w:eastAsia="Arial" w:hAnsiTheme="minorHAnsi" w:cstheme="minorHAnsi"/>
              </w:rPr>
              <w:t>Uwaga ogólna</w:t>
            </w:r>
          </w:p>
        </w:tc>
        <w:tc>
          <w:tcPr>
            <w:tcW w:w="4337" w:type="dxa"/>
            <w:tcBorders>
              <w:top w:val="single" w:sz="4" w:space="0" w:color="auto"/>
              <w:left w:val="single" w:sz="4" w:space="0" w:color="auto"/>
              <w:bottom w:val="single" w:sz="4" w:space="0" w:color="auto"/>
              <w:right w:val="single" w:sz="4" w:space="0" w:color="auto"/>
            </w:tcBorders>
          </w:tcPr>
          <w:p w14:paraId="2DFA5A57" w14:textId="6D5E267E" w:rsidR="00550026" w:rsidRPr="002C18A8" w:rsidRDefault="00550026" w:rsidP="00550026">
            <w:pPr>
              <w:rPr>
                <w:rFonts w:asciiTheme="minorHAnsi" w:eastAsia="Arial" w:hAnsiTheme="minorHAnsi" w:cstheme="minorHAnsi"/>
                <w:color w:val="000000" w:themeColor="text1"/>
              </w:rPr>
            </w:pPr>
            <w:r w:rsidRPr="002C18A8">
              <w:rPr>
                <w:rFonts w:asciiTheme="minorHAnsi" w:eastAsia="Arial" w:hAnsiTheme="minorHAnsi" w:cstheme="minorHAnsi"/>
              </w:rPr>
              <w:t xml:space="preserve">Przedstawiony projekt strategii transformacji ciepłownictwa do 2040 roku skupia się na transformacji sektora ciepłownictwa systemowego, natomiast powinien obejmować cały sektor ciepłowniczy, czyli głownie ciepłownictwo indywidualne i ciepłownictwo systemowe. Bez spójnego planu dla całego </w:t>
            </w:r>
            <w:r w:rsidRPr="002C18A8">
              <w:rPr>
                <w:rFonts w:asciiTheme="minorHAnsi" w:eastAsia="Arial" w:hAnsiTheme="minorHAnsi" w:cstheme="minorHAnsi"/>
              </w:rPr>
              <w:lastRenderedPageBreak/>
              <w:t xml:space="preserve">sektora (w tym budynków jednorodzinnych) transformacja energetyczna będzie nieefektywna. Oba obszary wzajemnie na siebie wpływają i muszą ze sobą współgrać Biorąc pod uwagę spójność zapisu w </w:t>
            </w:r>
            <w:proofErr w:type="spellStart"/>
            <w:r w:rsidRPr="002C18A8">
              <w:rPr>
                <w:rFonts w:asciiTheme="minorHAnsi" w:eastAsia="Arial" w:hAnsiTheme="minorHAnsi" w:cstheme="minorHAnsi"/>
              </w:rPr>
              <w:t>KPEiK</w:t>
            </w:r>
            <w:proofErr w:type="spellEnd"/>
            <w:r w:rsidRPr="002C18A8">
              <w:rPr>
                <w:rFonts w:asciiTheme="minorHAnsi" w:eastAsia="Arial" w:hAnsiTheme="minorHAnsi" w:cstheme="minorHAnsi"/>
              </w:rPr>
              <w:t xml:space="preserve">, którego jednym z celów jest cyt. </w:t>
            </w:r>
            <w:proofErr w:type="gramStart"/>
            <w:r w:rsidRPr="002C18A8">
              <w:rPr>
                <w:rFonts w:asciiTheme="minorHAnsi" w:eastAsia="Arial" w:hAnsiTheme="minorHAnsi" w:cstheme="minorHAnsi"/>
              </w:rPr>
              <w:t>„..</w:t>
            </w:r>
            <w:proofErr w:type="gramEnd"/>
            <w:r w:rsidRPr="002C18A8">
              <w:rPr>
                <w:rFonts w:asciiTheme="minorHAnsi" w:eastAsia="Arial" w:hAnsiTheme="minorHAnsi" w:cstheme="minorHAnsi"/>
              </w:rPr>
              <w:t xml:space="preserve">zapewnienie, aby do około 2040 r. wszystkie potrzeby cieplne w gospodarce były pokrywane przez ciepło systemowe oraz nisko- i zeroemisyjne źródła indywidualne”. Istnieje potrzeba szerszego opisania transformacji sektora ciepłownictwa indywidualnego, ze wskazaniem </w:t>
            </w:r>
            <w:proofErr w:type="spellStart"/>
            <w:r w:rsidRPr="002C18A8">
              <w:rPr>
                <w:rFonts w:asciiTheme="minorHAnsi" w:eastAsia="Arial" w:hAnsiTheme="minorHAnsi" w:cstheme="minorHAnsi"/>
              </w:rPr>
              <w:t>priorytetyzacji</w:t>
            </w:r>
            <w:proofErr w:type="spellEnd"/>
            <w:r w:rsidRPr="002C18A8">
              <w:rPr>
                <w:rFonts w:asciiTheme="minorHAnsi" w:eastAsia="Arial" w:hAnsiTheme="minorHAnsi" w:cstheme="minorHAnsi"/>
              </w:rPr>
              <w:t xml:space="preserve"> sektora ciepłownictwa systemowego. Należy przy tym podkreślić, iż programy wsparcia np. takie jak Czyste Powietrze czy lokalne dotacje muszą być spójne z długoterminowymi planami rozwoju całego sektora ciepłownictwa, aby uniknąć błędnych decyzji inwestycyjnych (np. tzw. zjawiska „kanibalizmu środków publicznych”).</w:t>
            </w:r>
          </w:p>
        </w:tc>
        <w:tc>
          <w:tcPr>
            <w:tcW w:w="4111" w:type="dxa"/>
            <w:tcBorders>
              <w:top w:val="single" w:sz="4" w:space="0" w:color="auto"/>
              <w:left w:val="single" w:sz="4" w:space="0" w:color="auto"/>
              <w:bottom w:val="single" w:sz="4" w:space="0" w:color="auto"/>
              <w:right w:val="single" w:sz="4" w:space="0" w:color="auto"/>
            </w:tcBorders>
          </w:tcPr>
          <w:p w14:paraId="78687E10" w14:textId="77777777" w:rsidR="00550026" w:rsidRPr="002C18A8" w:rsidRDefault="00550026" w:rsidP="00550026">
            <w:pPr>
              <w:rPr>
                <w:rFonts w:asciiTheme="minorHAnsi" w:eastAsia="Arial" w:hAnsiTheme="minorHAnsi" w:cstheme="minorHAnsi"/>
                <w:color w:val="000000" w:themeColor="text1"/>
              </w:rPr>
            </w:pPr>
          </w:p>
        </w:tc>
        <w:tc>
          <w:tcPr>
            <w:tcW w:w="1905" w:type="dxa"/>
            <w:tcBorders>
              <w:top w:val="single" w:sz="4" w:space="0" w:color="auto"/>
              <w:left w:val="single" w:sz="4" w:space="0" w:color="auto"/>
              <w:bottom w:val="single" w:sz="4" w:space="0" w:color="auto"/>
              <w:right w:val="single" w:sz="4" w:space="0" w:color="auto"/>
            </w:tcBorders>
          </w:tcPr>
          <w:p w14:paraId="5BB9306F" w14:textId="77777777" w:rsidR="00550026" w:rsidRPr="002C18A8" w:rsidRDefault="00550026" w:rsidP="00550026">
            <w:pPr>
              <w:spacing w:line="240" w:lineRule="auto"/>
              <w:jc w:val="left"/>
              <w:rPr>
                <w:rFonts w:asciiTheme="minorHAnsi" w:hAnsiTheme="minorHAnsi" w:cstheme="minorHAnsi"/>
              </w:rPr>
            </w:pPr>
          </w:p>
        </w:tc>
      </w:tr>
      <w:tr w:rsidR="00550026" w:rsidRPr="002C18A8" w14:paraId="5148C585" w14:textId="77777777" w:rsidTr="0096780A">
        <w:tc>
          <w:tcPr>
            <w:tcW w:w="704" w:type="dxa"/>
            <w:tcBorders>
              <w:top w:val="single" w:sz="4" w:space="0" w:color="auto"/>
              <w:left w:val="single" w:sz="4" w:space="0" w:color="auto"/>
              <w:bottom w:val="single" w:sz="4" w:space="0" w:color="auto"/>
              <w:right w:val="single" w:sz="4" w:space="0" w:color="auto"/>
            </w:tcBorders>
          </w:tcPr>
          <w:p w14:paraId="45D86C9F" w14:textId="77777777" w:rsidR="00550026" w:rsidRPr="00EE2CA1" w:rsidRDefault="00550026"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1ACBD885" w14:textId="43BAE749" w:rsidR="00550026" w:rsidRDefault="0096780A" w:rsidP="0096780A">
            <w:pPr>
              <w:pStyle w:val="Normalny1"/>
              <w:rPr>
                <w:rFonts w:asciiTheme="minorHAnsi" w:eastAsia="Arial" w:hAnsiTheme="minorHAnsi" w:cstheme="minorHAnsi"/>
                <w:color w:val="000000" w:themeColor="text1"/>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193E281B" w14:textId="6C6618B8" w:rsidR="00550026" w:rsidRPr="002C18A8" w:rsidRDefault="00550026" w:rsidP="00550026">
            <w:pPr>
              <w:rPr>
                <w:rFonts w:asciiTheme="minorHAnsi" w:eastAsia="Arial" w:hAnsiTheme="minorHAnsi" w:cstheme="minorHAnsi"/>
                <w:color w:val="000000" w:themeColor="text1"/>
              </w:rPr>
            </w:pPr>
            <w:r w:rsidRPr="002C18A8">
              <w:rPr>
                <w:rFonts w:asciiTheme="minorHAnsi" w:eastAsia="Arial" w:hAnsiTheme="minorHAnsi" w:cstheme="minorHAnsi"/>
                <w:color w:val="000000" w:themeColor="text1"/>
              </w:rPr>
              <w:t>Uwaga ogólna</w:t>
            </w:r>
          </w:p>
        </w:tc>
        <w:tc>
          <w:tcPr>
            <w:tcW w:w="4337" w:type="dxa"/>
            <w:tcBorders>
              <w:top w:val="single" w:sz="4" w:space="0" w:color="auto"/>
              <w:left w:val="single" w:sz="4" w:space="0" w:color="auto"/>
              <w:bottom w:val="single" w:sz="4" w:space="0" w:color="auto"/>
              <w:right w:val="single" w:sz="4" w:space="0" w:color="auto"/>
            </w:tcBorders>
          </w:tcPr>
          <w:p w14:paraId="23CF43A1" w14:textId="77777777" w:rsidR="00550026" w:rsidRPr="002C18A8" w:rsidRDefault="00550026" w:rsidP="00550026">
            <w:pPr>
              <w:rPr>
                <w:rFonts w:asciiTheme="minorHAnsi" w:hAnsiTheme="minorHAnsi" w:cstheme="minorHAnsi"/>
              </w:rPr>
            </w:pPr>
            <w:r w:rsidRPr="002C18A8">
              <w:rPr>
                <w:rFonts w:asciiTheme="minorHAnsi" w:eastAsia="Arial" w:hAnsiTheme="minorHAnsi" w:cstheme="minorHAnsi"/>
                <w:color w:val="000000" w:themeColor="text1"/>
              </w:rPr>
              <w:t>Strategia słusznie identyfikuje ciepło odpadowe jako jeden z kluczowych elementów transformacji sektora ciepła. Dokument koncentruje się jednak przede wszystkim na wykorzystaniu ciepła odpadowego w systemach ciepłowniczych, podczas gdy znaczący potencjał istnieje również w zakresie jego bezpośredniego wykorzystania przez odbiorców przemysłowych.</w:t>
            </w:r>
          </w:p>
          <w:p w14:paraId="616249D5" w14:textId="77777777" w:rsidR="00550026" w:rsidRPr="002C18A8" w:rsidRDefault="00550026" w:rsidP="00550026">
            <w:pPr>
              <w:rPr>
                <w:rFonts w:asciiTheme="minorHAnsi" w:hAnsiTheme="minorHAnsi" w:cstheme="minorHAnsi"/>
              </w:rPr>
            </w:pPr>
            <w:r w:rsidRPr="002C18A8">
              <w:rPr>
                <w:rFonts w:asciiTheme="minorHAnsi" w:eastAsia="Arial" w:hAnsiTheme="minorHAnsi" w:cstheme="minorHAnsi"/>
                <w:color w:val="000000" w:themeColor="text1"/>
              </w:rPr>
              <w:t xml:space="preserve"> </w:t>
            </w:r>
          </w:p>
          <w:p w14:paraId="203C0EC3" w14:textId="75D64DEC" w:rsidR="00550026" w:rsidRPr="002C18A8" w:rsidRDefault="00550026" w:rsidP="00550026">
            <w:pPr>
              <w:rPr>
                <w:rFonts w:asciiTheme="minorHAnsi" w:hAnsiTheme="minorHAnsi" w:cstheme="minorHAnsi"/>
              </w:rPr>
            </w:pPr>
            <w:r w:rsidRPr="002C18A8">
              <w:rPr>
                <w:rFonts w:asciiTheme="minorHAnsi" w:eastAsia="Arial" w:hAnsiTheme="minorHAnsi" w:cstheme="minorHAnsi"/>
                <w:color w:val="000000" w:themeColor="text1"/>
              </w:rPr>
              <w:lastRenderedPageBreak/>
              <w:t>Proponujemy uzupełnienie Strategii o działania wspierające:</w:t>
            </w:r>
          </w:p>
          <w:p w14:paraId="3B0F1DF7" w14:textId="77777777" w:rsidR="00550026" w:rsidRPr="002C18A8" w:rsidRDefault="00550026" w:rsidP="00490DCB">
            <w:pPr>
              <w:pStyle w:val="Akapitzlist"/>
              <w:numPr>
                <w:ilvl w:val="0"/>
                <w:numId w:val="3"/>
              </w:numPr>
              <w:jc w:val="both"/>
              <w:rPr>
                <w:rFonts w:eastAsia="Arial" w:cstheme="minorHAnsi"/>
                <w:color w:val="000000" w:themeColor="text1"/>
              </w:rPr>
            </w:pPr>
            <w:r w:rsidRPr="002C18A8">
              <w:rPr>
                <w:rFonts w:eastAsia="Arial" w:cstheme="minorHAnsi"/>
                <w:color w:val="000000" w:themeColor="text1"/>
              </w:rPr>
              <w:t>wykorzystanie ciepła odpadowego bezpośrednio przez odbiorców przemysłowych,</w:t>
            </w:r>
          </w:p>
          <w:p w14:paraId="21C19107" w14:textId="77777777" w:rsidR="00490DCB" w:rsidRDefault="00550026" w:rsidP="00550026">
            <w:pPr>
              <w:pStyle w:val="Akapitzlist"/>
              <w:numPr>
                <w:ilvl w:val="0"/>
                <w:numId w:val="3"/>
              </w:numPr>
              <w:jc w:val="both"/>
              <w:rPr>
                <w:rFonts w:eastAsia="Arial" w:cstheme="minorHAnsi"/>
                <w:color w:val="000000" w:themeColor="text1"/>
              </w:rPr>
            </w:pPr>
            <w:r w:rsidRPr="002C18A8">
              <w:rPr>
                <w:rFonts w:eastAsia="Arial" w:cstheme="minorHAnsi"/>
                <w:color w:val="000000" w:themeColor="text1"/>
              </w:rPr>
              <w:t>realizację projektów wykorzystania ciepła odpadowego pomiędzy przedsiębiorstwami,</w:t>
            </w:r>
          </w:p>
          <w:p w14:paraId="009559B9" w14:textId="1DA6C433" w:rsidR="00550026" w:rsidRPr="00490DCB" w:rsidRDefault="00550026" w:rsidP="00550026">
            <w:pPr>
              <w:pStyle w:val="Akapitzlist"/>
              <w:numPr>
                <w:ilvl w:val="0"/>
                <w:numId w:val="3"/>
              </w:numPr>
              <w:jc w:val="both"/>
              <w:rPr>
                <w:rFonts w:eastAsia="Arial" w:cstheme="minorHAnsi"/>
                <w:color w:val="000000" w:themeColor="text1"/>
              </w:rPr>
            </w:pPr>
            <w:r w:rsidRPr="00490DCB">
              <w:rPr>
                <w:rFonts w:eastAsia="Arial" w:cstheme="minorHAnsi"/>
                <w:color w:val="000000" w:themeColor="text1"/>
              </w:rPr>
              <w:t>rozwój infrastruktury umożliwiającej zagospodarowanie ciepła odpadowego.</w:t>
            </w:r>
          </w:p>
        </w:tc>
        <w:tc>
          <w:tcPr>
            <w:tcW w:w="4111" w:type="dxa"/>
            <w:tcBorders>
              <w:top w:val="single" w:sz="4" w:space="0" w:color="auto"/>
              <w:left w:val="single" w:sz="4" w:space="0" w:color="auto"/>
              <w:bottom w:val="single" w:sz="4" w:space="0" w:color="auto"/>
              <w:right w:val="single" w:sz="4" w:space="0" w:color="auto"/>
            </w:tcBorders>
          </w:tcPr>
          <w:p w14:paraId="7C9FAD60" w14:textId="2D0A2A01" w:rsidR="00550026" w:rsidRPr="002C18A8" w:rsidRDefault="00550026" w:rsidP="00550026">
            <w:pPr>
              <w:rPr>
                <w:rFonts w:asciiTheme="minorHAnsi" w:eastAsia="Arial" w:hAnsiTheme="minorHAnsi" w:cstheme="minorHAnsi"/>
                <w:color w:val="000000" w:themeColor="text1"/>
              </w:rPr>
            </w:pPr>
            <w:r w:rsidRPr="002C18A8">
              <w:rPr>
                <w:rFonts w:asciiTheme="minorHAnsi" w:eastAsia="Arial" w:hAnsiTheme="minorHAnsi" w:cstheme="minorHAnsi"/>
                <w:color w:val="000000" w:themeColor="text1"/>
              </w:rPr>
              <w:lastRenderedPageBreak/>
              <w:t xml:space="preserve">Efektywne wykorzystanie ciepła odpadowego w przemyśle przyczynia się do ograniczenia zużycia paliw kopalnych, poprawy efektywności energetycznej oraz redukcji emisji gazów cieplarnianych. W wielu przypadkach bezpośrednie wykorzystanie ciepła odpadowego przez odbiorców przemysłowych może być bardziej efektywne energetycznie i </w:t>
            </w:r>
            <w:r w:rsidRPr="002C18A8">
              <w:rPr>
                <w:rFonts w:asciiTheme="minorHAnsi" w:eastAsia="Arial" w:hAnsiTheme="minorHAnsi" w:cstheme="minorHAnsi"/>
                <w:color w:val="000000" w:themeColor="text1"/>
              </w:rPr>
              <w:lastRenderedPageBreak/>
              <w:t>ekonomicznie niż jego wprowadzenie do systemu ciepłowniczego.</w:t>
            </w:r>
          </w:p>
        </w:tc>
        <w:tc>
          <w:tcPr>
            <w:tcW w:w="1905" w:type="dxa"/>
            <w:tcBorders>
              <w:top w:val="single" w:sz="4" w:space="0" w:color="auto"/>
              <w:left w:val="single" w:sz="4" w:space="0" w:color="auto"/>
              <w:bottom w:val="single" w:sz="4" w:space="0" w:color="auto"/>
              <w:right w:val="single" w:sz="4" w:space="0" w:color="auto"/>
            </w:tcBorders>
          </w:tcPr>
          <w:p w14:paraId="14CB2B4C" w14:textId="79FA38FC" w:rsidR="00550026" w:rsidRPr="002C18A8" w:rsidRDefault="00550026" w:rsidP="00550026">
            <w:pPr>
              <w:spacing w:line="240" w:lineRule="auto"/>
              <w:jc w:val="left"/>
              <w:rPr>
                <w:rFonts w:asciiTheme="minorHAnsi" w:hAnsiTheme="minorHAnsi" w:cstheme="minorHAnsi"/>
              </w:rPr>
            </w:pPr>
            <w:r w:rsidRPr="002C18A8">
              <w:rPr>
                <w:rFonts w:asciiTheme="minorHAnsi" w:eastAsia="Times New Roman" w:hAnsiTheme="minorHAnsi" w:cstheme="minorHAnsi"/>
              </w:rPr>
              <w:lastRenderedPageBreak/>
              <w:t xml:space="preserve"> </w:t>
            </w:r>
          </w:p>
        </w:tc>
      </w:tr>
      <w:tr w:rsidR="00471837" w:rsidRPr="002C18A8" w14:paraId="2C25519E" w14:textId="77777777" w:rsidTr="0096780A">
        <w:tc>
          <w:tcPr>
            <w:tcW w:w="704" w:type="dxa"/>
            <w:tcBorders>
              <w:top w:val="single" w:sz="4" w:space="0" w:color="auto"/>
              <w:left w:val="single" w:sz="4" w:space="0" w:color="auto"/>
              <w:bottom w:val="single" w:sz="4" w:space="0" w:color="auto"/>
              <w:right w:val="single" w:sz="4" w:space="0" w:color="auto"/>
            </w:tcBorders>
          </w:tcPr>
          <w:p w14:paraId="2E19977F" w14:textId="77777777" w:rsidR="00471837" w:rsidRPr="00EE2CA1" w:rsidRDefault="00471837"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26D5B4A9" w14:textId="2465B6E4" w:rsidR="00471837" w:rsidRPr="002C18A8" w:rsidRDefault="0096780A" w:rsidP="0096780A">
            <w:pPr>
              <w:pStyle w:val="Normalny1"/>
              <w:rPr>
                <w:rFonts w:asciiTheme="minorHAnsi" w:eastAsia="Arial" w:hAnsiTheme="minorHAnsi" w:cstheme="minorHAnsi"/>
                <w:color w:val="000000" w:themeColor="text1"/>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6F8082D8" w14:textId="3139E655" w:rsidR="00471837" w:rsidRPr="002C18A8" w:rsidRDefault="00471837" w:rsidP="00471837">
            <w:pPr>
              <w:rPr>
                <w:rFonts w:asciiTheme="minorHAnsi" w:eastAsia="Arial" w:hAnsiTheme="minorHAnsi" w:cstheme="minorHAnsi"/>
                <w:color w:val="000000" w:themeColor="text1"/>
              </w:rPr>
            </w:pPr>
            <w:r w:rsidRPr="002C18A8">
              <w:rPr>
                <w:rFonts w:asciiTheme="minorHAnsi" w:eastAsia="Arial" w:hAnsiTheme="minorHAnsi" w:cstheme="minorHAnsi"/>
                <w:color w:val="000000" w:themeColor="text1"/>
              </w:rPr>
              <w:t>Uwaga ogólna</w:t>
            </w:r>
          </w:p>
        </w:tc>
        <w:tc>
          <w:tcPr>
            <w:tcW w:w="4337" w:type="dxa"/>
            <w:tcBorders>
              <w:top w:val="single" w:sz="4" w:space="0" w:color="auto"/>
              <w:left w:val="single" w:sz="4" w:space="0" w:color="auto"/>
              <w:bottom w:val="single" w:sz="4" w:space="0" w:color="auto"/>
              <w:right w:val="single" w:sz="4" w:space="0" w:color="auto"/>
            </w:tcBorders>
          </w:tcPr>
          <w:p w14:paraId="3028954D" w14:textId="154626F8" w:rsidR="00471837" w:rsidRPr="002C18A8" w:rsidRDefault="00471837" w:rsidP="00471837">
            <w:pPr>
              <w:rPr>
                <w:rFonts w:asciiTheme="minorHAnsi" w:eastAsia="Arial" w:hAnsiTheme="minorHAnsi" w:cstheme="minorHAnsi"/>
                <w:color w:val="000000" w:themeColor="text1"/>
              </w:rPr>
            </w:pPr>
            <w:r w:rsidRPr="002C18A8">
              <w:rPr>
                <w:rFonts w:asciiTheme="minorHAnsi" w:eastAsia="Arial" w:hAnsiTheme="minorHAnsi" w:cstheme="minorHAnsi"/>
                <w:color w:val="000000" w:themeColor="text1"/>
              </w:rPr>
              <w:t>W dokumentach odnoszących się do potencjalnych źródeł ciepła z instalacji termicznego przetwarzania odpadów, należy uwzględnić zarówno instalacje termicznego przekształcania odpadów komunalnych (ITPOK), jak i instalacje termicznego przekształcania odpadów niebezpiecznych (ITPON).</w:t>
            </w:r>
          </w:p>
        </w:tc>
        <w:tc>
          <w:tcPr>
            <w:tcW w:w="4111" w:type="dxa"/>
            <w:tcBorders>
              <w:top w:val="single" w:sz="4" w:space="0" w:color="auto"/>
              <w:left w:val="single" w:sz="4" w:space="0" w:color="auto"/>
              <w:bottom w:val="single" w:sz="4" w:space="0" w:color="auto"/>
              <w:right w:val="single" w:sz="4" w:space="0" w:color="auto"/>
            </w:tcBorders>
          </w:tcPr>
          <w:p w14:paraId="1FF47621" w14:textId="3F51B4A3" w:rsidR="00471837" w:rsidRPr="002C18A8" w:rsidRDefault="00471837" w:rsidP="00471837">
            <w:pPr>
              <w:rPr>
                <w:rFonts w:asciiTheme="minorHAnsi" w:eastAsia="Arial" w:hAnsiTheme="minorHAnsi" w:cstheme="minorHAnsi"/>
                <w:color w:val="000000" w:themeColor="text1"/>
              </w:rPr>
            </w:pPr>
            <w:r w:rsidRPr="002C18A8">
              <w:rPr>
                <w:rFonts w:asciiTheme="minorHAnsi" w:eastAsia="Arial" w:hAnsiTheme="minorHAnsi" w:cstheme="minorHAnsi"/>
                <w:color w:val="000000" w:themeColor="text1"/>
              </w:rPr>
              <w:t>Oba rodzaje instalacji generują znaczące ilości ciepła możliwego do wykorzystania na potrzeby systemów ciepłowniczych oraz odbiorców przemysłowych. Uwzględnienie wyłącznie ITPOK może prowadzić do pominięcia części dostępnego potencjału energetycznego.</w:t>
            </w:r>
          </w:p>
        </w:tc>
        <w:tc>
          <w:tcPr>
            <w:tcW w:w="1905" w:type="dxa"/>
            <w:tcBorders>
              <w:top w:val="single" w:sz="4" w:space="0" w:color="auto"/>
              <w:left w:val="single" w:sz="4" w:space="0" w:color="auto"/>
              <w:bottom w:val="single" w:sz="4" w:space="0" w:color="auto"/>
              <w:right w:val="single" w:sz="4" w:space="0" w:color="auto"/>
            </w:tcBorders>
          </w:tcPr>
          <w:p w14:paraId="00648A96" w14:textId="3C8BA210" w:rsidR="00471837" w:rsidRPr="002C18A8" w:rsidRDefault="00471837" w:rsidP="00471837">
            <w:pPr>
              <w:spacing w:line="240" w:lineRule="auto"/>
              <w:jc w:val="left"/>
              <w:rPr>
                <w:rFonts w:asciiTheme="minorHAnsi" w:eastAsia="Times New Roman" w:hAnsiTheme="minorHAnsi" w:cstheme="minorHAnsi"/>
              </w:rPr>
            </w:pPr>
            <w:r w:rsidRPr="002C18A8">
              <w:rPr>
                <w:rFonts w:asciiTheme="minorHAnsi" w:eastAsia="Times New Roman" w:hAnsiTheme="minorHAnsi" w:cstheme="minorHAnsi"/>
              </w:rPr>
              <w:t xml:space="preserve"> </w:t>
            </w:r>
          </w:p>
        </w:tc>
      </w:tr>
      <w:tr w:rsidR="00781BC9" w:rsidRPr="002C18A8" w14:paraId="52F91A08" w14:textId="77777777" w:rsidTr="00B321B4">
        <w:tc>
          <w:tcPr>
            <w:tcW w:w="704" w:type="dxa"/>
            <w:tcBorders>
              <w:top w:val="single" w:sz="4" w:space="0" w:color="auto"/>
              <w:left w:val="single" w:sz="4" w:space="0" w:color="auto"/>
              <w:bottom w:val="single" w:sz="4" w:space="0" w:color="auto"/>
              <w:right w:val="single" w:sz="4" w:space="0" w:color="auto"/>
            </w:tcBorders>
          </w:tcPr>
          <w:p w14:paraId="399D8ECA" w14:textId="55532D56" w:rsidR="00781BC9" w:rsidRPr="00EE2CA1" w:rsidRDefault="00781BC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0B04E03E" w14:textId="39B96068" w:rsidR="07B6B689" w:rsidRPr="002C18A8" w:rsidRDefault="00645FA3"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28B6744E" w14:textId="57EFE71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w:t>
            </w:r>
          </w:p>
          <w:p w14:paraId="3FF00895" w14:textId="68F8CAC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Cele strategiczne</w:t>
            </w:r>
          </w:p>
        </w:tc>
        <w:tc>
          <w:tcPr>
            <w:tcW w:w="4337" w:type="dxa"/>
            <w:tcBorders>
              <w:top w:val="single" w:sz="4" w:space="0" w:color="auto"/>
              <w:left w:val="single" w:sz="4" w:space="0" w:color="auto"/>
              <w:bottom w:val="single" w:sz="4" w:space="0" w:color="auto"/>
              <w:right w:val="single" w:sz="4" w:space="0" w:color="auto"/>
            </w:tcBorders>
          </w:tcPr>
          <w:p w14:paraId="003DA505" w14:textId="59F8C45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Propozycja uzupełnienia celów szczegółowych o Cel 8: Wykorzystanie lokalnych (krajowych) zasobów</w:t>
            </w:r>
          </w:p>
        </w:tc>
        <w:tc>
          <w:tcPr>
            <w:tcW w:w="4111" w:type="dxa"/>
            <w:tcBorders>
              <w:top w:val="single" w:sz="4" w:space="0" w:color="auto"/>
              <w:left w:val="single" w:sz="4" w:space="0" w:color="auto"/>
              <w:bottom w:val="single" w:sz="4" w:space="0" w:color="auto"/>
              <w:right w:val="single" w:sz="4" w:space="0" w:color="auto"/>
            </w:tcBorders>
          </w:tcPr>
          <w:p w14:paraId="2D3A1FD2" w14:textId="5C3F541B"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W obliczu kolejnego kryzysu geopolitycznego wpływającego na ograniczone dostawy surowców do UE należy podkreślić rolę zasobów krajowych, których nie potrzebujemy importować, aby wytworzyć energię. Zaliczamy do nich w sposób oczywisty źródła takie jak wiatr i słońce, ale </w:t>
            </w:r>
            <w:r w:rsidR="001B2066">
              <w:rPr>
                <w:rFonts w:asciiTheme="minorHAnsi" w:eastAsia="Arial" w:hAnsiTheme="minorHAnsi" w:cstheme="minorHAnsi"/>
                <w:color w:val="000000" w:themeColor="text1"/>
              </w:rPr>
              <w:t xml:space="preserve">także </w:t>
            </w:r>
            <w:r w:rsidRPr="002C18A8">
              <w:rPr>
                <w:rFonts w:asciiTheme="minorHAnsi" w:eastAsia="Arial" w:hAnsiTheme="minorHAnsi" w:cstheme="minorHAnsi"/>
                <w:color w:val="000000" w:themeColor="text1"/>
              </w:rPr>
              <w:t>biomas</w:t>
            </w:r>
            <w:r w:rsidR="001B2066">
              <w:rPr>
                <w:rFonts w:asciiTheme="minorHAnsi" w:eastAsia="Arial" w:hAnsiTheme="minorHAnsi" w:cstheme="minorHAnsi"/>
                <w:color w:val="000000" w:themeColor="text1"/>
              </w:rPr>
              <w:t>ę</w:t>
            </w:r>
            <w:r w:rsidRPr="002C18A8">
              <w:rPr>
                <w:rFonts w:asciiTheme="minorHAnsi" w:eastAsia="Arial" w:hAnsiTheme="minorHAnsi" w:cstheme="minorHAnsi"/>
                <w:color w:val="000000" w:themeColor="text1"/>
              </w:rPr>
              <w:t xml:space="preserve">, biogaz, </w:t>
            </w:r>
            <w:proofErr w:type="spellStart"/>
            <w:r w:rsidRPr="002C18A8">
              <w:rPr>
                <w:rFonts w:asciiTheme="minorHAnsi" w:eastAsia="Arial" w:hAnsiTheme="minorHAnsi" w:cstheme="minorHAnsi"/>
                <w:color w:val="000000" w:themeColor="text1"/>
              </w:rPr>
              <w:t>biometan</w:t>
            </w:r>
            <w:proofErr w:type="spellEnd"/>
            <w:r w:rsidRPr="002C18A8">
              <w:rPr>
                <w:rFonts w:asciiTheme="minorHAnsi" w:eastAsia="Arial" w:hAnsiTheme="minorHAnsi" w:cstheme="minorHAnsi"/>
                <w:color w:val="000000" w:themeColor="text1"/>
              </w:rPr>
              <w:t>, energi</w:t>
            </w:r>
            <w:r w:rsidR="001B2066">
              <w:rPr>
                <w:rFonts w:asciiTheme="minorHAnsi" w:eastAsia="Arial" w:hAnsiTheme="minorHAnsi" w:cstheme="minorHAnsi"/>
                <w:color w:val="000000" w:themeColor="text1"/>
              </w:rPr>
              <w:t>ę</w:t>
            </w:r>
            <w:r w:rsidRPr="002C18A8">
              <w:rPr>
                <w:rFonts w:asciiTheme="minorHAnsi" w:eastAsia="Arial" w:hAnsiTheme="minorHAnsi" w:cstheme="minorHAnsi"/>
                <w:color w:val="000000" w:themeColor="text1"/>
              </w:rPr>
              <w:t xml:space="preserve"> geotermaln</w:t>
            </w:r>
            <w:r w:rsidR="001B2066">
              <w:rPr>
                <w:rFonts w:asciiTheme="minorHAnsi" w:eastAsia="Arial" w:hAnsiTheme="minorHAnsi" w:cstheme="minorHAnsi"/>
                <w:color w:val="000000" w:themeColor="text1"/>
              </w:rPr>
              <w:t>ą</w:t>
            </w:r>
            <w:r w:rsidRPr="002C18A8">
              <w:rPr>
                <w:rFonts w:asciiTheme="minorHAnsi" w:eastAsia="Arial" w:hAnsiTheme="minorHAnsi" w:cstheme="minorHAnsi"/>
                <w:color w:val="000000" w:themeColor="text1"/>
              </w:rPr>
              <w:t xml:space="preserve"> i odpady</w:t>
            </w:r>
            <w:r w:rsidR="00AD3190" w:rsidRPr="002C18A8">
              <w:rPr>
                <w:rFonts w:asciiTheme="minorHAnsi" w:eastAsia="Arial" w:hAnsiTheme="minorHAnsi" w:cstheme="minorHAnsi"/>
                <w:color w:val="000000" w:themeColor="text1"/>
              </w:rPr>
              <w:t>.</w:t>
            </w:r>
            <w:r w:rsidRPr="002C18A8">
              <w:rPr>
                <w:rFonts w:asciiTheme="minorHAnsi" w:eastAsia="Arial" w:hAnsiTheme="minorHAnsi" w:cstheme="minorHAnsi"/>
                <w:color w:val="000000" w:themeColor="text1"/>
              </w:rPr>
              <w:t xml:space="preserve"> </w:t>
            </w:r>
            <w:r w:rsidR="00AD3190" w:rsidRPr="002C18A8">
              <w:rPr>
                <w:rFonts w:asciiTheme="minorHAnsi" w:eastAsia="Arial" w:hAnsiTheme="minorHAnsi" w:cstheme="minorHAnsi"/>
                <w:color w:val="000000" w:themeColor="text1"/>
              </w:rPr>
              <w:t>T</w:t>
            </w:r>
            <w:r w:rsidRPr="002C18A8">
              <w:rPr>
                <w:rFonts w:asciiTheme="minorHAnsi" w:eastAsia="Arial" w:hAnsiTheme="minorHAnsi" w:cstheme="minorHAnsi"/>
                <w:color w:val="000000" w:themeColor="text1"/>
              </w:rPr>
              <w:t xml:space="preserve">o niezwykle cenne zasoby, które z jednej strony pozwalają zredukować zapotrzebowanie na paliwa </w:t>
            </w:r>
            <w:r w:rsidRPr="002C18A8">
              <w:rPr>
                <w:rFonts w:asciiTheme="minorHAnsi" w:eastAsia="Arial" w:hAnsiTheme="minorHAnsi" w:cstheme="minorHAnsi"/>
                <w:color w:val="000000" w:themeColor="text1"/>
              </w:rPr>
              <w:lastRenderedPageBreak/>
              <w:t>węglowe w ciepłownictwie, a z drugiej strony sprzyjają budowaniu bezpieczeństwa energetycznego i niezależności energetycznej. Każdy z tych zasobów powinien być optymalnie wykorzystany w transformacji ciepłownictwa oraz wspierany przez programy finansowania i/lub zachęty regulacyjne.</w:t>
            </w:r>
          </w:p>
        </w:tc>
        <w:tc>
          <w:tcPr>
            <w:tcW w:w="1905" w:type="dxa"/>
            <w:tcBorders>
              <w:top w:val="single" w:sz="4" w:space="0" w:color="auto"/>
              <w:left w:val="single" w:sz="4" w:space="0" w:color="auto"/>
              <w:bottom w:val="single" w:sz="4" w:space="0" w:color="auto"/>
              <w:right w:val="single" w:sz="4" w:space="0" w:color="auto"/>
            </w:tcBorders>
          </w:tcPr>
          <w:p w14:paraId="77AA151E" w14:textId="77777777" w:rsidR="00781BC9" w:rsidRPr="002C18A8" w:rsidRDefault="00781BC9" w:rsidP="00473696">
            <w:pPr>
              <w:spacing w:line="240" w:lineRule="auto"/>
              <w:jc w:val="left"/>
              <w:rPr>
                <w:rFonts w:asciiTheme="minorHAnsi" w:hAnsiTheme="minorHAnsi" w:cstheme="minorHAnsi"/>
              </w:rPr>
            </w:pPr>
          </w:p>
        </w:tc>
      </w:tr>
      <w:tr w:rsidR="00781BC9" w:rsidRPr="002C18A8" w14:paraId="368FAB08" w14:textId="77777777" w:rsidTr="00B321B4">
        <w:tc>
          <w:tcPr>
            <w:tcW w:w="704" w:type="dxa"/>
            <w:tcBorders>
              <w:top w:val="single" w:sz="4" w:space="0" w:color="auto"/>
              <w:left w:val="single" w:sz="4" w:space="0" w:color="auto"/>
              <w:bottom w:val="single" w:sz="4" w:space="0" w:color="auto"/>
              <w:right w:val="single" w:sz="4" w:space="0" w:color="auto"/>
            </w:tcBorders>
          </w:tcPr>
          <w:p w14:paraId="7C8E5DEA" w14:textId="1E9F036D" w:rsidR="00781BC9" w:rsidRPr="00EE2CA1" w:rsidRDefault="00781BC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296D76A2" w14:textId="51E63EB8" w:rsidR="07B6B689" w:rsidRPr="002C18A8" w:rsidRDefault="00714690"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366B1A38" w14:textId="79D0457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6, akapit nad Rys. 1. Struktura paliw w ciepłownictwie systemowym w 2024 roku wg danych URE</w:t>
            </w:r>
          </w:p>
        </w:tc>
        <w:tc>
          <w:tcPr>
            <w:tcW w:w="4337" w:type="dxa"/>
            <w:tcBorders>
              <w:top w:val="single" w:sz="4" w:space="0" w:color="auto"/>
              <w:left w:val="single" w:sz="4" w:space="0" w:color="auto"/>
              <w:bottom w:val="single" w:sz="4" w:space="0" w:color="auto"/>
              <w:right w:val="single" w:sz="4" w:space="0" w:color="auto"/>
            </w:tcBorders>
          </w:tcPr>
          <w:p w14:paraId="0ABEDE21" w14:textId="08D24EC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Proponujemy, aby w poniższym fragmencie wskazany został procentowy udział biomasy pośród wszystkich innych źródeł OZE lub aby dane pojawiły się na rysunku kołowym. </w:t>
            </w:r>
          </w:p>
          <w:p w14:paraId="2777B075" w14:textId="4A66D795" w:rsidR="07B6B689" w:rsidRPr="002C18A8" w:rsidRDefault="07B6B689" w:rsidP="07B6B689">
            <w:pPr>
              <w:rPr>
                <w:rFonts w:asciiTheme="minorHAnsi" w:hAnsiTheme="minorHAnsi" w:cstheme="minorHAnsi"/>
              </w:rPr>
            </w:pPr>
            <w:r w:rsidRPr="002C18A8">
              <w:rPr>
                <w:rFonts w:asciiTheme="minorHAnsi" w:eastAsia="Arial" w:hAnsiTheme="minorHAnsi" w:cstheme="minorHAnsi"/>
                <w:i/>
                <w:iCs/>
                <w:color w:val="000000" w:themeColor="text1"/>
              </w:rPr>
              <w:t>Z uwagi na wzrost kosztów zakupu paliw kopalnych oraz w kontekście dynamicznie zmieniającej się polityki regulacyjnej UE, coraz istotniejszą rolę odgrywają w ciepłownictwie systemowym odnawialne źródła energii – obecnie głównie w postaci biomasy, co w przyszłości musi się zmienić z uwagi na jej ograniczony potencjał w Polsce.</w:t>
            </w:r>
          </w:p>
        </w:tc>
        <w:tc>
          <w:tcPr>
            <w:tcW w:w="4111" w:type="dxa"/>
            <w:tcBorders>
              <w:top w:val="single" w:sz="4" w:space="0" w:color="auto"/>
              <w:left w:val="single" w:sz="4" w:space="0" w:color="auto"/>
              <w:bottom w:val="single" w:sz="4" w:space="0" w:color="auto"/>
              <w:right w:val="single" w:sz="4" w:space="0" w:color="auto"/>
            </w:tcBorders>
          </w:tcPr>
          <w:p w14:paraId="5AFF94B7" w14:textId="20807F0A"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Biomasa w sektorze ciepłowniczym ma szczególne znaczenie ze względu na to, że stanowi aż ok. 97% produkowanego ciepła z OZE. Co więcej</w:t>
            </w:r>
            <w:r w:rsidR="002C18A8" w:rsidRPr="002C18A8">
              <w:rPr>
                <w:rFonts w:asciiTheme="minorHAnsi" w:eastAsia="Arial" w:hAnsiTheme="minorHAnsi" w:cstheme="minorHAnsi"/>
                <w:color w:val="000000" w:themeColor="text1"/>
              </w:rPr>
              <w:t>,</w:t>
            </w:r>
            <w:r w:rsidRPr="002C18A8">
              <w:rPr>
                <w:rFonts w:asciiTheme="minorHAnsi" w:eastAsia="Arial" w:hAnsiTheme="minorHAnsi" w:cstheme="minorHAnsi"/>
                <w:color w:val="000000" w:themeColor="text1"/>
              </w:rPr>
              <w:t xml:space="preserve"> prognozy produkcji ciepła z biomasy w ciepłownictwie systemowym zawarte w </w:t>
            </w:r>
            <w:proofErr w:type="spellStart"/>
            <w:r w:rsidRPr="002C18A8">
              <w:rPr>
                <w:rFonts w:asciiTheme="minorHAnsi" w:eastAsia="Arial" w:hAnsiTheme="minorHAnsi" w:cstheme="minorHAnsi"/>
                <w:color w:val="000000" w:themeColor="text1"/>
              </w:rPr>
              <w:t>KPEiK</w:t>
            </w:r>
            <w:proofErr w:type="spellEnd"/>
            <w:r w:rsidRPr="002C18A8">
              <w:rPr>
                <w:rFonts w:asciiTheme="minorHAnsi" w:eastAsia="Arial" w:hAnsiTheme="minorHAnsi" w:cstheme="minorHAnsi"/>
                <w:color w:val="000000" w:themeColor="text1"/>
              </w:rPr>
              <w:t xml:space="preserve"> podkreślają, że wolumen ciepła produkowanego z biomasy będzie się zwiększał. </w:t>
            </w:r>
            <w:r w:rsidRPr="002C18A8">
              <w:rPr>
                <w:rFonts w:asciiTheme="minorHAnsi" w:eastAsia="Arial" w:hAnsiTheme="minorHAnsi" w:cstheme="minorHAnsi"/>
              </w:rPr>
              <w:t xml:space="preserve">Sam udział biomasy w </w:t>
            </w:r>
            <w:proofErr w:type="spellStart"/>
            <w:r w:rsidRPr="002C18A8">
              <w:rPr>
                <w:rFonts w:asciiTheme="minorHAnsi" w:eastAsia="Arial" w:hAnsiTheme="minorHAnsi" w:cstheme="minorHAnsi"/>
              </w:rPr>
              <w:t>miksie</w:t>
            </w:r>
            <w:proofErr w:type="spellEnd"/>
            <w:r w:rsidRPr="002C18A8">
              <w:rPr>
                <w:rFonts w:asciiTheme="minorHAnsi" w:eastAsia="Arial" w:hAnsiTheme="minorHAnsi" w:cstheme="minorHAnsi"/>
              </w:rPr>
              <w:t xml:space="preserve"> paliwowym będzie spadał, </w:t>
            </w:r>
            <w:r w:rsidRPr="002C18A8">
              <w:rPr>
                <w:rFonts w:asciiTheme="minorHAnsi" w:eastAsia="Arial" w:hAnsiTheme="minorHAnsi" w:cstheme="minorHAnsi"/>
                <w:color w:val="000000" w:themeColor="text1"/>
              </w:rPr>
              <w:t>ale będzie to zasługa wejścia na rynek nowych układów technologicznych m.in. Power-to-</w:t>
            </w:r>
            <w:proofErr w:type="spellStart"/>
            <w:r w:rsidRPr="002C18A8">
              <w:rPr>
                <w:rFonts w:asciiTheme="minorHAnsi" w:eastAsia="Arial" w:hAnsiTheme="minorHAnsi" w:cstheme="minorHAnsi"/>
                <w:color w:val="000000" w:themeColor="text1"/>
              </w:rPr>
              <w:t>Heat</w:t>
            </w:r>
            <w:proofErr w:type="spellEnd"/>
            <w:r w:rsidRPr="002C18A8">
              <w:rPr>
                <w:rFonts w:asciiTheme="minorHAnsi" w:eastAsia="Arial" w:hAnsiTheme="minorHAnsi" w:cstheme="minorHAnsi"/>
                <w:color w:val="000000" w:themeColor="text1"/>
              </w:rPr>
              <w:t xml:space="preserve">. </w:t>
            </w:r>
          </w:p>
        </w:tc>
        <w:tc>
          <w:tcPr>
            <w:tcW w:w="1905" w:type="dxa"/>
            <w:tcBorders>
              <w:top w:val="single" w:sz="4" w:space="0" w:color="auto"/>
              <w:left w:val="single" w:sz="4" w:space="0" w:color="auto"/>
              <w:bottom w:val="single" w:sz="4" w:space="0" w:color="auto"/>
              <w:right w:val="single" w:sz="4" w:space="0" w:color="auto"/>
            </w:tcBorders>
          </w:tcPr>
          <w:p w14:paraId="15BE09EE" w14:textId="77777777" w:rsidR="00781BC9" w:rsidRPr="002C18A8" w:rsidRDefault="00781BC9" w:rsidP="00473696">
            <w:pPr>
              <w:spacing w:line="240" w:lineRule="auto"/>
              <w:jc w:val="left"/>
              <w:rPr>
                <w:rFonts w:asciiTheme="minorHAnsi" w:hAnsiTheme="minorHAnsi" w:cstheme="minorHAnsi"/>
              </w:rPr>
            </w:pPr>
          </w:p>
        </w:tc>
      </w:tr>
      <w:tr w:rsidR="00781BC9" w:rsidRPr="002C18A8" w14:paraId="1791423A" w14:textId="77777777" w:rsidTr="00B321B4">
        <w:tc>
          <w:tcPr>
            <w:tcW w:w="704" w:type="dxa"/>
            <w:tcBorders>
              <w:top w:val="single" w:sz="4" w:space="0" w:color="auto"/>
              <w:left w:val="single" w:sz="4" w:space="0" w:color="auto"/>
              <w:bottom w:val="single" w:sz="4" w:space="0" w:color="auto"/>
              <w:right w:val="single" w:sz="4" w:space="0" w:color="auto"/>
            </w:tcBorders>
          </w:tcPr>
          <w:p w14:paraId="793347B5" w14:textId="3C979795" w:rsidR="00781BC9" w:rsidRPr="00EE2CA1" w:rsidRDefault="00781BC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38AF5FFE" w14:textId="6AE5998B" w:rsidR="07B6B689" w:rsidRPr="002C18A8" w:rsidRDefault="00FF1B99"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1B7445BD" w14:textId="040361B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14</w:t>
            </w:r>
          </w:p>
        </w:tc>
        <w:tc>
          <w:tcPr>
            <w:tcW w:w="4337" w:type="dxa"/>
            <w:tcBorders>
              <w:top w:val="single" w:sz="4" w:space="0" w:color="auto"/>
              <w:left w:val="single" w:sz="4" w:space="0" w:color="auto"/>
              <w:bottom w:val="single" w:sz="4" w:space="0" w:color="auto"/>
              <w:right w:val="single" w:sz="4" w:space="0" w:color="auto"/>
            </w:tcBorders>
          </w:tcPr>
          <w:p w14:paraId="0A5611BE" w14:textId="6FCBD03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Postulujemy, aby nie posługiwać się określeniem biomasy jako “paliwa przejściowego” dla ciepłownictwa, tylko wskazać zgodnie z </w:t>
            </w:r>
            <w:proofErr w:type="spellStart"/>
            <w:r w:rsidRPr="002C18A8">
              <w:rPr>
                <w:rFonts w:asciiTheme="minorHAnsi" w:eastAsia="Arial" w:hAnsiTheme="minorHAnsi" w:cstheme="minorHAnsi"/>
                <w:color w:val="000000" w:themeColor="text1"/>
              </w:rPr>
              <w:t>KPEiK</w:t>
            </w:r>
            <w:proofErr w:type="spellEnd"/>
            <w:r w:rsidRPr="002C18A8">
              <w:rPr>
                <w:rFonts w:asciiTheme="minorHAnsi" w:eastAsia="Arial" w:hAnsiTheme="minorHAnsi" w:cstheme="minorHAnsi"/>
                <w:color w:val="000000" w:themeColor="text1"/>
              </w:rPr>
              <w:t>, że w perspektywie do 2040 r. biomasa pozostanie najważniejszym OZE dla sektora.</w:t>
            </w:r>
          </w:p>
        </w:tc>
        <w:tc>
          <w:tcPr>
            <w:tcW w:w="4111" w:type="dxa"/>
            <w:tcBorders>
              <w:top w:val="single" w:sz="4" w:space="0" w:color="auto"/>
              <w:left w:val="single" w:sz="4" w:space="0" w:color="auto"/>
              <w:bottom w:val="single" w:sz="4" w:space="0" w:color="auto"/>
              <w:right w:val="single" w:sz="4" w:space="0" w:color="auto"/>
            </w:tcBorders>
          </w:tcPr>
          <w:p w14:paraId="7B114D0F" w14:textId="17DC2FED"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Paliwem przejściowym co do zasady określa się paliwo, które będzie wykorzystywane w transformacji tylko przez określony czas, ale nie będzie paliwem docelowym. O ile zatem jest to określenie </w:t>
            </w:r>
            <w:r w:rsidR="00986964">
              <w:rPr>
                <w:rFonts w:asciiTheme="minorHAnsi" w:eastAsia="Arial" w:hAnsiTheme="minorHAnsi" w:cstheme="minorHAnsi"/>
                <w:color w:val="000000" w:themeColor="text1"/>
              </w:rPr>
              <w:t>trafne</w:t>
            </w:r>
            <w:r w:rsidRPr="002C18A8">
              <w:rPr>
                <w:rFonts w:asciiTheme="minorHAnsi" w:eastAsia="Arial" w:hAnsiTheme="minorHAnsi" w:cstheme="minorHAnsi"/>
                <w:color w:val="000000" w:themeColor="text1"/>
              </w:rPr>
              <w:t xml:space="preserve"> w przypadku gazu ziemnego, którego rola zgodnie z regulacjami UE ma stopniowo maleć, o tyle jest </w:t>
            </w:r>
            <w:r w:rsidR="00837E59">
              <w:rPr>
                <w:rFonts w:asciiTheme="minorHAnsi" w:eastAsia="Arial" w:hAnsiTheme="minorHAnsi" w:cstheme="minorHAnsi"/>
                <w:color w:val="000000" w:themeColor="text1"/>
              </w:rPr>
              <w:t>nieadek</w:t>
            </w:r>
            <w:r w:rsidR="0053640C">
              <w:rPr>
                <w:rFonts w:asciiTheme="minorHAnsi" w:eastAsia="Arial" w:hAnsiTheme="minorHAnsi" w:cstheme="minorHAnsi"/>
                <w:color w:val="000000" w:themeColor="text1"/>
              </w:rPr>
              <w:t>watne</w:t>
            </w:r>
            <w:r w:rsidRPr="002C18A8">
              <w:rPr>
                <w:rFonts w:asciiTheme="minorHAnsi" w:eastAsia="Arial" w:hAnsiTheme="minorHAnsi" w:cstheme="minorHAnsi"/>
                <w:color w:val="000000" w:themeColor="text1"/>
              </w:rPr>
              <w:t xml:space="preserve"> w przypadku biomasy. Biomasa spełniająca KZR to paliwo odnawialne, którego rola w procesie </w:t>
            </w:r>
            <w:r w:rsidRPr="002C18A8">
              <w:rPr>
                <w:rFonts w:asciiTheme="minorHAnsi" w:eastAsia="Arial" w:hAnsiTheme="minorHAnsi" w:cstheme="minorHAnsi"/>
                <w:color w:val="000000" w:themeColor="text1"/>
              </w:rPr>
              <w:lastRenderedPageBreak/>
              <w:t xml:space="preserve">transformacji polskiego ciepłownictwa będzie stopniowo rosnąć i utrzyma się na wysokim poziomie do 2040 roku. Pokazują to także prognozy </w:t>
            </w:r>
            <w:proofErr w:type="spellStart"/>
            <w:r w:rsidRPr="002C18A8">
              <w:rPr>
                <w:rFonts w:asciiTheme="minorHAnsi" w:eastAsia="Arial" w:hAnsiTheme="minorHAnsi" w:cstheme="minorHAnsi"/>
                <w:color w:val="000000" w:themeColor="text1"/>
              </w:rPr>
              <w:t>KPEiK</w:t>
            </w:r>
            <w:proofErr w:type="spellEnd"/>
            <w:r w:rsidRPr="002C18A8">
              <w:rPr>
                <w:rFonts w:asciiTheme="minorHAnsi" w:eastAsia="Arial" w:hAnsiTheme="minorHAnsi" w:cstheme="minorHAnsi"/>
                <w:color w:val="000000" w:themeColor="text1"/>
              </w:rPr>
              <w:t>, gdzie jasno widać, że biomasa jest i będzie najważniejszym OZE dla ciepłownictwa do 2040 roku - niezależnie od tego, że przewidywany jest wzrost nakładów inwestycyjnych na instalacje Power-to-</w:t>
            </w:r>
            <w:proofErr w:type="spellStart"/>
            <w:r w:rsidRPr="002C18A8">
              <w:rPr>
                <w:rFonts w:asciiTheme="minorHAnsi" w:eastAsia="Arial" w:hAnsiTheme="minorHAnsi" w:cstheme="minorHAnsi"/>
                <w:color w:val="000000" w:themeColor="text1"/>
              </w:rPr>
              <w:t>Heat</w:t>
            </w:r>
            <w:proofErr w:type="spellEnd"/>
            <w:r w:rsidRPr="002C18A8">
              <w:rPr>
                <w:rFonts w:asciiTheme="minorHAnsi" w:eastAsia="Arial" w:hAnsiTheme="minorHAnsi" w:cstheme="minorHAnsi"/>
                <w:color w:val="000000" w:themeColor="text1"/>
              </w:rPr>
              <w:t xml:space="preserve">. Jest to także założenie spójne ze strategiami dekarbonizacji największych przedsiębiorstw ciepłowniczych. </w:t>
            </w:r>
            <w:r w:rsidR="0037151A">
              <w:rPr>
                <w:rFonts w:asciiTheme="minorHAnsi" w:eastAsia="Arial" w:hAnsiTheme="minorHAnsi" w:cstheme="minorHAnsi"/>
                <w:color w:val="000000" w:themeColor="text1"/>
              </w:rPr>
              <w:t>Postulujemy więc</w:t>
            </w:r>
            <w:r w:rsidRPr="002C18A8">
              <w:rPr>
                <w:rFonts w:asciiTheme="minorHAnsi" w:eastAsia="Arial" w:hAnsiTheme="minorHAnsi" w:cstheme="minorHAnsi"/>
                <w:color w:val="000000" w:themeColor="text1"/>
              </w:rPr>
              <w:t xml:space="preserve"> modyfikację odniesień do biomasy oraz do instalacji Power-to-</w:t>
            </w:r>
            <w:proofErr w:type="spellStart"/>
            <w:r w:rsidRPr="002C18A8">
              <w:rPr>
                <w:rFonts w:asciiTheme="minorHAnsi" w:eastAsia="Arial" w:hAnsiTheme="minorHAnsi" w:cstheme="minorHAnsi"/>
                <w:color w:val="000000" w:themeColor="text1"/>
              </w:rPr>
              <w:t>Heat</w:t>
            </w:r>
            <w:proofErr w:type="spellEnd"/>
            <w:r w:rsidRPr="002C18A8">
              <w:rPr>
                <w:rFonts w:asciiTheme="minorHAnsi" w:eastAsia="Arial" w:hAnsiTheme="minorHAnsi" w:cstheme="minorHAnsi"/>
                <w:color w:val="000000" w:themeColor="text1"/>
              </w:rPr>
              <w:t xml:space="preserve">, które zgodnie z </w:t>
            </w:r>
            <w:proofErr w:type="spellStart"/>
            <w:r w:rsidRPr="002C18A8">
              <w:rPr>
                <w:rFonts w:asciiTheme="minorHAnsi" w:eastAsia="Arial" w:hAnsiTheme="minorHAnsi" w:cstheme="minorHAnsi"/>
                <w:color w:val="000000" w:themeColor="text1"/>
              </w:rPr>
              <w:t>KPEiK</w:t>
            </w:r>
            <w:proofErr w:type="spellEnd"/>
            <w:r w:rsidRPr="002C18A8">
              <w:rPr>
                <w:rFonts w:asciiTheme="minorHAnsi" w:eastAsia="Arial" w:hAnsiTheme="minorHAnsi" w:cstheme="minorHAnsi"/>
                <w:color w:val="000000" w:themeColor="text1"/>
              </w:rPr>
              <w:t xml:space="preserve"> do 2040 r. będą odpowiadać za mniejszy wolumen wyprodukowanego ciepła niż jednostki </w:t>
            </w:r>
            <w:proofErr w:type="spellStart"/>
            <w:r w:rsidRPr="002C18A8">
              <w:rPr>
                <w:rFonts w:asciiTheme="minorHAnsi" w:eastAsia="Arial" w:hAnsiTheme="minorHAnsi" w:cstheme="minorHAnsi"/>
                <w:color w:val="000000" w:themeColor="text1"/>
              </w:rPr>
              <w:t>biomasowe</w:t>
            </w:r>
            <w:proofErr w:type="spellEnd"/>
            <w:r w:rsidRPr="002C18A8">
              <w:rPr>
                <w:rFonts w:asciiTheme="minorHAnsi" w:eastAsia="Arial" w:hAnsiTheme="minorHAnsi" w:cstheme="minorHAnsi"/>
                <w:color w:val="000000" w:themeColor="text1"/>
              </w:rPr>
              <w:t>.</w:t>
            </w:r>
          </w:p>
        </w:tc>
        <w:tc>
          <w:tcPr>
            <w:tcW w:w="1905" w:type="dxa"/>
            <w:tcBorders>
              <w:top w:val="single" w:sz="4" w:space="0" w:color="auto"/>
              <w:left w:val="single" w:sz="4" w:space="0" w:color="auto"/>
              <w:bottom w:val="single" w:sz="4" w:space="0" w:color="auto"/>
              <w:right w:val="single" w:sz="4" w:space="0" w:color="auto"/>
            </w:tcBorders>
          </w:tcPr>
          <w:p w14:paraId="3D985212" w14:textId="77777777" w:rsidR="00781BC9" w:rsidRPr="002C18A8" w:rsidRDefault="00781BC9" w:rsidP="00473696">
            <w:pPr>
              <w:spacing w:line="240" w:lineRule="auto"/>
              <w:jc w:val="left"/>
              <w:rPr>
                <w:rFonts w:asciiTheme="minorHAnsi" w:hAnsiTheme="minorHAnsi" w:cstheme="minorHAnsi"/>
              </w:rPr>
            </w:pPr>
          </w:p>
        </w:tc>
      </w:tr>
      <w:tr w:rsidR="07B6B689" w:rsidRPr="002C18A8" w14:paraId="08EA599F"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10855F3A" w14:textId="572D4C26" w:rsidR="07B6B689" w:rsidRPr="00EE2CA1" w:rsidRDefault="07B6B689"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57DC4135" w14:textId="18420F1E" w:rsidR="07B6B689"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7EDB2270" w14:textId="16FA6045"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17-18</w:t>
            </w:r>
          </w:p>
          <w:p w14:paraId="3FCD2022" w14:textId="40BA53DA"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56</w:t>
            </w:r>
          </w:p>
        </w:tc>
        <w:tc>
          <w:tcPr>
            <w:tcW w:w="4337" w:type="dxa"/>
            <w:tcBorders>
              <w:top w:val="single" w:sz="4" w:space="0" w:color="auto"/>
              <w:left w:val="single" w:sz="4" w:space="0" w:color="auto"/>
              <w:bottom w:val="single" w:sz="4" w:space="0" w:color="auto"/>
              <w:right w:val="single" w:sz="4" w:space="0" w:color="auto"/>
            </w:tcBorders>
          </w:tcPr>
          <w:p w14:paraId="73D627E2" w14:textId="54AAED15"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Obecnie funkcjonujące mechanizmy wsparcia kogeneracji promuj</w:t>
            </w:r>
            <w:r w:rsidR="00D90782">
              <w:rPr>
                <w:rFonts w:asciiTheme="minorHAnsi" w:eastAsia="Arial" w:hAnsiTheme="minorHAnsi" w:cstheme="minorHAnsi"/>
                <w:color w:val="000000" w:themeColor="text1"/>
              </w:rPr>
              <w:t>ą</w:t>
            </w:r>
            <w:r w:rsidRPr="002C18A8">
              <w:rPr>
                <w:rFonts w:asciiTheme="minorHAnsi" w:eastAsia="Arial" w:hAnsiTheme="minorHAnsi" w:cstheme="minorHAnsi"/>
                <w:color w:val="000000" w:themeColor="text1"/>
              </w:rPr>
              <w:t xml:space="preserve"> maksymalne możliwe wytwarzanie energii elektrycznej do sieci. Tymczasem projekt Strategii kładzie nacisk na elastyczność pracy, czyli zmienność produkcji. Należy rozważyć możliwość wspólnego wypracowania przepisów przejściowych (lub mechanizmów osłonowych) dla istniejących jednostek kogeneracji gazowej (CHP), korzystających obecnie z systemu aukcyjnego, aby zminimalizować ryzyko utraty rentowności.</w:t>
            </w:r>
          </w:p>
        </w:tc>
        <w:tc>
          <w:tcPr>
            <w:tcW w:w="4111" w:type="dxa"/>
            <w:tcBorders>
              <w:top w:val="single" w:sz="4" w:space="0" w:color="auto"/>
              <w:left w:val="single" w:sz="4" w:space="0" w:color="auto"/>
              <w:bottom w:val="single" w:sz="4" w:space="0" w:color="auto"/>
              <w:right w:val="single" w:sz="4" w:space="0" w:color="auto"/>
            </w:tcBorders>
          </w:tcPr>
          <w:p w14:paraId="43BEC662" w14:textId="4D75F5D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Kierunek uelastycznienia pracy jednostek CHP w celu bilansowania KSE oceniamy jako słuszny i naturalny. Zauważamy jednak wyzwanie: jednostki, które wygrały wcześniejsze aukcje, były projektowane i finansowane przy założeniu pracy w podstawie. Zmiana profilu pracy wpłynie znacząco na ich wyniki finansowe. Należy wypracować rozwiązania wsparcia, które pozwolą tym jednostkom na płynne dostosowanie się do nowych realiów bez ryzyka utraty rentowności.</w:t>
            </w:r>
          </w:p>
        </w:tc>
        <w:tc>
          <w:tcPr>
            <w:tcW w:w="1905" w:type="dxa"/>
            <w:tcBorders>
              <w:top w:val="single" w:sz="4" w:space="0" w:color="auto"/>
              <w:left w:val="single" w:sz="4" w:space="0" w:color="auto"/>
              <w:bottom w:val="single" w:sz="4" w:space="0" w:color="auto"/>
              <w:right w:val="single" w:sz="4" w:space="0" w:color="auto"/>
            </w:tcBorders>
          </w:tcPr>
          <w:p w14:paraId="65C6C413" w14:textId="52E0C5AF" w:rsidR="07B6B689" w:rsidRPr="002C18A8" w:rsidRDefault="07B6B689" w:rsidP="67A3788F">
            <w:pPr>
              <w:spacing w:line="240" w:lineRule="auto"/>
              <w:jc w:val="left"/>
              <w:rPr>
                <w:rFonts w:asciiTheme="minorHAnsi" w:hAnsiTheme="minorHAnsi" w:cstheme="minorHAnsi"/>
              </w:rPr>
            </w:pPr>
          </w:p>
          <w:p w14:paraId="3CE12747" w14:textId="0647D3A7" w:rsidR="07B6B689" w:rsidRPr="002C18A8" w:rsidRDefault="07B6B689" w:rsidP="07B6B689">
            <w:pPr>
              <w:spacing w:line="240" w:lineRule="auto"/>
              <w:jc w:val="left"/>
              <w:rPr>
                <w:rFonts w:asciiTheme="minorHAnsi" w:hAnsiTheme="minorHAnsi" w:cstheme="minorHAnsi"/>
              </w:rPr>
            </w:pPr>
          </w:p>
        </w:tc>
      </w:tr>
      <w:tr w:rsidR="67A3788F" w:rsidRPr="002C18A8" w14:paraId="17B93F57"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71DB8A85" w14:textId="273A84B0" w:rsidR="67A3788F" w:rsidRPr="00EE2CA1" w:rsidRDefault="67A3788F"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0DD84E73" w14:textId="4BB5E050" w:rsidR="67A3788F" w:rsidRPr="002C18A8" w:rsidRDefault="00A30ABF" w:rsidP="67A3788F">
            <w:pPr>
              <w:rPr>
                <w:rFonts w:asciiTheme="minorHAnsi" w:eastAsia="Arial" w:hAnsiTheme="minorHAnsi" w:cstheme="minorHAnsi"/>
                <w:color w:val="000000" w:themeColor="text1"/>
                <w:lang w:val="pl"/>
              </w:rPr>
            </w:pPr>
            <w:r>
              <w:rPr>
                <w:rFonts w:asciiTheme="minorHAnsi" w:eastAsia="Arial" w:hAnsiTheme="minorHAnsi" w:cstheme="minorHAnsi"/>
                <w:color w:val="000000" w:themeColor="text1"/>
                <w:lang w:val="pl"/>
              </w:rPr>
              <w:t>Konfederacja Lewiatan</w:t>
            </w:r>
          </w:p>
        </w:tc>
        <w:tc>
          <w:tcPr>
            <w:tcW w:w="2089" w:type="dxa"/>
            <w:tcBorders>
              <w:top w:val="single" w:sz="4" w:space="0" w:color="auto"/>
              <w:left w:val="single" w:sz="4" w:space="0" w:color="auto"/>
              <w:bottom w:val="single" w:sz="4" w:space="0" w:color="auto"/>
              <w:right w:val="single" w:sz="4" w:space="0" w:color="auto"/>
            </w:tcBorders>
          </w:tcPr>
          <w:p w14:paraId="4205E9C6" w14:textId="719AA710"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t xml:space="preserve">Działanie 6: Zmiana modelu taryfowania </w:t>
            </w:r>
            <w:r w:rsidRPr="002C18A8">
              <w:rPr>
                <w:rFonts w:asciiTheme="minorHAnsi" w:eastAsia="Arial" w:hAnsiTheme="minorHAnsi" w:cstheme="minorHAnsi"/>
                <w:color w:val="000000" w:themeColor="text1"/>
                <w:lang w:val="pl"/>
              </w:rPr>
              <w:lastRenderedPageBreak/>
              <w:t>ciepła, str.53; 6.1.5 Magazyny ciepła, str. 19-20</w:t>
            </w:r>
          </w:p>
        </w:tc>
        <w:tc>
          <w:tcPr>
            <w:tcW w:w="4337" w:type="dxa"/>
            <w:tcBorders>
              <w:top w:val="single" w:sz="4" w:space="0" w:color="auto"/>
              <w:left w:val="single" w:sz="4" w:space="0" w:color="auto"/>
              <w:bottom w:val="single" w:sz="4" w:space="0" w:color="auto"/>
              <w:right w:val="single" w:sz="4" w:space="0" w:color="auto"/>
            </w:tcBorders>
          </w:tcPr>
          <w:p w14:paraId="0E8B8B5E" w14:textId="28FC2E3C"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lastRenderedPageBreak/>
              <w:t xml:space="preserve">Strategia powinna nakreślać potrzebę stworzenia kompleksowych ram regulacyjnych </w:t>
            </w:r>
            <w:r w:rsidRPr="002C18A8">
              <w:rPr>
                <w:rFonts w:asciiTheme="minorHAnsi" w:eastAsia="Arial" w:hAnsiTheme="minorHAnsi" w:cstheme="minorHAnsi"/>
                <w:color w:val="000000" w:themeColor="text1"/>
                <w:lang w:val="pl"/>
              </w:rPr>
              <w:lastRenderedPageBreak/>
              <w:t>dla magazynów ciepła, obejmujących w szczególności zasady ich uwzględniania w systemie taryfowym przedsiębiorstw ciepłowniczych. Wypracowanie</w:t>
            </w:r>
            <w:r w:rsidR="002E5899">
              <w:rPr>
                <w:rFonts w:asciiTheme="minorHAnsi" w:eastAsia="Arial" w:hAnsiTheme="minorHAnsi" w:cstheme="minorHAnsi"/>
                <w:color w:val="000000" w:themeColor="text1"/>
                <w:lang w:val="pl"/>
              </w:rPr>
              <w:t xml:space="preserve"> </w:t>
            </w:r>
            <w:r w:rsidRPr="002C18A8">
              <w:rPr>
                <w:rFonts w:asciiTheme="minorHAnsi" w:eastAsia="Arial" w:hAnsiTheme="minorHAnsi" w:cstheme="minorHAnsi"/>
                <w:color w:val="000000" w:themeColor="text1"/>
                <w:lang w:val="pl"/>
              </w:rPr>
              <w:t>dedykowanych rozwiązań taryfowych pozwoli na rozwój inwestycji w magazyny ciepła jako kluczowe elementy zwiększające elastyczność sektora ciepłowniczego oraz wspierające integrację odnawialnych źródeł energii z krajowym systemem elektroenergetycznym.</w:t>
            </w:r>
          </w:p>
          <w:p w14:paraId="32D981FF" w14:textId="4221584D"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t>W związku z wprowadzeniem w Prawie energetycznym definicji „magazynu ciepła lub chłodu” (projekt</w:t>
            </w:r>
            <w:r w:rsidR="00EA21B2">
              <w:rPr>
                <w:rFonts w:asciiTheme="minorHAnsi" w:eastAsia="Arial" w:hAnsiTheme="minorHAnsi" w:cstheme="minorHAnsi"/>
                <w:color w:val="000000" w:themeColor="text1"/>
                <w:lang w:val="pl"/>
              </w:rPr>
              <w:t xml:space="preserve"> </w:t>
            </w:r>
            <w:r w:rsidRPr="002C18A8">
              <w:rPr>
                <w:rFonts w:asciiTheme="minorHAnsi" w:eastAsia="Arial" w:hAnsiTheme="minorHAnsi" w:cstheme="minorHAnsi"/>
                <w:color w:val="000000" w:themeColor="text1"/>
                <w:lang w:val="pl"/>
              </w:rPr>
              <w:t>UDER92), konieczne jest uzupełnienie regulacji o zasady taryfowania i rozliczania tego typu infrastruktury. Umożliwi to efektywne wykorzystanie okresowych nadwyżek energii elektrycznej z OZE do produkcji i magazynowania ciepła, przyczyniając się do zwiększenia elastyczności systemu energetycznego, ograniczenia zjawiska redukcji generacji OZE oraz poprawy efektywności ekonomicznej i środowiskowej systemów ciepłowniczych.</w:t>
            </w:r>
          </w:p>
        </w:tc>
        <w:tc>
          <w:tcPr>
            <w:tcW w:w="4111" w:type="dxa"/>
            <w:tcBorders>
              <w:top w:val="single" w:sz="4" w:space="0" w:color="auto"/>
              <w:left w:val="single" w:sz="4" w:space="0" w:color="auto"/>
              <w:bottom w:val="single" w:sz="4" w:space="0" w:color="auto"/>
              <w:right w:val="single" w:sz="4" w:space="0" w:color="auto"/>
            </w:tcBorders>
          </w:tcPr>
          <w:p w14:paraId="212B1557" w14:textId="6A9E94AF"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lastRenderedPageBreak/>
              <w:t xml:space="preserve">Magazyny ciepła stanowią istotne narzędzie integracji sektorów elektroenergetycznego i </w:t>
            </w:r>
            <w:r w:rsidRPr="002C18A8">
              <w:rPr>
                <w:rFonts w:asciiTheme="minorHAnsi" w:eastAsia="Arial" w:hAnsiTheme="minorHAnsi" w:cstheme="minorHAnsi"/>
                <w:color w:val="000000" w:themeColor="text1"/>
                <w:lang w:val="pl"/>
              </w:rPr>
              <w:lastRenderedPageBreak/>
              <w:t>ciepłowniczego, jednak brak dedykowanych zasad taryfowych ogranicza możliwość ich efektywnego wdrażania i finansowania przez przedsiębiorstwa ciepłownicze.</w:t>
            </w:r>
          </w:p>
          <w:p w14:paraId="666788A8" w14:textId="7336384A" w:rsidR="67A3788F" w:rsidRPr="002C18A8" w:rsidRDefault="67A3788F" w:rsidP="67A3788F">
            <w:pPr>
              <w:rPr>
                <w:rFonts w:asciiTheme="minorHAnsi" w:eastAsia="Arial" w:hAnsiTheme="minorHAnsi" w:cstheme="minorHAnsi"/>
                <w:color w:val="000000" w:themeColor="text1"/>
                <w:lang w:val="pl"/>
              </w:rPr>
            </w:pPr>
          </w:p>
        </w:tc>
        <w:tc>
          <w:tcPr>
            <w:tcW w:w="1905" w:type="dxa"/>
            <w:tcBorders>
              <w:top w:val="single" w:sz="4" w:space="0" w:color="auto"/>
              <w:left w:val="single" w:sz="4" w:space="0" w:color="auto"/>
              <w:bottom w:val="single" w:sz="4" w:space="0" w:color="auto"/>
              <w:right w:val="single" w:sz="4" w:space="0" w:color="auto"/>
            </w:tcBorders>
          </w:tcPr>
          <w:p w14:paraId="126D5DED" w14:textId="6215258C" w:rsidR="67A3788F" w:rsidRPr="002C18A8" w:rsidRDefault="67A3788F" w:rsidP="67A3788F">
            <w:pPr>
              <w:spacing w:line="240" w:lineRule="auto"/>
              <w:jc w:val="left"/>
              <w:rPr>
                <w:rFonts w:asciiTheme="minorHAnsi" w:hAnsiTheme="minorHAnsi" w:cstheme="minorHAnsi"/>
              </w:rPr>
            </w:pPr>
          </w:p>
        </w:tc>
      </w:tr>
      <w:tr w:rsidR="07B6B689" w:rsidRPr="002C18A8" w14:paraId="740717E9"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69AE7DEE" w14:textId="5AB9FC0E"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771A4E74" w14:textId="44533666" w:rsidR="07B6B689" w:rsidRPr="002C18A8" w:rsidRDefault="00FA2A70" w:rsidP="07B6B689">
            <w:pPr>
              <w:rPr>
                <w:rFonts w:asciiTheme="minorHAnsi" w:hAnsiTheme="minorHAnsi" w:cstheme="minorHAnsi"/>
              </w:rPr>
            </w:pPr>
            <w:r>
              <w:rPr>
                <w:rFonts w:asciiTheme="minorHAnsi" w:eastAsia="Arial" w:hAnsiTheme="minorHAnsi" w:cstheme="minorHAnsi"/>
                <w:color w:val="000000" w:themeColor="text1"/>
                <w:lang w:val="pl"/>
              </w:rPr>
              <w:t>Konfederacja Lewiatan</w:t>
            </w:r>
          </w:p>
        </w:tc>
        <w:tc>
          <w:tcPr>
            <w:tcW w:w="2089" w:type="dxa"/>
            <w:tcBorders>
              <w:top w:val="single" w:sz="4" w:space="0" w:color="auto"/>
              <w:left w:val="single" w:sz="4" w:space="0" w:color="auto"/>
              <w:bottom w:val="single" w:sz="4" w:space="0" w:color="auto"/>
              <w:right w:val="single" w:sz="4" w:space="0" w:color="auto"/>
            </w:tcBorders>
          </w:tcPr>
          <w:p w14:paraId="4EE4AD27" w14:textId="2BB7AAEC"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17-18</w:t>
            </w:r>
          </w:p>
          <w:p w14:paraId="3EFBCDB0" w14:textId="4F706633"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38-39</w:t>
            </w:r>
          </w:p>
        </w:tc>
        <w:tc>
          <w:tcPr>
            <w:tcW w:w="4337" w:type="dxa"/>
            <w:tcBorders>
              <w:top w:val="single" w:sz="4" w:space="0" w:color="auto"/>
              <w:left w:val="single" w:sz="4" w:space="0" w:color="auto"/>
              <w:bottom w:val="single" w:sz="4" w:space="0" w:color="auto"/>
              <w:right w:val="single" w:sz="4" w:space="0" w:color="auto"/>
            </w:tcBorders>
          </w:tcPr>
          <w:p w14:paraId="59307EA1" w14:textId="029BE4BE"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Rekomendacja rozważenia przygotowania alternatywnych, krajowych instrumentów finansowych (pomostowych) dla inwestycji gazowych w ciepłownictwie, na wypadek trudności w osiągnięciu rynkowej podaży odnawialnych paliw gazowych do 2035 r., zgodnie z rygorami Taksonomii UE.</w:t>
            </w:r>
          </w:p>
        </w:tc>
        <w:tc>
          <w:tcPr>
            <w:tcW w:w="4111" w:type="dxa"/>
            <w:tcBorders>
              <w:top w:val="single" w:sz="4" w:space="0" w:color="auto"/>
              <w:left w:val="single" w:sz="4" w:space="0" w:color="auto"/>
              <w:bottom w:val="single" w:sz="4" w:space="0" w:color="auto"/>
              <w:right w:val="single" w:sz="4" w:space="0" w:color="auto"/>
            </w:tcBorders>
          </w:tcPr>
          <w:p w14:paraId="109A8792" w14:textId="0171E719"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W pełni popieramy i doceniamy działania Rządu na rzecz liberalizacji przepisów Taksonomii UE dla kogeneracji gazowej, które stanowią dziś istotną barierę dla inwestycji. Jako branża dostrzegamy jednak, że budowa krajowego rynku </w:t>
            </w:r>
            <w:proofErr w:type="spellStart"/>
            <w:r w:rsidRPr="002C18A8">
              <w:rPr>
                <w:rFonts w:asciiTheme="minorHAnsi" w:eastAsia="Arial" w:hAnsiTheme="minorHAnsi" w:cstheme="minorHAnsi"/>
                <w:color w:val="000000" w:themeColor="text1"/>
              </w:rPr>
              <w:t>biometanu</w:t>
            </w:r>
            <w:proofErr w:type="spellEnd"/>
            <w:r w:rsidRPr="002C18A8">
              <w:rPr>
                <w:rFonts w:asciiTheme="minorHAnsi" w:eastAsia="Arial" w:hAnsiTheme="minorHAnsi" w:cstheme="minorHAnsi"/>
                <w:color w:val="000000" w:themeColor="text1"/>
              </w:rPr>
              <w:t xml:space="preserve">/wodoru to duże wyzwanie. </w:t>
            </w:r>
            <w:r w:rsidRPr="002C18A8">
              <w:rPr>
                <w:rFonts w:asciiTheme="minorHAnsi" w:eastAsia="Arial" w:hAnsiTheme="minorHAnsi" w:cstheme="minorHAnsi"/>
                <w:color w:val="000000" w:themeColor="text1"/>
              </w:rPr>
              <w:lastRenderedPageBreak/>
              <w:t>Zabezpieczenie spółek ciepłowniczych poprzez alternatywne, krajowe wsparcie/gwarancje finansowe pomogłoby usunąć obawy inwestycyjne w naszej branży.</w:t>
            </w:r>
          </w:p>
        </w:tc>
        <w:tc>
          <w:tcPr>
            <w:tcW w:w="1905" w:type="dxa"/>
            <w:tcBorders>
              <w:top w:val="single" w:sz="4" w:space="0" w:color="auto"/>
              <w:left w:val="single" w:sz="4" w:space="0" w:color="auto"/>
              <w:bottom w:val="single" w:sz="4" w:space="0" w:color="auto"/>
              <w:right w:val="single" w:sz="4" w:space="0" w:color="auto"/>
            </w:tcBorders>
          </w:tcPr>
          <w:p w14:paraId="7D6E800F" w14:textId="752322D7" w:rsidR="07B6B689" w:rsidRPr="002C18A8" w:rsidRDefault="07B6B689" w:rsidP="07B6B689">
            <w:pPr>
              <w:spacing w:line="240" w:lineRule="auto"/>
              <w:jc w:val="left"/>
              <w:rPr>
                <w:rFonts w:asciiTheme="minorHAnsi" w:hAnsiTheme="minorHAnsi" w:cstheme="minorHAnsi"/>
              </w:rPr>
            </w:pPr>
          </w:p>
        </w:tc>
      </w:tr>
      <w:tr w:rsidR="67A3788F" w:rsidRPr="002C18A8" w14:paraId="055ACEE5"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724E2A87" w14:textId="5E92E61F" w:rsidR="67A3788F" w:rsidRPr="00EE2CA1" w:rsidRDefault="67A3788F"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5AC450C0" w14:textId="4A9B0A9C" w:rsidR="67A3788F" w:rsidRPr="002C18A8" w:rsidRDefault="006E1851" w:rsidP="67A3788F">
            <w:pPr>
              <w:rPr>
                <w:rFonts w:asciiTheme="minorHAnsi" w:eastAsia="Arial" w:hAnsiTheme="minorHAnsi" w:cstheme="minorHAnsi"/>
                <w:color w:val="000000" w:themeColor="text1"/>
                <w:lang w:val="pl"/>
              </w:rPr>
            </w:pPr>
            <w:r>
              <w:rPr>
                <w:rFonts w:asciiTheme="minorHAnsi" w:eastAsia="Arial" w:hAnsiTheme="minorHAnsi" w:cstheme="minorHAnsi"/>
                <w:color w:val="000000" w:themeColor="text1"/>
                <w:lang w:val="pl"/>
              </w:rPr>
              <w:t>Konfederacja Lewiatan</w:t>
            </w:r>
          </w:p>
        </w:tc>
        <w:tc>
          <w:tcPr>
            <w:tcW w:w="2089" w:type="dxa"/>
            <w:tcBorders>
              <w:top w:val="single" w:sz="4" w:space="0" w:color="auto"/>
              <w:left w:val="single" w:sz="4" w:space="0" w:color="auto"/>
              <w:bottom w:val="single" w:sz="4" w:space="0" w:color="auto"/>
              <w:right w:val="single" w:sz="4" w:space="0" w:color="auto"/>
            </w:tcBorders>
          </w:tcPr>
          <w:p w14:paraId="0207C88C" w14:textId="67F0B642"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t>6.1.6 Ciepło odpadowe, str.20, Działanie 9: Promowanie wykorzystania ciepła odpadowego, str.54</w:t>
            </w:r>
          </w:p>
        </w:tc>
        <w:tc>
          <w:tcPr>
            <w:tcW w:w="4337" w:type="dxa"/>
            <w:tcBorders>
              <w:top w:val="single" w:sz="4" w:space="0" w:color="auto"/>
              <w:left w:val="single" w:sz="4" w:space="0" w:color="auto"/>
              <w:bottom w:val="single" w:sz="4" w:space="0" w:color="auto"/>
              <w:right w:val="single" w:sz="4" w:space="0" w:color="auto"/>
            </w:tcBorders>
          </w:tcPr>
          <w:p w14:paraId="26659DA7" w14:textId="7D1A7F8A"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t>Strategia powinna przewidywać wypracowanie jednoznacznych zasad określania wolumenu ciepła objętego obowiązkiem zakupu w przypadku źródeł, w których udział ciepła z OZE lub ciepła odpadowego stanowi jedynie część całkowitej produkcji. Ograniczenie niepewności interpretacyjnej w tym zakresie zwiększy przewidywalność regulacyjną i ułatwi rozwój projektów wykorzystujących OZE oraz ciepło odpadowe.</w:t>
            </w:r>
          </w:p>
        </w:tc>
        <w:tc>
          <w:tcPr>
            <w:tcW w:w="4111" w:type="dxa"/>
            <w:tcBorders>
              <w:top w:val="single" w:sz="4" w:space="0" w:color="auto"/>
              <w:left w:val="single" w:sz="4" w:space="0" w:color="auto"/>
              <w:bottom w:val="single" w:sz="4" w:space="0" w:color="auto"/>
              <w:right w:val="single" w:sz="4" w:space="0" w:color="auto"/>
            </w:tcBorders>
          </w:tcPr>
          <w:p w14:paraId="3F66E4F7" w14:textId="5679D3E1"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t>Przejrzyste i jednolite zasady określania wolumenu ciepła objętego obowiązkiem zakupu są niezbędne dla zapewnienia przewidywalności regulacyjnej, efektywnego rozwoju źródeł OZE i ciepła odpadowego oraz ograniczenia ryzyka sporów interpretacyjnych pomiędzy uczestnikami rynku ciepła.</w:t>
            </w:r>
          </w:p>
        </w:tc>
        <w:tc>
          <w:tcPr>
            <w:tcW w:w="1905" w:type="dxa"/>
            <w:tcBorders>
              <w:top w:val="single" w:sz="4" w:space="0" w:color="auto"/>
              <w:left w:val="single" w:sz="4" w:space="0" w:color="auto"/>
              <w:bottom w:val="single" w:sz="4" w:space="0" w:color="auto"/>
              <w:right w:val="single" w:sz="4" w:space="0" w:color="auto"/>
            </w:tcBorders>
          </w:tcPr>
          <w:p w14:paraId="7FB1DE87" w14:textId="194FF1E9" w:rsidR="67A3788F" w:rsidRPr="002C18A8" w:rsidRDefault="67A3788F" w:rsidP="67A3788F">
            <w:pPr>
              <w:spacing w:line="240" w:lineRule="auto"/>
              <w:jc w:val="left"/>
              <w:rPr>
                <w:rFonts w:asciiTheme="minorHAnsi" w:hAnsiTheme="minorHAnsi" w:cstheme="minorHAnsi"/>
              </w:rPr>
            </w:pPr>
          </w:p>
        </w:tc>
      </w:tr>
      <w:tr w:rsidR="07B6B689" w:rsidRPr="002C18A8" w14:paraId="2B9DC17F"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1F976997" w14:textId="7DC8B22E"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0402C9FD" w14:textId="58641ADD" w:rsidR="07B6B689" w:rsidRPr="002C18A8" w:rsidRDefault="006E1851" w:rsidP="07B6B689">
            <w:pPr>
              <w:rPr>
                <w:rFonts w:asciiTheme="minorHAnsi" w:hAnsiTheme="minorHAnsi" w:cstheme="minorHAnsi"/>
              </w:rPr>
            </w:pPr>
            <w:r>
              <w:rPr>
                <w:rFonts w:asciiTheme="minorHAnsi" w:eastAsia="Arial" w:hAnsiTheme="minorHAnsi" w:cstheme="minorHAnsi"/>
                <w:color w:val="000000" w:themeColor="text1"/>
                <w:lang w:val="pl"/>
              </w:rPr>
              <w:t>Konfederacja Lewiatan</w:t>
            </w:r>
          </w:p>
        </w:tc>
        <w:tc>
          <w:tcPr>
            <w:tcW w:w="2089" w:type="dxa"/>
            <w:tcBorders>
              <w:top w:val="single" w:sz="4" w:space="0" w:color="auto"/>
              <w:left w:val="single" w:sz="4" w:space="0" w:color="auto"/>
              <w:bottom w:val="single" w:sz="4" w:space="0" w:color="auto"/>
              <w:right w:val="single" w:sz="4" w:space="0" w:color="auto"/>
            </w:tcBorders>
          </w:tcPr>
          <w:p w14:paraId="54AD581B" w14:textId="40D72CE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21</w:t>
            </w:r>
          </w:p>
        </w:tc>
        <w:tc>
          <w:tcPr>
            <w:tcW w:w="4337" w:type="dxa"/>
            <w:tcBorders>
              <w:top w:val="single" w:sz="4" w:space="0" w:color="auto"/>
              <w:left w:val="single" w:sz="4" w:space="0" w:color="auto"/>
              <w:bottom w:val="single" w:sz="4" w:space="0" w:color="auto"/>
              <w:right w:val="single" w:sz="4" w:space="0" w:color="auto"/>
            </w:tcBorders>
          </w:tcPr>
          <w:p w14:paraId="32AA620B" w14:textId="0C71AFA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Na stronie 21 wskazano, że ciepło produkowane przez ITPOK, z wyłączeniem ciepła kwalifikowanego jako OZE, może zostać zaliczone jako ciepło odpadowe </w:t>
            </w:r>
            <w:r w:rsidRPr="002C18A8">
              <w:rPr>
                <w:rFonts w:asciiTheme="minorHAnsi" w:eastAsia="Arial" w:hAnsiTheme="minorHAnsi" w:cstheme="minorHAnsi"/>
                <w:color w:val="000000" w:themeColor="text1"/>
                <w:u w:val="single"/>
              </w:rPr>
              <w:t>w kontekście spełniania wymogów efektywnego systemu ciepłowniczego</w:t>
            </w:r>
            <w:r w:rsidRPr="002C18A8">
              <w:rPr>
                <w:rFonts w:asciiTheme="minorHAnsi" w:eastAsia="Arial" w:hAnsiTheme="minorHAnsi" w:cstheme="minorHAnsi"/>
                <w:color w:val="000000" w:themeColor="text1"/>
              </w:rPr>
              <w:t>.</w:t>
            </w:r>
          </w:p>
        </w:tc>
        <w:tc>
          <w:tcPr>
            <w:tcW w:w="4111" w:type="dxa"/>
            <w:tcBorders>
              <w:top w:val="single" w:sz="4" w:space="0" w:color="auto"/>
              <w:left w:val="single" w:sz="4" w:space="0" w:color="auto"/>
              <w:bottom w:val="single" w:sz="4" w:space="0" w:color="auto"/>
              <w:right w:val="single" w:sz="4" w:space="0" w:color="auto"/>
            </w:tcBorders>
          </w:tcPr>
          <w:p w14:paraId="6E89FB2F" w14:textId="758BF087"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Wyjaśnienia wymaga, czy podkreślony fragment oznacza, że ciepło z ITPOK będzie uznawane za ciepło odpadowe tylko na potrzeby uznania systemu ciepłowniczego za efektywny. W konsekwencji, jeżeli takie uznanie ma odnosić się tylko do spełnienia definicji efektywnego systemu ciepłowniczego rodzą się pytania - czy projekty oparte na cieple odpadowym z ITPOK będą mogły ubiegać się o wsparcie finansowe w nowych programach finansowanych ze środków własnych NFOŚIGW? Czy za wolumen ciepła z ITPO uznany za ciepło odpadowe będą przysługiwać gwarancje pochodzenia ciepła odpadowego?</w:t>
            </w:r>
          </w:p>
        </w:tc>
        <w:tc>
          <w:tcPr>
            <w:tcW w:w="1905" w:type="dxa"/>
            <w:tcBorders>
              <w:top w:val="single" w:sz="4" w:space="0" w:color="auto"/>
              <w:left w:val="single" w:sz="4" w:space="0" w:color="auto"/>
              <w:bottom w:val="single" w:sz="4" w:space="0" w:color="auto"/>
              <w:right w:val="single" w:sz="4" w:space="0" w:color="auto"/>
            </w:tcBorders>
          </w:tcPr>
          <w:p w14:paraId="3D751879" w14:textId="3A9D4A89" w:rsidR="07B6B689" w:rsidRPr="002C18A8" w:rsidRDefault="07B6B689" w:rsidP="07B6B689">
            <w:pPr>
              <w:spacing w:line="240" w:lineRule="auto"/>
              <w:jc w:val="left"/>
              <w:rPr>
                <w:rFonts w:asciiTheme="minorHAnsi" w:hAnsiTheme="minorHAnsi" w:cstheme="minorHAnsi"/>
              </w:rPr>
            </w:pPr>
          </w:p>
        </w:tc>
      </w:tr>
      <w:tr w:rsidR="07B6B689" w:rsidRPr="002C18A8" w14:paraId="1BC897C8"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439848D6" w14:textId="1F666D07"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6EF0DD7A" w14:textId="75B8D029" w:rsidR="07B6B689" w:rsidRPr="002C18A8" w:rsidRDefault="00FD3061" w:rsidP="07B6B689">
            <w:pPr>
              <w:rPr>
                <w:rFonts w:asciiTheme="minorHAnsi" w:hAnsiTheme="minorHAnsi" w:cstheme="minorHAnsi"/>
              </w:rPr>
            </w:pPr>
            <w:r>
              <w:rPr>
                <w:rFonts w:asciiTheme="minorHAnsi" w:eastAsia="Arial" w:hAnsiTheme="minorHAnsi" w:cstheme="minorHAnsi"/>
                <w:color w:val="000000" w:themeColor="text1"/>
                <w:lang w:val="pl"/>
              </w:rPr>
              <w:t>Konfederacja Lewiatan</w:t>
            </w:r>
          </w:p>
        </w:tc>
        <w:tc>
          <w:tcPr>
            <w:tcW w:w="2089" w:type="dxa"/>
            <w:tcBorders>
              <w:top w:val="single" w:sz="4" w:space="0" w:color="auto"/>
              <w:left w:val="single" w:sz="4" w:space="0" w:color="auto"/>
              <w:bottom w:val="single" w:sz="4" w:space="0" w:color="auto"/>
              <w:right w:val="single" w:sz="4" w:space="0" w:color="auto"/>
            </w:tcBorders>
          </w:tcPr>
          <w:p w14:paraId="3490CAD4" w14:textId="0FFD1E6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21</w:t>
            </w:r>
          </w:p>
        </w:tc>
        <w:tc>
          <w:tcPr>
            <w:tcW w:w="4337" w:type="dxa"/>
            <w:tcBorders>
              <w:top w:val="single" w:sz="4" w:space="0" w:color="auto"/>
              <w:left w:val="single" w:sz="4" w:space="0" w:color="auto"/>
              <w:bottom w:val="single" w:sz="4" w:space="0" w:color="auto"/>
              <w:right w:val="single" w:sz="4" w:space="0" w:color="auto"/>
            </w:tcBorders>
          </w:tcPr>
          <w:p w14:paraId="7F943A2F" w14:textId="3AD79A8D"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Należy dodać zapis wskazujący, że rzeczywisty potencjał ciepła odpadowego z data </w:t>
            </w:r>
            <w:proofErr w:type="spellStart"/>
            <w:r w:rsidRPr="002C18A8">
              <w:rPr>
                <w:rFonts w:asciiTheme="minorHAnsi" w:eastAsia="Arial" w:hAnsiTheme="minorHAnsi" w:cstheme="minorHAnsi"/>
                <w:color w:val="000000" w:themeColor="text1"/>
              </w:rPr>
              <w:t>center</w:t>
            </w:r>
            <w:proofErr w:type="spellEnd"/>
            <w:r w:rsidRPr="002C18A8">
              <w:rPr>
                <w:rFonts w:asciiTheme="minorHAnsi" w:eastAsia="Arial" w:hAnsiTheme="minorHAnsi" w:cstheme="minorHAnsi"/>
                <w:color w:val="000000" w:themeColor="text1"/>
              </w:rPr>
              <w:t xml:space="preserve"> musi uwzględniać specyfikę zmienności sezonowej zapotrzebowania na ciepło systemów; aby go zwiększyć, należy rozważyć wdrożenie mechanizmów zachęcających operatorów centrów danych do całorocznej produkcji ciepła odpadowego na potrzeby sieci ciepłowniczych.</w:t>
            </w:r>
          </w:p>
        </w:tc>
        <w:tc>
          <w:tcPr>
            <w:tcW w:w="4111" w:type="dxa"/>
            <w:tcBorders>
              <w:top w:val="single" w:sz="4" w:space="0" w:color="auto"/>
              <w:left w:val="single" w:sz="4" w:space="0" w:color="auto"/>
              <w:bottom w:val="single" w:sz="4" w:space="0" w:color="auto"/>
              <w:right w:val="single" w:sz="4" w:space="0" w:color="auto"/>
            </w:tcBorders>
          </w:tcPr>
          <w:p w14:paraId="7286563F" w14:textId="50763DDF"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Największy potencjał mocy ciepła odpadowego z centrów danych występuje w sezonie letnim, gdy moc cieplna w systemach letnich jest niska, rzędu 10% zimowej mocy zamówionej.</w:t>
            </w:r>
          </w:p>
          <w:p w14:paraId="6480594B" w14:textId="2ED8061A"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Zimą z kolei DC preferują chłodzenie przy użyciu </w:t>
            </w:r>
            <w:proofErr w:type="spellStart"/>
            <w:r w:rsidRPr="002C18A8">
              <w:rPr>
                <w:rFonts w:asciiTheme="minorHAnsi" w:eastAsia="Arial" w:hAnsiTheme="minorHAnsi" w:cstheme="minorHAnsi"/>
                <w:color w:val="000000" w:themeColor="text1"/>
              </w:rPr>
              <w:t>free-coolingu</w:t>
            </w:r>
            <w:proofErr w:type="spellEnd"/>
            <w:r w:rsidRPr="002C18A8">
              <w:rPr>
                <w:rFonts w:asciiTheme="minorHAnsi" w:eastAsia="Arial" w:hAnsiTheme="minorHAnsi" w:cstheme="minorHAnsi"/>
                <w:color w:val="000000" w:themeColor="text1"/>
              </w:rPr>
              <w:t xml:space="preserve"> z uwagi na niższe koszty. Praca przez cały rok z wprowadzaniem ciepła odpadowego do sieci może wymagać rozwiązań legislacyjnych lub taryfowych zwiększających atrakcyjność dla DC.</w:t>
            </w:r>
          </w:p>
        </w:tc>
        <w:tc>
          <w:tcPr>
            <w:tcW w:w="1905" w:type="dxa"/>
            <w:tcBorders>
              <w:top w:val="single" w:sz="4" w:space="0" w:color="auto"/>
              <w:left w:val="single" w:sz="4" w:space="0" w:color="auto"/>
              <w:bottom w:val="single" w:sz="4" w:space="0" w:color="auto"/>
              <w:right w:val="single" w:sz="4" w:space="0" w:color="auto"/>
            </w:tcBorders>
          </w:tcPr>
          <w:p w14:paraId="74D2DAE8" w14:textId="5DEF145C" w:rsidR="07B6B689" w:rsidRPr="002C18A8" w:rsidRDefault="07B6B689" w:rsidP="07B6B689">
            <w:pPr>
              <w:spacing w:line="240" w:lineRule="auto"/>
              <w:jc w:val="left"/>
              <w:rPr>
                <w:rFonts w:asciiTheme="minorHAnsi" w:hAnsiTheme="minorHAnsi" w:cstheme="minorHAnsi"/>
              </w:rPr>
            </w:pPr>
          </w:p>
        </w:tc>
      </w:tr>
      <w:tr w:rsidR="07B6B689" w:rsidRPr="002C18A8" w14:paraId="1E0E4264"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3D493BAF" w14:textId="6143E2EE"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06CA58FF" w14:textId="08FE0D00" w:rsidR="07B6B689" w:rsidRPr="002C18A8" w:rsidRDefault="00282D3D" w:rsidP="07B6B689">
            <w:pPr>
              <w:rPr>
                <w:rFonts w:asciiTheme="minorHAnsi" w:hAnsiTheme="minorHAnsi" w:cstheme="minorHAnsi"/>
              </w:rPr>
            </w:pPr>
            <w:r>
              <w:rPr>
                <w:rFonts w:asciiTheme="minorHAnsi" w:eastAsia="Arial" w:hAnsiTheme="minorHAnsi" w:cstheme="minorHAnsi"/>
                <w:color w:val="000000" w:themeColor="text1"/>
                <w:lang w:val="pl"/>
              </w:rPr>
              <w:t>Konfederacja Lewiatan</w:t>
            </w:r>
          </w:p>
        </w:tc>
        <w:tc>
          <w:tcPr>
            <w:tcW w:w="2089" w:type="dxa"/>
            <w:tcBorders>
              <w:top w:val="single" w:sz="4" w:space="0" w:color="auto"/>
              <w:left w:val="single" w:sz="4" w:space="0" w:color="auto"/>
              <w:bottom w:val="single" w:sz="4" w:space="0" w:color="auto"/>
              <w:right w:val="single" w:sz="4" w:space="0" w:color="auto"/>
            </w:tcBorders>
          </w:tcPr>
          <w:p w14:paraId="6B92DA9D" w14:textId="39CF4555"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24</w:t>
            </w:r>
          </w:p>
        </w:tc>
        <w:tc>
          <w:tcPr>
            <w:tcW w:w="4337" w:type="dxa"/>
            <w:tcBorders>
              <w:top w:val="single" w:sz="4" w:space="0" w:color="auto"/>
              <w:left w:val="single" w:sz="4" w:space="0" w:color="auto"/>
              <w:bottom w:val="single" w:sz="4" w:space="0" w:color="auto"/>
              <w:right w:val="single" w:sz="4" w:space="0" w:color="auto"/>
            </w:tcBorders>
          </w:tcPr>
          <w:p w14:paraId="41A21075" w14:textId="30886CB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Istotnym wyzwaniem jest niesterowalność źródeł opartych o kolektory solarne, co rodzi wyzwania w zakresie wykorzystania kolektorów w roli innej niż generowanie ciepła do magazynów ciepła. Postulujemy uwzględnienie tego stwierdzenia w opisie technologii, aby dopełnić obrazu jej potencjału.</w:t>
            </w:r>
          </w:p>
        </w:tc>
        <w:tc>
          <w:tcPr>
            <w:tcW w:w="4111" w:type="dxa"/>
            <w:tcBorders>
              <w:top w:val="single" w:sz="4" w:space="0" w:color="auto"/>
              <w:left w:val="single" w:sz="4" w:space="0" w:color="auto"/>
              <w:bottom w:val="single" w:sz="4" w:space="0" w:color="auto"/>
              <w:right w:val="single" w:sz="4" w:space="0" w:color="auto"/>
            </w:tcBorders>
          </w:tcPr>
          <w:p w14:paraId="376E6EC1" w14:textId="5447F94C"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 </w:t>
            </w:r>
          </w:p>
        </w:tc>
        <w:tc>
          <w:tcPr>
            <w:tcW w:w="1905" w:type="dxa"/>
            <w:tcBorders>
              <w:top w:val="single" w:sz="4" w:space="0" w:color="auto"/>
              <w:left w:val="single" w:sz="4" w:space="0" w:color="auto"/>
              <w:bottom w:val="single" w:sz="4" w:space="0" w:color="auto"/>
              <w:right w:val="single" w:sz="4" w:space="0" w:color="auto"/>
            </w:tcBorders>
          </w:tcPr>
          <w:p w14:paraId="1EFADF94" w14:textId="1070E957" w:rsidR="07B6B689" w:rsidRPr="002C18A8" w:rsidRDefault="07B6B689" w:rsidP="07B6B689">
            <w:pPr>
              <w:spacing w:line="240" w:lineRule="auto"/>
              <w:jc w:val="left"/>
              <w:rPr>
                <w:rFonts w:asciiTheme="minorHAnsi" w:hAnsiTheme="minorHAnsi" w:cstheme="minorHAnsi"/>
              </w:rPr>
            </w:pPr>
          </w:p>
        </w:tc>
      </w:tr>
      <w:tr w:rsidR="07B6B689" w:rsidRPr="002C18A8" w14:paraId="0E5B00E8"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4218DFA0" w14:textId="28F7EDD7"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17BEA325" w14:textId="0BCBE416" w:rsidR="07B6B689" w:rsidRPr="002C18A8" w:rsidRDefault="00E945C5" w:rsidP="07B6B689">
            <w:pPr>
              <w:rPr>
                <w:rFonts w:asciiTheme="minorHAnsi" w:hAnsiTheme="minorHAnsi" w:cstheme="minorHAnsi"/>
              </w:rPr>
            </w:pPr>
            <w:r>
              <w:rPr>
                <w:rFonts w:asciiTheme="minorHAnsi" w:eastAsia="Arial" w:hAnsiTheme="minorHAnsi" w:cstheme="minorHAnsi"/>
                <w:color w:val="000000" w:themeColor="text1"/>
                <w:lang w:val="pl"/>
              </w:rPr>
              <w:t>Konfederacja Lewiatan</w:t>
            </w:r>
          </w:p>
        </w:tc>
        <w:tc>
          <w:tcPr>
            <w:tcW w:w="2089" w:type="dxa"/>
            <w:tcBorders>
              <w:top w:val="single" w:sz="4" w:space="0" w:color="auto"/>
              <w:left w:val="single" w:sz="4" w:space="0" w:color="auto"/>
              <w:bottom w:val="single" w:sz="4" w:space="0" w:color="auto"/>
              <w:right w:val="single" w:sz="4" w:space="0" w:color="auto"/>
            </w:tcBorders>
          </w:tcPr>
          <w:p w14:paraId="7D3C615A" w14:textId="073167CE"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29-30</w:t>
            </w:r>
          </w:p>
          <w:p w14:paraId="5DB7074D" w14:textId="1C56B2E9"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54</w:t>
            </w:r>
            <w:r w:rsidR="00D86F93">
              <w:rPr>
                <w:rFonts w:asciiTheme="minorHAnsi" w:eastAsia="Arial" w:hAnsiTheme="minorHAnsi" w:cstheme="minorHAnsi"/>
                <w:color w:val="000000" w:themeColor="text1"/>
              </w:rPr>
              <w:t>-63</w:t>
            </w:r>
          </w:p>
        </w:tc>
        <w:tc>
          <w:tcPr>
            <w:tcW w:w="4337" w:type="dxa"/>
            <w:tcBorders>
              <w:top w:val="single" w:sz="4" w:space="0" w:color="auto"/>
              <w:left w:val="single" w:sz="4" w:space="0" w:color="auto"/>
              <w:bottom w:val="single" w:sz="4" w:space="0" w:color="auto"/>
              <w:right w:val="single" w:sz="4" w:space="0" w:color="auto"/>
            </w:tcBorders>
          </w:tcPr>
          <w:p w14:paraId="5CDEC23B" w14:textId="224F3935"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Należy jednoznacznie wskazać, że obniżenie parametrów temperaturowych w istniejących sieciach ciepłowniczych będzie wymagało dedykowanych programów wsparcia CAPEX, celowanych bezpośrednio na modernizację hydrauliki istniejących rurociągów (w tym preizolowanych).</w:t>
            </w:r>
          </w:p>
        </w:tc>
        <w:tc>
          <w:tcPr>
            <w:tcW w:w="4111" w:type="dxa"/>
            <w:tcBorders>
              <w:top w:val="single" w:sz="4" w:space="0" w:color="auto"/>
              <w:left w:val="single" w:sz="4" w:space="0" w:color="auto"/>
              <w:bottom w:val="single" w:sz="4" w:space="0" w:color="auto"/>
              <w:right w:val="single" w:sz="4" w:space="0" w:color="auto"/>
            </w:tcBorders>
          </w:tcPr>
          <w:p w14:paraId="68885BAA" w14:textId="3108C3BC"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Strategia słusznie wskazuje na potrzebę obniżania temperatur sieci, jednak brakuje nakreślenia skali kosztów. Istniejące sieci starszej generacji nie będą w stanie efektywnie przesyłać ciepła niskotemperaturowego bez wymiany średnic na większe (obniżenie różnicy temperatur wymusza zwiększenie przepływów). Generuje to olbrzymie koszty inwestycyjne, które nie mogą zostać w całości przeniesione na taryfę odbiorców końcowych.</w:t>
            </w:r>
          </w:p>
        </w:tc>
        <w:tc>
          <w:tcPr>
            <w:tcW w:w="1905" w:type="dxa"/>
            <w:tcBorders>
              <w:top w:val="single" w:sz="4" w:space="0" w:color="auto"/>
              <w:left w:val="single" w:sz="4" w:space="0" w:color="auto"/>
              <w:bottom w:val="single" w:sz="4" w:space="0" w:color="auto"/>
              <w:right w:val="single" w:sz="4" w:space="0" w:color="auto"/>
            </w:tcBorders>
          </w:tcPr>
          <w:p w14:paraId="1114B8A5" w14:textId="3CBAA2F9" w:rsidR="07B6B689" w:rsidRPr="002C18A8" w:rsidRDefault="07B6B689" w:rsidP="07B6B689">
            <w:pPr>
              <w:spacing w:line="240" w:lineRule="auto"/>
              <w:jc w:val="left"/>
              <w:rPr>
                <w:rFonts w:asciiTheme="minorHAnsi" w:hAnsiTheme="minorHAnsi" w:cstheme="minorHAnsi"/>
              </w:rPr>
            </w:pPr>
          </w:p>
        </w:tc>
      </w:tr>
      <w:tr w:rsidR="07B6B689" w:rsidRPr="002C18A8" w14:paraId="589CF5AF"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1B156093" w14:textId="7136F190" w:rsidR="07B6B689" w:rsidRPr="00EE2CA1" w:rsidRDefault="07B6B689"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77EA5C4C" w14:textId="6B9EECF6" w:rsidR="07B6B689"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2DDEE7B3" w14:textId="7C233DD7"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29-30</w:t>
            </w:r>
          </w:p>
        </w:tc>
        <w:tc>
          <w:tcPr>
            <w:tcW w:w="4337" w:type="dxa"/>
            <w:tcBorders>
              <w:top w:val="single" w:sz="4" w:space="0" w:color="auto"/>
              <w:left w:val="single" w:sz="4" w:space="0" w:color="auto"/>
              <w:bottom w:val="single" w:sz="4" w:space="0" w:color="auto"/>
              <w:right w:val="single" w:sz="4" w:space="0" w:color="auto"/>
            </w:tcBorders>
          </w:tcPr>
          <w:p w14:paraId="71D9E77F" w14:textId="400276C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Przepisy i programy dofinansowań powinny wspierać nie tylko transformację całych systemów, ale również wydzielanie w systemach ciepłowniczych stref o niższych temperaturach wody sieciowej.</w:t>
            </w:r>
          </w:p>
        </w:tc>
        <w:tc>
          <w:tcPr>
            <w:tcW w:w="4111" w:type="dxa"/>
            <w:tcBorders>
              <w:top w:val="single" w:sz="4" w:space="0" w:color="auto"/>
              <w:left w:val="single" w:sz="4" w:space="0" w:color="auto"/>
              <w:bottom w:val="single" w:sz="4" w:space="0" w:color="auto"/>
              <w:right w:val="single" w:sz="4" w:space="0" w:color="auto"/>
            </w:tcBorders>
          </w:tcPr>
          <w:p w14:paraId="70FB095E" w14:textId="4EC30F79"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W przypadku dużych systemów ciepłowniczych wyzwaniem jest jednorodne obniżanie tabeli regulacyjnej w całym systemie z uwagi na konieczność uwzględnienia możliwości odebrania mocy cieplnej z niskotemperaturowych sieci przez istniejące instalacje wewnętrzne projektowane pod systemy wysokotemperaturowe. Racjonalnym kierunkiem jest tworzenie stref </w:t>
            </w:r>
            <w:proofErr w:type="spellStart"/>
            <w:r w:rsidRPr="002C18A8">
              <w:rPr>
                <w:rFonts w:asciiTheme="minorHAnsi" w:eastAsia="Arial" w:hAnsiTheme="minorHAnsi" w:cstheme="minorHAnsi"/>
                <w:color w:val="000000" w:themeColor="text1"/>
              </w:rPr>
              <w:t>podmieszania</w:t>
            </w:r>
            <w:proofErr w:type="spellEnd"/>
            <w:r w:rsidRPr="002C18A8">
              <w:rPr>
                <w:rFonts w:asciiTheme="minorHAnsi" w:eastAsia="Arial" w:hAnsiTheme="minorHAnsi" w:cstheme="minorHAnsi"/>
                <w:color w:val="000000" w:themeColor="text1"/>
              </w:rPr>
              <w:t xml:space="preserve"> wody sieciowej w celu obniżania temperatury w pewnych obszarach sieci.</w:t>
            </w:r>
          </w:p>
        </w:tc>
        <w:tc>
          <w:tcPr>
            <w:tcW w:w="1905" w:type="dxa"/>
            <w:tcBorders>
              <w:top w:val="single" w:sz="4" w:space="0" w:color="auto"/>
              <w:left w:val="single" w:sz="4" w:space="0" w:color="auto"/>
              <w:bottom w:val="single" w:sz="4" w:space="0" w:color="auto"/>
              <w:right w:val="single" w:sz="4" w:space="0" w:color="auto"/>
            </w:tcBorders>
          </w:tcPr>
          <w:p w14:paraId="1E993FFA" w14:textId="47DB3CC3" w:rsidR="07B6B689" w:rsidRPr="002C18A8" w:rsidRDefault="07B6B689" w:rsidP="07B6B689">
            <w:pPr>
              <w:spacing w:line="240" w:lineRule="auto"/>
              <w:jc w:val="left"/>
              <w:rPr>
                <w:rFonts w:asciiTheme="minorHAnsi" w:hAnsiTheme="minorHAnsi" w:cstheme="minorHAnsi"/>
              </w:rPr>
            </w:pPr>
          </w:p>
        </w:tc>
      </w:tr>
      <w:tr w:rsidR="07B6B689" w:rsidRPr="002C18A8" w14:paraId="6ECA8859"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3330F8B2" w14:textId="444F73EB" w:rsidR="07B6B689" w:rsidRPr="00EE2CA1" w:rsidRDefault="07B6B689"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6365A39E" w14:textId="5CF18C1C" w:rsidR="07B6B689"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17AFDF24" w14:textId="0FA28D2F"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31</w:t>
            </w:r>
          </w:p>
        </w:tc>
        <w:tc>
          <w:tcPr>
            <w:tcW w:w="4337" w:type="dxa"/>
            <w:tcBorders>
              <w:top w:val="single" w:sz="4" w:space="0" w:color="auto"/>
              <w:left w:val="single" w:sz="4" w:space="0" w:color="auto"/>
              <w:bottom w:val="single" w:sz="4" w:space="0" w:color="auto"/>
              <w:right w:val="single" w:sz="4" w:space="0" w:color="auto"/>
            </w:tcBorders>
          </w:tcPr>
          <w:p w14:paraId="23B14C17" w14:textId="11E0B5C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Źródła ciepła odpadowego lub OZE zamontowane u </w:t>
            </w:r>
            <w:r w:rsidR="00450A13">
              <w:rPr>
                <w:rFonts w:asciiTheme="minorHAnsi" w:eastAsia="Arial" w:hAnsiTheme="minorHAnsi" w:cstheme="minorHAnsi"/>
                <w:color w:val="000000" w:themeColor="text1"/>
              </w:rPr>
              <w:t>k</w:t>
            </w:r>
            <w:r w:rsidRPr="002C18A8">
              <w:rPr>
                <w:rFonts w:asciiTheme="minorHAnsi" w:eastAsia="Arial" w:hAnsiTheme="minorHAnsi" w:cstheme="minorHAnsi"/>
                <w:color w:val="000000" w:themeColor="text1"/>
              </w:rPr>
              <w:t>lientów powinny być projektowane z myślą o produkcji całości ciepła na sieć ciepłowniczą - w ten sposób optymalizowane są koszty inwestycyjne z uwagi na większą prostotę układu oraz poprawiane są koszty eksploatacyjne systemu ciepłowniczego dzięki zapewnieniu przepływu wody sieciowej w systemie, zwłaszcza w okresie letnim.</w:t>
            </w:r>
          </w:p>
          <w:p w14:paraId="411908AF" w14:textId="5C6C2842" w:rsidR="07B6B689" w:rsidRPr="002C18A8" w:rsidRDefault="07B6B689" w:rsidP="07B6B689">
            <w:pPr>
              <w:rPr>
                <w:rFonts w:asciiTheme="minorHAnsi" w:hAnsiTheme="minorHAnsi" w:cstheme="minorHAnsi"/>
              </w:rPr>
            </w:pPr>
            <w:r w:rsidRPr="002C18A8">
              <w:rPr>
                <w:rFonts w:asciiTheme="minorHAnsi" w:eastAsia="Times New Roman" w:hAnsiTheme="minorHAnsi" w:cstheme="minorHAnsi"/>
              </w:rPr>
              <w:t xml:space="preserve"> </w:t>
            </w:r>
          </w:p>
          <w:p w14:paraId="6ACFAA79" w14:textId="48EC85E7"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Należy również przemodelować zapis o dwukierunkowej pracy węzłów cieplnych - hybrydowy węzeł cieplny, aby zapewnić efekty wskazywane przez autorów, powinien stanowić połączenie dwóch układów z osobnymi przyłączeniami i ciepłomierzami: klasyczny węzeł cieplny oraz źródło ciepła </w:t>
            </w:r>
            <w:r w:rsidRPr="002C18A8">
              <w:rPr>
                <w:rFonts w:asciiTheme="minorHAnsi" w:eastAsia="Arial" w:hAnsiTheme="minorHAnsi" w:cstheme="minorHAnsi"/>
                <w:color w:val="000000" w:themeColor="text1"/>
              </w:rPr>
              <w:lastRenderedPageBreak/>
              <w:t>OZE/odpadowego wprowadzającego ciepło do sieci.</w:t>
            </w:r>
          </w:p>
        </w:tc>
        <w:tc>
          <w:tcPr>
            <w:tcW w:w="4111" w:type="dxa"/>
            <w:tcBorders>
              <w:top w:val="single" w:sz="4" w:space="0" w:color="auto"/>
              <w:left w:val="single" w:sz="4" w:space="0" w:color="auto"/>
              <w:bottom w:val="single" w:sz="4" w:space="0" w:color="auto"/>
              <w:right w:val="single" w:sz="4" w:space="0" w:color="auto"/>
            </w:tcBorders>
          </w:tcPr>
          <w:p w14:paraId="5EA385B3" w14:textId="5D2233F3"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lastRenderedPageBreak/>
              <w:t xml:space="preserve">Wykorzystanie do zagospodarowania jedynie nadwyżek ciepła z układów ciepła OZE/odpadowego klientów wpływa niekorzystnie na efektywność dystrybucji ciepła, zwłaszcza w okresie letnim przy niskim zapotrzebowaniu na moc i niskich przepływach wody sieciowej w systemie, co może </w:t>
            </w:r>
            <w:proofErr w:type="gramStart"/>
            <w:r w:rsidRPr="002C18A8">
              <w:rPr>
                <w:rFonts w:asciiTheme="minorHAnsi" w:eastAsia="Arial" w:hAnsiTheme="minorHAnsi" w:cstheme="minorHAnsi"/>
                <w:color w:val="000000" w:themeColor="text1"/>
              </w:rPr>
              <w:t>finalnie</w:t>
            </w:r>
            <w:proofErr w:type="gramEnd"/>
            <w:r w:rsidRPr="002C18A8">
              <w:rPr>
                <w:rFonts w:asciiTheme="minorHAnsi" w:eastAsia="Arial" w:hAnsiTheme="minorHAnsi" w:cstheme="minorHAnsi"/>
                <w:color w:val="000000" w:themeColor="text1"/>
              </w:rPr>
              <w:t xml:space="preserve"> podnosić koszty dystrybucji ciepła dla wszystkich odbiorców. W odróżnieniu od systemu elektroenergetycznego, w systemie ciepłowniczym wraz ze spadkiem zapotrzebowania na moc u odbiorców względne straty </w:t>
            </w:r>
            <w:proofErr w:type="spellStart"/>
            <w:r w:rsidRPr="002C18A8">
              <w:rPr>
                <w:rFonts w:asciiTheme="minorHAnsi" w:eastAsia="Arial" w:hAnsiTheme="minorHAnsi" w:cstheme="minorHAnsi"/>
                <w:color w:val="000000" w:themeColor="text1"/>
              </w:rPr>
              <w:t>przesyłu</w:t>
            </w:r>
            <w:proofErr w:type="spellEnd"/>
            <w:r w:rsidRPr="002C18A8">
              <w:rPr>
                <w:rFonts w:asciiTheme="minorHAnsi" w:eastAsia="Arial" w:hAnsiTheme="minorHAnsi" w:cstheme="minorHAnsi"/>
                <w:color w:val="000000" w:themeColor="text1"/>
              </w:rPr>
              <w:t xml:space="preserve"> rosną. </w:t>
            </w:r>
          </w:p>
          <w:p w14:paraId="56FD42AD" w14:textId="4C1AA12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Aby osiągnąć efekt, o którym wspomina rozdział, tj. wsparcie efektywności energetycznej systemu, należy utrzymywać </w:t>
            </w:r>
            <w:r w:rsidRPr="002C18A8">
              <w:rPr>
                <w:rFonts w:asciiTheme="minorHAnsi" w:eastAsia="Arial" w:hAnsiTheme="minorHAnsi" w:cstheme="minorHAnsi"/>
                <w:color w:val="000000" w:themeColor="text1"/>
              </w:rPr>
              <w:lastRenderedPageBreak/>
              <w:t xml:space="preserve">przepływ wody sieciowej w systemie poprzez wykorzystanie sieci jako rezerwuaru do wprowadzania ciepła OZE/odpadowego z małych rozproszonych instalacji </w:t>
            </w:r>
            <w:r w:rsidR="00450A13">
              <w:rPr>
                <w:rFonts w:asciiTheme="minorHAnsi" w:eastAsia="Arial" w:hAnsiTheme="minorHAnsi" w:cstheme="minorHAnsi"/>
                <w:color w:val="000000" w:themeColor="text1"/>
              </w:rPr>
              <w:t>k</w:t>
            </w:r>
            <w:r w:rsidRPr="002C18A8">
              <w:rPr>
                <w:rFonts w:asciiTheme="minorHAnsi" w:eastAsia="Arial" w:hAnsiTheme="minorHAnsi" w:cstheme="minorHAnsi"/>
                <w:color w:val="000000" w:themeColor="text1"/>
              </w:rPr>
              <w:t xml:space="preserve">lientów. </w:t>
            </w:r>
          </w:p>
          <w:p w14:paraId="40CC8E81" w14:textId="5026E26F" w:rsidR="07B6B689" w:rsidRPr="002C18A8" w:rsidRDefault="07B6B689" w:rsidP="07B6B689">
            <w:pPr>
              <w:rPr>
                <w:rFonts w:asciiTheme="minorHAnsi" w:hAnsiTheme="minorHAnsi" w:cstheme="minorHAnsi"/>
              </w:rPr>
            </w:pPr>
            <w:r w:rsidRPr="002C18A8">
              <w:rPr>
                <w:rFonts w:asciiTheme="minorHAnsi" w:eastAsia="Times New Roman" w:hAnsiTheme="minorHAnsi" w:cstheme="minorHAnsi"/>
              </w:rPr>
              <w:t xml:space="preserve"> </w:t>
            </w:r>
          </w:p>
          <w:p w14:paraId="1EB2B40C" w14:textId="2AA90331"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Z uwagi na specyfikę zjawiska wymiany ciepła nie jest również możliwe zastosowanie rozwiązania znanego z elektroenergetyki tj. dwukierunkowych liczników - wprowadzanie ciepła do sieci wymaga odwrotnego kierunku przepływu wody sieciowej przez wymiennik i ciepłomierz.</w:t>
            </w:r>
          </w:p>
          <w:p w14:paraId="4BEE6060" w14:textId="54E6B6EE"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Obecnie konstruowane ciepłomierze odczytując wsteczny przepływ w przepływomierzu weryfikują to jako nieprawidłową pracę. Również wymienniki ciepła, aby zapewnić prawidłową sprawność wymiany ciepła między wodą sieciową a obiegiem źródła, wymagają określonego kierunku przepływu medium.</w:t>
            </w:r>
          </w:p>
          <w:p w14:paraId="5C1DFC19" w14:textId="2BA38F80"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W związku z tym, aby zapewnić prawidłowe funkcjonowanie urządzeń, konieczne jest zastosowanie osobnego punktu pomiarowego i miejsca włączenia małej instalacji OZE/ciepła odpadowego do sieci ciepłowniczej.</w:t>
            </w:r>
          </w:p>
        </w:tc>
        <w:tc>
          <w:tcPr>
            <w:tcW w:w="1905" w:type="dxa"/>
            <w:tcBorders>
              <w:top w:val="single" w:sz="4" w:space="0" w:color="auto"/>
              <w:left w:val="single" w:sz="4" w:space="0" w:color="auto"/>
              <w:bottom w:val="single" w:sz="4" w:space="0" w:color="auto"/>
              <w:right w:val="single" w:sz="4" w:space="0" w:color="auto"/>
            </w:tcBorders>
          </w:tcPr>
          <w:p w14:paraId="31C46280" w14:textId="743E20F9" w:rsidR="07B6B689" w:rsidRPr="002C18A8" w:rsidRDefault="07B6B689" w:rsidP="07B6B689">
            <w:pPr>
              <w:spacing w:line="240" w:lineRule="auto"/>
              <w:jc w:val="left"/>
              <w:rPr>
                <w:rFonts w:asciiTheme="minorHAnsi" w:hAnsiTheme="minorHAnsi" w:cstheme="minorHAnsi"/>
              </w:rPr>
            </w:pPr>
          </w:p>
        </w:tc>
      </w:tr>
      <w:tr w:rsidR="67A3788F" w:rsidRPr="002C18A8" w14:paraId="7F020B2C"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17EBD564" w14:textId="029640B1" w:rsidR="67A3788F" w:rsidRPr="00EE2CA1" w:rsidRDefault="67A3788F"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1DE0FEF6" w14:textId="79201611" w:rsidR="67A3788F" w:rsidRPr="002C18A8" w:rsidRDefault="0096780A" w:rsidP="0096780A">
            <w:pPr>
              <w:pStyle w:val="Normalny1"/>
              <w:rPr>
                <w:rFonts w:asciiTheme="minorHAnsi" w:eastAsia="Arial" w:hAnsiTheme="minorHAnsi" w:cstheme="minorHAnsi"/>
                <w:color w:val="000000" w:themeColor="text1"/>
                <w:lang w:val="pl"/>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7044947D" w14:textId="19A46F18"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t>9.1. Węzły hybrydowe, str.31</w:t>
            </w:r>
          </w:p>
        </w:tc>
        <w:tc>
          <w:tcPr>
            <w:tcW w:w="4337" w:type="dxa"/>
            <w:tcBorders>
              <w:top w:val="single" w:sz="4" w:space="0" w:color="auto"/>
              <w:left w:val="single" w:sz="4" w:space="0" w:color="auto"/>
              <w:bottom w:val="single" w:sz="4" w:space="0" w:color="auto"/>
              <w:right w:val="single" w:sz="4" w:space="0" w:color="auto"/>
            </w:tcBorders>
          </w:tcPr>
          <w:p w14:paraId="0915199D" w14:textId="2092830A" w:rsidR="67A3788F" w:rsidRPr="002C18A8" w:rsidRDefault="67A3788F" w:rsidP="67A3788F">
            <w:pPr>
              <w:rPr>
                <w:rFonts w:asciiTheme="minorHAnsi" w:eastAsia="Arial" w:hAnsiTheme="minorHAnsi" w:cstheme="minorHAnsi"/>
                <w:color w:val="000000" w:themeColor="text1"/>
              </w:rPr>
            </w:pPr>
            <w:r w:rsidRPr="002C18A8">
              <w:rPr>
                <w:rFonts w:asciiTheme="minorHAnsi" w:eastAsia="Arial" w:hAnsiTheme="minorHAnsi" w:cstheme="minorHAnsi"/>
                <w:color w:val="000000" w:themeColor="text1"/>
                <w:lang w:val="pl"/>
              </w:rPr>
              <w:t xml:space="preserve">Postulujemy stworzenie spójnych regulacji dotyczących stosowania węzłów hybrydowych instalowanych u odbiorców ciepła, w celu zapewnienia bezpiecznej, efektywnej i </w:t>
            </w:r>
            <w:r w:rsidRPr="002C18A8">
              <w:rPr>
                <w:rFonts w:asciiTheme="minorHAnsi" w:eastAsia="Arial" w:hAnsiTheme="minorHAnsi" w:cstheme="minorHAnsi"/>
                <w:color w:val="000000" w:themeColor="text1"/>
                <w:lang w:val="pl"/>
              </w:rPr>
              <w:lastRenderedPageBreak/>
              <w:t>ekonomicznie uzasadnionej pracy systemów ciepłowniczych. Regulacje powinny obejmować</w:t>
            </w:r>
            <w:r w:rsidRPr="002C18A8">
              <w:rPr>
                <w:rFonts w:asciiTheme="minorHAnsi" w:eastAsia="Arial" w:hAnsiTheme="minorHAnsi" w:cstheme="minorHAnsi"/>
                <w:color w:val="000000" w:themeColor="text1"/>
              </w:rPr>
              <w:t>:</w:t>
            </w:r>
          </w:p>
          <w:p w14:paraId="1601DECC" w14:textId="720A7345" w:rsidR="67A3788F" w:rsidRPr="002C18A8" w:rsidRDefault="67A3788F" w:rsidP="67A3788F">
            <w:pPr>
              <w:pStyle w:val="Akapitzlist"/>
              <w:numPr>
                <w:ilvl w:val="0"/>
                <w:numId w:val="6"/>
              </w:numPr>
              <w:tabs>
                <w:tab w:val="left" w:pos="0"/>
                <w:tab w:val="left" w:pos="720"/>
              </w:tabs>
              <w:spacing w:line="256" w:lineRule="auto"/>
              <w:jc w:val="both"/>
              <w:rPr>
                <w:rFonts w:eastAsia="Arial" w:cstheme="minorHAnsi"/>
                <w:color w:val="000000" w:themeColor="text1"/>
                <w:lang w:val="pl"/>
              </w:rPr>
            </w:pPr>
            <w:r w:rsidRPr="002C18A8">
              <w:rPr>
                <w:rFonts w:eastAsia="Arial" w:cstheme="minorHAnsi"/>
                <w:color w:val="000000" w:themeColor="text1"/>
                <w:lang w:val="pl"/>
              </w:rPr>
              <w:t>wprowadzenie dedykowanych zasad taryfowych dla odbiorców wykorzystujących węzły hybrydowe, uwzględniających szczytowy charakter poboru ciepła, w szczególności na potrzeby centralnego ogrzewania i przygotowania ciepłej wody użytkowej;</w:t>
            </w:r>
          </w:p>
          <w:p w14:paraId="2351C4FD" w14:textId="0FD1C5A6" w:rsidR="67A3788F" w:rsidRPr="002C18A8" w:rsidRDefault="67A3788F" w:rsidP="67A3788F">
            <w:pPr>
              <w:pStyle w:val="Akapitzlist"/>
              <w:numPr>
                <w:ilvl w:val="0"/>
                <w:numId w:val="6"/>
              </w:numPr>
              <w:tabs>
                <w:tab w:val="left" w:pos="0"/>
                <w:tab w:val="left" w:pos="720"/>
              </w:tabs>
              <w:spacing w:line="256" w:lineRule="auto"/>
              <w:jc w:val="both"/>
              <w:rPr>
                <w:rFonts w:eastAsia="Arial" w:cstheme="minorHAnsi"/>
                <w:color w:val="000000" w:themeColor="text1"/>
                <w:lang w:val="pl"/>
              </w:rPr>
            </w:pPr>
            <w:r w:rsidRPr="002C18A8">
              <w:rPr>
                <w:rFonts w:eastAsia="Arial" w:cstheme="minorHAnsi"/>
                <w:color w:val="000000" w:themeColor="text1"/>
                <w:lang w:val="pl"/>
              </w:rPr>
              <w:t>ustanowienie obowiązku uzgadniania z przedsiębiorstwem ciepłowniczym zmian warunków zasilania dla instalacji dodatkowych źródeł ciepła w węźle cieplnym przed ich realizacją;</w:t>
            </w:r>
          </w:p>
          <w:p w14:paraId="371DB5C0" w14:textId="55D0B4FF" w:rsidR="67A3788F" w:rsidRPr="002C18A8" w:rsidRDefault="67A3788F" w:rsidP="67A3788F">
            <w:pPr>
              <w:pStyle w:val="Akapitzlist"/>
              <w:numPr>
                <w:ilvl w:val="0"/>
                <w:numId w:val="6"/>
              </w:numPr>
              <w:tabs>
                <w:tab w:val="left" w:pos="0"/>
                <w:tab w:val="left" w:pos="720"/>
              </w:tabs>
              <w:spacing w:line="256" w:lineRule="auto"/>
              <w:jc w:val="both"/>
              <w:rPr>
                <w:rFonts w:eastAsia="Arial" w:cstheme="minorHAnsi"/>
                <w:color w:val="000000" w:themeColor="text1"/>
                <w:lang w:val="pl"/>
              </w:rPr>
            </w:pPr>
            <w:r w:rsidRPr="002C18A8">
              <w:rPr>
                <w:rFonts w:eastAsia="Arial" w:cstheme="minorHAnsi"/>
                <w:color w:val="000000" w:themeColor="text1"/>
                <w:lang w:val="pl"/>
              </w:rPr>
              <w:t xml:space="preserve">ograniczenie publicznego wsparcia inwestycyjnego dla węzłów hybrydowych przyłączonych do efektywnych energetycznie systemów ciepłowniczych, tak aby nie prowadzić do osłabiania efektywności ekonomicznej i środowiskowej istniejącej infrastruktury sieciowej. </w:t>
            </w:r>
          </w:p>
        </w:tc>
        <w:tc>
          <w:tcPr>
            <w:tcW w:w="4111" w:type="dxa"/>
            <w:tcBorders>
              <w:top w:val="single" w:sz="4" w:space="0" w:color="auto"/>
              <w:left w:val="single" w:sz="4" w:space="0" w:color="auto"/>
              <w:bottom w:val="single" w:sz="4" w:space="0" w:color="auto"/>
              <w:right w:val="single" w:sz="4" w:space="0" w:color="auto"/>
            </w:tcBorders>
          </w:tcPr>
          <w:p w14:paraId="50F67F4F" w14:textId="23CF133D" w:rsidR="67A3788F" w:rsidRPr="002C18A8" w:rsidRDefault="67A3788F" w:rsidP="67A3788F">
            <w:pPr>
              <w:rPr>
                <w:rFonts w:asciiTheme="minorHAnsi" w:eastAsia="Arial" w:hAnsiTheme="minorHAnsi" w:cstheme="minorHAnsi"/>
                <w:color w:val="000000" w:themeColor="text1"/>
                <w:lang w:val="pl"/>
              </w:rPr>
            </w:pPr>
            <w:r w:rsidRPr="002C18A8">
              <w:rPr>
                <w:rFonts w:asciiTheme="minorHAnsi" w:eastAsia="Arial" w:hAnsiTheme="minorHAnsi" w:cstheme="minorHAnsi"/>
                <w:color w:val="000000" w:themeColor="text1"/>
                <w:lang w:val="pl"/>
              </w:rPr>
              <w:lastRenderedPageBreak/>
              <w:t xml:space="preserve">Rozwój węzłów hybrydowych bez odpowiednich regulacji może prowadzić do wzrostu obciążeń szczytowych, pogorszenia warunków pracy sieci ciepłowniczych oraz </w:t>
            </w:r>
            <w:r w:rsidRPr="002C18A8">
              <w:rPr>
                <w:rFonts w:asciiTheme="minorHAnsi" w:eastAsia="Arial" w:hAnsiTheme="minorHAnsi" w:cstheme="minorHAnsi"/>
                <w:color w:val="000000" w:themeColor="text1"/>
                <w:lang w:val="pl"/>
              </w:rPr>
              <w:lastRenderedPageBreak/>
              <w:t>przenoszenia kosztów utrzymania infrastruktury na pozostałych odbiorców. Ramy regulacyjne powinny zapewniać neutralność technologiczną przy jednoczesnym zachowaniu efektywności energetycznej i ekonomicznej systemów ciepłowniczych.</w:t>
            </w:r>
          </w:p>
        </w:tc>
        <w:tc>
          <w:tcPr>
            <w:tcW w:w="1905" w:type="dxa"/>
            <w:tcBorders>
              <w:top w:val="single" w:sz="4" w:space="0" w:color="auto"/>
              <w:left w:val="single" w:sz="4" w:space="0" w:color="auto"/>
              <w:bottom w:val="single" w:sz="4" w:space="0" w:color="auto"/>
              <w:right w:val="single" w:sz="4" w:space="0" w:color="auto"/>
            </w:tcBorders>
          </w:tcPr>
          <w:p w14:paraId="399EE781" w14:textId="524F275F" w:rsidR="67A3788F" w:rsidRPr="002C18A8" w:rsidRDefault="67A3788F" w:rsidP="67A3788F">
            <w:pPr>
              <w:spacing w:line="240" w:lineRule="auto"/>
              <w:jc w:val="left"/>
              <w:rPr>
                <w:rFonts w:asciiTheme="minorHAnsi" w:hAnsiTheme="minorHAnsi" w:cstheme="minorHAnsi"/>
              </w:rPr>
            </w:pPr>
          </w:p>
        </w:tc>
      </w:tr>
      <w:tr w:rsidR="07B6B689" w:rsidRPr="002C18A8" w14:paraId="3D4B28AB"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0B556412" w14:textId="2304BE61"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0798369A" w14:textId="4D0ADC0E"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2ACADDCE" w14:textId="6A76BBC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32-34</w:t>
            </w:r>
          </w:p>
        </w:tc>
        <w:tc>
          <w:tcPr>
            <w:tcW w:w="4337" w:type="dxa"/>
            <w:tcBorders>
              <w:top w:val="single" w:sz="4" w:space="0" w:color="auto"/>
              <w:left w:val="single" w:sz="4" w:space="0" w:color="auto"/>
              <w:bottom w:val="single" w:sz="4" w:space="0" w:color="auto"/>
              <w:right w:val="single" w:sz="4" w:space="0" w:color="auto"/>
            </w:tcBorders>
          </w:tcPr>
          <w:p w14:paraId="1E84121F" w14:textId="5E4ACD97"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Nie zostały wskazane ryzyka/ograniczenia po stronie sektora ciepłowniczego.</w:t>
            </w:r>
          </w:p>
          <w:p w14:paraId="61222E74" w14:textId="4DDB2880"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Pominięto m.in. aspekt sezonowości zapotrzebowania na ciepło - zdecydowana większość nadwyżek energii elektrycznej i nierynkowego dysponowania występuje latem, </w:t>
            </w:r>
            <w:r w:rsidRPr="002C18A8">
              <w:rPr>
                <w:rFonts w:asciiTheme="minorHAnsi" w:eastAsia="Arial" w:hAnsiTheme="minorHAnsi" w:cstheme="minorHAnsi"/>
                <w:color w:val="000000" w:themeColor="text1"/>
              </w:rPr>
              <w:lastRenderedPageBreak/>
              <w:t>a przytłaczająca większość zapotrzebowania na ciepło występuje zimą.</w:t>
            </w:r>
          </w:p>
        </w:tc>
        <w:tc>
          <w:tcPr>
            <w:tcW w:w="4111" w:type="dxa"/>
            <w:tcBorders>
              <w:top w:val="single" w:sz="4" w:space="0" w:color="auto"/>
              <w:left w:val="single" w:sz="4" w:space="0" w:color="auto"/>
              <w:bottom w:val="single" w:sz="4" w:space="0" w:color="auto"/>
              <w:right w:val="single" w:sz="4" w:space="0" w:color="auto"/>
            </w:tcBorders>
          </w:tcPr>
          <w:p w14:paraId="6BC31F69" w14:textId="091E18C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lastRenderedPageBreak/>
              <w:t>Rozdział w niewystarczającym stopniu akcentuje ryzyka i ograniczenia występujące po stronie sektora ciepłowniczego:</w:t>
            </w:r>
          </w:p>
          <w:p w14:paraId="5D52A390" w14:textId="7088D4DE" w:rsidR="07B6B689" w:rsidRPr="002C18A8" w:rsidRDefault="07B6B689" w:rsidP="00907B6D">
            <w:pPr>
              <w:pStyle w:val="Akapitzlist"/>
              <w:numPr>
                <w:ilvl w:val="0"/>
                <w:numId w:val="4"/>
              </w:numPr>
              <w:tabs>
                <w:tab w:val="left" w:pos="0"/>
                <w:tab w:val="left" w:pos="720"/>
              </w:tabs>
              <w:jc w:val="both"/>
              <w:rPr>
                <w:rFonts w:eastAsia="Arial" w:cstheme="minorHAnsi"/>
                <w:color w:val="000000" w:themeColor="text1"/>
              </w:rPr>
            </w:pPr>
            <w:r w:rsidRPr="002C18A8">
              <w:rPr>
                <w:rFonts w:eastAsia="Arial" w:cstheme="minorHAnsi"/>
                <w:color w:val="000000" w:themeColor="text1"/>
              </w:rPr>
              <w:t xml:space="preserve">niską podstawę w okresie letnim, gdy na ciepło z nadprodukcji OZE nie ma miejsca w systemie - tutaj bardzo ważnym czynnikiem jest sezonowe </w:t>
            </w:r>
            <w:r w:rsidRPr="002C18A8">
              <w:rPr>
                <w:rFonts w:eastAsia="Arial" w:cstheme="minorHAnsi"/>
                <w:color w:val="000000" w:themeColor="text1"/>
              </w:rPr>
              <w:lastRenderedPageBreak/>
              <w:t>magazynowanie ciepła, ponieważ krótkoterminowe magazyny ciepła nie będą wystarczające</w:t>
            </w:r>
          </w:p>
          <w:p w14:paraId="4A7A684D" w14:textId="670B254B" w:rsidR="07B6B689" w:rsidRPr="002C18A8" w:rsidRDefault="07B6B689" w:rsidP="00907B6D">
            <w:pPr>
              <w:pStyle w:val="Akapitzlist"/>
              <w:numPr>
                <w:ilvl w:val="0"/>
                <w:numId w:val="4"/>
              </w:numPr>
              <w:tabs>
                <w:tab w:val="left" w:pos="0"/>
                <w:tab w:val="left" w:pos="720"/>
              </w:tabs>
              <w:jc w:val="both"/>
              <w:rPr>
                <w:rFonts w:eastAsia="Arial" w:cstheme="minorHAnsi"/>
                <w:color w:val="000000" w:themeColor="text1"/>
              </w:rPr>
            </w:pPr>
            <w:r w:rsidRPr="002C18A8">
              <w:rPr>
                <w:rFonts w:eastAsia="Arial" w:cstheme="minorHAnsi"/>
                <w:color w:val="000000" w:themeColor="text1"/>
              </w:rPr>
              <w:t>utratę/niższe wsparcie przewidziane przez system wsparcia wysokosprawnej kogeneracji (który zachęca do produkowania jak największej ilości energii w kogeneracji)</w:t>
            </w:r>
          </w:p>
          <w:p w14:paraId="7CE4498D" w14:textId="5AA3273A"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Strategia powinna po pierwsze zidentyfikować przedstawione ryzyka, a po drugie pokazać środki służące do ich </w:t>
            </w:r>
            <w:proofErr w:type="spellStart"/>
            <w:r w:rsidRPr="002C18A8">
              <w:rPr>
                <w:rFonts w:asciiTheme="minorHAnsi" w:eastAsia="Arial" w:hAnsiTheme="minorHAnsi" w:cstheme="minorHAnsi"/>
                <w:color w:val="000000" w:themeColor="text1"/>
              </w:rPr>
              <w:t>mitygacji</w:t>
            </w:r>
            <w:proofErr w:type="spellEnd"/>
            <w:r w:rsidRPr="002C18A8">
              <w:rPr>
                <w:rFonts w:asciiTheme="minorHAnsi" w:eastAsia="Arial" w:hAnsiTheme="minorHAnsi" w:cstheme="minorHAnsi"/>
                <w:color w:val="000000" w:themeColor="text1"/>
              </w:rPr>
              <w:t xml:space="preserve">. </w:t>
            </w:r>
          </w:p>
          <w:p w14:paraId="07FC588C" w14:textId="27493C89"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Należy przy tym uwzględnić charakterystykę porównawczą magazynów sezonowych i akumulatorów. Magazynowanie sezonowe jest prostsze i tańsze niż magazynowanie energii w przeliczeniu na jednostkę pojemności akumulatora, ale w przeliczeniu na jednostkę zmagazynowanej energii w ciągu roku może być odwrotnie, jeśli porównujemy magazynowanie sezonowe (ok. 1 cyklu rocznie) ciepła z magazynowaniem dobowym (ok. 365 cykli rocznie) energii elektrycznej.</w:t>
            </w:r>
          </w:p>
        </w:tc>
        <w:tc>
          <w:tcPr>
            <w:tcW w:w="1905" w:type="dxa"/>
            <w:tcBorders>
              <w:top w:val="single" w:sz="4" w:space="0" w:color="auto"/>
              <w:left w:val="single" w:sz="4" w:space="0" w:color="auto"/>
              <w:bottom w:val="single" w:sz="4" w:space="0" w:color="auto"/>
              <w:right w:val="single" w:sz="4" w:space="0" w:color="auto"/>
            </w:tcBorders>
          </w:tcPr>
          <w:p w14:paraId="02BA17C7" w14:textId="6ABDA6B2" w:rsidR="07B6B689" w:rsidRPr="002C18A8" w:rsidRDefault="07B6B689" w:rsidP="07B6B689">
            <w:pPr>
              <w:spacing w:line="240" w:lineRule="auto"/>
              <w:jc w:val="left"/>
              <w:rPr>
                <w:rFonts w:asciiTheme="minorHAnsi" w:hAnsiTheme="minorHAnsi" w:cstheme="minorHAnsi"/>
              </w:rPr>
            </w:pPr>
          </w:p>
        </w:tc>
      </w:tr>
      <w:tr w:rsidR="07B6B689" w:rsidRPr="002C18A8" w14:paraId="6155B0DB"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7C8E8CBF" w14:textId="6A903574" w:rsidR="07B6B689" w:rsidRPr="00EE2CA1" w:rsidRDefault="07B6B689"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4EC3E404" w14:textId="067D02A9" w:rsidR="07B6B689"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601AA1A9" w14:textId="3C493879"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34</w:t>
            </w:r>
          </w:p>
          <w:p w14:paraId="16382305" w14:textId="4A9ED9E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50</w:t>
            </w:r>
          </w:p>
        </w:tc>
        <w:tc>
          <w:tcPr>
            <w:tcW w:w="4337" w:type="dxa"/>
            <w:tcBorders>
              <w:top w:val="single" w:sz="4" w:space="0" w:color="auto"/>
              <w:left w:val="single" w:sz="4" w:space="0" w:color="auto"/>
              <w:bottom w:val="single" w:sz="4" w:space="0" w:color="auto"/>
              <w:right w:val="single" w:sz="4" w:space="0" w:color="auto"/>
            </w:tcBorders>
          </w:tcPr>
          <w:p w14:paraId="33883320" w14:textId="4AF8C74A"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Rekomendowane jest zaplanowanie wsparcia </w:t>
            </w:r>
            <w:proofErr w:type="spellStart"/>
            <w:r w:rsidRPr="002C18A8">
              <w:rPr>
                <w:rFonts w:asciiTheme="minorHAnsi" w:eastAsia="Arial" w:hAnsiTheme="minorHAnsi" w:cstheme="minorHAnsi"/>
                <w:i/>
                <w:iCs/>
                <w:color w:val="000000" w:themeColor="text1"/>
              </w:rPr>
              <w:t>sector</w:t>
            </w:r>
            <w:proofErr w:type="spellEnd"/>
            <w:r w:rsidRPr="002C18A8">
              <w:rPr>
                <w:rFonts w:asciiTheme="minorHAnsi" w:eastAsia="Arial" w:hAnsiTheme="minorHAnsi" w:cstheme="minorHAnsi"/>
                <w:i/>
                <w:iCs/>
                <w:color w:val="000000" w:themeColor="text1"/>
              </w:rPr>
              <w:t xml:space="preserve"> </w:t>
            </w:r>
            <w:proofErr w:type="spellStart"/>
            <w:r w:rsidRPr="002C18A8">
              <w:rPr>
                <w:rFonts w:asciiTheme="minorHAnsi" w:eastAsia="Arial" w:hAnsiTheme="minorHAnsi" w:cstheme="minorHAnsi"/>
                <w:i/>
                <w:iCs/>
                <w:color w:val="000000" w:themeColor="text1"/>
              </w:rPr>
              <w:t>coupling</w:t>
            </w:r>
            <w:proofErr w:type="spellEnd"/>
            <w:r w:rsidRPr="002C18A8">
              <w:rPr>
                <w:rFonts w:asciiTheme="minorHAnsi" w:eastAsia="Arial" w:hAnsiTheme="minorHAnsi" w:cstheme="minorHAnsi"/>
                <w:i/>
                <w:iCs/>
                <w:color w:val="000000" w:themeColor="text1"/>
              </w:rPr>
              <w:t xml:space="preserve"> </w:t>
            </w:r>
            <w:r w:rsidRPr="002C18A8">
              <w:rPr>
                <w:rFonts w:asciiTheme="minorHAnsi" w:eastAsia="Arial" w:hAnsiTheme="minorHAnsi" w:cstheme="minorHAnsi"/>
                <w:color w:val="000000" w:themeColor="text1"/>
              </w:rPr>
              <w:t>w ścisłej współpracy z PSE, wszystkimi krajowymi OSD oraz Narodowym Centrum Analiz Energetycznych (NCAE).</w:t>
            </w:r>
          </w:p>
        </w:tc>
        <w:tc>
          <w:tcPr>
            <w:tcW w:w="4111" w:type="dxa"/>
            <w:tcBorders>
              <w:top w:val="single" w:sz="4" w:space="0" w:color="auto"/>
              <w:left w:val="single" w:sz="4" w:space="0" w:color="auto"/>
              <w:bottom w:val="single" w:sz="4" w:space="0" w:color="auto"/>
              <w:right w:val="single" w:sz="4" w:space="0" w:color="auto"/>
            </w:tcBorders>
          </w:tcPr>
          <w:p w14:paraId="567A58B1" w14:textId="4AC3FFC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Podstawowym warunkiem osiągnięcia sukcesu w zakresie rozwoju instalacji Power-to-</w:t>
            </w:r>
            <w:proofErr w:type="spellStart"/>
            <w:r w:rsidRPr="002C18A8">
              <w:rPr>
                <w:rFonts w:asciiTheme="minorHAnsi" w:eastAsia="Arial" w:hAnsiTheme="minorHAnsi" w:cstheme="minorHAnsi"/>
                <w:color w:val="000000" w:themeColor="text1"/>
              </w:rPr>
              <w:t>Heat</w:t>
            </w:r>
            <w:proofErr w:type="spellEnd"/>
            <w:r w:rsidRPr="002C18A8">
              <w:rPr>
                <w:rFonts w:asciiTheme="minorHAnsi" w:eastAsia="Arial" w:hAnsiTheme="minorHAnsi" w:cstheme="minorHAnsi"/>
                <w:color w:val="000000" w:themeColor="text1"/>
              </w:rPr>
              <w:t xml:space="preserve"> jest uwolnienie mocy przyłączeniowych dla tych jednostek</w:t>
            </w:r>
            <w:r w:rsidR="00886A38">
              <w:rPr>
                <w:rFonts w:asciiTheme="minorHAnsi" w:eastAsia="Arial" w:hAnsiTheme="minorHAnsi" w:cstheme="minorHAnsi"/>
                <w:color w:val="000000" w:themeColor="text1"/>
              </w:rPr>
              <w:t>;</w:t>
            </w:r>
            <w:r w:rsidRPr="002C18A8">
              <w:rPr>
                <w:rFonts w:asciiTheme="minorHAnsi" w:eastAsia="Arial" w:hAnsiTheme="minorHAnsi" w:cstheme="minorHAnsi"/>
                <w:color w:val="000000" w:themeColor="text1"/>
              </w:rPr>
              <w:t xml:space="preserve"> bez współpracy z operatorami w tym zakresie cele Strategii będą niespójne z planami </w:t>
            </w:r>
            <w:r w:rsidRPr="002C18A8">
              <w:rPr>
                <w:rFonts w:asciiTheme="minorHAnsi" w:eastAsia="Arial" w:hAnsiTheme="minorHAnsi" w:cstheme="minorHAnsi"/>
                <w:color w:val="000000" w:themeColor="text1"/>
              </w:rPr>
              <w:lastRenderedPageBreak/>
              <w:t>strategicznymi OSP i OSD energii elektrycznej. Wykorzystanie tego know-how powinno znacznie ułatwić planowanie ram regulacyjnych i finansowych.</w:t>
            </w:r>
          </w:p>
        </w:tc>
        <w:tc>
          <w:tcPr>
            <w:tcW w:w="1905" w:type="dxa"/>
            <w:tcBorders>
              <w:top w:val="single" w:sz="4" w:space="0" w:color="auto"/>
              <w:left w:val="single" w:sz="4" w:space="0" w:color="auto"/>
              <w:bottom w:val="single" w:sz="4" w:space="0" w:color="auto"/>
              <w:right w:val="single" w:sz="4" w:space="0" w:color="auto"/>
            </w:tcBorders>
          </w:tcPr>
          <w:p w14:paraId="0A050CE1" w14:textId="6758F68C" w:rsidR="07B6B689" w:rsidRPr="002C18A8" w:rsidRDefault="07B6B689" w:rsidP="07B6B689">
            <w:pPr>
              <w:spacing w:line="240" w:lineRule="auto"/>
              <w:jc w:val="left"/>
              <w:rPr>
                <w:rFonts w:asciiTheme="minorHAnsi" w:hAnsiTheme="minorHAnsi" w:cstheme="minorHAnsi"/>
              </w:rPr>
            </w:pPr>
          </w:p>
        </w:tc>
      </w:tr>
      <w:tr w:rsidR="07B6B689" w:rsidRPr="002C18A8" w14:paraId="16427E1D"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2BF3D387" w14:textId="129E71B1" w:rsidR="07B6B689" w:rsidRPr="00EE2CA1" w:rsidRDefault="07B6B689"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5FBDD24B" w14:textId="32A51EB7" w:rsidR="07B6B689"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51CB987C" w14:textId="78871CB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34</w:t>
            </w:r>
          </w:p>
          <w:p w14:paraId="7B8D2C8B" w14:textId="69EACC7A"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50</w:t>
            </w:r>
          </w:p>
        </w:tc>
        <w:tc>
          <w:tcPr>
            <w:tcW w:w="4337" w:type="dxa"/>
            <w:tcBorders>
              <w:top w:val="single" w:sz="4" w:space="0" w:color="auto"/>
              <w:left w:val="single" w:sz="4" w:space="0" w:color="auto"/>
              <w:bottom w:val="single" w:sz="4" w:space="0" w:color="auto"/>
              <w:right w:val="single" w:sz="4" w:space="0" w:color="auto"/>
            </w:tcBorders>
          </w:tcPr>
          <w:p w14:paraId="45042189" w14:textId="59DBB52B"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Prośba o doprecyzowanie:</w:t>
            </w:r>
          </w:p>
          <w:p w14:paraId="76A24ACE" w14:textId="66A31A3D" w:rsidR="07B6B689" w:rsidRPr="002C18A8" w:rsidRDefault="07B6B689" w:rsidP="003068CF">
            <w:pPr>
              <w:pStyle w:val="Akapitzlist"/>
              <w:numPr>
                <w:ilvl w:val="0"/>
                <w:numId w:val="9"/>
              </w:numPr>
              <w:tabs>
                <w:tab w:val="left" w:pos="0"/>
                <w:tab w:val="left" w:pos="720"/>
              </w:tabs>
              <w:jc w:val="both"/>
              <w:rPr>
                <w:rFonts w:eastAsia="Arial" w:cstheme="minorHAnsi"/>
                <w:color w:val="000000" w:themeColor="text1"/>
              </w:rPr>
            </w:pPr>
            <w:r w:rsidRPr="002C18A8">
              <w:rPr>
                <w:rFonts w:eastAsia="Arial" w:cstheme="minorHAnsi"/>
                <w:color w:val="000000" w:themeColor="text1"/>
              </w:rPr>
              <w:t>czy planowane są dodatkowe działania likwidujące bariery przyłączeniowe do sieci elektroenergetycznej dla ciepłownictwa?</w:t>
            </w:r>
          </w:p>
          <w:p w14:paraId="1B1BA5B2" w14:textId="51C63A27" w:rsidR="07B6B689" w:rsidRPr="005D4968" w:rsidRDefault="07B6B689" w:rsidP="003068CF">
            <w:pPr>
              <w:pStyle w:val="Akapitzlist"/>
              <w:numPr>
                <w:ilvl w:val="0"/>
                <w:numId w:val="9"/>
              </w:numPr>
              <w:tabs>
                <w:tab w:val="left" w:pos="0"/>
                <w:tab w:val="left" w:pos="720"/>
              </w:tabs>
              <w:jc w:val="both"/>
              <w:rPr>
                <w:rFonts w:eastAsia="Arial" w:cstheme="minorHAnsi"/>
                <w:color w:val="000000" w:themeColor="text1"/>
              </w:rPr>
            </w:pPr>
            <w:r w:rsidRPr="002C18A8">
              <w:rPr>
                <w:rFonts w:eastAsia="Arial" w:cstheme="minorHAnsi"/>
                <w:color w:val="000000" w:themeColor="text1"/>
              </w:rPr>
              <w:t xml:space="preserve">czy instalacje </w:t>
            </w:r>
            <w:proofErr w:type="spellStart"/>
            <w:r w:rsidRPr="002C18A8">
              <w:rPr>
                <w:rFonts w:eastAsia="Arial" w:cstheme="minorHAnsi"/>
                <w:color w:val="000000" w:themeColor="text1"/>
              </w:rPr>
              <w:t>PtH</w:t>
            </w:r>
            <w:proofErr w:type="spellEnd"/>
            <w:r w:rsidRPr="002C18A8">
              <w:rPr>
                <w:rFonts w:eastAsia="Arial" w:cstheme="minorHAnsi"/>
                <w:color w:val="000000" w:themeColor="text1"/>
              </w:rPr>
              <w:t xml:space="preserve"> będą traktowane priorytetowo w przyłączeniach, np. przed elektrolizerami, które mogą stanowić naturalną konkurencję w wykorzystaniu nadmiarowej/taniej energii elektrycznej?</w:t>
            </w:r>
          </w:p>
        </w:tc>
        <w:tc>
          <w:tcPr>
            <w:tcW w:w="4111" w:type="dxa"/>
            <w:tcBorders>
              <w:top w:val="single" w:sz="4" w:space="0" w:color="auto"/>
              <w:left w:val="single" w:sz="4" w:space="0" w:color="auto"/>
              <w:bottom w:val="single" w:sz="4" w:space="0" w:color="auto"/>
              <w:right w:val="single" w:sz="4" w:space="0" w:color="auto"/>
            </w:tcBorders>
          </w:tcPr>
          <w:p w14:paraId="7910FCC9" w14:textId="49AC18DE"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Strategia trafnie diagnozuje, że sektor ciepłowniczy to doskonały bufor dla nadwyżek energii z OZE, a elektryfikacja poprawi bilansowanie KSE. W praktyce przedsiębiorstwa ciepłownicze często napotykają na odmowy przyłączeń ze względu na ograniczenia sieciowe. Ułatwienia w tym obszarze z pewnością przyspieszyłyby realizację wspólnych celów dekarbonizacyjnych.</w:t>
            </w:r>
          </w:p>
        </w:tc>
        <w:tc>
          <w:tcPr>
            <w:tcW w:w="1905" w:type="dxa"/>
            <w:tcBorders>
              <w:top w:val="single" w:sz="4" w:space="0" w:color="auto"/>
              <w:left w:val="single" w:sz="4" w:space="0" w:color="auto"/>
              <w:bottom w:val="single" w:sz="4" w:space="0" w:color="auto"/>
              <w:right w:val="single" w:sz="4" w:space="0" w:color="auto"/>
            </w:tcBorders>
          </w:tcPr>
          <w:p w14:paraId="731D6FAF" w14:textId="799A3A04" w:rsidR="07B6B689" w:rsidRPr="002C18A8" w:rsidRDefault="07B6B689" w:rsidP="07B6B689">
            <w:pPr>
              <w:spacing w:line="240" w:lineRule="auto"/>
              <w:jc w:val="left"/>
              <w:rPr>
                <w:rFonts w:asciiTheme="minorHAnsi" w:hAnsiTheme="minorHAnsi" w:cstheme="minorHAnsi"/>
              </w:rPr>
            </w:pPr>
          </w:p>
        </w:tc>
      </w:tr>
      <w:tr w:rsidR="07B6B689" w:rsidRPr="002C18A8" w14:paraId="23EE46DA"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3466F6EE" w14:textId="39C5C3BB" w:rsidR="07B6B689" w:rsidRPr="00EE2CA1" w:rsidRDefault="07B6B689"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6CAB8349" w14:textId="3AB236AF" w:rsidR="07B6B689"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68C62537" w14:textId="23BA15FC"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35</w:t>
            </w:r>
          </w:p>
        </w:tc>
        <w:tc>
          <w:tcPr>
            <w:tcW w:w="4337" w:type="dxa"/>
            <w:tcBorders>
              <w:top w:val="single" w:sz="4" w:space="0" w:color="auto"/>
              <w:left w:val="single" w:sz="4" w:space="0" w:color="auto"/>
              <w:bottom w:val="single" w:sz="4" w:space="0" w:color="auto"/>
              <w:right w:val="single" w:sz="4" w:space="0" w:color="auto"/>
            </w:tcBorders>
          </w:tcPr>
          <w:p w14:paraId="47743AE8" w14:textId="0B9CC75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Należy uwzględnić koszty związane z modernizacją instalacji wewnętrznych, nie tylko urządzeń w węzłach cieplnych.</w:t>
            </w:r>
          </w:p>
        </w:tc>
        <w:tc>
          <w:tcPr>
            <w:tcW w:w="4111" w:type="dxa"/>
            <w:tcBorders>
              <w:top w:val="single" w:sz="4" w:space="0" w:color="auto"/>
              <w:left w:val="single" w:sz="4" w:space="0" w:color="auto"/>
              <w:bottom w:val="single" w:sz="4" w:space="0" w:color="auto"/>
              <w:right w:val="single" w:sz="4" w:space="0" w:color="auto"/>
            </w:tcBorders>
          </w:tcPr>
          <w:p w14:paraId="6AD45FCB" w14:textId="13517CBB"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Wąskim gardłem w obniżaniu temperatury nośnika ciepła w sieci nie są sieci i węzły cieplne, a przede wszystkim instalacje odbiorcze - obniżenie temperatury w sieciach wymaga obniżenia temperatury w instalacjach odbiorczych, jednak przy niezmienionym zapotrzebowaniu na moc budynków powierzchnia wymiany ciepła w zastosowanych grzejnikach może okazać się niewystarczająca, aby skutecznie dostarczyć oczekiwany poziom mocy bezpośrednio do pomieszczeń.</w:t>
            </w:r>
          </w:p>
          <w:p w14:paraId="03C59C69" w14:textId="1A8E833B"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Wymagane jest więc rozwiązanie systemowe integrujące obszar sieci z obszarem instalacji odbiorczych w budynkach, co znacząco </w:t>
            </w:r>
            <w:r w:rsidRPr="002C18A8">
              <w:rPr>
                <w:rFonts w:asciiTheme="minorHAnsi" w:eastAsia="Arial" w:hAnsiTheme="minorHAnsi" w:cstheme="minorHAnsi"/>
                <w:color w:val="000000" w:themeColor="text1"/>
              </w:rPr>
              <w:lastRenderedPageBreak/>
              <w:t>zwiększa liczbę interesariuszy oraz nakładów potrzebnych do w pełni udanej transformacji.</w:t>
            </w:r>
          </w:p>
        </w:tc>
        <w:tc>
          <w:tcPr>
            <w:tcW w:w="1905" w:type="dxa"/>
            <w:tcBorders>
              <w:top w:val="single" w:sz="4" w:space="0" w:color="auto"/>
              <w:left w:val="single" w:sz="4" w:space="0" w:color="auto"/>
              <w:bottom w:val="single" w:sz="4" w:space="0" w:color="auto"/>
              <w:right w:val="single" w:sz="4" w:space="0" w:color="auto"/>
            </w:tcBorders>
          </w:tcPr>
          <w:p w14:paraId="0A130B63" w14:textId="5C2BEA33" w:rsidR="07B6B689" w:rsidRPr="002C18A8" w:rsidRDefault="07B6B689" w:rsidP="07B6B689">
            <w:pPr>
              <w:spacing w:line="240" w:lineRule="auto"/>
              <w:jc w:val="left"/>
              <w:rPr>
                <w:rFonts w:asciiTheme="minorHAnsi" w:hAnsiTheme="minorHAnsi" w:cstheme="minorHAnsi"/>
              </w:rPr>
            </w:pPr>
          </w:p>
        </w:tc>
      </w:tr>
      <w:tr w:rsidR="07B6B689" w:rsidRPr="002C18A8" w14:paraId="72804BC6"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1458797B" w14:textId="601B28B1" w:rsidR="07B6B689" w:rsidRPr="00EE2CA1" w:rsidRDefault="07B6B689"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614E4233" w14:textId="1CB1821E" w:rsidR="07B6B689"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02F376C0" w14:textId="26292FB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36</w:t>
            </w:r>
          </w:p>
        </w:tc>
        <w:tc>
          <w:tcPr>
            <w:tcW w:w="4337" w:type="dxa"/>
            <w:tcBorders>
              <w:top w:val="single" w:sz="4" w:space="0" w:color="auto"/>
              <w:left w:val="single" w:sz="4" w:space="0" w:color="auto"/>
              <w:bottom w:val="single" w:sz="4" w:space="0" w:color="auto"/>
              <w:right w:val="single" w:sz="4" w:space="0" w:color="auto"/>
            </w:tcBorders>
          </w:tcPr>
          <w:p w14:paraId="70F1BEFC" w14:textId="30D1DEFB"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Apelujemy o wpisanie jasnej, jednoznacznej deklaracji, że inwestycje ciepłownicze zostaną powiązane z białymi certyfikatami.</w:t>
            </w:r>
          </w:p>
        </w:tc>
        <w:tc>
          <w:tcPr>
            <w:tcW w:w="4111" w:type="dxa"/>
            <w:tcBorders>
              <w:top w:val="single" w:sz="4" w:space="0" w:color="auto"/>
              <w:left w:val="single" w:sz="4" w:space="0" w:color="auto"/>
              <w:bottom w:val="single" w:sz="4" w:space="0" w:color="auto"/>
              <w:right w:val="single" w:sz="4" w:space="0" w:color="auto"/>
            </w:tcBorders>
          </w:tcPr>
          <w:p w14:paraId="723A9BF2" w14:textId="39E58FE9"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Inwestycje termomodernizacyjne po stronie odbiorców stanowią przedsięwzięcia służące poprawie efektywności energetycznej, dlatego powinny zostać uwzględnione w systemie białych certyfikatów. Dotyczy to również projektów odzysku ciepła odpadowego. Wielkoskalowe pompy ciepła odzyskujące ciepło np. z serwerowni charakteryzują się bardzo wysokimi nakładami inwestycyjnymi (CAPEX ok. 64-68 mln PLN dla mocy 30 </w:t>
            </w:r>
            <w:proofErr w:type="spellStart"/>
            <w:r w:rsidRPr="002C18A8">
              <w:rPr>
                <w:rFonts w:asciiTheme="minorHAnsi" w:eastAsia="Arial" w:hAnsiTheme="minorHAnsi" w:cstheme="minorHAnsi"/>
                <w:color w:val="000000" w:themeColor="text1"/>
              </w:rPr>
              <w:t>MWt</w:t>
            </w:r>
            <w:proofErr w:type="spellEnd"/>
            <w:r w:rsidRPr="002C18A8">
              <w:rPr>
                <w:rFonts w:asciiTheme="minorHAnsi" w:eastAsia="Arial" w:hAnsiTheme="minorHAnsi" w:cstheme="minorHAnsi"/>
                <w:color w:val="000000" w:themeColor="text1"/>
              </w:rPr>
              <w:t>) oraz znacznym kosztem operacyjnym (zużycie energii elektrycznej). Umożliwienie szerokiej kwalifikacji tego typu nakładów jako działań proefektywnościowych podlegających pod białe certyfikaty znacząco poprawi parametry NPV projektów, które bez tego wsparcia często balansują na granicy opłacalności.</w:t>
            </w:r>
          </w:p>
        </w:tc>
        <w:tc>
          <w:tcPr>
            <w:tcW w:w="1905" w:type="dxa"/>
            <w:tcBorders>
              <w:top w:val="single" w:sz="4" w:space="0" w:color="auto"/>
              <w:left w:val="single" w:sz="4" w:space="0" w:color="auto"/>
              <w:bottom w:val="single" w:sz="4" w:space="0" w:color="auto"/>
              <w:right w:val="single" w:sz="4" w:space="0" w:color="auto"/>
            </w:tcBorders>
          </w:tcPr>
          <w:p w14:paraId="59E6140B" w14:textId="6F263A42" w:rsidR="07B6B689" w:rsidRPr="002C18A8" w:rsidRDefault="07B6B689" w:rsidP="07B6B689">
            <w:pPr>
              <w:spacing w:line="240" w:lineRule="auto"/>
              <w:jc w:val="left"/>
              <w:rPr>
                <w:rFonts w:asciiTheme="minorHAnsi" w:hAnsiTheme="minorHAnsi" w:cstheme="minorHAnsi"/>
              </w:rPr>
            </w:pPr>
          </w:p>
        </w:tc>
      </w:tr>
      <w:tr w:rsidR="07B6B689" w:rsidRPr="002C18A8" w14:paraId="32E596CD"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3D4B0409" w14:textId="11DE8374"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24A65CCE" w14:textId="37665424" w:rsidR="07B6B689" w:rsidRPr="002C18A8" w:rsidRDefault="000A0A7B" w:rsidP="07B6B689">
            <w:pPr>
              <w:rPr>
                <w:rFonts w:asciiTheme="minorHAnsi" w:hAnsiTheme="minorHAnsi" w:cstheme="minorHAnsi"/>
              </w:rPr>
            </w:pPr>
            <w:r>
              <w:rPr>
                <w:rFonts w:asciiTheme="minorHAnsi" w:hAnsiTheme="minorHAnsi" w:cstheme="minorHAnsi"/>
              </w:rPr>
              <w:t>Konfederacja Lewiatan</w:t>
            </w:r>
          </w:p>
        </w:tc>
        <w:tc>
          <w:tcPr>
            <w:tcW w:w="2089" w:type="dxa"/>
            <w:tcBorders>
              <w:top w:val="single" w:sz="4" w:space="0" w:color="auto"/>
              <w:left w:val="single" w:sz="4" w:space="0" w:color="auto"/>
              <w:bottom w:val="single" w:sz="4" w:space="0" w:color="auto"/>
              <w:right w:val="single" w:sz="4" w:space="0" w:color="auto"/>
            </w:tcBorders>
          </w:tcPr>
          <w:p w14:paraId="1CEFEB64" w14:textId="28F3D025"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40</w:t>
            </w:r>
          </w:p>
        </w:tc>
        <w:tc>
          <w:tcPr>
            <w:tcW w:w="4337" w:type="dxa"/>
            <w:tcBorders>
              <w:top w:val="single" w:sz="4" w:space="0" w:color="auto"/>
              <w:left w:val="single" w:sz="4" w:space="0" w:color="auto"/>
              <w:bottom w:val="single" w:sz="4" w:space="0" w:color="auto"/>
              <w:right w:val="single" w:sz="4" w:space="0" w:color="auto"/>
            </w:tcBorders>
          </w:tcPr>
          <w:p w14:paraId="0A12EB14" w14:textId="4850198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Postulujemy jednoznaczne wskazanie, że:</w:t>
            </w:r>
          </w:p>
          <w:p w14:paraId="47AFA4A4" w14:textId="54662857" w:rsidR="07B6B689" w:rsidRPr="002C18A8" w:rsidRDefault="07B6B689" w:rsidP="00AF2690">
            <w:pPr>
              <w:pStyle w:val="Akapitzlist"/>
              <w:numPr>
                <w:ilvl w:val="0"/>
                <w:numId w:val="5"/>
              </w:numPr>
              <w:tabs>
                <w:tab w:val="left" w:pos="0"/>
                <w:tab w:val="left" w:pos="720"/>
              </w:tabs>
              <w:jc w:val="both"/>
              <w:rPr>
                <w:rFonts w:eastAsia="Arial" w:cstheme="minorHAnsi"/>
                <w:color w:val="000000" w:themeColor="text1"/>
              </w:rPr>
            </w:pPr>
            <w:r w:rsidRPr="002C18A8">
              <w:rPr>
                <w:rFonts w:eastAsia="Arial" w:cstheme="minorHAnsi"/>
                <w:color w:val="000000" w:themeColor="text1"/>
              </w:rPr>
              <w:t>Plan Partnerstwa, będący kluczowym elementem nowych wieloletnich ram finansowych UE, będzie obejmował szerokie finansowanie transformacji ciepłownictwa w Polsce;</w:t>
            </w:r>
          </w:p>
          <w:p w14:paraId="680C0083" w14:textId="68FD271C" w:rsidR="07B6B689" w:rsidRPr="002C18A8" w:rsidRDefault="07B6B689" w:rsidP="00AF2690">
            <w:pPr>
              <w:pStyle w:val="Akapitzlist"/>
              <w:numPr>
                <w:ilvl w:val="0"/>
                <w:numId w:val="5"/>
              </w:numPr>
              <w:tabs>
                <w:tab w:val="left" w:pos="0"/>
                <w:tab w:val="left" w:pos="720"/>
              </w:tabs>
              <w:jc w:val="both"/>
              <w:rPr>
                <w:rFonts w:eastAsia="Arial" w:cstheme="minorHAnsi"/>
                <w:color w:val="000000" w:themeColor="text1"/>
              </w:rPr>
            </w:pPr>
            <w:r w:rsidRPr="002C18A8">
              <w:rPr>
                <w:rFonts w:eastAsia="Arial" w:cstheme="minorHAnsi"/>
                <w:color w:val="000000" w:themeColor="text1"/>
              </w:rPr>
              <w:t xml:space="preserve">Polska będzie starać się o kontynuowanie Funduszu </w:t>
            </w:r>
            <w:r w:rsidRPr="002C18A8">
              <w:rPr>
                <w:rFonts w:eastAsia="Arial" w:cstheme="minorHAnsi"/>
                <w:color w:val="000000" w:themeColor="text1"/>
              </w:rPr>
              <w:lastRenderedPageBreak/>
              <w:t>Modernizacyjnego po 2030 roku, aby ciepłownictwo mogło liczyć na wysoki budżet w programach nowej perspektywy Funduszu.</w:t>
            </w:r>
          </w:p>
        </w:tc>
        <w:tc>
          <w:tcPr>
            <w:tcW w:w="4111" w:type="dxa"/>
            <w:tcBorders>
              <w:top w:val="single" w:sz="4" w:space="0" w:color="auto"/>
              <w:left w:val="single" w:sz="4" w:space="0" w:color="auto"/>
              <w:bottom w:val="single" w:sz="4" w:space="0" w:color="auto"/>
              <w:right w:val="single" w:sz="4" w:space="0" w:color="auto"/>
            </w:tcBorders>
          </w:tcPr>
          <w:p w14:paraId="33291920" w14:textId="4CFD2A3C"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lastRenderedPageBreak/>
              <w:t xml:space="preserve"> </w:t>
            </w:r>
          </w:p>
        </w:tc>
        <w:tc>
          <w:tcPr>
            <w:tcW w:w="1905" w:type="dxa"/>
            <w:tcBorders>
              <w:top w:val="single" w:sz="4" w:space="0" w:color="auto"/>
              <w:left w:val="single" w:sz="4" w:space="0" w:color="auto"/>
              <w:bottom w:val="single" w:sz="4" w:space="0" w:color="auto"/>
              <w:right w:val="single" w:sz="4" w:space="0" w:color="auto"/>
            </w:tcBorders>
          </w:tcPr>
          <w:p w14:paraId="3FF801A7" w14:textId="06C97E04" w:rsidR="07B6B689" w:rsidRPr="002C18A8" w:rsidRDefault="07B6B689" w:rsidP="07B6B689">
            <w:pPr>
              <w:spacing w:line="240" w:lineRule="auto"/>
              <w:jc w:val="left"/>
              <w:rPr>
                <w:rFonts w:asciiTheme="minorHAnsi" w:hAnsiTheme="minorHAnsi" w:cstheme="minorHAnsi"/>
              </w:rPr>
            </w:pPr>
          </w:p>
        </w:tc>
      </w:tr>
      <w:tr w:rsidR="07B6B689" w:rsidRPr="002C18A8" w14:paraId="11672FA2"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0D312AE6" w14:textId="38A7A7EB"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493794D1" w14:textId="35B937C0"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40465C8A" w14:textId="0D611F6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41-48</w:t>
            </w:r>
          </w:p>
        </w:tc>
        <w:tc>
          <w:tcPr>
            <w:tcW w:w="4337" w:type="dxa"/>
            <w:tcBorders>
              <w:top w:val="single" w:sz="4" w:space="0" w:color="auto"/>
              <w:left w:val="single" w:sz="4" w:space="0" w:color="auto"/>
              <w:bottom w:val="single" w:sz="4" w:space="0" w:color="auto"/>
              <w:right w:val="single" w:sz="4" w:space="0" w:color="auto"/>
            </w:tcBorders>
          </w:tcPr>
          <w:p w14:paraId="20EF9637" w14:textId="0924A38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W zestawieniu różnych źródeł finansowania zabrakło informacji na temat horyzontu czasowego danych instrumentów.</w:t>
            </w:r>
          </w:p>
        </w:tc>
        <w:tc>
          <w:tcPr>
            <w:tcW w:w="4111" w:type="dxa"/>
            <w:tcBorders>
              <w:top w:val="single" w:sz="4" w:space="0" w:color="auto"/>
              <w:left w:val="single" w:sz="4" w:space="0" w:color="auto"/>
              <w:bottom w:val="single" w:sz="4" w:space="0" w:color="auto"/>
              <w:right w:val="single" w:sz="4" w:space="0" w:color="auto"/>
            </w:tcBorders>
          </w:tcPr>
          <w:p w14:paraId="5FFA49D1" w14:textId="06A899AE"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Rozdział w sposób kompleksowy ujmuje różne mechanizmy finansujące projekty związane z transformacją ciepłownictwa. Należy jednak podkreślić, że nie wskazano ram czasowych. Rodzi to co najmniej następujące pytania:</w:t>
            </w:r>
          </w:p>
          <w:p w14:paraId="07739385" w14:textId="4781AB63" w:rsidR="07B6B689" w:rsidRPr="002C18A8" w:rsidRDefault="07B6B689" w:rsidP="00B8172F">
            <w:pPr>
              <w:pStyle w:val="Akapitzlist"/>
              <w:numPr>
                <w:ilvl w:val="0"/>
                <w:numId w:val="7"/>
              </w:numPr>
              <w:tabs>
                <w:tab w:val="left" w:pos="0"/>
                <w:tab w:val="left" w:pos="720"/>
              </w:tabs>
              <w:jc w:val="both"/>
              <w:rPr>
                <w:rFonts w:eastAsia="Arial" w:cstheme="minorHAnsi"/>
                <w:color w:val="000000" w:themeColor="text1"/>
              </w:rPr>
            </w:pPr>
            <w:r w:rsidRPr="002C18A8">
              <w:rPr>
                <w:rFonts w:eastAsia="Arial" w:cstheme="minorHAnsi"/>
                <w:color w:val="000000" w:themeColor="text1"/>
              </w:rPr>
              <w:t>Czy wskazując rynek mocy - mamy na myśli obowiązujący mechanizm, który umożliwia jednostkom kogeneracyjnym udział w aukcjach dodatkowych do 2029 włącznie (gdzie rokiem dostaw będzie 2030)? Czy chodzi o tzw. nowy model rynku mocy?</w:t>
            </w:r>
          </w:p>
          <w:p w14:paraId="39F78137" w14:textId="7303534F" w:rsidR="07B6B689" w:rsidRPr="002C18A8" w:rsidRDefault="07B6B689" w:rsidP="00B8172F">
            <w:pPr>
              <w:pStyle w:val="Akapitzlist"/>
              <w:numPr>
                <w:ilvl w:val="0"/>
                <w:numId w:val="7"/>
              </w:numPr>
              <w:tabs>
                <w:tab w:val="left" w:pos="0"/>
                <w:tab w:val="left" w:pos="720"/>
              </w:tabs>
              <w:jc w:val="both"/>
              <w:rPr>
                <w:rFonts w:eastAsia="Arial" w:cstheme="minorHAnsi"/>
                <w:color w:val="000000" w:themeColor="text1"/>
              </w:rPr>
            </w:pPr>
            <w:r w:rsidRPr="002C18A8">
              <w:rPr>
                <w:rFonts w:eastAsia="Arial" w:cstheme="minorHAnsi"/>
                <w:color w:val="000000" w:themeColor="text1"/>
              </w:rPr>
              <w:t>Czy wskazując system wsparcia wysokosprawnej kogeneracji chodzi o obowiązujący system, gdzie ostatnie aukcje/nabory odbędą się w grudniu 2028 roku? Czy chodzi o planowane przedłużenie mechanizmu?</w:t>
            </w:r>
          </w:p>
          <w:p w14:paraId="54D38662" w14:textId="11721F95" w:rsidR="07B6B689" w:rsidRPr="00450A13" w:rsidRDefault="07B6B689" w:rsidP="00B8172F">
            <w:pPr>
              <w:pStyle w:val="Akapitzlist"/>
              <w:numPr>
                <w:ilvl w:val="0"/>
                <w:numId w:val="7"/>
              </w:numPr>
              <w:tabs>
                <w:tab w:val="left" w:pos="0"/>
                <w:tab w:val="left" w:pos="720"/>
              </w:tabs>
              <w:jc w:val="both"/>
              <w:rPr>
                <w:rFonts w:eastAsia="Arial" w:cstheme="minorHAnsi"/>
                <w:color w:val="000000" w:themeColor="text1"/>
              </w:rPr>
            </w:pPr>
            <w:r w:rsidRPr="002C18A8">
              <w:rPr>
                <w:rFonts w:eastAsia="Arial" w:cstheme="minorHAnsi"/>
                <w:color w:val="000000" w:themeColor="text1"/>
              </w:rPr>
              <w:t>Czy wskazując 30% dodatkowych uprawnień do emisji EU ETS wynikające z Planów Neutralności Klimatycznej</w:t>
            </w:r>
            <w:r w:rsidR="00B8172F">
              <w:rPr>
                <w:rFonts w:eastAsia="Arial" w:cstheme="minorHAnsi"/>
                <w:color w:val="000000" w:themeColor="text1"/>
              </w:rPr>
              <w:t>,</w:t>
            </w:r>
            <w:r w:rsidRPr="002C18A8">
              <w:rPr>
                <w:rFonts w:eastAsia="Arial" w:cstheme="minorHAnsi"/>
                <w:color w:val="000000" w:themeColor="text1"/>
              </w:rPr>
              <w:t xml:space="preserve"> nie powinny zostać wskazane ogółem darmowe przydziały bezpłatnych uprawnień? Dodatkowo ponownie - o jakim </w:t>
            </w:r>
            <w:r w:rsidRPr="002C18A8">
              <w:rPr>
                <w:rFonts w:eastAsia="Arial" w:cstheme="minorHAnsi"/>
                <w:color w:val="000000" w:themeColor="text1"/>
              </w:rPr>
              <w:lastRenderedPageBreak/>
              <w:t>horyzoncie mówimy - przydziale na lata 2026-2030?</w:t>
            </w:r>
          </w:p>
        </w:tc>
        <w:tc>
          <w:tcPr>
            <w:tcW w:w="1905" w:type="dxa"/>
            <w:tcBorders>
              <w:top w:val="single" w:sz="4" w:space="0" w:color="auto"/>
              <w:left w:val="single" w:sz="4" w:space="0" w:color="auto"/>
              <w:bottom w:val="single" w:sz="4" w:space="0" w:color="auto"/>
              <w:right w:val="single" w:sz="4" w:space="0" w:color="auto"/>
            </w:tcBorders>
          </w:tcPr>
          <w:p w14:paraId="59E94641" w14:textId="5FC83881" w:rsidR="07B6B689" w:rsidRPr="002C18A8" w:rsidRDefault="07B6B689" w:rsidP="07B6B689">
            <w:pPr>
              <w:spacing w:line="240" w:lineRule="auto"/>
              <w:jc w:val="left"/>
              <w:rPr>
                <w:rFonts w:asciiTheme="minorHAnsi" w:hAnsiTheme="minorHAnsi" w:cstheme="minorHAnsi"/>
              </w:rPr>
            </w:pPr>
          </w:p>
        </w:tc>
      </w:tr>
      <w:tr w:rsidR="07B6B689" w:rsidRPr="002C18A8" w14:paraId="32D4B998"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062078B1" w14:textId="6DE6ADC8"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376EA911" w14:textId="12CFAA30"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5093AF2C" w14:textId="5BD1A98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45</w:t>
            </w:r>
          </w:p>
        </w:tc>
        <w:tc>
          <w:tcPr>
            <w:tcW w:w="4337" w:type="dxa"/>
            <w:tcBorders>
              <w:top w:val="single" w:sz="4" w:space="0" w:color="auto"/>
              <w:left w:val="single" w:sz="4" w:space="0" w:color="auto"/>
              <w:bottom w:val="single" w:sz="4" w:space="0" w:color="auto"/>
              <w:right w:val="single" w:sz="4" w:space="0" w:color="auto"/>
            </w:tcBorders>
          </w:tcPr>
          <w:p w14:paraId="45C0504F" w14:textId="74190E89"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Prosimy o uzupełnienie planowanych systemów wsparcia </w:t>
            </w:r>
            <w:proofErr w:type="spellStart"/>
            <w:r w:rsidRPr="002C18A8">
              <w:rPr>
                <w:rFonts w:asciiTheme="minorHAnsi" w:eastAsia="Arial" w:hAnsiTheme="minorHAnsi" w:cstheme="minorHAnsi"/>
                <w:color w:val="000000" w:themeColor="text1"/>
              </w:rPr>
              <w:t>biometanu</w:t>
            </w:r>
            <w:proofErr w:type="spellEnd"/>
            <w:r w:rsidRPr="002C18A8">
              <w:rPr>
                <w:rFonts w:asciiTheme="minorHAnsi" w:eastAsia="Arial" w:hAnsiTheme="minorHAnsi" w:cstheme="minorHAnsi"/>
                <w:color w:val="000000" w:themeColor="text1"/>
              </w:rPr>
              <w:t xml:space="preserve"> o system aukcyjny.</w:t>
            </w:r>
          </w:p>
        </w:tc>
        <w:tc>
          <w:tcPr>
            <w:tcW w:w="4111" w:type="dxa"/>
            <w:tcBorders>
              <w:top w:val="single" w:sz="4" w:space="0" w:color="auto"/>
              <w:left w:val="single" w:sz="4" w:space="0" w:color="auto"/>
              <w:bottom w:val="single" w:sz="4" w:space="0" w:color="auto"/>
              <w:right w:val="single" w:sz="4" w:space="0" w:color="auto"/>
            </w:tcBorders>
          </w:tcPr>
          <w:p w14:paraId="57302DF8" w14:textId="6D54AB5A"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Zgodnie z </w:t>
            </w:r>
            <w:proofErr w:type="spellStart"/>
            <w:r w:rsidRPr="002C18A8">
              <w:rPr>
                <w:rFonts w:asciiTheme="minorHAnsi" w:eastAsia="Arial" w:hAnsiTheme="minorHAnsi" w:cstheme="minorHAnsi"/>
                <w:color w:val="000000" w:themeColor="text1"/>
              </w:rPr>
              <w:t>KPEiK</w:t>
            </w:r>
            <w:proofErr w:type="spellEnd"/>
            <w:r w:rsidRPr="002C18A8">
              <w:rPr>
                <w:rFonts w:asciiTheme="minorHAnsi" w:eastAsia="Arial" w:hAnsiTheme="minorHAnsi" w:cstheme="minorHAnsi"/>
                <w:color w:val="000000" w:themeColor="text1"/>
              </w:rPr>
              <w:t xml:space="preserve"> oraz projektowaną nowelizacją ustawy OZE instalacje </w:t>
            </w:r>
            <w:proofErr w:type="spellStart"/>
            <w:r w:rsidRPr="002C18A8">
              <w:rPr>
                <w:rFonts w:asciiTheme="minorHAnsi" w:eastAsia="Arial" w:hAnsiTheme="minorHAnsi" w:cstheme="minorHAnsi"/>
                <w:color w:val="000000" w:themeColor="text1"/>
              </w:rPr>
              <w:t>biometanowe</w:t>
            </w:r>
            <w:proofErr w:type="spellEnd"/>
            <w:r w:rsidRPr="002C18A8">
              <w:rPr>
                <w:rFonts w:asciiTheme="minorHAnsi" w:eastAsia="Arial" w:hAnsiTheme="minorHAnsi" w:cstheme="minorHAnsi"/>
                <w:color w:val="000000" w:themeColor="text1"/>
              </w:rPr>
              <w:t xml:space="preserve"> o mocy powyżej 1 </w:t>
            </w:r>
            <w:proofErr w:type="spellStart"/>
            <w:r w:rsidRPr="002C18A8">
              <w:rPr>
                <w:rFonts w:asciiTheme="minorHAnsi" w:eastAsia="Arial" w:hAnsiTheme="minorHAnsi" w:cstheme="minorHAnsi"/>
                <w:color w:val="000000" w:themeColor="text1"/>
              </w:rPr>
              <w:t>MWe</w:t>
            </w:r>
            <w:proofErr w:type="spellEnd"/>
            <w:r w:rsidRPr="002C18A8">
              <w:rPr>
                <w:rFonts w:asciiTheme="minorHAnsi" w:eastAsia="Arial" w:hAnsiTheme="minorHAnsi" w:cstheme="minorHAnsi"/>
                <w:color w:val="000000" w:themeColor="text1"/>
              </w:rPr>
              <w:t xml:space="preserve"> mają kwalifikować się do otrzymania wsparcia operacyjnego w postaci kontraktu różnicowego w ramach aukcji </w:t>
            </w:r>
            <w:proofErr w:type="spellStart"/>
            <w:r w:rsidRPr="002C18A8">
              <w:rPr>
                <w:rFonts w:asciiTheme="minorHAnsi" w:eastAsia="Arial" w:hAnsiTheme="minorHAnsi" w:cstheme="minorHAnsi"/>
                <w:color w:val="000000" w:themeColor="text1"/>
              </w:rPr>
              <w:t>biometanu</w:t>
            </w:r>
            <w:proofErr w:type="spellEnd"/>
            <w:r w:rsidRPr="002C18A8">
              <w:rPr>
                <w:rFonts w:asciiTheme="minorHAnsi" w:eastAsia="Arial" w:hAnsiTheme="minorHAnsi" w:cstheme="minorHAnsi"/>
                <w:color w:val="000000" w:themeColor="text1"/>
              </w:rPr>
              <w:t>. Pominięcie tego programu wsparcia w projekcie Strategii budzi uzasadnione wątpliwości o przewidywalność otoczenia regulacyjnego.</w:t>
            </w:r>
          </w:p>
        </w:tc>
        <w:tc>
          <w:tcPr>
            <w:tcW w:w="1905" w:type="dxa"/>
            <w:tcBorders>
              <w:top w:val="single" w:sz="4" w:space="0" w:color="auto"/>
              <w:left w:val="single" w:sz="4" w:space="0" w:color="auto"/>
              <w:bottom w:val="single" w:sz="4" w:space="0" w:color="auto"/>
              <w:right w:val="single" w:sz="4" w:space="0" w:color="auto"/>
            </w:tcBorders>
          </w:tcPr>
          <w:p w14:paraId="042359DC" w14:textId="4D124CD9" w:rsidR="07B6B689" w:rsidRPr="002C18A8" w:rsidRDefault="07B6B689" w:rsidP="07B6B689">
            <w:pPr>
              <w:spacing w:line="240" w:lineRule="auto"/>
              <w:jc w:val="left"/>
              <w:rPr>
                <w:rFonts w:asciiTheme="minorHAnsi" w:hAnsiTheme="minorHAnsi" w:cstheme="minorHAnsi"/>
              </w:rPr>
            </w:pPr>
          </w:p>
        </w:tc>
      </w:tr>
      <w:tr w:rsidR="07B6B689" w:rsidRPr="002C18A8" w14:paraId="5FF9E47D"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048D2DB6" w14:textId="2BC4871E"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1B6E33BB" w14:textId="79F792DA"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14D3B3EF" w14:textId="3B43788B"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48</w:t>
            </w:r>
          </w:p>
        </w:tc>
        <w:tc>
          <w:tcPr>
            <w:tcW w:w="4337" w:type="dxa"/>
            <w:tcBorders>
              <w:top w:val="single" w:sz="4" w:space="0" w:color="auto"/>
              <w:left w:val="single" w:sz="4" w:space="0" w:color="auto"/>
              <w:bottom w:val="single" w:sz="4" w:space="0" w:color="auto"/>
              <w:right w:val="single" w:sz="4" w:space="0" w:color="auto"/>
            </w:tcBorders>
          </w:tcPr>
          <w:p w14:paraId="24558C24" w14:textId="14E08AC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Czy program TERMO ma być kontynuowany w 2027 roku i kolejnych latach? Jeżeli nie, nie powinien być uwzględniony w Strategii, której przyjęcie planowane jest na 1Q 2027.</w:t>
            </w:r>
          </w:p>
        </w:tc>
        <w:tc>
          <w:tcPr>
            <w:tcW w:w="4111" w:type="dxa"/>
            <w:tcBorders>
              <w:top w:val="single" w:sz="4" w:space="0" w:color="auto"/>
              <w:left w:val="single" w:sz="4" w:space="0" w:color="auto"/>
              <w:bottom w:val="single" w:sz="4" w:space="0" w:color="auto"/>
              <w:right w:val="single" w:sz="4" w:space="0" w:color="auto"/>
            </w:tcBorders>
          </w:tcPr>
          <w:p w14:paraId="137ED93A" w14:textId="4341AD87"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 </w:t>
            </w:r>
          </w:p>
        </w:tc>
        <w:tc>
          <w:tcPr>
            <w:tcW w:w="1905" w:type="dxa"/>
            <w:tcBorders>
              <w:top w:val="single" w:sz="4" w:space="0" w:color="auto"/>
              <w:left w:val="single" w:sz="4" w:space="0" w:color="auto"/>
              <w:bottom w:val="single" w:sz="4" w:space="0" w:color="auto"/>
              <w:right w:val="single" w:sz="4" w:space="0" w:color="auto"/>
            </w:tcBorders>
          </w:tcPr>
          <w:p w14:paraId="3C3463C9" w14:textId="7A626BF4" w:rsidR="07B6B689" w:rsidRPr="002C18A8" w:rsidRDefault="07B6B689" w:rsidP="07B6B689">
            <w:pPr>
              <w:spacing w:line="240" w:lineRule="auto"/>
              <w:jc w:val="left"/>
              <w:rPr>
                <w:rFonts w:asciiTheme="minorHAnsi" w:hAnsiTheme="minorHAnsi" w:cstheme="minorHAnsi"/>
              </w:rPr>
            </w:pPr>
          </w:p>
        </w:tc>
      </w:tr>
      <w:tr w:rsidR="07B6B689" w:rsidRPr="002C18A8" w14:paraId="495E1A48"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31B32615" w14:textId="4F1F74FA"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529DD0FD" w14:textId="381EB460"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1E841A07" w14:textId="07952131"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51</w:t>
            </w:r>
          </w:p>
        </w:tc>
        <w:tc>
          <w:tcPr>
            <w:tcW w:w="4337" w:type="dxa"/>
            <w:tcBorders>
              <w:top w:val="single" w:sz="4" w:space="0" w:color="auto"/>
              <w:left w:val="single" w:sz="4" w:space="0" w:color="auto"/>
              <w:bottom w:val="single" w:sz="4" w:space="0" w:color="auto"/>
              <w:right w:val="single" w:sz="4" w:space="0" w:color="auto"/>
            </w:tcBorders>
          </w:tcPr>
          <w:p w14:paraId="178DB5E6" w14:textId="5EFED00C" w:rsidR="07B6B689" w:rsidRPr="002C18A8" w:rsidRDefault="07B6B689" w:rsidP="0032614B">
            <w:pPr>
              <w:rPr>
                <w:rFonts w:asciiTheme="minorHAnsi" w:hAnsiTheme="minorHAnsi" w:cstheme="minorHAnsi"/>
              </w:rPr>
            </w:pPr>
            <w:r w:rsidRPr="002C18A8">
              <w:rPr>
                <w:rFonts w:asciiTheme="minorHAnsi" w:eastAsia="Arial" w:hAnsiTheme="minorHAnsi" w:cstheme="minorHAnsi"/>
                <w:color w:val="000000" w:themeColor="text1"/>
              </w:rPr>
              <w:t xml:space="preserve">Należy uwzględnić aktualizację rozporządzenia w sprawie funkcjonowania systemów ciepłowniczych do planowanego kierunku transformacji systemów ciepłowniczych - np. rozróżnienie wymagań technicznych dla dużych źródeł systemowych i małych źródeł rozproszonych, </w:t>
            </w:r>
            <w:proofErr w:type="spellStart"/>
            <w:proofErr w:type="gramStart"/>
            <w:r w:rsidRPr="002C18A8">
              <w:rPr>
                <w:rFonts w:asciiTheme="minorHAnsi" w:eastAsia="Arial" w:hAnsiTheme="minorHAnsi" w:cstheme="minorHAnsi"/>
                <w:color w:val="000000" w:themeColor="text1"/>
              </w:rPr>
              <w:t>np.zniesienie</w:t>
            </w:r>
            <w:proofErr w:type="spellEnd"/>
            <w:proofErr w:type="gramEnd"/>
            <w:r w:rsidRPr="002C18A8">
              <w:rPr>
                <w:rFonts w:asciiTheme="minorHAnsi" w:eastAsia="Arial" w:hAnsiTheme="minorHAnsi" w:cstheme="minorHAnsi"/>
                <w:color w:val="000000" w:themeColor="text1"/>
              </w:rPr>
              <w:t xml:space="preserve"> wymogu układu uzupełniania wody w każdym źródle ciepła.</w:t>
            </w:r>
          </w:p>
        </w:tc>
        <w:tc>
          <w:tcPr>
            <w:tcW w:w="4111" w:type="dxa"/>
            <w:tcBorders>
              <w:top w:val="single" w:sz="4" w:space="0" w:color="auto"/>
              <w:left w:val="single" w:sz="4" w:space="0" w:color="auto"/>
              <w:bottom w:val="single" w:sz="4" w:space="0" w:color="auto"/>
              <w:right w:val="single" w:sz="4" w:space="0" w:color="auto"/>
            </w:tcBorders>
          </w:tcPr>
          <w:p w14:paraId="0B33C6E4" w14:textId="14DDAE0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Obecne rozporządzenie było tworzone w warunkach, gdzie na system pracowało kilka dużych zawodowych źródeł ciepła; przyszły sposób funkcjonowania systemów ciepłowniczych uwzględnia również rozproszone, </w:t>
            </w:r>
            <w:proofErr w:type="spellStart"/>
            <w:r w:rsidRPr="002C18A8">
              <w:rPr>
                <w:rFonts w:asciiTheme="minorHAnsi" w:eastAsia="Arial" w:hAnsiTheme="minorHAnsi" w:cstheme="minorHAnsi"/>
                <w:color w:val="000000" w:themeColor="text1"/>
              </w:rPr>
              <w:t>prosumenckie</w:t>
            </w:r>
            <w:proofErr w:type="spellEnd"/>
            <w:r w:rsidRPr="002C18A8">
              <w:rPr>
                <w:rFonts w:asciiTheme="minorHAnsi" w:eastAsia="Arial" w:hAnsiTheme="minorHAnsi" w:cstheme="minorHAnsi"/>
                <w:color w:val="000000" w:themeColor="text1"/>
              </w:rPr>
              <w:t xml:space="preserve"> wytwarzanie ciepła przez podmioty niezajmujące się profesjonalnie wytwarzaniem ciepła. Aby obniżyć próg wejścia inwestycyjny, dla małych źródeł niebędących podstawowym źródłem systemowym, należy obniżyć wymogi techniczne dla ich podłączania.</w:t>
            </w:r>
          </w:p>
        </w:tc>
        <w:tc>
          <w:tcPr>
            <w:tcW w:w="1905" w:type="dxa"/>
            <w:tcBorders>
              <w:top w:val="single" w:sz="4" w:space="0" w:color="auto"/>
              <w:left w:val="single" w:sz="4" w:space="0" w:color="auto"/>
              <w:bottom w:val="single" w:sz="4" w:space="0" w:color="auto"/>
              <w:right w:val="single" w:sz="4" w:space="0" w:color="auto"/>
            </w:tcBorders>
          </w:tcPr>
          <w:p w14:paraId="516499BF" w14:textId="6E90FE37" w:rsidR="07B6B689" w:rsidRPr="002C18A8" w:rsidRDefault="07B6B689" w:rsidP="07B6B689">
            <w:pPr>
              <w:spacing w:line="240" w:lineRule="auto"/>
              <w:jc w:val="left"/>
              <w:rPr>
                <w:rFonts w:asciiTheme="minorHAnsi" w:hAnsiTheme="minorHAnsi" w:cstheme="minorHAnsi"/>
              </w:rPr>
            </w:pPr>
          </w:p>
        </w:tc>
      </w:tr>
      <w:tr w:rsidR="07B6B689" w:rsidRPr="002C18A8" w14:paraId="1677E07A"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3B73A6F7" w14:textId="2076B301"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10F8908E" w14:textId="6DA9E910"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04FA1F35" w14:textId="41046F8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52</w:t>
            </w:r>
          </w:p>
        </w:tc>
        <w:tc>
          <w:tcPr>
            <w:tcW w:w="4337" w:type="dxa"/>
            <w:tcBorders>
              <w:top w:val="single" w:sz="4" w:space="0" w:color="auto"/>
              <w:left w:val="single" w:sz="4" w:space="0" w:color="auto"/>
              <w:bottom w:val="single" w:sz="4" w:space="0" w:color="auto"/>
              <w:right w:val="single" w:sz="4" w:space="0" w:color="auto"/>
            </w:tcBorders>
          </w:tcPr>
          <w:p w14:paraId="11910989" w14:textId="22D530C5" w:rsidR="07B6B689" w:rsidRPr="002C18A8" w:rsidRDefault="00394BFA" w:rsidP="00576D7C">
            <w:pPr>
              <w:rPr>
                <w:rFonts w:asciiTheme="minorHAnsi" w:hAnsiTheme="minorHAnsi" w:cstheme="minorHAnsi"/>
              </w:rPr>
            </w:pPr>
            <w:r>
              <w:rPr>
                <w:rFonts w:asciiTheme="minorHAnsi" w:eastAsia="Arial" w:hAnsiTheme="minorHAnsi" w:cstheme="minorHAnsi"/>
                <w:color w:val="000000" w:themeColor="text1"/>
              </w:rPr>
              <w:t>Należy pr</w:t>
            </w:r>
            <w:r w:rsidR="07B6B689" w:rsidRPr="002C18A8">
              <w:rPr>
                <w:rFonts w:asciiTheme="minorHAnsi" w:eastAsia="Arial" w:hAnsiTheme="minorHAnsi" w:cstheme="minorHAnsi"/>
                <w:color w:val="000000" w:themeColor="text1"/>
              </w:rPr>
              <w:t>zewidzieć mechanizmy taryfowe wspierające powstawanie</w:t>
            </w:r>
            <w:r w:rsidR="00576D7C">
              <w:rPr>
                <w:rFonts w:asciiTheme="minorHAnsi" w:eastAsia="Arial" w:hAnsiTheme="minorHAnsi" w:cstheme="minorHAnsi"/>
                <w:color w:val="000000" w:themeColor="text1"/>
              </w:rPr>
              <w:t xml:space="preserve"> </w:t>
            </w:r>
            <w:r w:rsidR="07B6B689" w:rsidRPr="002C18A8">
              <w:rPr>
                <w:rFonts w:asciiTheme="minorHAnsi" w:eastAsia="Arial" w:hAnsiTheme="minorHAnsi" w:cstheme="minorHAnsi"/>
                <w:color w:val="000000" w:themeColor="text1"/>
              </w:rPr>
              <w:t>niskotemperaturowych obszarów w ramach dużych systemów ciepłowniczych.</w:t>
            </w:r>
          </w:p>
        </w:tc>
        <w:tc>
          <w:tcPr>
            <w:tcW w:w="4111" w:type="dxa"/>
            <w:tcBorders>
              <w:top w:val="single" w:sz="4" w:space="0" w:color="auto"/>
              <w:left w:val="single" w:sz="4" w:space="0" w:color="auto"/>
              <w:bottom w:val="single" w:sz="4" w:space="0" w:color="auto"/>
              <w:right w:val="single" w:sz="4" w:space="0" w:color="auto"/>
            </w:tcBorders>
          </w:tcPr>
          <w:p w14:paraId="642471C1" w14:textId="392D4B7A"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W przypadku dużych systemów ciepłowniczych wyzwaniem jest jednorodne obniżanie tabeli regulacyjnej w całym systemie z uwagi na konieczność uwzględnienia możliwości odebrania mocy cieplnej z niskotemperaturowych sieci przez istniejące instalacje wewnętrzne projektowane pod systemy wysokotemperaturowe. Racjonalnym kierunkiem jest tworzenie stref </w:t>
            </w:r>
            <w:proofErr w:type="spellStart"/>
            <w:r w:rsidRPr="002C18A8">
              <w:rPr>
                <w:rFonts w:asciiTheme="minorHAnsi" w:eastAsia="Arial" w:hAnsiTheme="minorHAnsi" w:cstheme="minorHAnsi"/>
                <w:color w:val="000000" w:themeColor="text1"/>
              </w:rPr>
              <w:t>podmieszania</w:t>
            </w:r>
            <w:proofErr w:type="spellEnd"/>
            <w:r w:rsidRPr="002C18A8">
              <w:rPr>
                <w:rFonts w:asciiTheme="minorHAnsi" w:eastAsia="Arial" w:hAnsiTheme="minorHAnsi" w:cstheme="minorHAnsi"/>
                <w:color w:val="000000" w:themeColor="text1"/>
              </w:rPr>
              <w:t xml:space="preserve"> wody sieciowej w celu obniżania temperatury w pewnych obszarach sieci.</w:t>
            </w:r>
          </w:p>
        </w:tc>
        <w:tc>
          <w:tcPr>
            <w:tcW w:w="1905" w:type="dxa"/>
            <w:tcBorders>
              <w:top w:val="single" w:sz="4" w:space="0" w:color="auto"/>
              <w:left w:val="single" w:sz="4" w:space="0" w:color="auto"/>
              <w:bottom w:val="single" w:sz="4" w:space="0" w:color="auto"/>
              <w:right w:val="single" w:sz="4" w:space="0" w:color="auto"/>
            </w:tcBorders>
          </w:tcPr>
          <w:p w14:paraId="78EE3A35" w14:textId="64251978" w:rsidR="07B6B689" w:rsidRPr="002C18A8" w:rsidRDefault="07B6B689" w:rsidP="07B6B689">
            <w:pPr>
              <w:spacing w:line="240" w:lineRule="auto"/>
              <w:jc w:val="left"/>
              <w:rPr>
                <w:rFonts w:asciiTheme="minorHAnsi" w:hAnsiTheme="minorHAnsi" w:cstheme="minorHAnsi"/>
              </w:rPr>
            </w:pPr>
          </w:p>
        </w:tc>
      </w:tr>
      <w:tr w:rsidR="07B6B689" w:rsidRPr="002C18A8" w14:paraId="58BA1B67"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17D2374A" w14:textId="3DC12CC4"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3C227347" w14:textId="18E644D8"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255D35A7" w14:textId="579DE839"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53</w:t>
            </w:r>
          </w:p>
          <w:p w14:paraId="1BE35893" w14:textId="18F4223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Działanie 6</w:t>
            </w:r>
          </w:p>
        </w:tc>
        <w:tc>
          <w:tcPr>
            <w:tcW w:w="4337" w:type="dxa"/>
            <w:tcBorders>
              <w:top w:val="single" w:sz="4" w:space="0" w:color="auto"/>
              <w:left w:val="single" w:sz="4" w:space="0" w:color="auto"/>
              <w:bottom w:val="single" w:sz="4" w:space="0" w:color="auto"/>
              <w:right w:val="single" w:sz="4" w:space="0" w:color="auto"/>
            </w:tcBorders>
          </w:tcPr>
          <w:p w14:paraId="778F701B" w14:textId="7093DDA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Postulujemy uwzględni</w:t>
            </w:r>
            <w:r w:rsidR="00F80E69">
              <w:rPr>
                <w:rFonts w:asciiTheme="minorHAnsi" w:eastAsia="Arial" w:hAnsiTheme="minorHAnsi" w:cstheme="minorHAnsi"/>
                <w:color w:val="000000" w:themeColor="text1"/>
              </w:rPr>
              <w:t>enie</w:t>
            </w:r>
            <w:r w:rsidRPr="002C18A8">
              <w:rPr>
                <w:rFonts w:asciiTheme="minorHAnsi" w:eastAsia="Arial" w:hAnsiTheme="minorHAnsi" w:cstheme="minorHAnsi"/>
                <w:color w:val="000000" w:themeColor="text1"/>
              </w:rPr>
              <w:t xml:space="preserve"> w nowym modelu taryfowania mechanizmów zachęt (np. </w:t>
            </w:r>
            <w:proofErr w:type="spellStart"/>
            <w:r w:rsidRPr="002C18A8">
              <w:rPr>
                <w:rFonts w:asciiTheme="minorHAnsi" w:eastAsia="Arial" w:hAnsiTheme="minorHAnsi" w:cstheme="minorHAnsi"/>
                <w:color w:val="000000" w:themeColor="text1"/>
              </w:rPr>
              <w:t>incentive</w:t>
            </w:r>
            <w:proofErr w:type="spellEnd"/>
            <w:r w:rsidRPr="002C18A8">
              <w:rPr>
                <w:rFonts w:asciiTheme="minorHAnsi" w:eastAsia="Arial" w:hAnsiTheme="minorHAnsi" w:cstheme="minorHAnsi"/>
                <w:color w:val="000000" w:themeColor="text1"/>
              </w:rPr>
              <w:t xml:space="preserve"> </w:t>
            </w:r>
            <w:proofErr w:type="spellStart"/>
            <w:r w:rsidRPr="002C18A8">
              <w:rPr>
                <w:rFonts w:asciiTheme="minorHAnsi" w:eastAsia="Arial" w:hAnsiTheme="minorHAnsi" w:cstheme="minorHAnsi"/>
                <w:color w:val="000000" w:themeColor="text1"/>
              </w:rPr>
              <w:t>regulation</w:t>
            </w:r>
            <w:proofErr w:type="spellEnd"/>
            <w:r w:rsidRPr="002C18A8">
              <w:rPr>
                <w:rFonts w:asciiTheme="minorHAnsi" w:eastAsia="Arial" w:hAnsiTheme="minorHAnsi" w:cstheme="minorHAnsi"/>
                <w:color w:val="000000" w:themeColor="text1"/>
              </w:rPr>
              <w:t>/</w:t>
            </w:r>
            <w:proofErr w:type="spellStart"/>
            <w:r w:rsidRPr="002C18A8">
              <w:rPr>
                <w:rFonts w:asciiTheme="minorHAnsi" w:eastAsia="Arial" w:hAnsiTheme="minorHAnsi" w:cstheme="minorHAnsi"/>
                <w:color w:val="000000" w:themeColor="text1"/>
              </w:rPr>
              <w:t>shared</w:t>
            </w:r>
            <w:proofErr w:type="spellEnd"/>
            <w:r w:rsidRPr="002C18A8">
              <w:rPr>
                <w:rFonts w:asciiTheme="minorHAnsi" w:eastAsia="Arial" w:hAnsiTheme="minorHAnsi" w:cstheme="minorHAnsi"/>
                <w:color w:val="000000" w:themeColor="text1"/>
              </w:rPr>
              <w:t xml:space="preserve"> </w:t>
            </w:r>
            <w:proofErr w:type="spellStart"/>
            <w:r w:rsidRPr="002C18A8">
              <w:rPr>
                <w:rFonts w:asciiTheme="minorHAnsi" w:eastAsia="Arial" w:hAnsiTheme="minorHAnsi" w:cstheme="minorHAnsi"/>
                <w:color w:val="000000" w:themeColor="text1"/>
              </w:rPr>
              <w:t>savings</w:t>
            </w:r>
            <w:proofErr w:type="spellEnd"/>
            <w:r w:rsidRPr="002C18A8">
              <w:rPr>
                <w:rFonts w:asciiTheme="minorHAnsi" w:eastAsia="Arial" w:hAnsiTheme="minorHAnsi" w:cstheme="minorHAnsi"/>
                <w:color w:val="000000" w:themeColor="text1"/>
              </w:rPr>
              <w:t xml:space="preserve">) dla przedsiębiorstw wprowadzających do sieci ciepło odpadowe (np. z </w:t>
            </w:r>
            <w:r w:rsidR="005F7969">
              <w:rPr>
                <w:rFonts w:asciiTheme="minorHAnsi" w:eastAsia="Arial" w:hAnsiTheme="minorHAnsi" w:cstheme="minorHAnsi"/>
                <w:color w:val="000000" w:themeColor="text1"/>
              </w:rPr>
              <w:t>d</w:t>
            </w:r>
            <w:r w:rsidRPr="002C18A8">
              <w:rPr>
                <w:rFonts w:asciiTheme="minorHAnsi" w:eastAsia="Arial" w:hAnsiTheme="minorHAnsi" w:cstheme="minorHAnsi"/>
                <w:color w:val="000000" w:themeColor="text1"/>
              </w:rPr>
              <w:t xml:space="preserve">ata </w:t>
            </w:r>
            <w:proofErr w:type="spellStart"/>
            <w:r w:rsidR="005F7969">
              <w:rPr>
                <w:rFonts w:asciiTheme="minorHAnsi" w:eastAsia="Arial" w:hAnsiTheme="minorHAnsi" w:cstheme="minorHAnsi"/>
                <w:color w:val="000000" w:themeColor="text1"/>
              </w:rPr>
              <w:t>c</w:t>
            </w:r>
            <w:r w:rsidRPr="002C18A8">
              <w:rPr>
                <w:rFonts w:asciiTheme="minorHAnsi" w:eastAsia="Arial" w:hAnsiTheme="minorHAnsi" w:cstheme="minorHAnsi"/>
                <w:color w:val="000000" w:themeColor="text1"/>
              </w:rPr>
              <w:t>enter</w:t>
            </w:r>
            <w:proofErr w:type="spellEnd"/>
            <w:r w:rsidRPr="002C18A8">
              <w:rPr>
                <w:rFonts w:asciiTheme="minorHAnsi" w:eastAsia="Arial" w:hAnsiTheme="minorHAnsi" w:cstheme="minorHAnsi"/>
                <w:color w:val="000000" w:themeColor="text1"/>
              </w:rPr>
              <w:t xml:space="preserve">). Należy doprecyzować, że nowy model będzie wymagał głębokiej rewizji taryfowania kosztowego, które obecnie </w:t>
            </w:r>
            <w:r w:rsidR="00015C55">
              <w:rPr>
                <w:rFonts w:asciiTheme="minorHAnsi" w:eastAsia="Arial" w:hAnsiTheme="minorHAnsi" w:cstheme="minorHAnsi"/>
                <w:color w:val="000000" w:themeColor="text1"/>
              </w:rPr>
              <w:t>obciąża</w:t>
            </w:r>
            <w:r w:rsidRPr="002C18A8">
              <w:rPr>
                <w:rFonts w:asciiTheme="minorHAnsi" w:eastAsia="Arial" w:hAnsiTheme="minorHAnsi" w:cstheme="minorHAnsi"/>
                <w:color w:val="000000" w:themeColor="text1"/>
              </w:rPr>
              <w:t xml:space="preserve"> przedsiębiorstwa za pozyskiwanie konkurencyjnego cenowo ciepła z zewnątrz. Świadczenie usług chłodzenia/odbioru ciepła na rzecz dostawców ciepła odpadowego powinno być traktowane jako komercyjna, np. pozataryfowa "usługa efektywności środowiskowej".</w:t>
            </w:r>
          </w:p>
        </w:tc>
        <w:tc>
          <w:tcPr>
            <w:tcW w:w="4111" w:type="dxa"/>
            <w:tcBorders>
              <w:top w:val="single" w:sz="4" w:space="0" w:color="auto"/>
              <w:left w:val="single" w:sz="4" w:space="0" w:color="auto"/>
              <w:bottom w:val="single" w:sz="4" w:space="0" w:color="auto"/>
              <w:right w:val="single" w:sz="4" w:space="0" w:color="auto"/>
            </w:tcBorders>
          </w:tcPr>
          <w:p w14:paraId="66727D84" w14:textId="7D67A21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W obecnym modelu taryfowania, wprowadzenie do sieci taniego ciepła odpadowego obniża średnią cenę ciepła w taryfie, co prowadzi do utraty przychodów i/lub </w:t>
            </w:r>
            <w:proofErr w:type="spellStart"/>
            <w:r w:rsidRPr="002C18A8">
              <w:rPr>
                <w:rFonts w:asciiTheme="minorHAnsi" w:eastAsia="Arial" w:hAnsiTheme="minorHAnsi" w:cstheme="minorHAnsi"/>
                <w:color w:val="000000" w:themeColor="text1"/>
              </w:rPr>
              <w:t>kanibalizuje</w:t>
            </w:r>
            <w:proofErr w:type="spellEnd"/>
            <w:r w:rsidRPr="002C18A8">
              <w:rPr>
                <w:rFonts w:asciiTheme="minorHAnsi" w:eastAsia="Arial" w:hAnsiTheme="minorHAnsi" w:cstheme="minorHAnsi"/>
                <w:color w:val="000000" w:themeColor="text1"/>
              </w:rPr>
              <w:t xml:space="preserve"> marżę przedsiębiorstwa. Bez zmiany tego mechanizmu na taki, w którym zyski z integracji taniego ciepła są dzielone między odbiorców i firmę ciepłowniczą, przedsiębiorstwa nie będą miały uzasadnienia ekonomicznego do przyłączania wielkoskalowych projektów odzysku np. z data </w:t>
            </w:r>
            <w:proofErr w:type="spellStart"/>
            <w:r w:rsidRPr="002C18A8">
              <w:rPr>
                <w:rFonts w:asciiTheme="minorHAnsi" w:eastAsia="Arial" w:hAnsiTheme="minorHAnsi" w:cstheme="minorHAnsi"/>
                <w:color w:val="000000" w:themeColor="text1"/>
              </w:rPr>
              <w:t>center</w:t>
            </w:r>
            <w:proofErr w:type="spellEnd"/>
            <w:r w:rsidRPr="002C18A8">
              <w:rPr>
                <w:rFonts w:asciiTheme="minorHAnsi" w:eastAsia="Arial" w:hAnsiTheme="minorHAnsi" w:cstheme="minorHAnsi"/>
                <w:color w:val="000000" w:themeColor="text1"/>
              </w:rPr>
              <w:t>.</w:t>
            </w:r>
          </w:p>
        </w:tc>
        <w:tc>
          <w:tcPr>
            <w:tcW w:w="1905" w:type="dxa"/>
            <w:tcBorders>
              <w:top w:val="single" w:sz="4" w:space="0" w:color="auto"/>
              <w:left w:val="single" w:sz="4" w:space="0" w:color="auto"/>
              <w:bottom w:val="single" w:sz="4" w:space="0" w:color="auto"/>
              <w:right w:val="single" w:sz="4" w:space="0" w:color="auto"/>
            </w:tcBorders>
          </w:tcPr>
          <w:p w14:paraId="75B8D0DF" w14:textId="1D00AC7C" w:rsidR="07B6B689" w:rsidRPr="002C18A8" w:rsidRDefault="07B6B689" w:rsidP="07B6B689">
            <w:pPr>
              <w:spacing w:line="240" w:lineRule="auto"/>
              <w:jc w:val="left"/>
              <w:rPr>
                <w:rFonts w:asciiTheme="minorHAnsi" w:hAnsiTheme="minorHAnsi" w:cstheme="minorHAnsi"/>
              </w:rPr>
            </w:pPr>
          </w:p>
        </w:tc>
      </w:tr>
      <w:tr w:rsidR="07B6B689" w:rsidRPr="002C18A8" w14:paraId="1A6A24B1"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5CA0C155" w14:textId="449062EF"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3B32016C" w14:textId="75CD72CC"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4C3BF638" w14:textId="2B544462"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54</w:t>
            </w:r>
          </w:p>
          <w:p w14:paraId="6C51217A" w14:textId="2FE71ADC"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Działanie 9</w:t>
            </w:r>
          </w:p>
        </w:tc>
        <w:tc>
          <w:tcPr>
            <w:tcW w:w="4337" w:type="dxa"/>
            <w:tcBorders>
              <w:top w:val="single" w:sz="4" w:space="0" w:color="auto"/>
              <w:left w:val="single" w:sz="4" w:space="0" w:color="auto"/>
              <w:bottom w:val="single" w:sz="4" w:space="0" w:color="auto"/>
              <w:right w:val="single" w:sz="4" w:space="0" w:color="auto"/>
            </w:tcBorders>
          </w:tcPr>
          <w:p w14:paraId="30286C54" w14:textId="7FDCB6F2" w:rsidR="07B6B689" w:rsidRPr="002C18A8" w:rsidRDefault="008E4843" w:rsidP="07B6B689">
            <w:pPr>
              <w:rPr>
                <w:rFonts w:asciiTheme="minorHAnsi" w:hAnsiTheme="minorHAnsi" w:cstheme="minorHAnsi"/>
              </w:rPr>
            </w:pPr>
            <w:r>
              <w:rPr>
                <w:rFonts w:asciiTheme="minorHAnsi" w:eastAsia="Arial" w:hAnsiTheme="minorHAnsi" w:cstheme="minorHAnsi"/>
                <w:color w:val="000000" w:themeColor="text1"/>
              </w:rPr>
              <w:t>Należy uzupełnić</w:t>
            </w:r>
            <w:r w:rsidR="07B6B689" w:rsidRPr="002C18A8">
              <w:rPr>
                <w:rFonts w:asciiTheme="minorHAnsi" w:eastAsia="Arial" w:hAnsiTheme="minorHAnsi" w:cstheme="minorHAnsi"/>
                <w:color w:val="000000" w:themeColor="text1"/>
              </w:rPr>
              <w:t xml:space="preserve"> opis działania o konieczność wprowadzenia regulacji wyłączających usługi zagospodarowania ciepła odpadowego z </w:t>
            </w:r>
            <w:r w:rsidR="07B6B689" w:rsidRPr="002C18A8">
              <w:rPr>
                <w:rFonts w:asciiTheme="minorHAnsi" w:eastAsia="Arial" w:hAnsiTheme="minorHAnsi" w:cstheme="minorHAnsi"/>
                <w:color w:val="000000" w:themeColor="text1"/>
              </w:rPr>
              <w:lastRenderedPageBreak/>
              <w:t>reżimu ścisłego taryfowania i zatwierdzania przez Prezesa URE. Świadczenie usług chłodzenia/odbioru ciepła na rzecz dostawców ciepła odpadowego powinno być traktowane jako komercyjna, np. pozataryfowa "usługa efektywności środowiskowej".</w:t>
            </w:r>
          </w:p>
        </w:tc>
        <w:tc>
          <w:tcPr>
            <w:tcW w:w="4111" w:type="dxa"/>
            <w:tcBorders>
              <w:top w:val="single" w:sz="4" w:space="0" w:color="auto"/>
              <w:left w:val="single" w:sz="4" w:space="0" w:color="auto"/>
              <w:bottom w:val="single" w:sz="4" w:space="0" w:color="auto"/>
              <w:right w:val="single" w:sz="4" w:space="0" w:color="auto"/>
            </w:tcBorders>
          </w:tcPr>
          <w:p w14:paraId="626DE25A" w14:textId="291213D8"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lastRenderedPageBreak/>
              <w:t xml:space="preserve">Obecne prawo energetyczne tworzy ryzyko klasyfikacji zjawiska "odbioru ciepła w zamian za chłodzenie" jako </w:t>
            </w:r>
            <w:r w:rsidRPr="002C18A8">
              <w:rPr>
                <w:rFonts w:asciiTheme="minorHAnsi" w:eastAsia="Arial" w:hAnsiTheme="minorHAnsi" w:cstheme="minorHAnsi"/>
                <w:color w:val="000000" w:themeColor="text1"/>
              </w:rPr>
              <w:lastRenderedPageBreak/>
              <w:t xml:space="preserve">koncesjonowanego obrotu ciepłem/chłodem. Zmiana prawna ugruntowująca komercyjny charakter "usług efektywności", odciąży inwestorów z </w:t>
            </w:r>
            <w:proofErr w:type="spellStart"/>
            <w:r w:rsidRPr="002C18A8">
              <w:rPr>
                <w:rFonts w:asciiTheme="minorHAnsi" w:eastAsia="Arial" w:hAnsiTheme="minorHAnsi" w:cstheme="minorHAnsi"/>
                <w:color w:val="000000" w:themeColor="text1"/>
              </w:rPr>
              <w:t>ryzyk</w:t>
            </w:r>
            <w:proofErr w:type="spellEnd"/>
            <w:r w:rsidRPr="002C18A8">
              <w:rPr>
                <w:rFonts w:asciiTheme="minorHAnsi" w:eastAsia="Arial" w:hAnsiTheme="minorHAnsi" w:cstheme="minorHAnsi"/>
                <w:color w:val="000000" w:themeColor="text1"/>
              </w:rPr>
              <w:t xml:space="preserve"> regulacyjnych URE i przyśpieszy rozwój projektów odzysku, zachęcając operatorów serwerowni do współpracy.</w:t>
            </w:r>
          </w:p>
        </w:tc>
        <w:tc>
          <w:tcPr>
            <w:tcW w:w="1905" w:type="dxa"/>
            <w:tcBorders>
              <w:top w:val="single" w:sz="4" w:space="0" w:color="auto"/>
              <w:left w:val="single" w:sz="4" w:space="0" w:color="auto"/>
              <w:bottom w:val="single" w:sz="4" w:space="0" w:color="auto"/>
              <w:right w:val="single" w:sz="4" w:space="0" w:color="auto"/>
            </w:tcBorders>
          </w:tcPr>
          <w:p w14:paraId="54CC3EA9" w14:textId="7ADDE800" w:rsidR="07B6B689" w:rsidRPr="002C18A8" w:rsidRDefault="07B6B689" w:rsidP="07B6B689">
            <w:pPr>
              <w:spacing w:line="240" w:lineRule="auto"/>
              <w:jc w:val="left"/>
              <w:rPr>
                <w:rFonts w:asciiTheme="minorHAnsi" w:hAnsiTheme="minorHAnsi" w:cstheme="minorHAnsi"/>
              </w:rPr>
            </w:pPr>
          </w:p>
        </w:tc>
      </w:tr>
      <w:tr w:rsidR="07B6B689" w:rsidRPr="002C18A8" w14:paraId="2BD01486"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0035C6D5" w14:textId="1AD005ED"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1122DFB9" w14:textId="287F1880"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61380E01" w14:textId="4551A22F"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56</w:t>
            </w:r>
          </w:p>
        </w:tc>
        <w:tc>
          <w:tcPr>
            <w:tcW w:w="4337" w:type="dxa"/>
            <w:tcBorders>
              <w:top w:val="single" w:sz="4" w:space="0" w:color="auto"/>
              <w:left w:val="single" w:sz="4" w:space="0" w:color="auto"/>
              <w:bottom w:val="single" w:sz="4" w:space="0" w:color="auto"/>
              <w:right w:val="single" w:sz="4" w:space="0" w:color="auto"/>
            </w:tcBorders>
          </w:tcPr>
          <w:p w14:paraId="4F363593" w14:textId="062C890F"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Postulujemy nieograniczanie wsparcia finansowego dla jednostek </w:t>
            </w:r>
            <w:proofErr w:type="spellStart"/>
            <w:r w:rsidRPr="002C18A8">
              <w:rPr>
                <w:rFonts w:asciiTheme="minorHAnsi" w:eastAsia="Arial" w:hAnsiTheme="minorHAnsi" w:cstheme="minorHAnsi"/>
                <w:color w:val="000000" w:themeColor="text1"/>
              </w:rPr>
              <w:t>biomasowych</w:t>
            </w:r>
            <w:proofErr w:type="spellEnd"/>
            <w:r w:rsidRPr="002C18A8">
              <w:rPr>
                <w:rFonts w:asciiTheme="minorHAnsi" w:eastAsia="Arial" w:hAnsiTheme="minorHAnsi" w:cstheme="minorHAnsi"/>
                <w:color w:val="000000" w:themeColor="text1"/>
              </w:rPr>
              <w:t xml:space="preserve"> do tych, które wykorzystują biomasę rolniczą.</w:t>
            </w:r>
          </w:p>
        </w:tc>
        <w:tc>
          <w:tcPr>
            <w:tcW w:w="4111" w:type="dxa"/>
            <w:tcBorders>
              <w:top w:val="single" w:sz="4" w:space="0" w:color="auto"/>
              <w:left w:val="single" w:sz="4" w:space="0" w:color="auto"/>
              <w:bottom w:val="single" w:sz="4" w:space="0" w:color="auto"/>
              <w:right w:val="single" w:sz="4" w:space="0" w:color="auto"/>
            </w:tcBorders>
          </w:tcPr>
          <w:p w14:paraId="04AB50A1" w14:textId="4370DD21"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Biomasa leśna oraz biomasa z przetwórstwa drzewnego </w:t>
            </w:r>
            <w:r w:rsidR="003A5F2C">
              <w:rPr>
                <w:rFonts w:asciiTheme="minorHAnsi" w:eastAsia="Arial" w:hAnsiTheme="minorHAnsi" w:cstheme="minorHAnsi"/>
                <w:color w:val="000000" w:themeColor="text1"/>
              </w:rPr>
              <w:t>są</w:t>
            </w:r>
            <w:r w:rsidRPr="002C18A8">
              <w:rPr>
                <w:rFonts w:asciiTheme="minorHAnsi" w:eastAsia="Arial" w:hAnsiTheme="minorHAnsi" w:cstheme="minorHAnsi"/>
                <w:color w:val="000000" w:themeColor="text1"/>
              </w:rPr>
              <w:t xml:space="preserve"> powszechnie wykorzystywan</w:t>
            </w:r>
            <w:r w:rsidR="003A5F2C">
              <w:rPr>
                <w:rFonts w:asciiTheme="minorHAnsi" w:eastAsia="Arial" w:hAnsiTheme="minorHAnsi" w:cstheme="minorHAnsi"/>
                <w:color w:val="000000" w:themeColor="text1"/>
              </w:rPr>
              <w:t>e</w:t>
            </w:r>
            <w:r w:rsidRPr="002C18A8">
              <w:rPr>
                <w:rFonts w:asciiTheme="minorHAnsi" w:eastAsia="Arial" w:hAnsiTheme="minorHAnsi" w:cstheme="minorHAnsi"/>
                <w:color w:val="000000" w:themeColor="text1"/>
              </w:rPr>
              <w:t xml:space="preserve"> w ciepłownictwie systemowym, w odróżnieniu od biomasy rolniczej, której rola jest marginalna. Stworzenie systemu wsparcia dla biomasy rolniczej w ciepłownictwie nie odwróci tego trendu - znane są doświadczenia z wykorzystywania słomy i wierzby energetycznej na cele wytwarzania ciepła systemowego i z powodów technicznych (negatywny wpływ na pracę kotłów) wycofano się z tego. </w:t>
            </w:r>
          </w:p>
        </w:tc>
        <w:tc>
          <w:tcPr>
            <w:tcW w:w="1905" w:type="dxa"/>
            <w:tcBorders>
              <w:top w:val="single" w:sz="4" w:space="0" w:color="auto"/>
              <w:left w:val="single" w:sz="4" w:space="0" w:color="auto"/>
              <w:bottom w:val="single" w:sz="4" w:space="0" w:color="auto"/>
              <w:right w:val="single" w:sz="4" w:space="0" w:color="auto"/>
            </w:tcBorders>
          </w:tcPr>
          <w:p w14:paraId="74DC7BA1" w14:textId="4D8F61C9" w:rsidR="07B6B689" w:rsidRPr="002C18A8" w:rsidRDefault="07B6B689" w:rsidP="07B6B689">
            <w:pPr>
              <w:spacing w:line="240" w:lineRule="auto"/>
              <w:jc w:val="left"/>
              <w:rPr>
                <w:rFonts w:asciiTheme="minorHAnsi" w:hAnsiTheme="minorHAnsi" w:cstheme="minorHAnsi"/>
              </w:rPr>
            </w:pPr>
          </w:p>
        </w:tc>
      </w:tr>
      <w:tr w:rsidR="07B6B689" w:rsidRPr="002C18A8" w14:paraId="6E201AB6"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688EB60C" w14:textId="4D8F780A"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1BF3E501" w14:textId="3F26BE83"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750A71A1" w14:textId="6E46A324"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59</w:t>
            </w:r>
          </w:p>
        </w:tc>
        <w:tc>
          <w:tcPr>
            <w:tcW w:w="4337" w:type="dxa"/>
            <w:tcBorders>
              <w:top w:val="single" w:sz="4" w:space="0" w:color="auto"/>
              <w:left w:val="single" w:sz="4" w:space="0" w:color="auto"/>
              <w:bottom w:val="single" w:sz="4" w:space="0" w:color="auto"/>
              <w:right w:val="single" w:sz="4" w:space="0" w:color="auto"/>
            </w:tcBorders>
          </w:tcPr>
          <w:p w14:paraId="3D9C7F3B" w14:textId="00328FE6"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Centralny Rejestr Ciepła powinien obejmować</w:t>
            </w:r>
            <w:r w:rsidR="00FA7C98">
              <w:rPr>
                <w:rFonts w:asciiTheme="minorHAnsi" w:eastAsia="Arial" w:hAnsiTheme="minorHAnsi" w:cstheme="minorHAnsi"/>
                <w:color w:val="000000" w:themeColor="text1"/>
              </w:rPr>
              <w:t xml:space="preserve"> także</w:t>
            </w:r>
            <w:r w:rsidRPr="002C18A8">
              <w:rPr>
                <w:rFonts w:asciiTheme="minorHAnsi" w:eastAsia="Arial" w:hAnsiTheme="minorHAnsi" w:cstheme="minorHAnsi"/>
                <w:color w:val="000000" w:themeColor="text1"/>
              </w:rPr>
              <w:t xml:space="preserve"> indywidualne źródła ciepła OZE wpięte w instalacje odbiorcze klientów i współpracujące z węzłem cieplnym. Produkcja ciepła z nich powinna być raportowana i uwzględniana w udziale ciepła OZE w systemie ciepłowniczym. Informacje te mogą być zaczerpnięte np. z Centralnej Ewidencji Emisyjności Budynków, a następnie bazy danych mogą być zintegrowane.</w:t>
            </w:r>
          </w:p>
        </w:tc>
        <w:tc>
          <w:tcPr>
            <w:tcW w:w="4111" w:type="dxa"/>
            <w:tcBorders>
              <w:top w:val="single" w:sz="4" w:space="0" w:color="auto"/>
              <w:left w:val="single" w:sz="4" w:space="0" w:color="auto"/>
              <w:bottom w:val="single" w:sz="4" w:space="0" w:color="auto"/>
              <w:right w:val="single" w:sz="4" w:space="0" w:color="auto"/>
            </w:tcBorders>
          </w:tcPr>
          <w:p w14:paraId="13422463" w14:textId="17A5E0A3"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 xml:space="preserve"> </w:t>
            </w:r>
          </w:p>
        </w:tc>
        <w:tc>
          <w:tcPr>
            <w:tcW w:w="1905" w:type="dxa"/>
            <w:tcBorders>
              <w:top w:val="single" w:sz="4" w:space="0" w:color="auto"/>
              <w:left w:val="single" w:sz="4" w:space="0" w:color="auto"/>
              <w:bottom w:val="single" w:sz="4" w:space="0" w:color="auto"/>
              <w:right w:val="single" w:sz="4" w:space="0" w:color="auto"/>
            </w:tcBorders>
          </w:tcPr>
          <w:p w14:paraId="5D379062" w14:textId="788CAF25" w:rsidR="07B6B689" w:rsidRPr="002C18A8" w:rsidRDefault="07B6B689" w:rsidP="07B6B689">
            <w:pPr>
              <w:spacing w:line="240" w:lineRule="auto"/>
              <w:jc w:val="left"/>
              <w:rPr>
                <w:rFonts w:asciiTheme="minorHAnsi" w:hAnsiTheme="minorHAnsi" w:cstheme="minorHAnsi"/>
              </w:rPr>
            </w:pPr>
          </w:p>
        </w:tc>
      </w:tr>
      <w:tr w:rsidR="07B6B689" w:rsidRPr="002C18A8" w14:paraId="3FFEC60C"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7C40E007" w14:textId="305A4746" w:rsidR="07B6B689" w:rsidRPr="00EE2CA1" w:rsidRDefault="07B6B689"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30CFF6A7" w14:textId="37FD203B" w:rsidR="07B6B689" w:rsidRPr="002C18A8" w:rsidRDefault="000A0A7B" w:rsidP="07B6B689">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3026270C" w14:textId="6352B351"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Str. 63</w:t>
            </w:r>
          </w:p>
        </w:tc>
        <w:tc>
          <w:tcPr>
            <w:tcW w:w="4337" w:type="dxa"/>
            <w:tcBorders>
              <w:top w:val="single" w:sz="4" w:space="0" w:color="auto"/>
              <w:left w:val="single" w:sz="4" w:space="0" w:color="auto"/>
              <w:bottom w:val="single" w:sz="4" w:space="0" w:color="auto"/>
              <w:right w:val="single" w:sz="4" w:space="0" w:color="auto"/>
            </w:tcBorders>
          </w:tcPr>
          <w:p w14:paraId="39008512" w14:textId="37B09B31" w:rsidR="07B6B689" w:rsidRPr="002C18A8" w:rsidRDefault="07B6B689" w:rsidP="07B6B689">
            <w:pPr>
              <w:rPr>
                <w:rFonts w:asciiTheme="minorHAnsi" w:hAnsiTheme="minorHAnsi" w:cstheme="minorHAnsi"/>
              </w:rPr>
            </w:pPr>
            <w:r w:rsidRPr="002C18A8">
              <w:rPr>
                <w:rFonts w:asciiTheme="minorHAnsi" w:eastAsia="Arial" w:hAnsiTheme="minorHAnsi" w:cstheme="minorHAnsi"/>
                <w:color w:val="000000" w:themeColor="text1"/>
              </w:rPr>
              <w:t>Rekomendujemy wprowadzenie dofinansowania na wydzielanie obszarów sieci niskotemperaturowych w ramach systemów ciepłowniczych.</w:t>
            </w:r>
          </w:p>
        </w:tc>
        <w:tc>
          <w:tcPr>
            <w:tcW w:w="4111" w:type="dxa"/>
            <w:tcBorders>
              <w:top w:val="single" w:sz="4" w:space="0" w:color="auto"/>
              <w:left w:val="single" w:sz="4" w:space="0" w:color="auto"/>
              <w:bottom w:val="single" w:sz="4" w:space="0" w:color="auto"/>
              <w:right w:val="single" w:sz="4" w:space="0" w:color="auto"/>
            </w:tcBorders>
          </w:tcPr>
          <w:p w14:paraId="20B2BA83" w14:textId="45E3AD0A" w:rsidR="07B6B689" w:rsidRPr="00450A13" w:rsidRDefault="05976A72" w:rsidP="05976A72">
            <w:pPr>
              <w:rPr>
                <w:rFonts w:asciiTheme="minorHAnsi" w:hAnsiTheme="minorHAnsi" w:cstheme="minorHAnsi"/>
              </w:rPr>
            </w:pPr>
            <w:r w:rsidRPr="002C18A8">
              <w:rPr>
                <w:rFonts w:asciiTheme="minorHAnsi" w:eastAsia="Arial" w:hAnsiTheme="minorHAnsi" w:cstheme="minorHAnsi"/>
                <w:color w:val="000000" w:themeColor="text1"/>
              </w:rPr>
              <w:t xml:space="preserve">W przypadku dużych systemów ciepłowniczych wyzwaniem jest jednorodne obniżanie tabeli regulacyjnej w całym systemie z uwagi na konieczność uwzględnienia możliwości odebrania mocy cieplnej z niskotemperaturowych sieci przez istniejące instalacje wewnętrzne projektowane pod systemy wysokotemperaturowe. Racjonalnym kierunkiem jest tworzenie stref </w:t>
            </w:r>
            <w:proofErr w:type="spellStart"/>
            <w:r w:rsidRPr="002C18A8">
              <w:rPr>
                <w:rFonts w:asciiTheme="minorHAnsi" w:eastAsia="Arial" w:hAnsiTheme="minorHAnsi" w:cstheme="minorHAnsi"/>
                <w:color w:val="000000" w:themeColor="text1"/>
              </w:rPr>
              <w:t>podmieszania</w:t>
            </w:r>
            <w:proofErr w:type="spellEnd"/>
            <w:r w:rsidRPr="002C18A8">
              <w:rPr>
                <w:rFonts w:asciiTheme="minorHAnsi" w:eastAsia="Arial" w:hAnsiTheme="minorHAnsi" w:cstheme="minorHAnsi"/>
                <w:color w:val="000000" w:themeColor="text1"/>
              </w:rPr>
              <w:t xml:space="preserve"> wody sieciowej w celu obniżania temperatury w pewnych obszarach sieci.</w:t>
            </w:r>
          </w:p>
        </w:tc>
        <w:tc>
          <w:tcPr>
            <w:tcW w:w="1905" w:type="dxa"/>
            <w:tcBorders>
              <w:top w:val="single" w:sz="4" w:space="0" w:color="auto"/>
              <w:left w:val="single" w:sz="4" w:space="0" w:color="auto"/>
              <w:bottom w:val="single" w:sz="4" w:space="0" w:color="auto"/>
              <w:right w:val="single" w:sz="4" w:space="0" w:color="auto"/>
            </w:tcBorders>
          </w:tcPr>
          <w:p w14:paraId="5BD2FC54" w14:textId="78099B7E" w:rsidR="07B6B689" w:rsidRPr="002C18A8" w:rsidRDefault="07B6B689" w:rsidP="7265A70B">
            <w:pPr>
              <w:spacing w:line="240" w:lineRule="auto"/>
              <w:jc w:val="left"/>
              <w:rPr>
                <w:rFonts w:asciiTheme="minorHAnsi" w:hAnsiTheme="minorHAnsi" w:cstheme="minorHAnsi"/>
              </w:rPr>
            </w:pPr>
          </w:p>
        </w:tc>
      </w:tr>
      <w:tr w:rsidR="7265A70B" w:rsidRPr="002C18A8" w14:paraId="43CCFEF1"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61067251" w14:textId="1EBA0DFD" w:rsidR="7265A70B" w:rsidRPr="00EE2CA1" w:rsidRDefault="7265A70B"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71BD5B4A" w14:textId="603260E3" w:rsidR="7265A70B" w:rsidRPr="002C18A8" w:rsidRDefault="000A0A7B" w:rsidP="7265A70B">
            <w:pPr>
              <w:jc w:val="left"/>
              <w:rPr>
                <w:rFonts w:asciiTheme="minorHAnsi" w:eastAsia="Arial"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26BD8B93" w14:textId="6240D345"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 xml:space="preserve">Rys. 3 str. 11 „Kryteria efektywnych systemów ciepłowniczych i chłodniczych”  </w:t>
            </w:r>
          </w:p>
        </w:tc>
        <w:tc>
          <w:tcPr>
            <w:tcW w:w="4337" w:type="dxa"/>
            <w:tcBorders>
              <w:top w:val="single" w:sz="4" w:space="0" w:color="auto"/>
              <w:left w:val="single" w:sz="4" w:space="0" w:color="auto"/>
              <w:bottom w:val="single" w:sz="4" w:space="0" w:color="auto"/>
              <w:right w:val="single" w:sz="4" w:space="0" w:color="auto"/>
            </w:tcBorders>
          </w:tcPr>
          <w:p w14:paraId="62791683" w14:textId="623D5E28"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Uwaga redakcyjna - uzupełnienie opisu kryteriów obowiązujących od 1 stycznia 2028 r.</w:t>
            </w:r>
          </w:p>
          <w:p w14:paraId="3879569A" w14:textId="2460DDD1"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 xml:space="preserve"> </w:t>
            </w:r>
          </w:p>
        </w:tc>
        <w:tc>
          <w:tcPr>
            <w:tcW w:w="4111" w:type="dxa"/>
            <w:tcBorders>
              <w:top w:val="single" w:sz="4" w:space="0" w:color="auto"/>
              <w:left w:val="single" w:sz="4" w:space="0" w:color="auto"/>
              <w:bottom w:val="single" w:sz="4" w:space="0" w:color="auto"/>
              <w:right w:val="single" w:sz="4" w:space="0" w:color="auto"/>
            </w:tcBorders>
          </w:tcPr>
          <w:p w14:paraId="27C9E235" w14:textId="1FC2FC9B"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Opis kryteriów obowiązujących od 1 stycznia 2028 r. wymaga uzupełnienia o informację, że kryterium nim. 5% odnosi się do OZE lub ciepła odpadowego.</w:t>
            </w:r>
          </w:p>
        </w:tc>
        <w:tc>
          <w:tcPr>
            <w:tcW w:w="1905" w:type="dxa"/>
            <w:tcBorders>
              <w:top w:val="single" w:sz="4" w:space="0" w:color="auto"/>
              <w:left w:val="single" w:sz="4" w:space="0" w:color="auto"/>
              <w:bottom w:val="single" w:sz="4" w:space="0" w:color="auto"/>
              <w:right w:val="single" w:sz="4" w:space="0" w:color="auto"/>
            </w:tcBorders>
          </w:tcPr>
          <w:p w14:paraId="5C807B27" w14:textId="1246BE19" w:rsidR="7265A70B" w:rsidRPr="002C18A8" w:rsidRDefault="7265A70B" w:rsidP="7265A70B">
            <w:pPr>
              <w:spacing w:line="240" w:lineRule="auto"/>
              <w:jc w:val="left"/>
              <w:rPr>
                <w:rFonts w:asciiTheme="minorHAnsi" w:hAnsiTheme="minorHAnsi" w:cstheme="minorHAnsi"/>
              </w:rPr>
            </w:pPr>
          </w:p>
        </w:tc>
      </w:tr>
      <w:tr w:rsidR="7265A70B" w:rsidRPr="002C18A8" w14:paraId="254FAE92"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42A5807C" w14:textId="527E82E7" w:rsidR="7265A70B" w:rsidRPr="00EE2CA1" w:rsidRDefault="7265A70B"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4F2159FE" w14:textId="4849EA77" w:rsidR="7265A70B" w:rsidRPr="002C18A8" w:rsidRDefault="000A0A7B" w:rsidP="7265A70B">
            <w:pPr>
              <w:jc w:val="left"/>
              <w:rPr>
                <w:rFonts w:asciiTheme="minorHAnsi" w:eastAsia="Arial"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18285D2C" w14:textId="4648C8FE"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 xml:space="preserve">Rozdział 8 „Planowanie energetyczne na poziomie lokalnym” oraz Działanie 17 w Rozdziale 13 „Lokalne plany w zakresie ogrzewania i chłodzenia”  </w:t>
            </w:r>
          </w:p>
        </w:tc>
        <w:tc>
          <w:tcPr>
            <w:tcW w:w="4337" w:type="dxa"/>
            <w:tcBorders>
              <w:top w:val="single" w:sz="4" w:space="0" w:color="auto"/>
              <w:left w:val="single" w:sz="4" w:space="0" w:color="auto"/>
              <w:bottom w:val="single" w:sz="4" w:space="0" w:color="auto"/>
              <w:right w:val="single" w:sz="4" w:space="0" w:color="auto"/>
            </w:tcBorders>
          </w:tcPr>
          <w:p w14:paraId="41532B00" w14:textId="76CCE52F" w:rsidR="7265A70B" w:rsidRPr="002C18A8" w:rsidRDefault="00922EE2" w:rsidP="00450A13">
            <w:pPr>
              <w:rPr>
                <w:rFonts w:asciiTheme="minorHAnsi" w:eastAsia="Arial" w:hAnsiTheme="minorHAnsi" w:cstheme="minorHAnsi"/>
              </w:rPr>
            </w:pPr>
            <w:r>
              <w:rPr>
                <w:rFonts w:asciiTheme="minorHAnsi" w:eastAsia="Arial" w:hAnsiTheme="minorHAnsi" w:cstheme="minorHAnsi"/>
              </w:rPr>
              <w:t>Postuluje się powiązanie</w:t>
            </w:r>
            <w:r w:rsidR="7265A70B" w:rsidRPr="002C18A8">
              <w:rPr>
                <w:rFonts w:asciiTheme="minorHAnsi" w:eastAsia="Arial" w:hAnsiTheme="minorHAnsi" w:cstheme="minorHAnsi"/>
              </w:rPr>
              <w:t xml:space="preserve"> lokalnych planów ogrzewania i chłodzenia z planami rozwoju sieci elektroenergetycznych.</w:t>
            </w:r>
          </w:p>
          <w:p w14:paraId="73F9112B" w14:textId="1CA82E55"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 xml:space="preserve"> </w:t>
            </w:r>
          </w:p>
        </w:tc>
        <w:tc>
          <w:tcPr>
            <w:tcW w:w="4111" w:type="dxa"/>
            <w:tcBorders>
              <w:top w:val="single" w:sz="4" w:space="0" w:color="auto"/>
              <w:left w:val="single" w:sz="4" w:space="0" w:color="auto"/>
              <w:bottom w:val="single" w:sz="4" w:space="0" w:color="auto"/>
              <w:right w:val="single" w:sz="4" w:space="0" w:color="auto"/>
            </w:tcBorders>
          </w:tcPr>
          <w:p w14:paraId="238D9936" w14:textId="59DD6189" w:rsidR="7265A70B" w:rsidRPr="002C18A8" w:rsidRDefault="7265A70B" w:rsidP="00450A13">
            <w:pPr>
              <w:rPr>
                <w:rFonts w:asciiTheme="minorHAnsi" w:eastAsia="Arial" w:hAnsiTheme="minorHAnsi" w:cstheme="minorHAnsi"/>
              </w:rPr>
            </w:pPr>
            <w:r w:rsidRPr="002C18A8">
              <w:rPr>
                <w:rFonts w:asciiTheme="minorHAnsi" w:eastAsia="Arial" w:hAnsiTheme="minorHAnsi" w:cstheme="minorHAnsi"/>
              </w:rPr>
              <w:t xml:space="preserve">Dokument przewiduje planowanie lokalne, ale nie wymaga formalnej koordynacji planów ciepłowniczych z operatorami OSD, w tym ich planami rozwoju. Lokalne plany ogrzewania i chłodzenia powinny podlegać obowiązkowym konsultacjom z właściwym operatorem systemu dystrybucyjnego lub przesyłowego energii elektrycznej oraz uwzględniać istniejące i planowane zdolności przyłączeniowe sieci elektroenergetycznej. Brak koordynacji tych działań może </w:t>
            </w:r>
            <w:r w:rsidRPr="002C18A8">
              <w:rPr>
                <w:rFonts w:asciiTheme="minorHAnsi" w:eastAsia="Arial" w:hAnsiTheme="minorHAnsi" w:cstheme="minorHAnsi"/>
              </w:rPr>
              <w:lastRenderedPageBreak/>
              <w:t>przyczynić się do potęgowania kosztów lub uniemożliwić przeprowadzenie planowanych inwestycji.</w:t>
            </w:r>
          </w:p>
        </w:tc>
        <w:tc>
          <w:tcPr>
            <w:tcW w:w="1905" w:type="dxa"/>
            <w:tcBorders>
              <w:top w:val="single" w:sz="4" w:space="0" w:color="auto"/>
              <w:left w:val="single" w:sz="4" w:space="0" w:color="auto"/>
              <w:bottom w:val="single" w:sz="4" w:space="0" w:color="auto"/>
              <w:right w:val="single" w:sz="4" w:space="0" w:color="auto"/>
            </w:tcBorders>
          </w:tcPr>
          <w:p w14:paraId="106678F0" w14:textId="5CD2C7D5" w:rsidR="7265A70B" w:rsidRPr="002C18A8" w:rsidRDefault="7265A70B" w:rsidP="7265A70B">
            <w:pPr>
              <w:spacing w:line="240" w:lineRule="auto"/>
              <w:jc w:val="left"/>
              <w:rPr>
                <w:rFonts w:asciiTheme="minorHAnsi" w:hAnsiTheme="minorHAnsi" w:cstheme="minorHAnsi"/>
              </w:rPr>
            </w:pPr>
          </w:p>
        </w:tc>
      </w:tr>
      <w:tr w:rsidR="7265A70B" w:rsidRPr="002C18A8" w14:paraId="7EB64305"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095C73EC" w14:textId="0D72EFA5" w:rsidR="7265A70B" w:rsidRPr="00EE2CA1" w:rsidRDefault="7265A70B"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67E2E922" w14:textId="3CFC125E" w:rsidR="7265A70B" w:rsidRPr="002C18A8" w:rsidRDefault="000A0A7B" w:rsidP="7265A70B">
            <w:pPr>
              <w:jc w:val="left"/>
              <w:rPr>
                <w:rFonts w:asciiTheme="minorHAnsi" w:eastAsia="Arial"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6A17EF3E" w14:textId="0BF5E036"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Rozdział 10 „Integracja ciepłownictwa i elektroenergetyki”, str. 32–34</w:t>
            </w:r>
          </w:p>
        </w:tc>
        <w:tc>
          <w:tcPr>
            <w:tcW w:w="4337" w:type="dxa"/>
            <w:tcBorders>
              <w:top w:val="single" w:sz="4" w:space="0" w:color="auto"/>
              <w:left w:val="single" w:sz="4" w:space="0" w:color="auto"/>
              <w:bottom w:val="single" w:sz="4" w:space="0" w:color="auto"/>
              <w:right w:val="single" w:sz="4" w:space="0" w:color="auto"/>
            </w:tcBorders>
          </w:tcPr>
          <w:p w14:paraId="1710E720" w14:textId="49277493" w:rsidR="7265A70B" w:rsidRPr="002C18A8" w:rsidRDefault="7265A70B" w:rsidP="00450A13">
            <w:pPr>
              <w:rPr>
                <w:rFonts w:asciiTheme="minorHAnsi" w:eastAsia="Arial" w:hAnsiTheme="minorHAnsi" w:cstheme="minorHAnsi"/>
              </w:rPr>
            </w:pPr>
            <w:r w:rsidRPr="002C18A8">
              <w:rPr>
                <w:rFonts w:asciiTheme="minorHAnsi" w:eastAsia="Arial" w:hAnsiTheme="minorHAnsi" w:cstheme="minorHAnsi"/>
              </w:rPr>
              <w:t>Strategia powinna uwzględniać konieczność równoległej rozbudowy sieci elektroenergetycznych dla rozwoju Power-to-</w:t>
            </w:r>
            <w:proofErr w:type="spellStart"/>
            <w:r w:rsidRPr="002C18A8">
              <w:rPr>
                <w:rFonts w:asciiTheme="minorHAnsi" w:eastAsia="Arial" w:hAnsiTheme="minorHAnsi" w:cstheme="minorHAnsi"/>
              </w:rPr>
              <w:t>Heat</w:t>
            </w:r>
            <w:proofErr w:type="spellEnd"/>
            <w:r w:rsidRPr="002C18A8">
              <w:rPr>
                <w:rFonts w:asciiTheme="minorHAnsi" w:eastAsia="Arial" w:hAnsiTheme="minorHAnsi" w:cstheme="minorHAnsi"/>
              </w:rPr>
              <w:t>.</w:t>
            </w:r>
          </w:p>
          <w:p w14:paraId="065FA267" w14:textId="2A88C5F8"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 xml:space="preserve"> </w:t>
            </w:r>
          </w:p>
        </w:tc>
        <w:tc>
          <w:tcPr>
            <w:tcW w:w="4111" w:type="dxa"/>
            <w:tcBorders>
              <w:top w:val="single" w:sz="4" w:space="0" w:color="auto"/>
              <w:left w:val="single" w:sz="4" w:space="0" w:color="auto"/>
              <w:bottom w:val="single" w:sz="4" w:space="0" w:color="auto"/>
              <w:right w:val="single" w:sz="4" w:space="0" w:color="auto"/>
            </w:tcBorders>
          </w:tcPr>
          <w:p w14:paraId="1DD261C6" w14:textId="015F809F" w:rsidR="7265A70B" w:rsidRPr="002C18A8" w:rsidRDefault="7265A70B" w:rsidP="00450A13">
            <w:pPr>
              <w:rPr>
                <w:rFonts w:asciiTheme="minorHAnsi" w:eastAsia="Arial" w:hAnsiTheme="minorHAnsi" w:cstheme="minorHAnsi"/>
              </w:rPr>
            </w:pPr>
            <w:r w:rsidRPr="002C18A8">
              <w:rPr>
                <w:rFonts w:asciiTheme="minorHAnsi" w:eastAsia="Arial" w:hAnsiTheme="minorHAnsi" w:cstheme="minorHAnsi"/>
              </w:rPr>
              <w:t xml:space="preserve">Strategia zakłada do 5,5 </w:t>
            </w:r>
            <w:proofErr w:type="spellStart"/>
            <w:r w:rsidRPr="002C18A8">
              <w:rPr>
                <w:rFonts w:asciiTheme="minorHAnsi" w:eastAsia="Arial" w:hAnsiTheme="minorHAnsi" w:cstheme="minorHAnsi"/>
              </w:rPr>
              <w:t>GWt</w:t>
            </w:r>
            <w:proofErr w:type="spellEnd"/>
            <w:r w:rsidRPr="002C18A8">
              <w:rPr>
                <w:rFonts w:asciiTheme="minorHAnsi" w:eastAsia="Arial" w:hAnsiTheme="minorHAnsi" w:cstheme="minorHAnsi"/>
              </w:rPr>
              <w:t xml:space="preserve"> mocy zainstalowanej w źródłach Power-to-</w:t>
            </w:r>
            <w:proofErr w:type="spellStart"/>
            <w:r w:rsidRPr="002C18A8">
              <w:rPr>
                <w:rFonts w:asciiTheme="minorHAnsi" w:eastAsia="Arial" w:hAnsiTheme="minorHAnsi" w:cstheme="minorHAnsi"/>
              </w:rPr>
              <w:t>Heat</w:t>
            </w:r>
            <w:proofErr w:type="spellEnd"/>
            <w:r w:rsidRPr="002C18A8">
              <w:rPr>
                <w:rFonts w:asciiTheme="minorHAnsi" w:eastAsia="Arial" w:hAnsiTheme="minorHAnsi" w:cstheme="minorHAnsi"/>
              </w:rPr>
              <w:t>, ale ogranicza się do ogólnego wskazania potrzeby rozbudowy i modernizacji sieci. W naszej opinii opis ten powinien zostać uzupełniony o oceny kosztów, harmonogramu i odpowiedzialności operatorów systemów dystrybucyjnych i przesyłowego, a wskazane w dokumencie koszty transformacji ciepłownictwa powinny dodatkowo obejmować niezbędne do poniesienia inwestycje w infrastrukturę sieciową.</w:t>
            </w:r>
          </w:p>
        </w:tc>
        <w:tc>
          <w:tcPr>
            <w:tcW w:w="1905" w:type="dxa"/>
            <w:tcBorders>
              <w:top w:val="single" w:sz="4" w:space="0" w:color="auto"/>
              <w:left w:val="single" w:sz="4" w:space="0" w:color="auto"/>
              <w:bottom w:val="single" w:sz="4" w:space="0" w:color="auto"/>
              <w:right w:val="single" w:sz="4" w:space="0" w:color="auto"/>
            </w:tcBorders>
          </w:tcPr>
          <w:p w14:paraId="0E37B86C" w14:textId="59E59421" w:rsidR="7265A70B" w:rsidRPr="002C18A8" w:rsidRDefault="7265A70B" w:rsidP="7265A70B">
            <w:pPr>
              <w:spacing w:line="240" w:lineRule="auto"/>
              <w:jc w:val="left"/>
              <w:rPr>
                <w:rFonts w:asciiTheme="minorHAnsi" w:hAnsiTheme="minorHAnsi" w:cstheme="minorHAnsi"/>
              </w:rPr>
            </w:pPr>
          </w:p>
        </w:tc>
      </w:tr>
      <w:tr w:rsidR="7265A70B" w:rsidRPr="002C18A8" w14:paraId="04DC1EDC"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79F757EE" w14:textId="23A1B7FC" w:rsidR="7265A70B" w:rsidRPr="00EE2CA1" w:rsidRDefault="7265A70B"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2BB6475B" w14:textId="5BC3BAED" w:rsidR="7265A70B" w:rsidRPr="002C18A8" w:rsidRDefault="000A0A7B" w:rsidP="7265A70B">
            <w:pPr>
              <w:jc w:val="left"/>
              <w:rPr>
                <w:rFonts w:asciiTheme="minorHAnsi" w:eastAsia="Arial"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4C4E55E2" w14:textId="282EFCD1"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Rozdział 13 Działanie 6 „Zmiana modelu taryfowania ciepła”</w:t>
            </w:r>
          </w:p>
        </w:tc>
        <w:tc>
          <w:tcPr>
            <w:tcW w:w="4337" w:type="dxa"/>
            <w:tcBorders>
              <w:top w:val="single" w:sz="4" w:space="0" w:color="auto"/>
              <w:left w:val="single" w:sz="4" w:space="0" w:color="auto"/>
              <w:bottom w:val="single" w:sz="4" w:space="0" w:color="auto"/>
              <w:right w:val="single" w:sz="4" w:space="0" w:color="auto"/>
            </w:tcBorders>
          </w:tcPr>
          <w:p w14:paraId="5FDA933C" w14:textId="70CEABA6"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Wprowadzenie bardziej szczegółowego opisu modelu reformy taryf ciepła.</w:t>
            </w:r>
          </w:p>
          <w:p w14:paraId="53C9BB68" w14:textId="3BB50A4A" w:rsidR="7265A70B" w:rsidRPr="002C18A8" w:rsidRDefault="7265A70B" w:rsidP="7265A70B">
            <w:pPr>
              <w:jc w:val="left"/>
              <w:rPr>
                <w:rFonts w:asciiTheme="minorHAnsi" w:eastAsia="Arial" w:hAnsiTheme="minorHAnsi" w:cstheme="minorHAnsi"/>
              </w:rPr>
            </w:pPr>
            <w:r w:rsidRPr="002C18A8">
              <w:rPr>
                <w:rFonts w:asciiTheme="minorHAnsi" w:eastAsia="Arial" w:hAnsiTheme="minorHAnsi" w:cstheme="minorHAnsi"/>
              </w:rPr>
              <w:t xml:space="preserve"> </w:t>
            </w:r>
          </w:p>
        </w:tc>
        <w:tc>
          <w:tcPr>
            <w:tcW w:w="4111" w:type="dxa"/>
            <w:tcBorders>
              <w:top w:val="single" w:sz="4" w:space="0" w:color="auto"/>
              <w:left w:val="single" w:sz="4" w:space="0" w:color="auto"/>
              <w:bottom w:val="single" w:sz="4" w:space="0" w:color="auto"/>
              <w:right w:val="single" w:sz="4" w:space="0" w:color="auto"/>
            </w:tcBorders>
          </w:tcPr>
          <w:p w14:paraId="3A7E7EC9" w14:textId="6D64C6DE" w:rsidR="7265A70B" w:rsidRPr="002C18A8" w:rsidRDefault="7265A70B" w:rsidP="00450A13">
            <w:pPr>
              <w:rPr>
                <w:rFonts w:asciiTheme="minorHAnsi" w:eastAsia="Arial" w:hAnsiTheme="minorHAnsi" w:cstheme="minorHAnsi"/>
              </w:rPr>
            </w:pPr>
            <w:r w:rsidRPr="002C18A8">
              <w:rPr>
                <w:rFonts w:asciiTheme="minorHAnsi" w:eastAsia="Arial" w:hAnsiTheme="minorHAnsi" w:cstheme="minorHAnsi"/>
              </w:rPr>
              <w:t xml:space="preserve">Dokument identyfikuje problem taryfowania ciepła, ale nie określa docelowego modelu regulacyjnego sektora, w szczególności zasad zwrotu kosztów inwestycji niskoemisyjnych. Proponujemy uzupełnienie opisu o informację, że reforma systemu taryfowego / regulacyjnego powinna zapewniać stabilność i przewidywalność działalności inwestycyjnej i operacyjnej sektora ciepłowniczego, możliwość odzyskania uzasadnionych kosztów tych działalności związanych z dekarbonizacją ciepłownictwa, przy jednoczesnym zachowaniu ochrony </w:t>
            </w:r>
            <w:r w:rsidRPr="002C18A8">
              <w:rPr>
                <w:rFonts w:asciiTheme="minorHAnsi" w:eastAsia="Arial" w:hAnsiTheme="minorHAnsi" w:cstheme="minorHAnsi"/>
              </w:rPr>
              <w:lastRenderedPageBreak/>
              <w:t>odbiorców końcowych oraz efektywności kosztowej systemu.</w:t>
            </w:r>
          </w:p>
        </w:tc>
        <w:tc>
          <w:tcPr>
            <w:tcW w:w="1905" w:type="dxa"/>
            <w:tcBorders>
              <w:top w:val="single" w:sz="4" w:space="0" w:color="auto"/>
              <w:left w:val="single" w:sz="4" w:space="0" w:color="auto"/>
              <w:bottom w:val="single" w:sz="4" w:space="0" w:color="auto"/>
              <w:right w:val="single" w:sz="4" w:space="0" w:color="auto"/>
            </w:tcBorders>
          </w:tcPr>
          <w:p w14:paraId="6221A898" w14:textId="70B6A99D" w:rsidR="7265A70B" w:rsidRPr="002C18A8" w:rsidRDefault="7265A70B" w:rsidP="7265A70B">
            <w:pPr>
              <w:spacing w:line="240" w:lineRule="auto"/>
              <w:jc w:val="left"/>
              <w:rPr>
                <w:rFonts w:asciiTheme="minorHAnsi" w:hAnsiTheme="minorHAnsi" w:cstheme="minorHAnsi"/>
              </w:rPr>
            </w:pPr>
          </w:p>
        </w:tc>
      </w:tr>
      <w:tr w:rsidR="7265A70B" w:rsidRPr="002C18A8" w14:paraId="24DA53A8"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6A3D7C9B" w14:textId="34D48121" w:rsidR="7265A70B" w:rsidRPr="00EE2CA1" w:rsidRDefault="7265A70B"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126E3EF6" w14:textId="7FE83551" w:rsidR="7265A70B" w:rsidRPr="002C18A8" w:rsidRDefault="000A0A7B" w:rsidP="7265A70B">
            <w:pPr>
              <w:jc w:val="left"/>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46B4C6B2" w14:textId="187D4F59" w:rsidR="7265A70B" w:rsidRPr="002C18A8" w:rsidRDefault="00450A13" w:rsidP="7265A70B">
            <w:pPr>
              <w:spacing w:before="240" w:after="240"/>
              <w:jc w:val="left"/>
              <w:rPr>
                <w:rFonts w:asciiTheme="minorHAnsi" w:hAnsiTheme="minorHAnsi" w:cstheme="minorHAnsi"/>
              </w:rPr>
            </w:pPr>
            <w:r>
              <w:rPr>
                <w:rFonts w:asciiTheme="minorHAnsi" w:eastAsia="Arial" w:hAnsiTheme="minorHAnsi" w:cstheme="minorHAnsi"/>
              </w:rPr>
              <w:t>R</w:t>
            </w:r>
            <w:r w:rsidR="7265A70B" w:rsidRPr="002C18A8">
              <w:rPr>
                <w:rFonts w:asciiTheme="minorHAnsi" w:eastAsia="Arial" w:hAnsiTheme="minorHAnsi" w:cstheme="minorHAnsi"/>
              </w:rPr>
              <w:t>ozdział 12.1 Zestawienie możliwych źródeł finansowania</w:t>
            </w:r>
          </w:p>
          <w:p w14:paraId="56383DA5" w14:textId="0861006E" w:rsidR="7265A70B" w:rsidRPr="002C18A8" w:rsidRDefault="7265A70B" w:rsidP="7265A70B">
            <w:pPr>
              <w:jc w:val="left"/>
              <w:rPr>
                <w:rFonts w:asciiTheme="minorHAnsi" w:hAnsiTheme="minorHAnsi" w:cstheme="minorHAnsi"/>
              </w:rPr>
            </w:pPr>
            <w:r w:rsidRPr="002C18A8">
              <w:rPr>
                <w:rFonts w:asciiTheme="minorHAnsi" w:eastAsia="Arial" w:hAnsiTheme="minorHAnsi" w:cstheme="minorHAnsi"/>
              </w:rPr>
              <w:t>(str. 40-49)</w:t>
            </w:r>
          </w:p>
          <w:p w14:paraId="4A826779" w14:textId="02656244" w:rsidR="7265A70B" w:rsidRPr="002C18A8" w:rsidRDefault="7265A70B" w:rsidP="7265A70B">
            <w:pPr>
              <w:jc w:val="left"/>
              <w:rPr>
                <w:rFonts w:asciiTheme="minorHAnsi" w:eastAsia="Arial" w:hAnsiTheme="minorHAnsi" w:cstheme="minorHAnsi"/>
              </w:rPr>
            </w:pPr>
          </w:p>
        </w:tc>
        <w:tc>
          <w:tcPr>
            <w:tcW w:w="4337" w:type="dxa"/>
            <w:tcBorders>
              <w:top w:val="single" w:sz="4" w:space="0" w:color="auto"/>
              <w:left w:val="single" w:sz="4" w:space="0" w:color="auto"/>
              <w:bottom w:val="single" w:sz="4" w:space="0" w:color="auto"/>
              <w:right w:val="single" w:sz="4" w:space="0" w:color="auto"/>
            </w:tcBorders>
          </w:tcPr>
          <w:p w14:paraId="3A3B1210" w14:textId="6470D7C7" w:rsidR="7265A70B" w:rsidRPr="002C18A8" w:rsidRDefault="7265A70B" w:rsidP="00450A13">
            <w:pPr>
              <w:rPr>
                <w:rFonts w:asciiTheme="minorHAnsi" w:hAnsiTheme="minorHAnsi" w:cstheme="minorHAnsi"/>
              </w:rPr>
            </w:pPr>
            <w:r w:rsidRPr="002C18A8">
              <w:rPr>
                <w:rFonts w:asciiTheme="minorHAnsi" w:eastAsia="Arial" w:hAnsiTheme="minorHAnsi" w:cstheme="minorHAnsi"/>
              </w:rPr>
              <w:t>Rozszerzenie źródeł finansowania poprzez wskazanie innych źródeł finansowania transformacji w horyzoncie czasowych do 2040 roku.</w:t>
            </w:r>
          </w:p>
        </w:tc>
        <w:tc>
          <w:tcPr>
            <w:tcW w:w="4111" w:type="dxa"/>
            <w:tcBorders>
              <w:top w:val="single" w:sz="4" w:space="0" w:color="auto"/>
              <w:left w:val="single" w:sz="4" w:space="0" w:color="auto"/>
              <w:bottom w:val="single" w:sz="4" w:space="0" w:color="auto"/>
              <w:right w:val="single" w:sz="4" w:space="0" w:color="auto"/>
            </w:tcBorders>
          </w:tcPr>
          <w:p w14:paraId="3DCCFAFA" w14:textId="53BE1B40" w:rsidR="7265A70B" w:rsidRPr="002C18A8" w:rsidRDefault="7265A70B" w:rsidP="00450A13">
            <w:pPr>
              <w:rPr>
                <w:rFonts w:asciiTheme="minorHAnsi" w:hAnsiTheme="minorHAnsi" w:cstheme="minorHAnsi"/>
              </w:rPr>
            </w:pPr>
            <w:r w:rsidRPr="002C18A8">
              <w:rPr>
                <w:rFonts w:asciiTheme="minorHAnsi" w:eastAsia="Arial" w:hAnsiTheme="minorHAnsi" w:cstheme="minorHAnsi"/>
              </w:rPr>
              <w:t xml:space="preserve">Zaprezentowane w Strategii źródła finansowania nie obejmują całego horyzontu czasowego Strategii do roku 2040, a budżety w przypadku większości z tych źródeł zostały już wyczerpane i nie gwarantują realizacji Strategii, w której koszty transformacji oszacowano na 197-231 mld zł. Strategia również powinna eliminować przypadki tzw. </w:t>
            </w:r>
            <w:proofErr w:type="spellStart"/>
            <w:r w:rsidRPr="002C18A8">
              <w:rPr>
                <w:rFonts w:asciiTheme="minorHAnsi" w:eastAsia="Arial" w:hAnsiTheme="minorHAnsi" w:cstheme="minorHAnsi"/>
              </w:rPr>
              <w:t>kanibalizacji</w:t>
            </w:r>
            <w:proofErr w:type="spellEnd"/>
            <w:r w:rsidRPr="002C18A8">
              <w:rPr>
                <w:rFonts w:asciiTheme="minorHAnsi" w:eastAsia="Arial" w:hAnsiTheme="minorHAnsi" w:cstheme="minorHAnsi"/>
              </w:rPr>
              <w:t xml:space="preserve"> technologii poprzez podwójne finansowanie: z jednej strony projektów związanych z transformacją ciepłownictwa systemowego, z drugiej strony rozwiązań indywidualnych.</w:t>
            </w:r>
          </w:p>
        </w:tc>
        <w:tc>
          <w:tcPr>
            <w:tcW w:w="1905" w:type="dxa"/>
            <w:tcBorders>
              <w:top w:val="single" w:sz="4" w:space="0" w:color="auto"/>
              <w:left w:val="single" w:sz="4" w:space="0" w:color="auto"/>
              <w:bottom w:val="single" w:sz="4" w:space="0" w:color="auto"/>
              <w:right w:val="single" w:sz="4" w:space="0" w:color="auto"/>
            </w:tcBorders>
          </w:tcPr>
          <w:p w14:paraId="5947F1DE" w14:textId="24B03B01" w:rsidR="7265A70B" w:rsidRPr="002C18A8" w:rsidRDefault="7265A70B" w:rsidP="7265A70B">
            <w:pPr>
              <w:spacing w:line="240" w:lineRule="auto"/>
              <w:jc w:val="left"/>
              <w:rPr>
                <w:rFonts w:asciiTheme="minorHAnsi" w:hAnsiTheme="minorHAnsi" w:cstheme="minorHAnsi"/>
              </w:rPr>
            </w:pPr>
          </w:p>
        </w:tc>
      </w:tr>
      <w:tr w:rsidR="7265A70B" w:rsidRPr="002C18A8" w14:paraId="13B0F70A"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6EF24E32" w14:textId="67BE799B" w:rsidR="7265A70B" w:rsidRPr="00EE2CA1" w:rsidRDefault="7265A70B"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1A9BA0E7" w14:textId="15C8C7CA" w:rsidR="7265A70B" w:rsidRPr="002C18A8" w:rsidRDefault="000A0A7B" w:rsidP="7265A70B">
            <w:pPr>
              <w:jc w:val="left"/>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10794D80" w14:textId="67538A1D" w:rsidR="7265A70B" w:rsidRPr="002C18A8" w:rsidRDefault="7265A70B" w:rsidP="7265A70B">
            <w:pPr>
              <w:spacing w:after="160" w:line="257" w:lineRule="auto"/>
              <w:jc w:val="left"/>
              <w:rPr>
                <w:rFonts w:asciiTheme="minorHAnsi" w:hAnsiTheme="minorHAnsi" w:cstheme="minorHAnsi"/>
              </w:rPr>
            </w:pPr>
            <w:r w:rsidRPr="002C18A8">
              <w:rPr>
                <w:rFonts w:asciiTheme="minorHAnsi" w:eastAsia="Calibri" w:hAnsiTheme="minorHAnsi" w:cstheme="minorHAnsi"/>
              </w:rPr>
              <w:t>Str. 29-30</w:t>
            </w:r>
          </w:p>
          <w:p w14:paraId="00F9F529" w14:textId="2FDFC855" w:rsidR="7265A70B" w:rsidRPr="002C18A8" w:rsidRDefault="7265A70B" w:rsidP="7265A70B">
            <w:pPr>
              <w:spacing w:after="160" w:line="257" w:lineRule="auto"/>
              <w:jc w:val="left"/>
              <w:rPr>
                <w:rFonts w:asciiTheme="minorHAnsi" w:hAnsiTheme="minorHAnsi" w:cstheme="minorHAnsi"/>
              </w:rPr>
            </w:pPr>
            <w:r w:rsidRPr="002C18A8">
              <w:rPr>
                <w:rFonts w:asciiTheme="minorHAnsi" w:eastAsia="Calibri" w:hAnsiTheme="minorHAnsi" w:cstheme="minorHAnsi"/>
              </w:rPr>
              <w:t>Str. 51-52 (Działanie 4, Działanie 5)</w:t>
            </w:r>
          </w:p>
          <w:p w14:paraId="74FA6BD1" w14:textId="41DDC442" w:rsidR="7265A70B" w:rsidRPr="002C18A8" w:rsidRDefault="7265A70B" w:rsidP="7265A70B">
            <w:pPr>
              <w:spacing w:after="160" w:line="257" w:lineRule="auto"/>
              <w:jc w:val="left"/>
              <w:rPr>
                <w:rFonts w:asciiTheme="minorHAnsi" w:hAnsiTheme="minorHAnsi" w:cstheme="minorHAnsi"/>
              </w:rPr>
            </w:pPr>
            <w:r w:rsidRPr="002C18A8">
              <w:rPr>
                <w:rFonts w:asciiTheme="minorHAnsi" w:eastAsia="Calibri" w:hAnsiTheme="minorHAnsi" w:cstheme="minorHAnsi"/>
              </w:rPr>
              <w:t>Str. 62-63 (Działanie 25)</w:t>
            </w:r>
          </w:p>
          <w:p w14:paraId="7635E38C" w14:textId="2BD6D8B5" w:rsidR="7265A70B" w:rsidRPr="002C18A8" w:rsidRDefault="7265A70B" w:rsidP="7265A70B">
            <w:pPr>
              <w:jc w:val="left"/>
              <w:rPr>
                <w:rFonts w:asciiTheme="minorHAnsi" w:eastAsia="Arial" w:hAnsiTheme="minorHAnsi" w:cstheme="minorHAnsi"/>
              </w:rPr>
            </w:pPr>
            <w:r w:rsidRPr="002C18A8">
              <w:rPr>
                <w:rFonts w:asciiTheme="minorHAnsi" w:eastAsia="Calibri" w:hAnsiTheme="minorHAnsi" w:cstheme="minorHAnsi"/>
              </w:rPr>
              <w:t>Str. 63-64 (Działanie 27)</w:t>
            </w:r>
          </w:p>
        </w:tc>
        <w:tc>
          <w:tcPr>
            <w:tcW w:w="4337" w:type="dxa"/>
            <w:tcBorders>
              <w:top w:val="single" w:sz="4" w:space="0" w:color="auto"/>
              <w:left w:val="single" w:sz="4" w:space="0" w:color="auto"/>
              <w:bottom w:val="single" w:sz="4" w:space="0" w:color="auto"/>
              <w:right w:val="single" w:sz="4" w:space="0" w:color="auto"/>
            </w:tcBorders>
          </w:tcPr>
          <w:p w14:paraId="247ECCCC" w14:textId="0D686364" w:rsidR="7265A70B" w:rsidRPr="002C18A8" w:rsidRDefault="7265A70B" w:rsidP="00450A13">
            <w:pPr>
              <w:spacing w:after="160" w:line="257" w:lineRule="auto"/>
              <w:rPr>
                <w:rFonts w:asciiTheme="minorHAnsi" w:hAnsiTheme="minorHAnsi" w:cstheme="minorHAnsi"/>
              </w:rPr>
            </w:pPr>
            <w:r w:rsidRPr="002C18A8">
              <w:rPr>
                <w:rFonts w:asciiTheme="minorHAnsi" w:eastAsia="Calibri" w:hAnsiTheme="minorHAnsi" w:cstheme="minorHAnsi"/>
              </w:rPr>
              <w:t xml:space="preserve">Wnioskuje się o uzupełnienie </w:t>
            </w:r>
            <w:r w:rsidR="00067560">
              <w:rPr>
                <w:rFonts w:asciiTheme="minorHAnsi" w:eastAsia="Calibri" w:hAnsiTheme="minorHAnsi" w:cstheme="minorHAnsi"/>
              </w:rPr>
              <w:t>d</w:t>
            </w:r>
            <w:r w:rsidRPr="002C18A8">
              <w:rPr>
                <w:rFonts w:asciiTheme="minorHAnsi" w:eastAsia="Calibri" w:hAnsiTheme="minorHAnsi" w:cstheme="minorHAnsi"/>
              </w:rPr>
              <w:t xml:space="preserve">ziałań o podjęcie prac legislacyjnych zmierzających do </w:t>
            </w:r>
            <w:r w:rsidRPr="002C18A8">
              <w:rPr>
                <w:rFonts w:asciiTheme="minorHAnsi" w:eastAsia="Calibri" w:hAnsiTheme="minorHAnsi" w:cstheme="minorHAnsi"/>
                <w:b/>
                <w:bCs/>
              </w:rPr>
              <w:t xml:space="preserve">rewizji krajowych przepisów techniczno-budowlanych w zakresie minimalnej temperatury ciepłej wody użytkowej. </w:t>
            </w:r>
          </w:p>
          <w:p w14:paraId="4306DD99" w14:textId="0C18880D" w:rsidR="7265A70B" w:rsidRPr="002C18A8" w:rsidRDefault="7265A70B" w:rsidP="00450A13">
            <w:pPr>
              <w:spacing w:after="160" w:line="257" w:lineRule="auto"/>
              <w:rPr>
                <w:rFonts w:asciiTheme="minorHAnsi" w:hAnsiTheme="minorHAnsi" w:cstheme="minorHAnsi"/>
              </w:rPr>
            </w:pPr>
            <w:r w:rsidRPr="002C18A8">
              <w:rPr>
                <w:rFonts w:asciiTheme="minorHAnsi" w:eastAsia="Calibri" w:hAnsiTheme="minorHAnsi" w:cstheme="minorHAnsi"/>
                <w:b/>
                <w:bCs/>
              </w:rPr>
              <w:t xml:space="preserve">Rekomenduje się </w:t>
            </w:r>
            <w:r w:rsidRPr="002C18A8">
              <w:rPr>
                <w:rFonts w:asciiTheme="minorHAnsi" w:eastAsia="Calibri" w:hAnsiTheme="minorHAnsi" w:cstheme="minorHAnsi"/>
              </w:rPr>
              <w:t xml:space="preserve">obniżenie wymogu zapewnienia temperatury CWU z poziomu min. 55°C do poziomu w zakresie </w:t>
            </w:r>
            <w:r w:rsidRPr="002C18A8">
              <w:rPr>
                <w:rFonts w:asciiTheme="minorHAnsi" w:eastAsia="Calibri" w:hAnsiTheme="minorHAnsi" w:cstheme="minorHAnsi"/>
                <w:b/>
                <w:bCs/>
              </w:rPr>
              <w:t>45-55</w:t>
            </w:r>
            <w:r w:rsidRPr="002C18A8">
              <w:rPr>
                <w:rFonts w:asciiTheme="minorHAnsi" w:eastAsia="Calibri" w:hAnsiTheme="minorHAnsi" w:cstheme="minorHAnsi"/>
              </w:rPr>
              <w:t>°C.</w:t>
            </w:r>
          </w:p>
          <w:p w14:paraId="4291C6C4" w14:textId="503BBDAC" w:rsidR="7265A70B" w:rsidRPr="002C18A8" w:rsidRDefault="7265A70B" w:rsidP="7265A70B">
            <w:pPr>
              <w:jc w:val="left"/>
              <w:rPr>
                <w:rFonts w:asciiTheme="minorHAnsi" w:eastAsia="Arial" w:hAnsiTheme="minorHAnsi" w:cstheme="minorHAnsi"/>
              </w:rPr>
            </w:pPr>
          </w:p>
        </w:tc>
        <w:tc>
          <w:tcPr>
            <w:tcW w:w="4111" w:type="dxa"/>
            <w:tcBorders>
              <w:top w:val="single" w:sz="4" w:space="0" w:color="auto"/>
              <w:left w:val="single" w:sz="4" w:space="0" w:color="auto"/>
              <w:bottom w:val="single" w:sz="4" w:space="0" w:color="auto"/>
              <w:right w:val="single" w:sz="4" w:space="0" w:color="auto"/>
            </w:tcBorders>
          </w:tcPr>
          <w:p w14:paraId="0E2966FE" w14:textId="797DBCD8" w:rsidR="7265A70B" w:rsidRPr="00450A13" w:rsidRDefault="7265A70B" w:rsidP="00450A13">
            <w:pPr>
              <w:spacing w:after="160" w:line="257" w:lineRule="auto"/>
              <w:rPr>
                <w:rFonts w:asciiTheme="minorHAnsi" w:hAnsiTheme="minorHAnsi" w:cstheme="minorHAnsi"/>
              </w:rPr>
            </w:pPr>
            <w:r w:rsidRPr="002C18A8">
              <w:rPr>
                <w:rFonts w:asciiTheme="minorHAnsi" w:eastAsia="Calibri" w:hAnsiTheme="minorHAnsi" w:cstheme="minorHAnsi"/>
              </w:rPr>
              <w:t xml:space="preserve">Obecny wymóg utrzymywania temperatury CWU na poziomie min. 55°C (zgodnie z polskimi Warunkami Technicznymi) całkowicie blokuje możliwość głębokiego obniżania parametrów zasilania sieci ciepłowniczych w okresie letnim, co stoi w sprzeczności z unijną zasadą „efektywność energetyczna przede wszystkim”. Temperatura 55°C jest o wiele wyższa niż temperatura zapewniająca komfort użytkowania, który wynosi ok. 35-40°C w punktach czerpalnych. Przy temperaturze 55°C każdorazowo następuje </w:t>
            </w:r>
            <w:proofErr w:type="spellStart"/>
            <w:r w:rsidRPr="002C18A8">
              <w:rPr>
                <w:rFonts w:asciiTheme="minorHAnsi" w:eastAsia="Calibri" w:hAnsiTheme="minorHAnsi" w:cstheme="minorHAnsi"/>
              </w:rPr>
              <w:t>podmieszanie</w:t>
            </w:r>
            <w:proofErr w:type="spellEnd"/>
            <w:r w:rsidRPr="002C18A8">
              <w:rPr>
                <w:rFonts w:asciiTheme="minorHAnsi" w:eastAsia="Calibri" w:hAnsiTheme="minorHAnsi" w:cstheme="minorHAnsi"/>
              </w:rPr>
              <w:t xml:space="preserve"> zimnej wody w celu otrzymania właściwych parametrów użytkowych. Rozwój bakterii </w:t>
            </w:r>
            <w:proofErr w:type="spellStart"/>
            <w:r w:rsidRPr="002C18A8">
              <w:rPr>
                <w:rFonts w:asciiTheme="minorHAnsi" w:eastAsia="Calibri" w:hAnsiTheme="minorHAnsi" w:cstheme="minorHAnsi"/>
                <w:i/>
                <w:iCs/>
              </w:rPr>
              <w:lastRenderedPageBreak/>
              <w:t>Legionella</w:t>
            </w:r>
            <w:proofErr w:type="spellEnd"/>
            <w:r w:rsidRPr="002C18A8">
              <w:rPr>
                <w:rFonts w:asciiTheme="minorHAnsi" w:eastAsia="Calibri" w:hAnsiTheme="minorHAnsi" w:cstheme="minorHAnsi"/>
                <w:i/>
                <w:iCs/>
              </w:rPr>
              <w:t xml:space="preserve"> </w:t>
            </w:r>
            <w:proofErr w:type="spellStart"/>
            <w:r w:rsidRPr="002C18A8">
              <w:rPr>
                <w:rFonts w:asciiTheme="minorHAnsi" w:eastAsia="Calibri" w:hAnsiTheme="minorHAnsi" w:cstheme="minorHAnsi"/>
                <w:i/>
                <w:iCs/>
              </w:rPr>
              <w:t>pneumophila</w:t>
            </w:r>
            <w:proofErr w:type="spellEnd"/>
            <w:r w:rsidRPr="002C18A8">
              <w:rPr>
                <w:rFonts w:asciiTheme="minorHAnsi" w:eastAsia="Calibri" w:hAnsiTheme="minorHAnsi" w:cstheme="minorHAnsi"/>
                <w:i/>
                <w:iCs/>
              </w:rPr>
              <w:t xml:space="preserve"> </w:t>
            </w:r>
            <w:r w:rsidRPr="002C18A8">
              <w:rPr>
                <w:rFonts w:asciiTheme="minorHAnsi" w:eastAsia="Calibri" w:hAnsiTheme="minorHAnsi" w:cstheme="minorHAnsi"/>
              </w:rPr>
              <w:t xml:space="preserve">następuje najintensywniej w przedziale temperatur 25-42°C. W celu </w:t>
            </w:r>
            <w:proofErr w:type="spellStart"/>
            <w:r w:rsidRPr="002C18A8">
              <w:rPr>
                <w:rFonts w:asciiTheme="minorHAnsi" w:eastAsia="Calibri" w:hAnsiTheme="minorHAnsi" w:cstheme="minorHAnsi"/>
              </w:rPr>
              <w:t>mitygacji</w:t>
            </w:r>
            <w:proofErr w:type="spellEnd"/>
            <w:r w:rsidRPr="002C18A8">
              <w:rPr>
                <w:rFonts w:asciiTheme="minorHAnsi" w:eastAsia="Calibri" w:hAnsiTheme="minorHAnsi" w:cstheme="minorHAnsi"/>
              </w:rPr>
              <w:t xml:space="preserve"> zagrożenia gwałtownego rozwoju bakterii </w:t>
            </w:r>
            <w:proofErr w:type="spellStart"/>
            <w:r w:rsidRPr="002C18A8">
              <w:rPr>
                <w:rFonts w:asciiTheme="minorHAnsi" w:eastAsia="Calibri" w:hAnsiTheme="minorHAnsi" w:cstheme="minorHAnsi"/>
                <w:i/>
                <w:iCs/>
              </w:rPr>
              <w:t>Legionella</w:t>
            </w:r>
            <w:proofErr w:type="spellEnd"/>
            <w:r w:rsidRPr="002C18A8">
              <w:rPr>
                <w:rFonts w:asciiTheme="minorHAnsi" w:eastAsia="Calibri" w:hAnsiTheme="minorHAnsi" w:cstheme="minorHAnsi"/>
                <w:i/>
                <w:iCs/>
              </w:rPr>
              <w:t xml:space="preserve"> </w:t>
            </w:r>
            <w:proofErr w:type="spellStart"/>
            <w:r w:rsidRPr="002C18A8">
              <w:rPr>
                <w:rFonts w:asciiTheme="minorHAnsi" w:eastAsia="Calibri" w:hAnsiTheme="minorHAnsi" w:cstheme="minorHAnsi"/>
                <w:i/>
                <w:iCs/>
              </w:rPr>
              <w:t>pneumophila</w:t>
            </w:r>
            <w:proofErr w:type="spellEnd"/>
            <w:r w:rsidRPr="002C18A8">
              <w:rPr>
                <w:rFonts w:asciiTheme="minorHAnsi" w:eastAsia="Calibri" w:hAnsiTheme="minorHAnsi" w:cstheme="minorHAnsi"/>
                <w:i/>
                <w:iCs/>
              </w:rPr>
              <w:t xml:space="preserve"> </w:t>
            </w:r>
            <w:r w:rsidRPr="002C18A8">
              <w:rPr>
                <w:rFonts w:asciiTheme="minorHAnsi" w:eastAsia="Calibri" w:hAnsiTheme="minorHAnsi" w:cstheme="minorHAnsi"/>
              </w:rPr>
              <w:t>wprowadzono do przepisów prawa obowiązek okresowych przegrzewów instalacji do temperatury 70</w:t>
            </w:r>
            <w:r w:rsidR="00D76477" w:rsidRPr="002C18A8">
              <w:rPr>
                <w:rFonts w:asciiTheme="minorHAnsi" w:eastAsia="Calibri" w:hAnsiTheme="minorHAnsi" w:cstheme="minorHAnsi"/>
              </w:rPr>
              <w:t>°C</w:t>
            </w:r>
            <w:r w:rsidRPr="002C18A8">
              <w:rPr>
                <w:rFonts w:asciiTheme="minorHAnsi" w:eastAsia="Calibri" w:hAnsiTheme="minorHAnsi" w:cstheme="minorHAnsi"/>
              </w:rPr>
              <w:t>, co może występować w okresie zimowym, kiedy temperatura w sieci ciepłowniczej pozwala na otrzymanie takich parametrów. Zmiana ta jest niezbędna dla wdrożenia sieci 4. i 5. generacji oraz pełnego wykorzystania pomp ciepła i ciepła odpadowego</w:t>
            </w:r>
            <w:r w:rsidR="00450A13">
              <w:rPr>
                <w:rFonts w:asciiTheme="minorHAnsi" w:eastAsia="Calibri" w:hAnsiTheme="minorHAnsi" w:cstheme="minorHAnsi"/>
              </w:rPr>
              <w:t>.</w:t>
            </w:r>
            <w:r w:rsidR="00CF42C0">
              <w:rPr>
                <w:rFonts w:asciiTheme="minorHAnsi" w:eastAsia="Calibri" w:hAnsiTheme="minorHAnsi" w:cstheme="minorHAnsi"/>
              </w:rPr>
              <w:t xml:space="preserve"> </w:t>
            </w:r>
          </w:p>
        </w:tc>
        <w:tc>
          <w:tcPr>
            <w:tcW w:w="1905" w:type="dxa"/>
            <w:tcBorders>
              <w:top w:val="single" w:sz="4" w:space="0" w:color="auto"/>
              <w:left w:val="single" w:sz="4" w:space="0" w:color="auto"/>
              <w:bottom w:val="single" w:sz="4" w:space="0" w:color="auto"/>
              <w:right w:val="single" w:sz="4" w:space="0" w:color="auto"/>
            </w:tcBorders>
          </w:tcPr>
          <w:p w14:paraId="27CCF501" w14:textId="112ABBBD" w:rsidR="7265A70B" w:rsidRPr="002C18A8" w:rsidRDefault="7265A70B" w:rsidP="7265A70B">
            <w:pPr>
              <w:spacing w:line="240" w:lineRule="auto"/>
              <w:jc w:val="left"/>
              <w:rPr>
                <w:rFonts w:asciiTheme="minorHAnsi" w:hAnsiTheme="minorHAnsi" w:cstheme="minorHAnsi"/>
              </w:rPr>
            </w:pPr>
          </w:p>
        </w:tc>
      </w:tr>
      <w:tr w:rsidR="7265A70B" w:rsidRPr="002C18A8" w14:paraId="64DFFF85"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5478AE7B" w14:textId="4830200E" w:rsidR="7265A70B" w:rsidRPr="00EE2CA1" w:rsidRDefault="7265A70B"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70E85069" w14:textId="55CD0E8C" w:rsidR="7265A70B" w:rsidRPr="002C18A8" w:rsidRDefault="000A0A7B" w:rsidP="7265A70B">
            <w:pPr>
              <w:jc w:val="left"/>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2E3DA780" w14:textId="1FC83B07" w:rsidR="7265A70B" w:rsidRPr="002C18A8" w:rsidRDefault="7265A70B" w:rsidP="7265A70B">
            <w:pPr>
              <w:spacing w:line="257" w:lineRule="auto"/>
              <w:jc w:val="left"/>
              <w:rPr>
                <w:rFonts w:asciiTheme="minorHAnsi" w:hAnsiTheme="minorHAnsi" w:cstheme="minorHAnsi"/>
              </w:rPr>
            </w:pPr>
            <w:r w:rsidRPr="002C18A8">
              <w:rPr>
                <w:rFonts w:asciiTheme="minorHAnsi" w:eastAsia="Calibri" w:hAnsiTheme="minorHAnsi" w:cstheme="minorHAnsi"/>
              </w:rPr>
              <w:t>Działanie 4</w:t>
            </w:r>
          </w:p>
          <w:p w14:paraId="492D4BAE" w14:textId="739195EB" w:rsidR="7265A70B" w:rsidRPr="002C18A8" w:rsidRDefault="7265A70B" w:rsidP="7265A70B">
            <w:pPr>
              <w:spacing w:line="257" w:lineRule="auto"/>
              <w:jc w:val="left"/>
              <w:rPr>
                <w:rFonts w:asciiTheme="minorHAnsi" w:hAnsiTheme="minorHAnsi" w:cstheme="minorHAnsi"/>
              </w:rPr>
            </w:pPr>
            <w:r w:rsidRPr="002C18A8">
              <w:rPr>
                <w:rFonts w:asciiTheme="minorHAnsi" w:eastAsia="Calibri" w:hAnsiTheme="minorHAnsi" w:cstheme="minorHAnsi"/>
              </w:rPr>
              <w:t>(str. 51-52)</w:t>
            </w:r>
          </w:p>
        </w:tc>
        <w:tc>
          <w:tcPr>
            <w:tcW w:w="4337" w:type="dxa"/>
            <w:tcBorders>
              <w:top w:val="single" w:sz="4" w:space="0" w:color="auto"/>
              <w:left w:val="single" w:sz="4" w:space="0" w:color="auto"/>
              <w:bottom w:val="single" w:sz="4" w:space="0" w:color="auto"/>
              <w:right w:val="single" w:sz="4" w:space="0" w:color="auto"/>
            </w:tcBorders>
          </w:tcPr>
          <w:p w14:paraId="16043C59" w14:textId="79A1C461" w:rsidR="7265A70B" w:rsidRPr="002C18A8" w:rsidRDefault="7265A70B" w:rsidP="7265A70B">
            <w:pPr>
              <w:spacing w:line="257" w:lineRule="auto"/>
              <w:jc w:val="left"/>
              <w:rPr>
                <w:rFonts w:asciiTheme="minorHAnsi" w:hAnsiTheme="minorHAnsi" w:cstheme="minorHAnsi"/>
              </w:rPr>
            </w:pPr>
            <w:r w:rsidRPr="002C18A8">
              <w:rPr>
                <w:rFonts w:asciiTheme="minorHAnsi" w:eastAsia="Calibri" w:hAnsiTheme="minorHAnsi" w:cstheme="minorHAnsi"/>
              </w:rPr>
              <w:t>Rozwiązanie kwestii zmian dotyczących norm technicznych w kontekście parametrów pracy sieci ciepłowniczych.</w:t>
            </w:r>
          </w:p>
        </w:tc>
        <w:tc>
          <w:tcPr>
            <w:tcW w:w="4111" w:type="dxa"/>
            <w:tcBorders>
              <w:top w:val="single" w:sz="4" w:space="0" w:color="auto"/>
              <w:left w:val="single" w:sz="4" w:space="0" w:color="auto"/>
              <w:bottom w:val="single" w:sz="4" w:space="0" w:color="auto"/>
              <w:right w:val="single" w:sz="4" w:space="0" w:color="auto"/>
            </w:tcBorders>
          </w:tcPr>
          <w:p w14:paraId="24293A4D" w14:textId="3AB0C60D" w:rsidR="7265A70B" w:rsidRPr="002C18A8" w:rsidRDefault="7265A70B" w:rsidP="00450A13">
            <w:pPr>
              <w:spacing w:line="257" w:lineRule="auto"/>
              <w:rPr>
                <w:rFonts w:asciiTheme="minorHAnsi" w:hAnsiTheme="minorHAnsi" w:cstheme="minorHAnsi"/>
              </w:rPr>
            </w:pPr>
            <w:r w:rsidRPr="002C18A8">
              <w:rPr>
                <w:rFonts w:asciiTheme="minorHAnsi" w:eastAsia="Calibri" w:hAnsiTheme="minorHAnsi" w:cstheme="minorHAnsi"/>
              </w:rPr>
              <w:t>W ramach zmian dotyczących norm technicznych należy przedefiniować zasady ustalania parametrów pracy w sieci ciepłowniczej, kładąc nacisk na bardziej dynamiczną pracę i większą zmienność parametrów, uwzględniającą m.in. akumulowanie ciepła w sieci, źródła ciepła niskotemperaturowego, z zachowaniem standardów komfortu cieplnego u klientów.</w:t>
            </w:r>
          </w:p>
        </w:tc>
        <w:tc>
          <w:tcPr>
            <w:tcW w:w="1905" w:type="dxa"/>
            <w:tcBorders>
              <w:top w:val="single" w:sz="4" w:space="0" w:color="auto"/>
              <w:left w:val="single" w:sz="4" w:space="0" w:color="auto"/>
              <w:bottom w:val="single" w:sz="4" w:space="0" w:color="auto"/>
              <w:right w:val="single" w:sz="4" w:space="0" w:color="auto"/>
            </w:tcBorders>
          </w:tcPr>
          <w:p w14:paraId="42B436ED" w14:textId="1D59BEC6" w:rsidR="7265A70B" w:rsidRPr="002C18A8" w:rsidRDefault="7265A70B" w:rsidP="7265A70B">
            <w:pPr>
              <w:spacing w:line="240" w:lineRule="auto"/>
              <w:jc w:val="left"/>
              <w:rPr>
                <w:rFonts w:asciiTheme="minorHAnsi" w:hAnsiTheme="minorHAnsi" w:cstheme="minorHAnsi"/>
              </w:rPr>
            </w:pPr>
          </w:p>
        </w:tc>
      </w:tr>
      <w:tr w:rsidR="00240404" w:rsidRPr="002C18A8" w14:paraId="0A52BD6C"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075248F2" w14:textId="51ECF98C" w:rsidR="00240404" w:rsidRPr="00EE2CA1" w:rsidRDefault="00240404"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56237B92" w14:textId="2BCCA234" w:rsidR="00240404" w:rsidRPr="002C18A8" w:rsidRDefault="000A0A7B" w:rsidP="00240404">
            <w:pPr>
              <w:jc w:val="left"/>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5B1C035C" w14:textId="3C4D514C" w:rsidR="00240404" w:rsidRPr="002C18A8" w:rsidRDefault="00240404" w:rsidP="00240404">
            <w:pPr>
              <w:jc w:val="left"/>
              <w:rPr>
                <w:rFonts w:asciiTheme="minorHAnsi" w:hAnsiTheme="minorHAnsi" w:cstheme="minorHAnsi"/>
              </w:rPr>
            </w:pPr>
            <w:r w:rsidRPr="002C18A8">
              <w:rPr>
                <w:rFonts w:asciiTheme="minorHAnsi" w:eastAsia="Arial" w:hAnsiTheme="minorHAnsi" w:cstheme="minorHAnsi"/>
              </w:rPr>
              <w:t>6.1.4</w:t>
            </w:r>
          </w:p>
        </w:tc>
        <w:tc>
          <w:tcPr>
            <w:tcW w:w="4337" w:type="dxa"/>
            <w:tcBorders>
              <w:top w:val="single" w:sz="4" w:space="0" w:color="auto"/>
              <w:left w:val="single" w:sz="4" w:space="0" w:color="auto"/>
              <w:bottom w:val="single" w:sz="4" w:space="0" w:color="auto"/>
              <w:right w:val="single" w:sz="4" w:space="0" w:color="auto"/>
            </w:tcBorders>
          </w:tcPr>
          <w:p w14:paraId="58C6691E" w14:textId="5519CDBE" w:rsidR="00240404" w:rsidRPr="002C18A8" w:rsidRDefault="00240404" w:rsidP="00643095">
            <w:pPr>
              <w:rPr>
                <w:rFonts w:asciiTheme="minorHAnsi" w:eastAsia="Arial" w:hAnsiTheme="minorHAnsi" w:cstheme="minorHAnsi"/>
              </w:rPr>
            </w:pPr>
            <w:r w:rsidRPr="002C18A8">
              <w:rPr>
                <w:rFonts w:asciiTheme="minorHAnsi" w:eastAsia="Arial" w:hAnsiTheme="minorHAnsi" w:cstheme="minorHAnsi"/>
              </w:rPr>
              <w:t xml:space="preserve">Niezbędne jest wdrożenie dedykowanych mechanizmów wsparcia inwestycyjnego dla kotłów wodnych zasilanych biomasą pochodzenia leśnego, bez ograniczania wsparcia wyłącznie do instalacji kogeneracyjnych. Rozwiązanie to umożliwi przyspieszenie procesu dekarbonizacji małych i </w:t>
            </w:r>
            <w:r w:rsidRPr="002C18A8">
              <w:rPr>
                <w:rFonts w:asciiTheme="minorHAnsi" w:eastAsia="Arial" w:hAnsiTheme="minorHAnsi" w:cstheme="minorHAnsi"/>
              </w:rPr>
              <w:lastRenderedPageBreak/>
              <w:t>średnich systemów ciepłowniczych, dla których zastosowanie kogeneracji nie zawsze jest technicznie lub ekonomicznie uzasadnione. Jednocześnie pozwoli ograniczyć ryzyko wzrostu kosztów dostaw ciepła dla odbiorców końcowych poprzez zmniejszenie obciążeń inwestycyjnych związanych z transformacją sektora ciepłowniczego w gminach i powiatach.</w:t>
            </w:r>
          </w:p>
        </w:tc>
        <w:tc>
          <w:tcPr>
            <w:tcW w:w="4111" w:type="dxa"/>
            <w:tcBorders>
              <w:top w:val="single" w:sz="4" w:space="0" w:color="auto"/>
              <w:left w:val="single" w:sz="4" w:space="0" w:color="auto"/>
              <w:bottom w:val="single" w:sz="4" w:space="0" w:color="auto"/>
              <w:right w:val="single" w:sz="4" w:space="0" w:color="auto"/>
            </w:tcBorders>
          </w:tcPr>
          <w:p w14:paraId="1217DBFA" w14:textId="49D2CEC3" w:rsidR="00240404" w:rsidRPr="002C18A8" w:rsidRDefault="00240404" w:rsidP="00240404">
            <w:pPr>
              <w:spacing w:after="160" w:line="257" w:lineRule="auto"/>
              <w:rPr>
                <w:rFonts w:asciiTheme="minorHAnsi" w:eastAsia="Arial" w:hAnsiTheme="minorHAnsi" w:cstheme="minorHAnsi"/>
              </w:rPr>
            </w:pPr>
          </w:p>
        </w:tc>
        <w:tc>
          <w:tcPr>
            <w:tcW w:w="1905" w:type="dxa"/>
            <w:tcBorders>
              <w:top w:val="single" w:sz="4" w:space="0" w:color="auto"/>
              <w:left w:val="single" w:sz="4" w:space="0" w:color="auto"/>
              <w:bottom w:val="single" w:sz="4" w:space="0" w:color="auto"/>
              <w:right w:val="single" w:sz="4" w:space="0" w:color="auto"/>
            </w:tcBorders>
          </w:tcPr>
          <w:p w14:paraId="6C5E8A72" w14:textId="2DD9586E" w:rsidR="00240404" w:rsidRPr="002C18A8" w:rsidRDefault="00240404" w:rsidP="00240404">
            <w:pPr>
              <w:spacing w:line="240" w:lineRule="auto"/>
              <w:jc w:val="left"/>
              <w:rPr>
                <w:rFonts w:asciiTheme="minorHAnsi" w:hAnsiTheme="minorHAnsi" w:cstheme="minorHAnsi"/>
              </w:rPr>
            </w:pPr>
          </w:p>
        </w:tc>
      </w:tr>
      <w:tr w:rsidR="00240404" w:rsidRPr="002C18A8" w14:paraId="1668F35A"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3E535006" w14:textId="793A04F1" w:rsidR="00240404" w:rsidRPr="00EE2CA1" w:rsidRDefault="00240404"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558F0935" w14:textId="2F98C2B1" w:rsidR="00240404" w:rsidRPr="002C18A8" w:rsidRDefault="000A0A7B" w:rsidP="00240404">
            <w:pPr>
              <w:jc w:val="left"/>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2750EC94" w14:textId="4C89089A" w:rsidR="00240404" w:rsidRPr="002C18A8" w:rsidRDefault="00240404" w:rsidP="00240404">
            <w:pPr>
              <w:jc w:val="left"/>
              <w:rPr>
                <w:rFonts w:asciiTheme="minorHAnsi" w:hAnsiTheme="minorHAnsi" w:cstheme="minorHAnsi"/>
              </w:rPr>
            </w:pPr>
            <w:r w:rsidRPr="002C18A8">
              <w:rPr>
                <w:rFonts w:asciiTheme="minorHAnsi" w:eastAsia="Arial" w:hAnsiTheme="minorHAnsi" w:cstheme="minorHAnsi"/>
              </w:rPr>
              <w:t>12.1</w:t>
            </w:r>
          </w:p>
        </w:tc>
        <w:tc>
          <w:tcPr>
            <w:tcW w:w="4337" w:type="dxa"/>
            <w:tcBorders>
              <w:top w:val="single" w:sz="4" w:space="0" w:color="auto"/>
              <w:left w:val="single" w:sz="4" w:space="0" w:color="auto"/>
              <w:bottom w:val="single" w:sz="4" w:space="0" w:color="auto"/>
              <w:right w:val="single" w:sz="4" w:space="0" w:color="auto"/>
            </w:tcBorders>
          </w:tcPr>
          <w:p w14:paraId="14794EC5" w14:textId="412B1812" w:rsidR="00240404" w:rsidRPr="002C18A8" w:rsidRDefault="00240404" w:rsidP="00240404">
            <w:pPr>
              <w:rPr>
                <w:rFonts w:asciiTheme="minorHAnsi" w:hAnsiTheme="minorHAnsi" w:cstheme="minorHAnsi"/>
              </w:rPr>
            </w:pPr>
            <w:r w:rsidRPr="002C18A8">
              <w:rPr>
                <w:rFonts w:asciiTheme="minorHAnsi" w:eastAsia="Arial" w:hAnsiTheme="minorHAnsi" w:cstheme="minorHAnsi"/>
              </w:rPr>
              <w:t xml:space="preserve">Strategia zakłada, że koszt transformacji sektora wyniesie 197-231 mld zł do roku 2040, z czego do roku 2030 zaplanowane są koszty powyżej 62 mld zł. Jednocześnie w zestawieniu źródeł finansowania podano programy finansowe, których terminy się kończą (KPO) lub budżety są wyczerpane, takie jak </w:t>
            </w:r>
            <w:proofErr w:type="spellStart"/>
            <w:r w:rsidRPr="002C18A8">
              <w:rPr>
                <w:rFonts w:asciiTheme="minorHAnsi" w:eastAsia="Arial" w:hAnsiTheme="minorHAnsi" w:cstheme="minorHAnsi"/>
              </w:rPr>
              <w:t>FEnIKS</w:t>
            </w:r>
            <w:proofErr w:type="spellEnd"/>
            <w:r w:rsidRPr="002C18A8">
              <w:rPr>
                <w:rFonts w:asciiTheme="minorHAnsi" w:eastAsia="Arial" w:hAnsiTheme="minorHAnsi" w:cstheme="minorHAnsi"/>
              </w:rPr>
              <w:t xml:space="preserve"> czy Fundusz Modernizacyjny. Projektowany Fundusz Transformacji Ciepłownictwa z budżetem 700 mln EUR wydaje się nieproporcjonalny do założonych </w:t>
            </w:r>
            <w:r w:rsidR="00D23594">
              <w:rPr>
                <w:rFonts w:asciiTheme="minorHAnsi" w:eastAsia="Arial" w:hAnsiTheme="minorHAnsi" w:cstheme="minorHAnsi"/>
              </w:rPr>
              <w:t xml:space="preserve">kosztów, w związku z czym postulujemy doszczegółowienie tego wątku. </w:t>
            </w:r>
          </w:p>
          <w:p w14:paraId="174EB3CC" w14:textId="0DE41711" w:rsidR="00240404" w:rsidRPr="002C18A8" w:rsidRDefault="00240404" w:rsidP="00240404">
            <w:pPr>
              <w:jc w:val="left"/>
              <w:rPr>
                <w:rFonts w:asciiTheme="minorHAnsi" w:eastAsia="Arial" w:hAnsiTheme="minorHAnsi" w:cstheme="minorHAnsi"/>
              </w:rPr>
            </w:pPr>
          </w:p>
        </w:tc>
        <w:tc>
          <w:tcPr>
            <w:tcW w:w="4111" w:type="dxa"/>
            <w:tcBorders>
              <w:top w:val="single" w:sz="4" w:space="0" w:color="auto"/>
              <w:left w:val="single" w:sz="4" w:space="0" w:color="auto"/>
              <w:bottom w:val="single" w:sz="4" w:space="0" w:color="auto"/>
              <w:right w:val="single" w:sz="4" w:space="0" w:color="auto"/>
            </w:tcBorders>
          </w:tcPr>
          <w:p w14:paraId="425D378F" w14:textId="3994298C" w:rsidR="00240404" w:rsidRPr="002C18A8" w:rsidRDefault="00240404" w:rsidP="00240404">
            <w:pPr>
              <w:spacing w:line="257" w:lineRule="auto"/>
              <w:rPr>
                <w:rFonts w:asciiTheme="minorHAnsi" w:eastAsia="Arial" w:hAnsiTheme="minorHAnsi" w:cstheme="minorHAnsi"/>
              </w:rPr>
            </w:pPr>
            <w:r w:rsidRPr="002C18A8">
              <w:rPr>
                <w:rFonts w:asciiTheme="minorHAnsi" w:eastAsia="Arial" w:hAnsiTheme="minorHAnsi" w:cstheme="minorHAnsi"/>
              </w:rPr>
              <w:t>Wskazane w dokumencie źródła finansowania w znacznym stopniu opierają się na programach, których alokacje zostały już wyczerpane. Powoduje to istotną lukę pomiędzy skalą niezbędnych inwestycji, a realnie dostępnym wsparciem publicznym. W przypadku braku stabilnych i adekwatnych mechanizmów finansowania istnieje ryzyko spowolnienia procesu dekarbonizacji systemów ciepłowniczych, zwłaszcza w małych i średnich przedsiębiorstwach ciepłowniczych, które dysponują ograniczoną zdolnością inwestycyjną. W konsekwencji znacząca część kosztów transformacji może zostać przeniesiona na odbiorców końcowych w taryfach za ciepło, co negatywnie wpłynie na akceptowalność społeczną procesu transformacji oraz poziom ubóstwa energetycznego</w:t>
            </w:r>
            <w:r w:rsidR="00F70505">
              <w:rPr>
                <w:rFonts w:asciiTheme="minorHAnsi" w:eastAsia="Arial" w:hAnsiTheme="minorHAnsi" w:cstheme="minorHAnsi"/>
              </w:rPr>
              <w:t>.</w:t>
            </w:r>
          </w:p>
        </w:tc>
        <w:tc>
          <w:tcPr>
            <w:tcW w:w="1905" w:type="dxa"/>
            <w:tcBorders>
              <w:top w:val="single" w:sz="4" w:space="0" w:color="auto"/>
              <w:left w:val="single" w:sz="4" w:space="0" w:color="auto"/>
              <w:bottom w:val="single" w:sz="4" w:space="0" w:color="auto"/>
              <w:right w:val="single" w:sz="4" w:space="0" w:color="auto"/>
            </w:tcBorders>
          </w:tcPr>
          <w:p w14:paraId="15B30723" w14:textId="4A182041" w:rsidR="00240404" w:rsidRPr="002C18A8" w:rsidRDefault="00240404" w:rsidP="00240404">
            <w:pPr>
              <w:spacing w:line="240" w:lineRule="auto"/>
              <w:jc w:val="left"/>
              <w:rPr>
                <w:rFonts w:asciiTheme="minorHAnsi" w:hAnsiTheme="minorHAnsi" w:cstheme="minorHAnsi"/>
              </w:rPr>
            </w:pPr>
          </w:p>
        </w:tc>
      </w:tr>
      <w:tr w:rsidR="00240404" w:rsidRPr="002C18A8" w14:paraId="3C217277"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10D2FFBF" w14:textId="7F2A7A82" w:rsidR="00240404" w:rsidRPr="00EE2CA1" w:rsidRDefault="00240404"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4EE4D0D4" w14:textId="32D35F62" w:rsidR="00240404" w:rsidRPr="002C18A8" w:rsidRDefault="000A0A7B" w:rsidP="00240404">
            <w:pPr>
              <w:jc w:val="left"/>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2DD4F993" w14:textId="1E21914B" w:rsidR="00240404" w:rsidRPr="002C18A8" w:rsidRDefault="00240404" w:rsidP="00240404">
            <w:pPr>
              <w:jc w:val="left"/>
              <w:rPr>
                <w:rFonts w:asciiTheme="minorHAnsi" w:hAnsiTheme="minorHAnsi" w:cstheme="minorHAnsi"/>
              </w:rPr>
            </w:pPr>
            <w:r w:rsidRPr="002C18A8">
              <w:rPr>
                <w:rFonts w:asciiTheme="minorHAnsi" w:eastAsia="Arial" w:hAnsiTheme="minorHAnsi" w:cstheme="minorHAnsi"/>
              </w:rPr>
              <w:t>6.1</w:t>
            </w:r>
          </w:p>
          <w:p w14:paraId="651BCA8B" w14:textId="77DE3C5B" w:rsidR="00240404" w:rsidRPr="002C18A8" w:rsidRDefault="00240404" w:rsidP="00240404">
            <w:pPr>
              <w:jc w:val="left"/>
              <w:rPr>
                <w:rFonts w:asciiTheme="minorHAnsi" w:hAnsiTheme="minorHAnsi" w:cstheme="minorHAnsi"/>
              </w:rPr>
            </w:pPr>
            <w:r w:rsidRPr="002C18A8">
              <w:rPr>
                <w:rFonts w:asciiTheme="minorHAnsi" w:eastAsia="Arial" w:hAnsiTheme="minorHAnsi" w:cstheme="minorHAnsi"/>
              </w:rPr>
              <w:t>Str. 34</w:t>
            </w:r>
          </w:p>
        </w:tc>
        <w:tc>
          <w:tcPr>
            <w:tcW w:w="4337" w:type="dxa"/>
            <w:tcBorders>
              <w:top w:val="single" w:sz="4" w:space="0" w:color="auto"/>
              <w:left w:val="single" w:sz="4" w:space="0" w:color="auto"/>
              <w:bottom w:val="single" w:sz="4" w:space="0" w:color="auto"/>
              <w:right w:val="single" w:sz="4" w:space="0" w:color="auto"/>
            </w:tcBorders>
          </w:tcPr>
          <w:p w14:paraId="68A843EC" w14:textId="4A9E14E4" w:rsidR="00240404" w:rsidRPr="002C18A8" w:rsidRDefault="00240404" w:rsidP="00240404">
            <w:pPr>
              <w:spacing w:after="160" w:line="257" w:lineRule="auto"/>
              <w:rPr>
                <w:rFonts w:asciiTheme="minorHAnsi" w:eastAsia="Arial" w:hAnsiTheme="minorHAnsi" w:cstheme="minorHAnsi"/>
              </w:rPr>
            </w:pPr>
            <w:r w:rsidRPr="002C18A8">
              <w:rPr>
                <w:rFonts w:asciiTheme="minorHAnsi" w:eastAsia="Arial" w:hAnsiTheme="minorHAnsi" w:cstheme="minorHAnsi"/>
              </w:rPr>
              <w:t>W opisanej demarkacji finansowania inwestycji ciepłowniczych, do Funduszu modernizacyjnego przypisano „</w:t>
            </w:r>
            <w:r w:rsidRPr="002C18A8">
              <w:rPr>
                <w:rFonts w:asciiTheme="minorHAnsi" w:eastAsia="Arial" w:hAnsiTheme="minorHAnsi" w:cstheme="minorHAnsi"/>
                <w:i/>
                <w:iCs/>
              </w:rPr>
              <w:t xml:space="preserve">finansowanie </w:t>
            </w:r>
            <w:r w:rsidRPr="002C18A8">
              <w:rPr>
                <w:rFonts w:asciiTheme="minorHAnsi" w:eastAsia="Arial" w:hAnsiTheme="minorHAnsi" w:cstheme="minorHAnsi"/>
                <w:i/>
                <w:iCs/>
              </w:rPr>
              <w:lastRenderedPageBreak/>
              <w:t>jednostek wytwórczych – kogeneracji gazowej, OZE oraz paliw alternatywnych powyżej 50MWt</w:t>
            </w:r>
            <w:r w:rsidRPr="002C18A8">
              <w:rPr>
                <w:rFonts w:asciiTheme="minorHAnsi" w:eastAsia="Arial" w:hAnsiTheme="minorHAnsi" w:cstheme="minorHAnsi"/>
              </w:rPr>
              <w:t>”, natomiast część programów priorytetowych finansowanych z FM dotyczy inwestycji w zarówno do, jak i powyżej 50MWt.</w:t>
            </w:r>
          </w:p>
          <w:p w14:paraId="32C0E30D" w14:textId="504797DF" w:rsidR="00240404" w:rsidRPr="002C18A8" w:rsidRDefault="00240404" w:rsidP="00240404">
            <w:pPr>
              <w:jc w:val="left"/>
              <w:rPr>
                <w:rFonts w:asciiTheme="minorHAnsi" w:eastAsia="Arial" w:hAnsiTheme="minorHAnsi" w:cstheme="minorHAnsi"/>
              </w:rPr>
            </w:pPr>
            <w:r w:rsidRPr="002C18A8">
              <w:rPr>
                <w:rFonts w:asciiTheme="minorHAnsi" w:eastAsia="Arial" w:hAnsiTheme="minorHAnsi" w:cstheme="minorHAnsi"/>
              </w:rPr>
              <w:t>Proponuje się zrezygnować z tej demarkacji.</w:t>
            </w:r>
          </w:p>
        </w:tc>
        <w:tc>
          <w:tcPr>
            <w:tcW w:w="4111" w:type="dxa"/>
            <w:tcBorders>
              <w:top w:val="single" w:sz="4" w:space="0" w:color="auto"/>
              <w:left w:val="single" w:sz="4" w:space="0" w:color="auto"/>
              <w:bottom w:val="single" w:sz="4" w:space="0" w:color="auto"/>
              <w:right w:val="single" w:sz="4" w:space="0" w:color="auto"/>
            </w:tcBorders>
          </w:tcPr>
          <w:p w14:paraId="15A0C2A7" w14:textId="44E69E08" w:rsidR="00240404" w:rsidRPr="002C18A8" w:rsidRDefault="00240404" w:rsidP="00240404">
            <w:pPr>
              <w:spacing w:after="160" w:line="257" w:lineRule="auto"/>
              <w:rPr>
                <w:rFonts w:asciiTheme="minorHAnsi" w:eastAsia="Arial" w:hAnsiTheme="minorHAnsi" w:cstheme="minorHAnsi"/>
                <w:b/>
                <w:bCs/>
              </w:rPr>
            </w:pPr>
            <w:r w:rsidRPr="002C18A8">
              <w:rPr>
                <w:rFonts w:asciiTheme="minorHAnsi" w:eastAsia="Arial" w:hAnsiTheme="minorHAnsi" w:cstheme="minorHAnsi"/>
              </w:rPr>
              <w:lastRenderedPageBreak/>
              <w:t xml:space="preserve">Przykład – PP Kogeneracja powiatowa, Typ beneficjenta: Przedsiębiorcy w rozumieniu ustawy z dnia 6 marca 2018 r. Prawo </w:t>
            </w:r>
            <w:r w:rsidRPr="002C18A8">
              <w:rPr>
                <w:rFonts w:asciiTheme="minorHAnsi" w:eastAsia="Arial" w:hAnsiTheme="minorHAnsi" w:cstheme="minorHAnsi"/>
              </w:rPr>
              <w:lastRenderedPageBreak/>
              <w:t xml:space="preserve">przedsiębiorców (Dz. U. z 2021 r. poz. 162, z </w:t>
            </w:r>
            <w:proofErr w:type="spellStart"/>
            <w:r w:rsidRPr="002C18A8">
              <w:rPr>
                <w:rFonts w:asciiTheme="minorHAnsi" w:eastAsia="Arial" w:hAnsiTheme="minorHAnsi" w:cstheme="minorHAnsi"/>
              </w:rPr>
              <w:t>późn</w:t>
            </w:r>
            <w:proofErr w:type="spellEnd"/>
            <w:r w:rsidRPr="002C18A8">
              <w:rPr>
                <w:rFonts w:asciiTheme="minorHAnsi" w:eastAsia="Arial" w:hAnsiTheme="minorHAnsi" w:cstheme="minorHAnsi"/>
              </w:rPr>
              <w:t xml:space="preserve">. zm.) prowadzący działalność gospodarczą w zakresie wytwarzania ciepła lub wytwarzania ciepła i energii elektrycznej, realizujący projekt w ramach systemu ciepłowniczego3, o </w:t>
            </w:r>
            <w:r w:rsidRPr="002C18A8">
              <w:rPr>
                <w:rFonts w:asciiTheme="minorHAnsi" w:eastAsia="Arial" w:hAnsiTheme="minorHAnsi" w:cstheme="minorHAnsi"/>
                <w:b/>
                <w:bCs/>
              </w:rPr>
              <w:t>zamówionej mocy cieplnej, na dzień składania wniosku, poniżej 50 MW.</w:t>
            </w:r>
          </w:p>
        </w:tc>
        <w:tc>
          <w:tcPr>
            <w:tcW w:w="1905" w:type="dxa"/>
            <w:tcBorders>
              <w:top w:val="single" w:sz="4" w:space="0" w:color="auto"/>
              <w:left w:val="single" w:sz="4" w:space="0" w:color="auto"/>
              <w:bottom w:val="single" w:sz="4" w:space="0" w:color="auto"/>
              <w:right w:val="single" w:sz="4" w:space="0" w:color="auto"/>
            </w:tcBorders>
          </w:tcPr>
          <w:p w14:paraId="678FC097" w14:textId="51291588" w:rsidR="00240404" w:rsidRPr="002C18A8" w:rsidRDefault="00240404" w:rsidP="00240404">
            <w:pPr>
              <w:spacing w:line="240" w:lineRule="auto"/>
              <w:jc w:val="left"/>
              <w:rPr>
                <w:rFonts w:asciiTheme="minorHAnsi" w:hAnsiTheme="minorHAnsi" w:cstheme="minorHAnsi"/>
              </w:rPr>
            </w:pPr>
          </w:p>
        </w:tc>
      </w:tr>
      <w:tr w:rsidR="00240404" w:rsidRPr="002C18A8" w14:paraId="0322CFD9"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3F8E5BF3" w14:textId="3A229003" w:rsidR="00240404" w:rsidRPr="00EE2CA1" w:rsidRDefault="00240404"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723914F4" w14:textId="5F53CAD1" w:rsidR="00240404" w:rsidRPr="002C18A8" w:rsidRDefault="000A0A7B" w:rsidP="00240404">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59A3DF27" w14:textId="2AC5C28A"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Str. 5</w:t>
            </w:r>
          </w:p>
          <w:p w14:paraId="51877539" w14:textId="2D501743"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Cele strategiczne</w:t>
            </w:r>
          </w:p>
        </w:tc>
        <w:tc>
          <w:tcPr>
            <w:tcW w:w="4337" w:type="dxa"/>
            <w:tcBorders>
              <w:top w:val="single" w:sz="4" w:space="0" w:color="auto"/>
              <w:left w:val="single" w:sz="4" w:space="0" w:color="auto"/>
              <w:bottom w:val="single" w:sz="4" w:space="0" w:color="auto"/>
              <w:right w:val="single" w:sz="4" w:space="0" w:color="auto"/>
            </w:tcBorders>
          </w:tcPr>
          <w:p w14:paraId="3E1CDCE4" w14:textId="646B86E2" w:rsidR="00240404" w:rsidRPr="002C18A8" w:rsidRDefault="00B21545" w:rsidP="00240404">
            <w:pPr>
              <w:rPr>
                <w:rFonts w:asciiTheme="minorHAnsi" w:hAnsiTheme="minorHAnsi" w:cstheme="minorHAnsi"/>
              </w:rPr>
            </w:pPr>
            <w:r>
              <w:rPr>
                <w:rFonts w:asciiTheme="minorHAnsi" w:eastAsia="Arial" w:hAnsiTheme="minorHAnsi" w:cstheme="minorHAnsi"/>
                <w:color w:val="000000" w:themeColor="text1"/>
              </w:rPr>
              <w:t>Proponujemy d</w:t>
            </w:r>
            <w:r w:rsidR="00240404" w:rsidRPr="002C18A8">
              <w:rPr>
                <w:rFonts w:asciiTheme="minorHAnsi" w:eastAsia="Arial" w:hAnsiTheme="minorHAnsi" w:cstheme="minorHAnsi"/>
                <w:color w:val="000000" w:themeColor="text1"/>
              </w:rPr>
              <w:t>odanie nowego celu:</w:t>
            </w:r>
          </w:p>
          <w:p w14:paraId="4E1C2341" w14:textId="78EDB481"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 </w:t>
            </w:r>
          </w:p>
          <w:p w14:paraId="56B2EB76" w14:textId="0535E590"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„Zwiększenie wykorzystania ciepła odpadowego w systemach ciepłowniczych i przez odbiorców przemysłowych.”</w:t>
            </w:r>
          </w:p>
        </w:tc>
        <w:tc>
          <w:tcPr>
            <w:tcW w:w="4111" w:type="dxa"/>
            <w:tcBorders>
              <w:top w:val="single" w:sz="4" w:space="0" w:color="auto"/>
              <w:left w:val="single" w:sz="4" w:space="0" w:color="auto"/>
              <w:bottom w:val="single" w:sz="4" w:space="0" w:color="auto"/>
              <w:right w:val="single" w:sz="4" w:space="0" w:color="auto"/>
            </w:tcBorders>
          </w:tcPr>
          <w:p w14:paraId="14CE95B9" w14:textId="11CC8E1A"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Strategia wskazuje rozwój ciepła odpadowego jako jeden z kierunków transformacji, jednak brak jest dedykowanego celu odnoszącego się do zwiększenia jego wykorzystania. Wprowadzenie takiego celu pozwoli na skuteczniejsze ukierunkowanie działań regulacyjnych, inwestycyjnych i finansowych.</w:t>
            </w:r>
          </w:p>
        </w:tc>
        <w:tc>
          <w:tcPr>
            <w:tcW w:w="1905" w:type="dxa"/>
            <w:tcBorders>
              <w:top w:val="single" w:sz="4" w:space="0" w:color="auto"/>
              <w:left w:val="single" w:sz="4" w:space="0" w:color="auto"/>
              <w:bottom w:val="single" w:sz="4" w:space="0" w:color="auto"/>
              <w:right w:val="single" w:sz="4" w:space="0" w:color="auto"/>
            </w:tcBorders>
          </w:tcPr>
          <w:p w14:paraId="18789B6F" w14:textId="0EE94B7E" w:rsidR="00240404" w:rsidRPr="002C18A8" w:rsidRDefault="00240404" w:rsidP="00240404">
            <w:pPr>
              <w:rPr>
                <w:rFonts w:asciiTheme="minorHAnsi" w:hAnsiTheme="minorHAnsi" w:cstheme="minorHAnsi"/>
              </w:rPr>
            </w:pPr>
            <w:r w:rsidRPr="002C18A8">
              <w:rPr>
                <w:rFonts w:asciiTheme="minorHAnsi" w:eastAsia="Times New Roman" w:hAnsiTheme="minorHAnsi" w:cstheme="minorHAnsi"/>
              </w:rPr>
              <w:t xml:space="preserve"> </w:t>
            </w:r>
          </w:p>
        </w:tc>
      </w:tr>
      <w:tr w:rsidR="00240404" w:rsidRPr="002C18A8" w14:paraId="3A1E0FE6"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47AAF58C" w14:textId="3CF7FF33" w:rsidR="00240404" w:rsidRPr="00EE2CA1" w:rsidRDefault="00240404"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08B76548" w14:textId="77887B93" w:rsidR="00240404" w:rsidRPr="002C18A8" w:rsidRDefault="000A0A7B" w:rsidP="00240404">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5BB2AE70" w14:textId="7BC5EF02"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Str. 10 </w:t>
            </w:r>
          </w:p>
          <w:p w14:paraId="359ADBEB" w14:textId="1834B903"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Priorytety</w:t>
            </w:r>
          </w:p>
        </w:tc>
        <w:tc>
          <w:tcPr>
            <w:tcW w:w="4337" w:type="dxa"/>
            <w:tcBorders>
              <w:top w:val="single" w:sz="4" w:space="0" w:color="auto"/>
              <w:left w:val="single" w:sz="4" w:space="0" w:color="auto"/>
              <w:bottom w:val="single" w:sz="4" w:space="0" w:color="auto"/>
              <w:right w:val="single" w:sz="4" w:space="0" w:color="auto"/>
            </w:tcBorders>
          </w:tcPr>
          <w:p w14:paraId="001C4D48" w14:textId="51BEBC7A" w:rsidR="00240404" w:rsidRPr="002C18A8" w:rsidRDefault="00B21545" w:rsidP="00240404">
            <w:pPr>
              <w:rPr>
                <w:rFonts w:asciiTheme="minorHAnsi" w:hAnsiTheme="minorHAnsi" w:cstheme="minorHAnsi"/>
              </w:rPr>
            </w:pPr>
            <w:r>
              <w:rPr>
                <w:rFonts w:asciiTheme="minorHAnsi" w:eastAsia="Arial" w:hAnsiTheme="minorHAnsi" w:cstheme="minorHAnsi"/>
                <w:color w:val="000000" w:themeColor="text1"/>
              </w:rPr>
              <w:t>Proponujemy d</w:t>
            </w:r>
            <w:r w:rsidR="00240404" w:rsidRPr="002C18A8">
              <w:rPr>
                <w:rFonts w:asciiTheme="minorHAnsi" w:eastAsia="Arial" w:hAnsiTheme="minorHAnsi" w:cstheme="minorHAnsi"/>
                <w:color w:val="000000" w:themeColor="text1"/>
              </w:rPr>
              <w:t>odanie nowego priorytetu:</w:t>
            </w:r>
          </w:p>
          <w:p w14:paraId="264239CF" w14:textId="1DC09861"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„Zwiększenie wykorzystania ciepła odpadowego w gospodarce, w szczególności w sektorze przemysłowym, poprzez wspieranie inwestycji służących jego odzyskowi, magazynowaniu, przesyłowi i zagospodarowaniu.”</w:t>
            </w:r>
          </w:p>
          <w:p w14:paraId="1A0E0706" w14:textId="14E465FA"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 </w:t>
            </w:r>
          </w:p>
        </w:tc>
        <w:tc>
          <w:tcPr>
            <w:tcW w:w="4111" w:type="dxa"/>
            <w:tcBorders>
              <w:top w:val="single" w:sz="4" w:space="0" w:color="auto"/>
              <w:left w:val="single" w:sz="4" w:space="0" w:color="auto"/>
              <w:bottom w:val="single" w:sz="4" w:space="0" w:color="auto"/>
              <w:right w:val="single" w:sz="4" w:space="0" w:color="auto"/>
            </w:tcBorders>
          </w:tcPr>
          <w:p w14:paraId="7FB568AE" w14:textId="567EBA0B" w:rsidR="00240404" w:rsidRPr="002C18A8" w:rsidRDefault="00B21545" w:rsidP="00240404">
            <w:pPr>
              <w:rPr>
                <w:rFonts w:asciiTheme="minorHAnsi" w:hAnsiTheme="minorHAnsi" w:cstheme="minorHAnsi"/>
              </w:rPr>
            </w:pPr>
            <w:r w:rsidRPr="002C18A8">
              <w:rPr>
                <w:rFonts w:asciiTheme="minorHAnsi" w:eastAsia="Arial" w:hAnsiTheme="minorHAnsi" w:cstheme="minorHAnsi"/>
                <w:color w:val="000000" w:themeColor="text1"/>
              </w:rPr>
              <w:t>Strategia wskazuje rozwój ciepła odpadowego jako jeden z kierunków transformacji, jednak brak jest dedykowanego celu odnoszącego się do zwiększenia jego wykorzystania. Wprowadzenie takiego celu pozwoli na skuteczniejsze ukierunkowanie działań regulacyjnych, inwestycyjnych i finansowych</w:t>
            </w:r>
            <w:r w:rsidR="00240404" w:rsidRPr="002C18A8">
              <w:rPr>
                <w:rFonts w:asciiTheme="minorHAnsi" w:eastAsia="Arial" w:hAnsiTheme="minorHAnsi" w:cstheme="minorHAnsi"/>
                <w:color w:val="000000" w:themeColor="text1"/>
              </w:rPr>
              <w:t xml:space="preserve">. </w:t>
            </w:r>
          </w:p>
        </w:tc>
        <w:tc>
          <w:tcPr>
            <w:tcW w:w="1905" w:type="dxa"/>
            <w:tcBorders>
              <w:top w:val="single" w:sz="4" w:space="0" w:color="auto"/>
              <w:left w:val="single" w:sz="4" w:space="0" w:color="auto"/>
              <w:bottom w:val="single" w:sz="4" w:space="0" w:color="auto"/>
              <w:right w:val="single" w:sz="4" w:space="0" w:color="auto"/>
            </w:tcBorders>
          </w:tcPr>
          <w:p w14:paraId="4D327E81" w14:textId="48936471" w:rsidR="00240404" w:rsidRPr="002C18A8" w:rsidRDefault="00240404" w:rsidP="00240404">
            <w:pPr>
              <w:rPr>
                <w:rFonts w:asciiTheme="minorHAnsi" w:hAnsiTheme="minorHAnsi" w:cstheme="minorHAnsi"/>
              </w:rPr>
            </w:pPr>
            <w:r w:rsidRPr="002C18A8">
              <w:rPr>
                <w:rFonts w:asciiTheme="minorHAnsi" w:eastAsia="Times New Roman" w:hAnsiTheme="minorHAnsi" w:cstheme="minorHAnsi"/>
              </w:rPr>
              <w:t xml:space="preserve"> </w:t>
            </w:r>
          </w:p>
        </w:tc>
      </w:tr>
      <w:tr w:rsidR="00240404" w:rsidRPr="002C18A8" w14:paraId="7ABAF9A0" w14:textId="77777777" w:rsidTr="00B321B4">
        <w:trPr>
          <w:trHeight w:val="300"/>
        </w:trPr>
        <w:tc>
          <w:tcPr>
            <w:tcW w:w="704" w:type="dxa"/>
            <w:tcBorders>
              <w:top w:val="single" w:sz="4" w:space="0" w:color="auto"/>
              <w:left w:val="single" w:sz="4" w:space="0" w:color="auto"/>
              <w:bottom w:val="single" w:sz="4" w:space="0" w:color="auto"/>
              <w:right w:val="single" w:sz="4" w:space="0" w:color="auto"/>
            </w:tcBorders>
          </w:tcPr>
          <w:p w14:paraId="420E1483" w14:textId="4B873BF2" w:rsidR="00240404" w:rsidRPr="00EE2CA1" w:rsidRDefault="00240404" w:rsidP="00EE2CA1">
            <w:pPr>
              <w:pStyle w:val="Akapitzlist"/>
              <w:numPr>
                <w:ilvl w:val="0"/>
                <w:numId w:val="10"/>
              </w:numPr>
              <w:jc w:val="center"/>
              <w:rPr>
                <w:rFonts w:cstheme="minorHAnsi"/>
              </w:rPr>
            </w:pPr>
          </w:p>
        </w:tc>
        <w:tc>
          <w:tcPr>
            <w:tcW w:w="1588" w:type="dxa"/>
            <w:tcBorders>
              <w:top w:val="single" w:sz="4" w:space="0" w:color="auto"/>
              <w:left w:val="single" w:sz="4" w:space="0" w:color="auto"/>
              <w:bottom w:val="single" w:sz="4" w:space="0" w:color="auto"/>
              <w:right w:val="single" w:sz="4" w:space="0" w:color="auto"/>
            </w:tcBorders>
          </w:tcPr>
          <w:p w14:paraId="5F81F45E" w14:textId="092D4919" w:rsidR="00240404" w:rsidRPr="002C18A8" w:rsidRDefault="000A0A7B" w:rsidP="00240404">
            <w:pPr>
              <w:rPr>
                <w:rFonts w:asciiTheme="minorHAnsi" w:hAnsiTheme="minorHAnsi" w:cstheme="minorHAnsi"/>
              </w:rPr>
            </w:pPr>
            <w:r>
              <w:rPr>
                <w:rFonts w:asciiTheme="minorHAnsi" w:eastAsia="Arial" w:hAnsiTheme="minorHAnsi" w:cstheme="minorHAnsi"/>
                <w:color w:val="000000" w:themeColor="text1"/>
              </w:rPr>
              <w:t>Konfederacja Lewiatan</w:t>
            </w:r>
          </w:p>
        </w:tc>
        <w:tc>
          <w:tcPr>
            <w:tcW w:w="2089" w:type="dxa"/>
            <w:tcBorders>
              <w:top w:val="single" w:sz="4" w:space="0" w:color="auto"/>
              <w:left w:val="single" w:sz="4" w:space="0" w:color="auto"/>
              <w:bottom w:val="single" w:sz="4" w:space="0" w:color="auto"/>
              <w:right w:val="single" w:sz="4" w:space="0" w:color="auto"/>
            </w:tcBorders>
          </w:tcPr>
          <w:p w14:paraId="50F03BB6" w14:textId="5E1C2862"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6.1.7</w:t>
            </w:r>
          </w:p>
        </w:tc>
        <w:tc>
          <w:tcPr>
            <w:tcW w:w="4337" w:type="dxa"/>
            <w:tcBorders>
              <w:top w:val="single" w:sz="4" w:space="0" w:color="auto"/>
              <w:left w:val="single" w:sz="4" w:space="0" w:color="auto"/>
              <w:bottom w:val="single" w:sz="4" w:space="0" w:color="auto"/>
              <w:right w:val="single" w:sz="4" w:space="0" w:color="auto"/>
            </w:tcBorders>
          </w:tcPr>
          <w:p w14:paraId="5DEC03F3" w14:textId="1B17F244"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Należy dążyć do uznania ciepła pochodzącego z instalacji termicznego przekształcania odpadów za ciepło odpadowe nie tylko na potrzeby spełnienia kryteriów efektywnego systemu ciepłowniczego, ale również w szerszym </w:t>
            </w:r>
            <w:r w:rsidRPr="002C18A8">
              <w:rPr>
                <w:rFonts w:asciiTheme="minorHAnsi" w:eastAsia="Arial" w:hAnsiTheme="minorHAnsi" w:cstheme="minorHAnsi"/>
                <w:color w:val="000000" w:themeColor="text1"/>
              </w:rPr>
              <w:lastRenderedPageBreak/>
              <w:t>kontekście realizacji celów dekarbonizacyjnych oraz wykorzystania tego ciepła przez odbiorców przemysłowych.</w:t>
            </w:r>
            <w:r w:rsidRPr="002C18A8">
              <w:rPr>
                <w:rFonts w:asciiTheme="minorHAnsi" w:eastAsia="Arial" w:hAnsiTheme="minorHAnsi" w:cstheme="minorHAnsi"/>
                <w:i/>
                <w:iCs/>
                <w:color w:val="000000" w:themeColor="text1"/>
              </w:rPr>
              <w:t xml:space="preserve"> </w:t>
            </w:r>
          </w:p>
          <w:p w14:paraId="2BBB1C0F" w14:textId="1A9DA8A6" w:rsidR="00240404" w:rsidRPr="002C18A8" w:rsidRDefault="00240404" w:rsidP="00240404">
            <w:pPr>
              <w:rPr>
                <w:rFonts w:asciiTheme="minorHAnsi" w:hAnsiTheme="minorHAnsi" w:cstheme="minorHAnsi"/>
              </w:rPr>
            </w:pPr>
            <w:r w:rsidRPr="002C18A8">
              <w:rPr>
                <w:rFonts w:asciiTheme="minorHAnsi" w:eastAsia="Arial" w:hAnsiTheme="minorHAnsi" w:cstheme="minorHAnsi"/>
                <w:i/>
                <w:iCs/>
                <w:color w:val="000000" w:themeColor="text1"/>
              </w:rPr>
              <w:t xml:space="preserve"> </w:t>
            </w:r>
          </w:p>
          <w:p w14:paraId="280F9EA3" w14:textId="2363D8B6" w:rsidR="00240404" w:rsidRPr="002C18A8" w:rsidRDefault="00240404" w:rsidP="00240404">
            <w:pPr>
              <w:rPr>
                <w:rFonts w:asciiTheme="minorHAnsi" w:hAnsiTheme="minorHAnsi" w:cstheme="minorHAnsi"/>
              </w:rPr>
            </w:pPr>
            <w:r w:rsidRPr="002C18A8">
              <w:rPr>
                <w:rFonts w:asciiTheme="minorHAnsi" w:eastAsia="Arial" w:hAnsiTheme="minorHAnsi" w:cstheme="minorHAnsi"/>
                <w:i/>
                <w:iCs/>
                <w:color w:val="000000" w:themeColor="text1"/>
              </w:rPr>
              <w:t>„Strategia wskazuje, że należy dążyć do wprowadzenia takich rozwiązań regulacyjnych,</w:t>
            </w:r>
          </w:p>
          <w:p w14:paraId="7D37668F" w14:textId="07544660" w:rsidR="00240404" w:rsidRPr="002C18A8" w:rsidRDefault="00240404" w:rsidP="00240404">
            <w:pPr>
              <w:rPr>
                <w:rFonts w:asciiTheme="minorHAnsi" w:hAnsiTheme="minorHAnsi" w:cstheme="minorHAnsi"/>
              </w:rPr>
            </w:pPr>
            <w:r w:rsidRPr="002C18A8">
              <w:rPr>
                <w:rFonts w:asciiTheme="minorHAnsi" w:eastAsia="Arial" w:hAnsiTheme="minorHAnsi" w:cstheme="minorHAnsi"/>
                <w:i/>
                <w:iCs/>
                <w:color w:val="000000" w:themeColor="text1"/>
              </w:rPr>
              <w:t>które umożliwią kwalifikację ciepła niebędącego energią z OZE, pochodzącego</w:t>
            </w:r>
          </w:p>
          <w:p w14:paraId="5EC87497" w14:textId="7E7C74AA" w:rsidR="00240404" w:rsidRPr="002C18A8" w:rsidRDefault="00240404" w:rsidP="00240404">
            <w:pPr>
              <w:rPr>
                <w:rFonts w:asciiTheme="minorHAnsi" w:hAnsiTheme="minorHAnsi" w:cstheme="minorHAnsi"/>
              </w:rPr>
            </w:pPr>
            <w:r w:rsidRPr="002C18A8">
              <w:rPr>
                <w:rFonts w:asciiTheme="minorHAnsi" w:eastAsia="Arial" w:hAnsiTheme="minorHAnsi" w:cstheme="minorHAnsi"/>
                <w:i/>
                <w:iCs/>
                <w:color w:val="000000" w:themeColor="text1"/>
              </w:rPr>
              <w:t xml:space="preserve">z instalacji termicznego przekształcania </w:t>
            </w:r>
            <w:proofErr w:type="gramStart"/>
            <w:r w:rsidRPr="002C18A8">
              <w:rPr>
                <w:rFonts w:asciiTheme="minorHAnsi" w:eastAsia="Arial" w:hAnsiTheme="minorHAnsi" w:cstheme="minorHAnsi"/>
                <w:i/>
                <w:iCs/>
                <w:color w:val="000000" w:themeColor="text1"/>
              </w:rPr>
              <w:t>odpadów,</w:t>
            </w:r>
            <w:proofErr w:type="gramEnd"/>
            <w:r w:rsidRPr="002C18A8">
              <w:rPr>
                <w:rFonts w:asciiTheme="minorHAnsi" w:eastAsia="Arial" w:hAnsiTheme="minorHAnsi" w:cstheme="minorHAnsi"/>
                <w:i/>
                <w:iCs/>
                <w:color w:val="000000" w:themeColor="text1"/>
              </w:rPr>
              <w:t xml:space="preserve"> jako ciepła odpadowego </w:t>
            </w:r>
            <w:r w:rsidRPr="002C18A8">
              <w:rPr>
                <w:rFonts w:asciiTheme="minorHAnsi" w:eastAsia="Arial" w:hAnsiTheme="minorHAnsi" w:cstheme="minorHAnsi"/>
                <w:i/>
                <w:iCs/>
                <w:strike/>
                <w:color w:val="FF0000"/>
              </w:rPr>
              <w:t>na potrzeby</w:t>
            </w:r>
          </w:p>
          <w:p w14:paraId="7A556268" w14:textId="23D86CC0" w:rsidR="00240404" w:rsidRPr="002C18A8" w:rsidRDefault="00240404" w:rsidP="00240404">
            <w:pPr>
              <w:rPr>
                <w:rFonts w:asciiTheme="minorHAnsi" w:hAnsiTheme="minorHAnsi" w:cstheme="minorHAnsi"/>
              </w:rPr>
            </w:pPr>
            <w:r w:rsidRPr="002C18A8">
              <w:rPr>
                <w:rFonts w:asciiTheme="minorHAnsi" w:eastAsia="Arial" w:hAnsiTheme="minorHAnsi" w:cstheme="minorHAnsi"/>
                <w:i/>
                <w:iCs/>
                <w:strike/>
                <w:color w:val="FF0000"/>
              </w:rPr>
              <w:t>spełnienia kryteriów efektywnego systemu ciepłowniczego</w:t>
            </w:r>
            <w:r w:rsidRPr="002C18A8">
              <w:rPr>
                <w:rFonts w:asciiTheme="minorHAnsi" w:eastAsia="Arial" w:hAnsiTheme="minorHAnsi" w:cstheme="minorHAnsi"/>
                <w:color w:val="000000" w:themeColor="text1"/>
              </w:rPr>
              <w:t>.”</w:t>
            </w:r>
          </w:p>
        </w:tc>
        <w:tc>
          <w:tcPr>
            <w:tcW w:w="4111" w:type="dxa"/>
            <w:tcBorders>
              <w:top w:val="single" w:sz="4" w:space="0" w:color="auto"/>
              <w:left w:val="single" w:sz="4" w:space="0" w:color="auto"/>
              <w:bottom w:val="single" w:sz="4" w:space="0" w:color="auto"/>
              <w:right w:val="single" w:sz="4" w:space="0" w:color="auto"/>
            </w:tcBorders>
          </w:tcPr>
          <w:p w14:paraId="3EC3AF98" w14:textId="0A0474D3"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lastRenderedPageBreak/>
              <w:t xml:space="preserve">Ciepło pochodzące z instalacji termicznego przekształcania odpadów może stanowić istotne źródło energii wykorzystywane zarówno w systemach ciepłowniczych, jak i bezpośrednio w procesach przemysłowych. </w:t>
            </w:r>
            <w:r w:rsidRPr="002C18A8">
              <w:rPr>
                <w:rFonts w:asciiTheme="minorHAnsi" w:eastAsia="Arial" w:hAnsiTheme="minorHAnsi" w:cstheme="minorHAnsi"/>
                <w:color w:val="000000" w:themeColor="text1"/>
              </w:rPr>
              <w:lastRenderedPageBreak/>
              <w:t>Ograniczenie kwalifikacji ciepła odpadowego wyłącznie do potrzeb spełnienia kryteriów efektywnego systemu ciepłowniczego może utrudnić pełne wykorzystanie jego potencjału. Szersze uznanie tego rodzaju energii wspierałoby realizację celów Strategii w zakresie efektywności energetycznej, zagospodarowania ciepła odpadowego oraz dekarbonizacji gospodarki.</w:t>
            </w:r>
          </w:p>
        </w:tc>
        <w:tc>
          <w:tcPr>
            <w:tcW w:w="1905" w:type="dxa"/>
            <w:tcBorders>
              <w:top w:val="single" w:sz="4" w:space="0" w:color="auto"/>
              <w:left w:val="single" w:sz="4" w:space="0" w:color="auto"/>
              <w:bottom w:val="single" w:sz="4" w:space="0" w:color="auto"/>
              <w:right w:val="single" w:sz="4" w:space="0" w:color="auto"/>
            </w:tcBorders>
          </w:tcPr>
          <w:p w14:paraId="518D94FD" w14:textId="44EFF416" w:rsidR="00240404" w:rsidRPr="002C18A8" w:rsidRDefault="00240404" w:rsidP="00240404">
            <w:pPr>
              <w:rPr>
                <w:rFonts w:asciiTheme="minorHAnsi" w:hAnsiTheme="minorHAnsi" w:cstheme="minorHAnsi"/>
              </w:rPr>
            </w:pPr>
            <w:r w:rsidRPr="002C18A8">
              <w:rPr>
                <w:rFonts w:asciiTheme="minorHAnsi" w:eastAsia="Times New Roman" w:hAnsiTheme="minorHAnsi" w:cstheme="minorHAnsi"/>
              </w:rPr>
              <w:lastRenderedPageBreak/>
              <w:t xml:space="preserve"> </w:t>
            </w:r>
          </w:p>
        </w:tc>
      </w:tr>
      <w:tr w:rsidR="00240404" w:rsidRPr="002C18A8" w14:paraId="09FD5609"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06B2CC73" w14:textId="17CC427B" w:rsidR="00240404" w:rsidRPr="00EE2CA1" w:rsidRDefault="00240404"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44DA9153" w14:textId="3408D9C5" w:rsidR="00240404"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51A12088" w14:textId="71F23BFE"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13.2 Wsparcie inwestycyjne i rozwój technologiczny</w:t>
            </w:r>
          </w:p>
        </w:tc>
        <w:tc>
          <w:tcPr>
            <w:tcW w:w="4337" w:type="dxa"/>
            <w:tcBorders>
              <w:top w:val="single" w:sz="4" w:space="0" w:color="auto"/>
              <w:left w:val="single" w:sz="4" w:space="0" w:color="auto"/>
              <w:bottom w:val="single" w:sz="4" w:space="0" w:color="auto"/>
              <w:right w:val="single" w:sz="4" w:space="0" w:color="auto"/>
            </w:tcBorders>
          </w:tcPr>
          <w:p w14:paraId="6365B1A5" w14:textId="717B4565"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Dodanie nowego działania:</w:t>
            </w:r>
          </w:p>
          <w:p w14:paraId="592C0A2E" w14:textId="5A445927"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 </w:t>
            </w:r>
          </w:p>
          <w:p w14:paraId="7F4B5639" w14:textId="68F26552"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Uruchomienie mechanizmów wsparcia inwestycji w odzysk i zagospodarowanie ciepła z instalacji termicznego przekształcania odpadów (ITPOK i ITPON)</w:t>
            </w:r>
          </w:p>
          <w:p w14:paraId="5FF75C4C" w14:textId="1A0EA99E" w:rsidR="00240404" w:rsidRPr="002C18A8" w:rsidRDefault="00240404" w:rsidP="00240404">
            <w:pPr>
              <w:pStyle w:val="Akapitzlist"/>
              <w:numPr>
                <w:ilvl w:val="0"/>
                <w:numId w:val="2"/>
              </w:numPr>
              <w:rPr>
                <w:rFonts w:eastAsia="Arial" w:cstheme="minorHAnsi"/>
                <w:color w:val="000000" w:themeColor="text1"/>
              </w:rPr>
            </w:pPr>
            <w:r w:rsidRPr="002C18A8">
              <w:rPr>
                <w:rFonts w:eastAsia="Arial" w:cstheme="minorHAnsi"/>
                <w:color w:val="000000" w:themeColor="text1"/>
              </w:rPr>
              <w:t>Uruchomienie przez NFOŚiGW mechanizmów finansowania nakładów inwestycyjnych (CAPEX) związanych z budową, rozbudową i modernizacją instalacji termicznego przekształcania odpadów komunalnych i niebezpiecznych, zarówno na potrzeby systemów ciepłowniczych, jak i odbiorców przemysłowych.</w:t>
            </w:r>
          </w:p>
        </w:tc>
        <w:tc>
          <w:tcPr>
            <w:tcW w:w="4111" w:type="dxa"/>
            <w:tcBorders>
              <w:top w:val="single" w:sz="4" w:space="0" w:color="auto"/>
              <w:left w:val="single" w:sz="4" w:space="0" w:color="auto"/>
              <w:bottom w:val="single" w:sz="4" w:space="0" w:color="auto"/>
              <w:right w:val="single" w:sz="4" w:space="0" w:color="auto"/>
            </w:tcBorders>
          </w:tcPr>
          <w:p w14:paraId="03C81ED4" w14:textId="4E8A2FA9"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Uruchomienie programu finansowania jest zasadne dla realizacji celów Strategii w zakresie zwiększania wykorzystania ciepła odpadowego, poprawy efektywności energetycznej oraz dekarbonizacji sektora ciepła. Działanie jest zgodne z unijnym kierunkiem wspierania gospodarki obiegu zamkniętego i zwiększania efektywności energetycznej.</w:t>
            </w:r>
          </w:p>
        </w:tc>
        <w:tc>
          <w:tcPr>
            <w:tcW w:w="1905" w:type="dxa"/>
            <w:tcBorders>
              <w:top w:val="single" w:sz="4" w:space="0" w:color="auto"/>
              <w:left w:val="single" w:sz="4" w:space="0" w:color="auto"/>
              <w:bottom w:val="single" w:sz="4" w:space="0" w:color="auto"/>
              <w:right w:val="single" w:sz="4" w:space="0" w:color="auto"/>
            </w:tcBorders>
          </w:tcPr>
          <w:p w14:paraId="135FD296" w14:textId="18E76AE5" w:rsidR="00240404" w:rsidRPr="002C18A8" w:rsidRDefault="00240404" w:rsidP="00240404">
            <w:pPr>
              <w:rPr>
                <w:rFonts w:asciiTheme="minorHAnsi" w:hAnsiTheme="minorHAnsi" w:cstheme="minorHAnsi"/>
              </w:rPr>
            </w:pPr>
            <w:r w:rsidRPr="002C18A8">
              <w:rPr>
                <w:rFonts w:asciiTheme="minorHAnsi" w:eastAsia="Times New Roman" w:hAnsiTheme="minorHAnsi" w:cstheme="minorHAnsi"/>
              </w:rPr>
              <w:t xml:space="preserve"> </w:t>
            </w:r>
          </w:p>
        </w:tc>
      </w:tr>
      <w:tr w:rsidR="00240404" w:rsidRPr="002C18A8" w14:paraId="5EE058A9"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7A622275" w14:textId="39A89122" w:rsidR="00240404" w:rsidRPr="00EE2CA1" w:rsidRDefault="00240404"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6F346DCA" w14:textId="06E15510" w:rsidR="00240404"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09599D4F" w14:textId="5E812DC8"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13.2 Wsparcie inwestycyjne i rozwój technologiczny</w:t>
            </w:r>
          </w:p>
        </w:tc>
        <w:tc>
          <w:tcPr>
            <w:tcW w:w="4337" w:type="dxa"/>
            <w:tcBorders>
              <w:top w:val="single" w:sz="4" w:space="0" w:color="auto"/>
              <w:left w:val="single" w:sz="4" w:space="0" w:color="auto"/>
              <w:bottom w:val="single" w:sz="4" w:space="0" w:color="auto"/>
              <w:right w:val="single" w:sz="4" w:space="0" w:color="auto"/>
            </w:tcBorders>
          </w:tcPr>
          <w:p w14:paraId="0FC6A25C" w14:textId="0254F2AB"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Dodanie nowego działania:</w:t>
            </w:r>
          </w:p>
          <w:p w14:paraId="561FC84B" w14:textId="557B0A91"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 </w:t>
            </w:r>
          </w:p>
          <w:p w14:paraId="6F0F5F70" w14:textId="7BEBB726"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lastRenderedPageBreak/>
              <w:t>Uruchomienie mechanizmów wsparcia inwestycji w odzysk i zagospodarowanie ciepła odpadowego z centrów danych</w:t>
            </w:r>
          </w:p>
          <w:p w14:paraId="626B7BDB" w14:textId="3AB97E92" w:rsidR="00240404" w:rsidRPr="002C18A8" w:rsidRDefault="00240404" w:rsidP="001A3368">
            <w:pPr>
              <w:pStyle w:val="Akapitzlist"/>
              <w:numPr>
                <w:ilvl w:val="0"/>
                <w:numId w:val="1"/>
              </w:numPr>
              <w:jc w:val="both"/>
              <w:rPr>
                <w:rFonts w:eastAsia="Arial" w:cstheme="minorHAnsi"/>
                <w:color w:val="000000" w:themeColor="text1"/>
              </w:rPr>
            </w:pPr>
            <w:r w:rsidRPr="002C18A8">
              <w:rPr>
                <w:rFonts w:eastAsia="Arial" w:cstheme="minorHAnsi"/>
                <w:color w:val="000000" w:themeColor="text1"/>
              </w:rPr>
              <w:t>Uruchomienie przez NFOŚiGW mechanizmów finansowania nakładów inwestycyjnych (CAPEX) związanych z budową, rozbudową i modernizacją infrastruktury umożliwiającej odzysk, podnoszenie parametrów oraz zagospodarowanie ciepła odpadowego generowanego przez centra danych, zarówno w systemach ciepłowniczych, jak i bezpośrednio przez odbiorców przemysłowych.</w:t>
            </w:r>
          </w:p>
        </w:tc>
        <w:tc>
          <w:tcPr>
            <w:tcW w:w="4111" w:type="dxa"/>
            <w:tcBorders>
              <w:top w:val="single" w:sz="4" w:space="0" w:color="auto"/>
              <w:left w:val="single" w:sz="4" w:space="0" w:color="auto"/>
              <w:bottom w:val="single" w:sz="4" w:space="0" w:color="auto"/>
              <w:right w:val="single" w:sz="4" w:space="0" w:color="auto"/>
            </w:tcBorders>
          </w:tcPr>
          <w:p w14:paraId="703A48D6" w14:textId="2BA597BC"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lastRenderedPageBreak/>
              <w:t xml:space="preserve">Strategia wskazuje centra danych jako perspektywiczne źródło ciepła odpadowego o znaczącym potencjale, jednak nie </w:t>
            </w:r>
            <w:r w:rsidRPr="002C18A8">
              <w:rPr>
                <w:rFonts w:asciiTheme="minorHAnsi" w:eastAsia="Arial" w:hAnsiTheme="minorHAnsi" w:cstheme="minorHAnsi"/>
                <w:color w:val="000000" w:themeColor="text1"/>
              </w:rPr>
              <w:lastRenderedPageBreak/>
              <w:t xml:space="preserve">przewiduje dedykowanych instrumentów wsparcia umożliwiających jego zagospodarowanie. (Strategia identyfikuje potencjał ciepła odpadowego z centrów danych na poziomie ok. 19 700 TJ do 2030 r., co wskazuje na potrzebę stworzenia instrumentów wspierających wykorzystanie tego zasobu). </w:t>
            </w:r>
          </w:p>
          <w:p w14:paraId="0097E044" w14:textId="7F6CD854"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 </w:t>
            </w:r>
          </w:p>
          <w:p w14:paraId="0B610D68" w14:textId="2E012FAF"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Uruchomienie programu finansowania pozwoli na wykorzystanie tego potencjału zarówno w systemach ciepłowniczych, jak i przez odbiorców przemysłowych, wspierając realizację celów Strategii w zakresie dekarbonizacji, efektywności energetycznej oraz rozwoju wykorzystania ciepła odpadowego. Działanie pozostaje spójne z kierunkami polityki UE promującymi odzysk i wykorzystanie energii odpadowej.</w:t>
            </w:r>
          </w:p>
        </w:tc>
        <w:tc>
          <w:tcPr>
            <w:tcW w:w="1905" w:type="dxa"/>
            <w:tcBorders>
              <w:top w:val="single" w:sz="4" w:space="0" w:color="auto"/>
              <w:left w:val="single" w:sz="4" w:space="0" w:color="auto"/>
              <w:bottom w:val="single" w:sz="4" w:space="0" w:color="auto"/>
              <w:right w:val="single" w:sz="4" w:space="0" w:color="auto"/>
            </w:tcBorders>
          </w:tcPr>
          <w:p w14:paraId="7F2DBF28" w14:textId="4E3792B3" w:rsidR="00240404" w:rsidRPr="002C18A8" w:rsidRDefault="00240404" w:rsidP="00240404">
            <w:pPr>
              <w:rPr>
                <w:rFonts w:asciiTheme="minorHAnsi" w:hAnsiTheme="minorHAnsi" w:cstheme="minorHAnsi"/>
              </w:rPr>
            </w:pPr>
            <w:r w:rsidRPr="002C18A8">
              <w:rPr>
                <w:rFonts w:asciiTheme="minorHAnsi" w:eastAsia="Times New Roman" w:hAnsiTheme="minorHAnsi" w:cstheme="minorHAnsi"/>
              </w:rPr>
              <w:lastRenderedPageBreak/>
              <w:t xml:space="preserve"> </w:t>
            </w:r>
          </w:p>
        </w:tc>
      </w:tr>
      <w:tr w:rsidR="00240404" w:rsidRPr="002C18A8" w14:paraId="5074C5BF" w14:textId="77777777" w:rsidTr="0096780A">
        <w:trPr>
          <w:trHeight w:val="300"/>
        </w:trPr>
        <w:tc>
          <w:tcPr>
            <w:tcW w:w="704" w:type="dxa"/>
            <w:tcBorders>
              <w:top w:val="single" w:sz="4" w:space="0" w:color="auto"/>
              <w:left w:val="single" w:sz="4" w:space="0" w:color="auto"/>
              <w:bottom w:val="single" w:sz="4" w:space="0" w:color="auto"/>
              <w:right w:val="single" w:sz="4" w:space="0" w:color="auto"/>
            </w:tcBorders>
          </w:tcPr>
          <w:p w14:paraId="74A752EE" w14:textId="7270BD90" w:rsidR="00240404" w:rsidRPr="00EE2CA1" w:rsidRDefault="00240404" w:rsidP="00EE2CA1">
            <w:pPr>
              <w:pStyle w:val="Akapitzlist"/>
              <w:numPr>
                <w:ilvl w:val="0"/>
                <w:numId w:val="10"/>
              </w:numPr>
              <w:jc w:val="center"/>
              <w:rPr>
                <w:rFonts w:cstheme="minorHAnsi"/>
              </w:rPr>
            </w:pPr>
          </w:p>
        </w:tc>
        <w:tc>
          <w:tcPr>
            <w:tcW w:w="1588" w:type="dxa"/>
            <w:tcBorders>
              <w:top w:val="nil"/>
              <w:left w:val="nil"/>
              <w:bottom w:val="single" w:sz="8" w:space="0" w:color="auto"/>
              <w:right w:val="single" w:sz="8" w:space="0" w:color="auto"/>
            </w:tcBorders>
            <w:tcMar>
              <w:top w:w="57" w:type="dxa"/>
              <w:left w:w="57" w:type="dxa"/>
              <w:bottom w:w="57" w:type="dxa"/>
              <w:right w:w="57" w:type="dxa"/>
            </w:tcMar>
            <w:hideMark/>
          </w:tcPr>
          <w:p w14:paraId="6F02DA98" w14:textId="7F88C27C" w:rsidR="00240404" w:rsidRPr="002C18A8" w:rsidRDefault="0096780A" w:rsidP="0096780A">
            <w:pPr>
              <w:pStyle w:val="Normalny1"/>
              <w:rPr>
                <w:rFonts w:asciiTheme="minorHAnsi" w:hAnsiTheme="minorHAnsi" w:cstheme="minorHAnsi"/>
              </w:rPr>
            </w:pPr>
            <w:r>
              <w:rPr>
                <w:rFonts w:ascii="Calibri" w:hAnsi="Calibri" w:cs="Calibri"/>
                <w:color w:val="000000"/>
              </w:rPr>
              <w:t>Konfederacja Lewiatan</w:t>
            </w:r>
          </w:p>
        </w:tc>
        <w:tc>
          <w:tcPr>
            <w:tcW w:w="2089" w:type="dxa"/>
            <w:tcBorders>
              <w:top w:val="single" w:sz="4" w:space="0" w:color="auto"/>
              <w:left w:val="single" w:sz="4" w:space="0" w:color="auto"/>
              <w:bottom w:val="single" w:sz="4" w:space="0" w:color="auto"/>
              <w:right w:val="single" w:sz="4" w:space="0" w:color="auto"/>
            </w:tcBorders>
          </w:tcPr>
          <w:p w14:paraId="794CB735" w14:textId="66097864"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Str. 36</w:t>
            </w:r>
          </w:p>
          <w:p w14:paraId="68F92315" w14:textId="512F5B2B"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Rozdział „Finansowanie transformacji”</w:t>
            </w:r>
          </w:p>
        </w:tc>
        <w:tc>
          <w:tcPr>
            <w:tcW w:w="4337" w:type="dxa"/>
            <w:tcBorders>
              <w:top w:val="single" w:sz="4" w:space="0" w:color="auto"/>
              <w:left w:val="single" w:sz="4" w:space="0" w:color="auto"/>
              <w:bottom w:val="single" w:sz="4" w:space="0" w:color="auto"/>
              <w:right w:val="single" w:sz="4" w:space="0" w:color="auto"/>
            </w:tcBorders>
          </w:tcPr>
          <w:p w14:paraId="7124E8A8" w14:textId="16113F49"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Uzupełnienie zapisów rozdziału o następujące zdanie:</w:t>
            </w:r>
          </w:p>
          <w:p w14:paraId="5E435DA8" w14:textId="0F7C025A"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„Instrumenty wsparcia finansowego powinny obejmować również inwestycje umożliwiające wykorzystanie ciepła odpadowego z procesów przemysłowych, instalacji termicznego przekształcania odpadów oraz centrów danych zarówno w systemach ciepłowniczych, jak i bezpośrednio przez odbiorców przemysłowych.”</w:t>
            </w:r>
          </w:p>
          <w:p w14:paraId="4A5EAD3C" w14:textId="321F3769"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 </w:t>
            </w:r>
          </w:p>
        </w:tc>
        <w:tc>
          <w:tcPr>
            <w:tcW w:w="4111" w:type="dxa"/>
            <w:tcBorders>
              <w:top w:val="single" w:sz="4" w:space="0" w:color="auto"/>
              <w:left w:val="single" w:sz="4" w:space="0" w:color="auto"/>
              <w:bottom w:val="single" w:sz="4" w:space="0" w:color="auto"/>
              <w:right w:val="single" w:sz="4" w:space="0" w:color="auto"/>
            </w:tcBorders>
          </w:tcPr>
          <w:p w14:paraId="64B0A779" w14:textId="286FFF05" w:rsidR="00240404" w:rsidRPr="002C18A8" w:rsidRDefault="00240404" w:rsidP="00240404">
            <w:pPr>
              <w:rPr>
                <w:rFonts w:asciiTheme="minorHAnsi" w:hAnsiTheme="minorHAnsi" w:cstheme="minorHAnsi"/>
              </w:rPr>
            </w:pPr>
            <w:r w:rsidRPr="002C18A8">
              <w:rPr>
                <w:rFonts w:asciiTheme="minorHAnsi" w:eastAsia="Arial" w:hAnsiTheme="minorHAnsi" w:cstheme="minorHAnsi"/>
                <w:color w:val="000000" w:themeColor="text1"/>
              </w:rPr>
              <w:t xml:space="preserve">W Strategii wskazano znaczący potencjał ciepła odpadowego pochodzącego z procesów przemysłowych, ciepła z instalacji termicznego przekształcania odpadów oraz centrów danych. Osiągnięcie zakładanych celów wymaga jednak objęcia wsparciem również inwestycji umożliwiających wykorzystanie tego ciepła zarówno w systemach ciepłowniczych, jak i bezpośrednio przez odbiorców przemysłowych. Pozwoli to na pełniejsze </w:t>
            </w:r>
            <w:r w:rsidRPr="002C18A8">
              <w:rPr>
                <w:rFonts w:asciiTheme="minorHAnsi" w:eastAsia="Arial" w:hAnsiTheme="minorHAnsi" w:cstheme="minorHAnsi"/>
                <w:color w:val="000000" w:themeColor="text1"/>
              </w:rPr>
              <w:lastRenderedPageBreak/>
              <w:t>wykorzystanie dostępnych zasobów energii oraz przyspieszy dekarbonizację gospodarki.</w:t>
            </w:r>
          </w:p>
        </w:tc>
        <w:tc>
          <w:tcPr>
            <w:tcW w:w="1905" w:type="dxa"/>
            <w:tcBorders>
              <w:top w:val="single" w:sz="4" w:space="0" w:color="auto"/>
              <w:left w:val="single" w:sz="4" w:space="0" w:color="auto"/>
              <w:bottom w:val="single" w:sz="4" w:space="0" w:color="auto"/>
              <w:right w:val="single" w:sz="4" w:space="0" w:color="auto"/>
            </w:tcBorders>
          </w:tcPr>
          <w:p w14:paraId="0A63B9CA" w14:textId="76662BD1" w:rsidR="00240404" w:rsidRPr="002C18A8" w:rsidRDefault="00240404" w:rsidP="00240404">
            <w:pPr>
              <w:rPr>
                <w:rFonts w:asciiTheme="minorHAnsi" w:eastAsia="Times New Roman" w:hAnsiTheme="minorHAnsi" w:cstheme="minorHAnsi"/>
              </w:rPr>
            </w:pPr>
          </w:p>
        </w:tc>
      </w:tr>
    </w:tbl>
    <w:p w14:paraId="603410CF" w14:textId="77777777" w:rsidR="00511A1D" w:rsidRPr="002C18A8" w:rsidRDefault="00511A1D" w:rsidP="00511A1D">
      <w:pPr>
        <w:jc w:val="center"/>
        <w:rPr>
          <w:rFonts w:asciiTheme="minorHAnsi" w:hAnsiTheme="minorHAnsi" w:cstheme="minorHAnsi"/>
        </w:rPr>
      </w:pPr>
    </w:p>
    <w:p w14:paraId="4875C272" w14:textId="77777777" w:rsidR="00511A1D" w:rsidRPr="002C18A8" w:rsidRDefault="00511A1D" w:rsidP="00511A1D">
      <w:pPr>
        <w:jc w:val="center"/>
        <w:rPr>
          <w:rFonts w:asciiTheme="minorHAnsi" w:hAnsiTheme="minorHAnsi" w:cstheme="minorHAnsi"/>
        </w:rPr>
      </w:pPr>
    </w:p>
    <w:p w14:paraId="5F8E5BA0" w14:textId="77777777" w:rsidR="00DD29B5" w:rsidRPr="002C18A8" w:rsidRDefault="00DD29B5">
      <w:pPr>
        <w:rPr>
          <w:rFonts w:asciiTheme="minorHAnsi" w:hAnsiTheme="minorHAnsi" w:cstheme="minorHAnsi"/>
        </w:rPr>
      </w:pPr>
    </w:p>
    <w:sectPr w:rsidR="00DD29B5" w:rsidRPr="002C18A8" w:rsidSect="00473696">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40E1"/>
    <w:multiLevelType w:val="hybridMultilevel"/>
    <w:tmpl w:val="FFFFFFFF"/>
    <w:lvl w:ilvl="0" w:tplc="03285A76">
      <w:start w:val="1"/>
      <w:numFmt w:val="decimal"/>
      <w:lvlText w:val="%1."/>
      <w:lvlJc w:val="left"/>
      <w:pPr>
        <w:ind w:left="720" w:hanging="360"/>
      </w:pPr>
    </w:lvl>
    <w:lvl w:ilvl="1" w:tplc="BD4CA752">
      <w:start w:val="1"/>
      <w:numFmt w:val="lowerLetter"/>
      <w:lvlText w:val="%2."/>
      <w:lvlJc w:val="left"/>
      <w:pPr>
        <w:ind w:left="1440" w:hanging="360"/>
      </w:pPr>
    </w:lvl>
    <w:lvl w:ilvl="2" w:tplc="673A74BA">
      <w:start w:val="1"/>
      <w:numFmt w:val="lowerRoman"/>
      <w:lvlText w:val="%3."/>
      <w:lvlJc w:val="right"/>
      <w:pPr>
        <w:ind w:left="2160" w:hanging="180"/>
      </w:pPr>
    </w:lvl>
    <w:lvl w:ilvl="3" w:tplc="A12201C8">
      <w:start w:val="1"/>
      <w:numFmt w:val="decimal"/>
      <w:lvlText w:val="%4."/>
      <w:lvlJc w:val="left"/>
      <w:pPr>
        <w:ind w:left="2880" w:hanging="360"/>
      </w:pPr>
    </w:lvl>
    <w:lvl w:ilvl="4" w:tplc="980208C2">
      <w:start w:val="1"/>
      <w:numFmt w:val="lowerLetter"/>
      <w:lvlText w:val="%5."/>
      <w:lvlJc w:val="left"/>
      <w:pPr>
        <w:ind w:left="3600" w:hanging="360"/>
      </w:pPr>
    </w:lvl>
    <w:lvl w:ilvl="5" w:tplc="4D460944">
      <w:start w:val="1"/>
      <w:numFmt w:val="lowerRoman"/>
      <w:lvlText w:val="%6."/>
      <w:lvlJc w:val="right"/>
      <w:pPr>
        <w:ind w:left="4320" w:hanging="180"/>
      </w:pPr>
    </w:lvl>
    <w:lvl w:ilvl="6" w:tplc="CE02C488">
      <w:start w:val="1"/>
      <w:numFmt w:val="decimal"/>
      <w:lvlText w:val="%7."/>
      <w:lvlJc w:val="left"/>
      <w:pPr>
        <w:ind w:left="5040" w:hanging="360"/>
      </w:pPr>
    </w:lvl>
    <w:lvl w:ilvl="7" w:tplc="1AB84544">
      <w:start w:val="1"/>
      <w:numFmt w:val="lowerLetter"/>
      <w:lvlText w:val="%8."/>
      <w:lvlJc w:val="left"/>
      <w:pPr>
        <w:ind w:left="5760" w:hanging="360"/>
      </w:pPr>
    </w:lvl>
    <w:lvl w:ilvl="8" w:tplc="9F3EA82E">
      <w:start w:val="1"/>
      <w:numFmt w:val="lowerRoman"/>
      <w:lvlText w:val="%9."/>
      <w:lvlJc w:val="right"/>
      <w:pPr>
        <w:ind w:left="6480" w:hanging="180"/>
      </w:pPr>
    </w:lvl>
  </w:abstractNum>
  <w:abstractNum w:abstractNumId="1" w15:restartNumberingAfterBreak="0">
    <w:nsid w:val="0EE23528"/>
    <w:multiLevelType w:val="hybridMultilevel"/>
    <w:tmpl w:val="0A4454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05027C"/>
    <w:multiLevelType w:val="hybridMultilevel"/>
    <w:tmpl w:val="FFFFFFFF"/>
    <w:lvl w:ilvl="0" w:tplc="D5FE0ED6">
      <w:start w:val="1"/>
      <w:numFmt w:val="decimal"/>
      <w:lvlText w:val="%1."/>
      <w:lvlJc w:val="left"/>
      <w:pPr>
        <w:ind w:left="720" w:hanging="360"/>
      </w:pPr>
    </w:lvl>
    <w:lvl w:ilvl="1" w:tplc="A6662D12">
      <w:start w:val="1"/>
      <w:numFmt w:val="lowerLetter"/>
      <w:lvlText w:val="%2."/>
      <w:lvlJc w:val="left"/>
      <w:pPr>
        <w:ind w:left="1440" w:hanging="360"/>
      </w:pPr>
    </w:lvl>
    <w:lvl w:ilvl="2" w:tplc="727C62C2">
      <w:start w:val="1"/>
      <w:numFmt w:val="lowerRoman"/>
      <w:lvlText w:val="%3."/>
      <w:lvlJc w:val="right"/>
      <w:pPr>
        <w:ind w:left="2160" w:hanging="180"/>
      </w:pPr>
    </w:lvl>
    <w:lvl w:ilvl="3" w:tplc="28B4E1A8">
      <w:start w:val="1"/>
      <w:numFmt w:val="decimal"/>
      <w:lvlText w:val="%4."/>
      <w:lvlJc w:val="left"/>
      <w:pPr>
        <w:ind w:left="2880" w:hanging="360"/>
      </w:pPr>
    </w:lvl>
    <w:lvl w:ilvl="4" w:tplc="76D8C638">
      <w:start w:val="1"/>
      <w:numFmt w:val="lowerLetter"/>
      <w:lvlText w:val="%5."/>
      <w:lvlJc w:val="left"/>
      <w:pPr>
        <w:ind w:left="3600" w:hanging="360"/>
      </w:pPr>
    </w:lvl>
    <w:lvl w:ilvl="5" w:tplc="07BE74FE">
      <w:start w:val="1"/>
      <w:numFmt w:val="lowerRoman"/>
      <w:lvlText w:val="%6."/>
      <w:lvlJc w:val="right"/>
      <w:pPr>
        <w:ind w:left="4320" w:hanging="180"/>
      </w:pPr>
    </w:lvl>
    <w:lvl w:ilvl="6" w:tplc="A76E9F64">
      <w:start w:val="1"/>
      <w:numFmt w:val="decimal"/>
      <w:lvlText w:val="%7."/>
      <w:lvlJc w:val="left"/>
      <w:pPr>
        <w:ind w:left="5040" w:hanging="360"/>
      </w:pPr>
    </w:lvl>
    <w:lvl w:ilvl="7" w:tplc="493AA7D0">
      <w:start w:val="1"/>
      <w:numFmt w:val="lowerLetter"/>
      <w:lvlText w:val="%8."/>
      <w:lvlJc w:val="left"/>
      <w:pPr>
        <w:ind w:left="5760" w:hanging="360"/>
      </w:pPr>
    </w:lvl>
    <w:lvl w:ilvl="8" w:tplc="88F81A26">
      <w:start w:val="1"/>
      <w:numFmt w:val="lowerRoman"/>
      <w:lvlText w:val="%9."/>
      <w:lvlJc w:val="right"/>
      <w:pPr>
        <w:ind w:left="6480" w:hanging="180"/>
      </w:pPr>
    </w:lvl>
  </w:abstractNum>
  <w:abstractNum w:abstractNumId="3" w15:restartNumberingAfterBreak="0">
    <w:nsid w:val="219FD902"/>
    <w:multiLevelType w:val="hybridMultilevel"/>
    <w:tmpl w:val="FFFFFFFF"/>
    <w:lvl w:ilvl="0" w:tplc="84726A6C">
      <w:start w:val="1"/>
      <w:numFmt w:val="bullet"/>
      <w:lvlText w:val=""/>
      <w:lvlJc w:val="left"/>
      <w:pPr>
        <w:ind w:left="720" w:hanging="360"/>
      </w:pPr>
      <w:rPr>
        <w:rFonts w:ascii="Symbol" w:hAnsi="Symbol" w:hint="default"/>
      </w:rPr>
    </w:lvl>
    <w:lvl w:ilvl="1" w:tplc="3CA86AC2">
      <w:start w:val="1"/>
      <w:numFmt w:val="bullet"/>
      <w:lvlText w:val="o"/>
      <w:lvlJc w:val="left"/>
      <w:pPr>
        <w:ind w:left="1440" w:hanging="360"/>
      </w:pPr>
      <w:rPr>
        <w:rFonts w:ascii="Courier New" w:hAnsi="Courier New" w:hint="default"/>
      </w:rPr>
    </w:lvl>
    <w:lvl w:ilvl="2" w:tplc="F4E493FA">
      <w:start w:val="1"/>
      <w:numFmt w:val="bullet"/>
      <w:lvlText w:val=""/>
      <w:lvlJc w:val="left"/>
      <w:pPr>
        <w:ind w:left="2160" w:hanging="360"/>
      </w:pPr>
      <w:rPr>
        <w:rFonts w:ascii="Wingdings" w:hAnsi="Wingdings" w:hint="default"/>
      </w:rPr>
    </w:lvl>
    <w:lvl w:ilvl="3" w:tplc="62E2DD32">
      <w:start w:val="1"/>
      <w:numFmt w:val="bullet"/>
      <w:lvlText w:val=""/>
      <w:lvlJc w:val="left"/>
      <w:pPr>
        <w:ind w:left="2880" w:hanging="360"/>
      </w:pPr>
      <w:rPr>
        <w:rFonts w:ascii="Symbol" w:hAnsi="Symbol" w:hint="default"/>
      </w:rPr>
    </w:lvl>
    <w:lvl w:ilvl="4" w:tplc="571AE4F6">
      <w:start w:val="1"/>
      <w:numFmt w:val="bullet"/>
      <w:lvlText w:val="o"/>
      <w:lvlJc w:val="left"/>
      <w:pPr>
        <w:ind w:left="3600" w:hanging="360"/>
      </w:pPr>
      <w:rPr>
        <w:rFonts w:ascii="Courier New" w:hAnsi="Courier New" w:hint="default"/>
      </w:rPr>
    </w:lvl>
    <w:lvl w:ilvl="5" w:tplc="4EF201A4">
      <w:start w:val="1"/>
      <w:numFmt w:val="bullet"/>
      <w:lvlText w:val=""/>
      <w:lvlJc w:val="left"/>
      <w:pPr>
        <w:ind w:left="4320" w:hanging="360"/>
      </w:pPr>
      <w:rPr>
        <w:rFonts w:ascii="Wingdings" w:hAnsi="Wingdings" w:hint="default"/>
      </w:rPr>
    </w:lvl>
    <w:lvl w:ilvl="6" w:tplc="6522340E">
      <w:start w:val="1"/>
      <w:numFmt w:val="bullet"/>
      <w:lvlText w:val=""/>
      <w:lvlJc w:val="left"/>
      <w:pPr>
        <w:ind w:left="5040" w:hanging="360"/>
      </w:pPr>
      <w:rPr>
        <w:rFonts w:ascii="Symbol" w:hAnsi="Symbol" w:hint="default"/>
      </w:rPr>
    </w:lvl>
    <w:lvl w:ilvl="7" w:tplc="558E85AC">
      <w:start w:val="1"/>
      <w:numFmt w:val="bullet"/>
      <w:lvlText w:val="o"/>
      <w:lvlJc w:val="left"/>
      <w:pPr>
        <w:ind w:left="5760" w:hanging="360"/>
      </w:pPr>
      <w:rPr>
        <w:rFonts w:ascii="Courier New" w:hAnsi="Courier New" w:hint="default"/>
      </w:rPr>
    </w:lvl>
    <w:lvl w:ilvl="8" w:tplc="88A6D518">
      <w:start w:val="1"/>
      <w:numFmt w:val="bullet"/>
      <w:lvlText w:val=""/>
      <w:lvlJc w:val="left"/>
      <w:pPr>
        <w:ind w:left="6480" w:hanging="360"/>
      </w:pPr>
      <w:rPr>
        <w:rFonts w:ascii="Wingdings" w:hAnsi="Wingdings" w:hint="default"/>
      </w:rPr>
    </w:lvl>
  </w:abstractNum>
  <w:abstractNum w:abstractNumId="4" w15:restartNumberingAfterBreak="0">
    <w:nsid w:val="306C98FC"/>
    <w:multiLevelType w:val="hybridMultilevel"/>
    <w:tmpl w:val="0FBC01C0"/>
    <w:lvl w:ilvl="0" w:tplc="63F2DB7A">
      <w:start w:val="1"/>
      <w:numFmt w:val="bullet"/>
      <w:lvlText w:val=""/>
      <w:lvlJc w:val="left"/>
      <w:pPr>
        <w:ind w:left="720" w:hanging="360"/>
      </w:pPr>
      <w:rPr>
        <w:rFonts w:ascii="Symbol" w:hAnsi="Symbol" w:hint="default"/>
      </w:rPr>
    </w:lvl>
    <w:lvl w:ilvl="1" w:tplc="7B169506">
      <w:start w:val="1"/>
      <w:numFmt w:val="bullet"/>
      <w:lvlText w:val="o"/>
      <w:lvlJc w:val="left"/>
      <w:pPr>
        <w:ind w:left="1440" w:hanging="360"/>
      </w:pPr>
      <w:rPr>
        <w:rFonts w:ascii="Courier New" w:hAnsi="Courier New" w:hint="default"/>
      </w:rPr>
    </w:lvl>
    <w:lvl w:ilvl="2" w:tplc="774C02DE">
      <w:start w:val="1"/>
      <w:numFmt w:val="bullet"/>
      <w:lvlText w:val=""/>
      <w:lvlJc w:val="left"/>
      <w:pPr>
        <w:ind w:left="2160" w:hanging="360"/>
      </w:pPr>
      <w:rPr>
        <w:rFonts w:ascii="Wingdings" w:hAnsi="Wingdings" w:hint="default"/>
      </w:rPr>
    </w:lvl>
    <w:lvl w:ilvl="3" w:tplc="57E8D9C8">
      <w:start w:val="1"/>
      <w:numFmt w:val="bullet"/>
      <w:lvlText w:val=""/>
      <w:lvlJc w:val="left"/>
      <w:pPr>
        <w:ind w:left="2880" w:hanging="360"/>
      </w:pPr>
      <w:rPr>
        <w:rFonts w:ascii="Symbol" w:hAnsi="Symbol" w:hint="default"/>
      </w:rPr>
    </w:lvl>
    <w:lvl w:ilvl="4" w:tplc="4E300228">
      <w:start w:val="1"/>
      <w:numFmt w:val="bullet"/>
      <w:lvlText w:val="o"/>
      <w:lvlJc w:val="left"/>
      <w:pPr>
        <w:ind w:left="3600" w:hanging="360"/>
      </w:pPr>
      <w:rPr>
        <w:rFonts w:ascii="Courier New" w:hAnsi="Courier New" w:hint="default"/>
      </w:rPr>
    </w:lvl>
    <w:lvl w:ilvl="5" w:tplc="111E156A">
      <w:start w:val="1"/>
      <w:numFmt w:val="bullet"/>
      <w:lvlText w:val=""/>
      <w:lvlJc w:val="left"/>
      <w:pPr>
        <w:ind w:left="4320" w:hanging="360"/>
      </w:pPr>
      <w:rPr>
        <w:rFonts w:ascii="Wingdings" w:hAnsi="Wingdings" w:hint="default"/>
      </w:rPr>
    </w:lvl>
    <w:lvl w:ilvl="6" w:tplc="F60CD54A">
      <w:start w:val="1"/>
      <w:numFmt w:val="bullet"/>
      <w:lvlText w:val=""/>
      <w:lvlJc w:val="left"/>
      <w:pPr>
        <w:ind w:left="5040" w:hanging="360"/>
      </w:pPr>
      <w:rPr>
        <w:rFonts w:ascii="Symbol" w:hAnsi="Symbol" w:hint="default"/>
      </w:rPr>
    </w:lvl>
    <w:lvl w:ilvl="7" w:tplc="2A72E148">
      <w:start w:val="1"/>
      <w:numFmt w:val="bullet"/>
      <w:lvlText w:val="o"/>
      <w:lvlJc w:val="left"/>
      <w:pPr>
        <w:ind w:left="5760" w:hanging="360"/>
      </w:pPr>
      <w:rPr>
        <w:rFonts w:ascii="Courier New" w:hAnsi="Courier New" w:hint="default"/>
      </w:rPr>
    </w:lvl>
    <w:lvl w:ilvl="8" w:tplc="28709682">
      <w:start w:val="1"/>
      <w:numFmt w:val="bullet"/>
      <w:lvlText w:val=""/>
      <w:lvlJc w:val="left"/>
      <w:pPr>
        <w:ind w:left="6480" w:hanging="360"/>
      </w:pPr>
      <w:rPr>
        <w:rFonts w:ascii="Wingdings" w:hAnsi="Wingdings" w:hint="default"/>
      </w:rPr>
    </w:lvl>
  </w:abstractNum>
  <w:abstractNum w:abstractNumId="5" w15:restartNumberingAfterBreak="0">
    <w:nsid w:val="357EA0C6"/>
    <w:multiLevelType w:val="hybridMultilevel"/>
    <w:tmpl w:val="ADB8EFA2"/>
    <w:lvl w:ilvl="0" w:tplc="CA1622D8">
      <w:start w:val="1"/>
      <w:numFmt w:val="bullet"/>
      <w:lvlText w:val=""/>
      <w:lvlJc w:val="left"/>
      <w:pPr>
        <w:ind w:left="720" w:hanging="360"/>
      </w:pPr>
      <w:rPr>
        <w:rFonts w:ascii="Symbol" w:hAnsi="Symbol" w:hint="default"/>
      </w:rPr>
    </w:lvl>
    <w:lvl w:ilvl="1" w:tplc="1BF26786">
      <w:start w:val="1"/>
      <w:numFmt w:val="bullet"/>
      <w:lvlText w:val="o"/>
      <w:lvlJc w:val="left"/>
      <w:pPr>
        <w:ind w:left="1440" w:hanging="360"/>
      </w:pPr>
      <w:rPr>
        <w:rFonts w:ascii="Courier New" w:hAnsi="Courier New" w:hint="default"/>
      </w:rPr>
    </w:lvl>
    <w:lvl w:ilvl="2" w:tplc="00400134">
      <w:start w:val="1"/>
      <w:numFmt w:val="bullet"/>
      <w:lvlText w:val=""/>
      <w:lvlJc w:val="left"/>
      <w:pPr>
        <w:ind w:left="2160" w:hanging="360"/>
      </w:pPr>
      <w:rPr>
        <w:rFonts w:ascii="Wingdings" w:hAnsi="Wingdings" w:hint="default"/>
      </w:rPr>
    </w:lvl>
    <w:lvl w:ilvl="3" w:tplc="8EA2400A">
      <w:start w:val="1"/>
      <w:numFmt w:val="bullet"/>
      <w:lvlText w:val=""/>
      <w:lvlJc w:val="left"/>
      <w:pPr>
        <w:ind w:left="2880" w:hanging="360"/>
      </w:pPr>
      <w:rPr>
        <w:rFonts w:ascii="Symbol" w:hAnsi="Symbol" w:hint="default"/>
      </w:rPr>
    </w:lvl>
    <w:lvl w:ilvl="4" w:tplc="2DF689FE">
      <w:start w:val="1"/>
      <w:numFmt w:val="bullet"/>
      <w:lvlText w:val="o"/>
      <w:lvlJc w:val="left"/>
      <w:pPr>
        <w:ind w:left="3600" w:hanging="360"/>
      </w:pPr>
      <w:rPr>
        <w:rFonts w:ascii="Courier New" w:hAnsi="Courier New" w:hint="default"/>
      </w:rPr>
    </w:lvl>
    <w:lvl w:ilvl="5" w:tplc="4B7654AC">
      <w:start w:val="1"/>
      <w:numFmt w:val="bullet"/>
      <w:lvlText w:val=""/>
      <w:lvlJc w:val="left"/>
      <w:pPr>
        <w:ind w:left="4320" w:hanging="360"/>
      </w:pPr>
      <w:rPr>
        <w:rFonts w:ascii="Wingdings" w:hAnsi="Wingdings" w:hint="default"/>
      </w:rPr>
    </w:lvl>
    <w:lvl w:ilvl="6" w:tplc="BE2890C6">
      <w:start w:val="1"/>
      <w:numFmt w:val="bullet"/>
      <w:lvlText w:val=""/>
      <w:lvlJc w:val="left"/>
      <w:pPr>
        <w:ind w:left="5040" w:hanging="360"/>
      </w:pPr>
      <w:rPr>
        <w:rFonts w:ascii="Symbol" w:hAnsi="Symbol" w:hint="default"/>
      </w:rPr>
    </w:lvl>
    <w:lvl w:ilvl="7" w:tplc="A3A438E4">
      <w:start w:val="1"/>
      <w:numFmt w:val="bullet"/>
      <w:lvlText w:val="o"/>
      <w:lvlJc w:val="left"/>
      <w:pPr>
        <w:ind w:left="5760" w:hanging="360"/>
      </w:pPr>
      <w:rPr>
        <w:rFonts w:ascii="Courier New" w:hAnsi="Courier New" w:hint="default"/>
      </w:rPr>
    </w:lvl>
    <w:lvl w:ilvl="8" w:tplc="09706B54">
      <w:start w:val="1"/>
      <w:numFmt w:val="bullet"/>
      <w:lvlText w:val=""/>
      <w:lvlJc w:val="left"/>
      <w:pPr>
        <w:ind w:left="6480" w:hanging="360"/>
      </w:pPr>
      <w:rPr>
        <w:rFonts w:ascii="Wingdings" w:hAnsi="Wingdings" w:hint="default"/>
      </w:rPr>
    </w:lvl>
  </w:abstractNum>
  <w:abstractNum w:abstractNumId="6" w15:restartNumberingAfterBreak="0">
    <w:nsid w:val="62977337"/>
    <w:multiLevelType w:val="hybridMultilevel"/>
    <w:tmpl w:val="FFFFFFFF"/>
    <w:lvl w:ilvl="0" w:tplc="713EDB04">
      <w:start w:val="1"/>
      <w:numFmt w:val="bullet"/>
      <w:lvlText w:val=""/>
      <w:lvlJc w:val="left"/>
      <w:pPr>
        <w:ind w:left="720" w:hanging="360"/>
      </w:pPr>
      <w:rPr>
        <w:rFonts w:ascii="Symbol" w:hAnsi="Symbol" w:hint="default"/>
      </w:rPr>
    </w:lvl>
    <w:lvl w:ilvl="1" w:tplc="B122FED6">
      <w:start w:val="1"/>
      <w:numFmt w:val="bullet"/>
      <w:lvlText w:val="o"/>
      <w:lvlJc w:val="left"/>
      <w:pPr>
        <w:ind w:left="1440" w:hanging="360"/>
      </w:pPr>
      <w:rPr>
        <w:rFonts w:ascii="Courier New" w:hAnsi="Courier New" w:hint="default"/>
      </w:rPr>
    </w:lvl>
    <w:lvl w:ilvl="2" w:tplc="FF8087B0">
      <w:start w:val="1"/>
      <w:numFmt w:val="bullet"/>
      <w:lvlText w:val=""/>
      <w:lvlJc w:val="left"/>
      <w:pPr>
        <w:ind w:left="2160" w:hanging="360"/>
      </w:pPr>
      <w:rPr>
        <w:rFonts w:ascii="Wingdings" w:hAnsi="Wingdings" w:hint="default"/>
      </w:rPr>
    </w:lvl>
    <w:lvl w:ilvl="3" w:tplc="CD501966">
      <w:start w:val="1"/>
      <w:numFmt w:val="bullet"/>
      <w:lvlText w:val=""/>
      <w:lvlJc w:val="left"/>
      <w:pPr>
        <w:ind w:left="2880" w:hanging="360"/>
      </w:pPr>
      <w:rPr>
        <w:rFonts w:ascii="Symbol" w:hAnsi="Symbol" w:hint="default"/>
      </w:rPr>
    </w:lvl>
    <w:lvl w:ilvl="4" w:tplc="DC44D8FC">
      <w:start w:val="1"/>
      <w:numFmt w:val="bullet"/>
      <w:lvlText w:val="o"/>
      <w:lvlJc w:val="left"/>
      <w:pPr>
        <w:ind w:left="3600" w:hanging="360"/>
      </w:pPr>
      <w:rPr>
        <w:rFonts w:ascii="Courier New" w:hAnsi="Courier New" w:hint="default"/>
      </w:rPr>
    </w:lvl>
    <w:lvl w:ilvl="5" w:tplc="DDA0F324">
      <w:start w:val="1"/>
      <w:numFmt w:val="bullet"/>
      <w:lvlText w:val=""/>
      <w:lvlJc w:val="left"/>
      <w:pPr>
        <w:ind w:left="4320" w:hanging="360"/>
      </w:pPr>
      <w:rPr>
        <w:rFonts w:ascii="Wingdings" w:hAnsi="Wingdings" w:hint="default"/>
      </w:rPr>
    </w:lvl>
    <w:lvl w:ilvl="6" w:tplc="4CC235CC">
      <w:start w:val="1"/>
      <w:numFmt w:val="bullet"/>
      <w:lvlText w:val=""/>
      <w:lvlJc w:val="left"/>
      <w:pPr>
        <w:ind w:left="5040" w:hanging="360"/>
      </w:pPr>
      <w:rPr>
        <w:rFonts w:ascii="Symbol" w:hAnsi="Symbol" w:hint="default"/>
      </w:rPr>
    </w:lvl>
    <w:lvl w:ilvl="7" w:tplc="1D00F65C">
      <w:start w:val="1"/>
      <w:numFmt w:val="bullet"/>
      <w:lvlText w:val="o"/>
      <w:lvlJc w:val="left"/>
      <w:pPr>
        <w:ind w:left="5760" w:hanging="360"/>
      </w:pPr>
      <w:rPr>
        <w:rFonts w:ascii="Courier New" w:hAnsi="Courier New" w:hint="default"/>
      </w:rPr>
    </w:lvl>
    <w:lvl w:ilvl="8" w:tplc="ADF66652">
      <w:start w:val="1"/>
      <w:numFmt w:val="bullet"/>
      <w:lvlText w:val=""/>
      <w:lvlJc w:val="left"/>
      <w:pPr>
        <w:ind w:left="6480" w:hanging="360"/>
      </w:pPr>
      <w:rPr>
        <w:rFonts w:ascii="Wingdings" w:hAnsi="Wingdings" w:hint="default"/>
      </w:rPr>
    </w:lvl>
  </w:abstractNum>
  <w:abstractNum w:abstractNumId="7" w15:restartNumberingAfterBreak="0">
    <w:nsid w:val="71C6EA3E"/>
    <w:multiLevelType w:val="hybridMultilevel"/>
    <w:tmpl w:val="FFFFFFFF"/>
    <w:lvl w:ilvl="0" w:tplc="9BF21842">
      <w:start w:val="1"/>
      <w:numFmt w:val="bullet"/>
      <w:lvlText w:val=""/>
      <w:lvlJc w:val="left"/>
      <w:pPr>
        <w:ind w:left="720" w:hanging="360"/>
      </w:pPr>
      <w:rPr>
        <w:rFonts w:ascii="Symbol" w:hAnsi="Symbol" w:hint="default"/>
      </w:rPr>
    </w:lvl>
    <w:lvl w:ilvl="1" w:tplc="FC340194">
      <w:start w:val="1"/>
      <w:numFmt w:val="bullet"/>
      <w:lvlText w:val="o"/>
      <w:lvlJc w:val="left"/>
      <w:pPr>
        <w:ind w:left="1440" w:hanging="360"/>
      </w:pPr>
      <w:rPr>
        <w:rFonts w:ascii="Courier New" w:hAnsi="Courier New" w:hint="default"/>
      </w:rPr>
    </w:lvl>
    <w:lvl w:ilvl="2" w:tplc="CE2AD6BE">
      <w:start w:val="1"/>
      <w:numFmt w:val="bullet"/>
      <w:lvlText w:val=""/>
      <w:lvlJc w:val="left"/>
      <w:pPr>
        <w:ind w:left="2160" w:hanging="360"/>
      </w:pPr>
      <w:rPr>
        <w:rFonts w:ascii="Wingdings" w:hAnsi="Wingdings" w:hint="default"/>
      </w:rPr>
    </w:lvl>
    <w:lvl w:ilvl="3" w:tplc="E81C2FCE">
      <w:start w:val="1"/>
      <w:numFmt w:val="bullet"/>
      <w:lvlText w:val=""/>
      <w:lvlJc w:val="left"/>
      <w:pPr>
        <w:ind w:left="2880" w:hanging="360"/>
      </w:pPr>
      <w:rPr>
        <w:rFonts w:ascii="Symbol" w:hAnsi="Symbol" w:hint="default"/>
      </w:rPr>
    </w:lvl>
    <w:lvl w:ilvl="4" w:tplc="3B360BE4">
      <w:start w:val="1"/>
      <w:numFmt w:val="bullet"/>
      <w:lvlText w:val="o"/>
      <w:lvlJc w:val="left"/>
      <w:pPr>
        <w:ind w:left="3600" w:hanging="360"/>
      </w:pPr>
      <w:rPr>
        <w:rFonts w:ascii="Courier New" w:hAnsi="Courier New" w:hint="default"/>
      </w:rPr>
    </w:lvl>
    <w:lvl w:ilvl="5" w:tplc="770C88BC">
      <w:start w:val="1"/>
      <w:numFmt w:val="bullet"/>
      <w:lvlText w:val=""/>
      <w:lvlJc w:val="left"/>
      <w:pPr>
        <w:ind w:left="4320" w:hanging="360"/>
      </w:pPr>
      <w:rPr>
        <w:rFonts w:ascii="Wingdings" w:hAnsi="Wingdings" w:hint="default"/>
      </w:rPr>
    </w:lvl>
    <w:lvl w:ilvl="6" w:tplc="133A120A">
      <w:start w:val="1"/>
      <w:numFmt w:val="bullet"/>
      <w:lvlText w:val=""/>
      <w:lvlJc w:val="left"/>
      <w:pPr>
        <w:ind w:left="5040" w:hanging="360"/>
      </w:pPr>
      <w:rPr>
        <w:rFonts w:ascii="Symbol" w:hAnsi="Symbol" w:hint="default"/>
      </w:rPr>
    </w:lvl>
    <w:lvl w:ilvl="7" w:tplc="5B2E6EC8">
      <w:start w:val="1"/>
      <w:numFmt w:val="bullet"/>
      <w:lvlText w:val="o"/>
      <w:lvlJc w:val="left"/>
      <w:pPr>
        <w:ind w:left="5760" w:hanging="360"/>
      </w:pPr>
      <w:rPr>
        <w:rFonts w:ascii="Courier New" w:hAnsi="Courier New" w:hint="default"/>
      </w:rPr>
    </w:lvl>
    <w:lvl w:ilvl="8" w:tplc="8F5EB28A">
      <w:start w:val="1"/>
      <w:numFmt w:val="bullet"/>
      <w:lvlText w:val=""/>
      <w:lvlJc w:val="left"/>
      <w:pPr>
        <w:ind w:left="6480" w:hanging="360"/>
      </w:pPr>
      <w:rPr>
        <w:rFonts w:ascii="Wingdings" w:hAnsi="Wingdings" w:hint="default"/>
      </w:rPr>
    </w:lvl>
  </w:abstractNum>
  <w:abstractNum w:abstractNumId="8" w15:restartNumberingAfterBreak="0">
    <w:nsid w:val="73B4E7CE"/>
    <w:multiLevelType w:val="hybridMultilevel"/>
    <w:tmpl w:val="6890CD60"/>
    <w:lvl w:ilvl="0" w:tplc="7E96E66E">
      <w:start w:val="1"/>
      <w:numFmt w:val="bullet"/>
      <w:lvlText w:val=""/>
      <w:lvlJc w:val="left"/>
      <w:pPr>
        <w:ind w:left="720" w:hanging="360"/>
      </w:pPr>
      <w:rPr>
        <w:rFonts w:ascii="Symbol" w:hAnsi="Symbol" w:hint="default"/>
      </w:rPr>
    </w:lvl>
    <w:lvl w:ilvl="1" w:tplc="CAEC41E0">
      <w:start w:val="1"/>
      <w:numFmt w:val="bullet"/>
      <w:lvlText w:val="o"/>
      <w:lvlJc w:val="left"/>
      <w:pPr>
        <w:ind w:left="1440" w:hanging="360"/>
      </w:pPr>
      <w:rPr>
        <w:rFonts w:ascii="Courier New" w:hAnsi="Courier New" w:hint="default"/>
      </w:rPr>
    </w:lvl>
    <w:lvl w:ilvl="2" w:tplc="7C66C1CC">
      <w:start w:val="1"/>
      <w:numFmt w:val="bullet"/>
      <w:lvlText w:val=""/>
      <w:lvlJc w:val="left"/>
      <w:pPr>
        <w:ind w:left="2160" w:hanging="360"/>
      </w:pPr>
      <w:rPr>
        <w:rFonts w:ascii="Wingdings" w:hAnsi="Wingdings" w:hint="default"/>
      </w:rPr>
    </w:lvl>
    <w:lvl w:ilvl="3" w:tplc="1F984EC2">
      <w:start w:val="1"/>
      <w:numFmt w:val="bullet"/>
      <w:lvlText w:val=""/>
      <w:lvlJc w:val="left"/>
      <w:pPr>
        <w:ind w:left="2880" w:hanging="360"/>
      </w:pPr>
      <w:rPr>
        <w:rFonts w:ascii="Symbol" w:hAnsi="Symbol" w:hint="default"/>
      </w:rPr>
    </w:lvl>
    <w:lvl w:ilvl="4" w:tplc="EF204102">
      <w:start w:val="1"/>
      <w:numFmt w:val="bullet"/>
      <w:lvlText w:val="o"/>
      <w:lvlJc w:val="left"/>
      <w:pPr>
        <w:ind w:left="3600" w:hanging="360"/>
      </w:pPr>
      <w:rPr>
        <w:rFonts w:ascii="Courier New" w:hAnsi="Courier New" w:hint="default"/>
      </w:rPr>
    </w:lvl>
    <w:lvl w:ilvl="5" w:tplc="6FA2F80E">
      <w:start w:val="1"/>
      <w:numFmt w:val="bullet"/>
      <w:lvlText w:val=""/>
      <w:lvlJc w:val="left"/>
      <w:pPr>
        <w:ind w:left="4320" w:hanging="360"/>
      </w:pPr>
      <w:rPr>
        <w:rFonts w:ascii="Wingdings" w:hAnsi="Wingdings" w:hint="default"/>
      </w:rPr>
    </w:lvl>
    <w:lvl w:ilvl="6" w:tplc="C0D41634">
      <w:start w:val="1"/>
      <w:numFmt w:val="bullet"/>
      <w:lvlText w:val=""/>
      <w:lvlJc w:val="left"/>
      <w:pPr>
        <w:ind w:left="5040" w:hanging="360"/>
      </w:pPr>
      <w:rPr>
        <w:rFonts w:ascii="Symbol" w:hAnsi="Symbol" w:hint="default"/>
      </w:rPr>
    </w:lvl>
    <w:lvl w:ilvl="7" w:tplc="380EDCDE">
      <w:start w:val="1"/>
      <w:numFmt w:val="bullet"/>
      <w:lvlText w:val="o"/>
      <w:lvlJc w:val="left"/>
      <w:pPr>
        <w:ind w:left="5760" w:hanging="360"/>
      </w:pPr>
      <w:rPr>
        <w:rFonts w:ascii="Courier New" w:hAnsi="Courier New" w:hint="default"/>
      </w:rPr>
    </w:lvl>
    <w:lvl w:ilvl="8" w:tplc="BBF06000">
      <w:start w:val="1"/>
      <w:numFmt w:val="bullet"/>
      <w:lvlText w:val=""/>
      <w:lvlJc w:val="left"/>
      <w:pPr>
        <w:ind w:left="6480" w:hanging="360"/>
      </w:pPr>
      <w:rPr>
        <w:rFonts w:ascii="Wingdings" w:hAnsi="Wingdings" w:hint="default"/>
      </w:rPr>
    </w:lvl>
  </w:abstractNum>
  <w:abstractNum w:abstractNumId="9" w15:restartNumberingAfterBreak="0">
    <w:nsid w:val="75C26817"/>
    <w:multiLevelType w:val="hybridMultilevel"/>
    <w:tmpl w:val="FFFFFFFF"/>
    <w:lvl w:ilvl="0" w:tplc="6B809834">
      <w:start w:val="1"/>
      <w:numFmt w:val="bullet"/>
      <w:lvlText w:val=""/>
      <w:lvlJc w:val="left"/>
      <w:pPr>
        <w:ind w:left="720" w:hanging="360"/>
      </w:pPr>
      <w:rPr>
        <w:rFonts w:ascii="Symbol" w:hAnsi="Symbol" w:hint="default"/>
      </w:rPr>
    </w:lvl>
    <w:lvl w:ilvl="1" w:tplc="701C3A62">
      <w:start w:val="1"/>
      <w:numFmt w:val="bullet"/>
      <w:lvlText w:val="o"/>
      <w:lvlJc w:val="left"/>
      <w:pPr>
        <w:ind w:left="1440" w:hanging="360"/>
      </w:pPr>
      <w:rPr>
        <w:rFonts w:ascii="Courier New" w:hAnsi="Courier New" w:hint="default"/>
      </w:rPr>
    </w:lvl>
    <w:lvl w:ilvl="2" w:tplc="4078B726">
      <w:start w:val="1"/>
      <w:numFmt w:val="bullet"/>
      <w:lvlText w:val=""/>
      <w:lvlJc w:val="left"/>
      <w:pPr>
        <w:ind w:left="2160" w:hanging="360"/>
      </w:pPr>
      <w:rPr>
        <w:rFonts w:ascii="Wingdings" w:hAnsi="Wingdings" w:hint="default"/>
      </w:rPr>
    </w:lvl>
    <w:lvl w:ilvl="3" w:tplc="A66ACFC4">
      <w:start w:val="1"/>
      <w:numFmt w:val="bullet"/>
      <w:lvlText w:val=""/>
      <w:lvlJc w:val="left"/>
      <w:pPr>
        <w:ind w:left="2880" w:hanging="360"/>
      </w:pPr>
      <w:rPr>
        <w:rFonts w:ascii="Symbol" w:hAnsi="Symbol" w:hint="default"/>
      </w:rPr>
    </w:lvl>
    <w:lvl w:ilvl="4" w:tplc="3560F7AE">
      <w:start w:val="1"/>
      <w:numFmt w:val="bullet"/>
      <w:lvlText w:val="o"/>
      <w:lvlJc w:val="left"/>
      <w:pPr>
        <w:ind w:left="3600" w:hanging="360"/>
      </w:pPr>
      <w:rPr>
        <w:rFonts w:ascii="Courier New" w:hAnsi="Courier New" w:hint="default"/>
      </w:rPr>
    </w:lvl>
    <w:lvl w:ilvl="5" w:tplc="7D102E22">
      <w:start w:val="1"/>
      <w:numFmt w:val="bullet"/>
      <w:lvlText w:val=""/>
      <w:lvlJc w:val="left"/>
      <w:pPr>
        <w:ind w:left="4320" w:hanging="360"/>
      </w:pPr>
      <w:rPr>
        <w:rFonts w:ascii="Wingdings" w:hAnsi="Wingdings" w:hint="default"/>
      </w:rPr>
    </w:lvl>
    <w:lvl w:ilvl="6" w:tplc="3A5408C8">
      <w:start w:val="1"/>
      <w:numFmt w:val="bullet"/>
      <w:lvlText w:val=""/>
      <w:lvlJc w:val="left"/>
      <w:pPr>
        <w:ind w:left="5040" w:hanging="360"/>
      </w:pPr>
      <w:rPr>
        <w:rFonts w:ascii="Symbol" w:hAnsi="Symbol" w:hint="default"/>
      </w:rPr>
    </w:lvl>
    <w:lvl w:ilvl="7" w:tplc="2FBCCA1A">
      <w:start w:val="1"/>
      <w:numFmt w:val="bullet"/>
      <w:lvlText w:val="o"/>
      <w:lvlJc w:val="left"/>
      <w:pPr>
        <w:ind w:left="5760" w:hanging="360"/>
      </w:pPr>
      <w:rPr>
        <w:rFonts w:ascii="Courier New" w:hAnsi="Courier New" w:hint="default"/>
      </w:rPr>
    </w:lvl>
    <w:lvl w:ilvl="8" w:tplc="F6640F40">
      <w:start w:val="1"/>
      <w:numFmt w:val="bullet"/>
      <w:lvlText w:val=""/>
      <w:lvlJc w:val="left"/>
      <w:pPr>
        <w:ind w:left="6480" w:hanging="360"/>
      </w:pPr>
      <w:rPr>
        <w:rFonts w:ascii="Wingdings" w:hAnsi="Wingdings" w:hint="default"/>
      </w:rPr>
    </w:lvl>
  </w:abstractNum>
  <w:num w:numId="1" w16cid:durableId="647327444">
    <w:abstractNumId w:val="8"/>
  </w:num>
  <w:num w:numId="2" w16cid:durableId="378672785">
    <w:abstractNumId w:val="4"/>
  </w:num>
  <w:num w:numId="3" w16cid:durableId="68580935">
    <w:abstractNumId w:val="5"/>
  </w:num>
  <w:num w:numId="4" w16cid:durableId="288362556">
    <w:abstractNumId w:val="2"/>
  </w:num>
  <w:num w:numId="5" w16cid:durableId="411898416">
    <w:abstractNumId w:val="9"/>
  </w:num>
  <w:num w:numId="6" w16cid:durableId="595099243">
    <w:abstractNumId w:val="6"/>
  </w:num>
  <w:num w:numId="7" w16cid:durableId="642975738">
    <w:abstractNumId w:val="0"/>
  </w:num>
  <w:num w:numId="8" w16cid:durableId="661472780">
    <w:abstractNumId w:val="3"/>
  </w:num>
  <w:num w:numId="9" w16cid:durableId="726102055">
    <w:abstractNumId w:val="7"/>
  </w:num>
  <w:num w:numId="10" w16cid:durableId="212040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1D"/>
    <w:rsid w:val="00000C89"/>
    <w:rsid w:val="00015C55"/>
    <w:rsid w:val="000162BE"/>
    <w:rsid w:val="0001656B"/>
    <w:rsid w:val="00016797"/>
    <w:rsid w:val="00016AEB"/>
    <w:rsid w:val="000213F8"/>
    <w:rsid w:val="000235EB"/>
    <w:rsid w:val="00043C93"/>
    <w:rsid w:val="00053F61"/>
    <w:rsid w:val="00067560"/>
    <w:rsid w:val="000711AA"/>
    <w:rsid w:val="000754AD"/>
    <w:rsid w:val="00077EB4"/>
    <w:rsid w:val="000A0A7B"/>
    <w:rsid w:val="000C295A"/>
    <w:rsid w:val="000C39BE"/>
    <w:rsid w:val="000D2C01"/>
    <w:rsid w:val="000D4910"/>
    <w:rsid w:val="000F05E1"/>
    <w:rsid w:val="000F6DBE"/>
    <w:rsid w:val="0011731D"/>
    <w:rsid w:val="0012284E"/>
    <w:rsid w:val="001252F1"/>
    <w:rsid w:val="00146055"/>
    <w:rsid w:val="0014764C"/>
    <w:rsid w:val="0015511D"/>
    <w:rsid w:val="00172D27"/>
    <w:rsid w:val="001A3368"/>
    <w:rsid w:val="001B10CD"/>
    <w:rsid w:val="001B2066"/>
    <w:rsid w:val="001B280C"/>
    <w:rsid w:val="001C65F9"/>
    <w:rsid w:val="001C7638"/>
    <w:rsid w:val="001F41D8"/>
    <w:rsid w:val="001F6901"/>
    <w:rsid w:val="0020648F"/>
    <w:rsid w:val="00214662"/>
    <w:rsid w:val="00230F06"/>
    <w:rsid w:val="00240404"/>
    <w:rsid w:val="002559B0"/>
    <w:rsid w:val="00270B9B"/>
    <w:rsid w:val="00275A66"/>
    <w:rsid w:val="00282D3D"/>
    <w:rsid w:val="00285298"/>
    <w:rsid w:val="002862F1"/>
    <w:rsid w:val="00286C06"/>
    <w:rsid w:val="00290097"/>
    <w:rsid w:val="00290D5D"/>
    <w:rsid w:val="002B01F8"/>
    <w:rsid w:val="002B0BB0"/>
    <w:rsid w:val="002B0D5B"/>
    <w:rsid w:val="002B1E11"/>
    <w:rsid w:val="002C18A8"/>
    <w:rsid w:val="002C39C6"/>
    <w:rsid w:val="002E5899"/>
    <w:rsid w:val="002E7C58"/>
    <w:rsid w:val="003068CF"/>
    <w:rsid w:val="00312FC2"/>
    <w:rsid w:val="00321844"/>
    <w:rsid w:val="0032614B"/>
    <w:rsid w:val="003342C5"/>
    <w:rsid w:val="0037151A"/>
    <w:rsid w:val="00394BFA"/>
    <w:rsid w:val="003A5F2C"/>
    <w:rsid w:val="003B1108"/>
    <w:rsid w:val="003D4EC1"/>
    <w:rsid w:val="00410A06"/>
    <w:rsid w:val="004367FA"/>
    <w:rsid w:val="00443C09"/>
    <w:rsid w:val="00444305"/>
    <w:rsid w:val="00450A13"/>
    <w:rsid w:val="0045664E"/>
    <w:rsid w:val="004571E6"/>
    <w:rsid w:val="004608AE"/>
    <w:rsid w:val="00471837"/>
    <w:rsid w:val="00473696"/>
    <w:rsid w:val="00482DDD"/>
    <w:rsid w:val="00490DCB"/>
    <w:rsid w:val="004A6370"/>
    <w:rsid w:val="004A76EC"/>
    <w:rsid w:val="004B34DA"/>
    <w:rsid w:val="004B4236"/>
    <w:rsid w:val="004C1F4B"/>
    <w:rsid w:val="004D707D"/>
    <w:rsid w:val="004E135A"/>
    <w:rsid w:val="004E6B2E"/>
    <w:rsid w:val="004F7BBF"/>
    <w:rsid w:val="004F7DAA"/>
    <w:rsid w:val="0050246E"/>
    <w:rsid w:val="00506AE2"/>
    <w:rsid w:val="0050734D"/>
    <w:rsid w:val="00511A1D"/>
    <w:rsid w:val="005127B4"/>
    <w:rsid w:val="005236F3"/>
    <w:rsid w:val="00526C09"/>
    <w:rsid w:val="00535056"/>
    <w:rsid w:val="0053640C"/>
    <w:rsid w:val="005452B1"/>
    <w:rsid w:val="00550026"/>
    <w:rsid w:val="00554880"/>
    <w:rsid w:val="005707A9"/>
    <w:rsid w:val="005722BA"/>
    <w:rsid w:val="00573152"/>
    <w:rsid w:val="00576D7C"/>
    <w:rsid w:val="00593EDE"/>
    <w:rsid w:val="005C12F3"/>
    <w:rsid w:val="005C47CA"/>
    <w:rsid w:val="005D4968"/>
    <w:rsid w:val="005D6CFC"/>
    <w:rsid w:val="005F7969"/>
    <w:rsid w:val="00611534"/>
    <w:rsid w:val="00625B4F"/>
    <w:rsid w:val="00631861"/>
    <w:rsid w:val="0063270E"/>
    <w:rsid w:val="00636D7F"/>
    <w:rsid w:val="00643095"/>
    <w:rsid w:val="00645FA3"/>
    <w:rsid w:val="00676CB2"/>
    <w:rsid w:val="00686D44"/>
    <w:rsid w:val="00692802"/>
    <w:rsid w:val="006A236E"/>
    <w:rsid w:val="006A5A4B"/>
    <w:rsid w:val="006B078D"/>
    <w:rsid w:val="006C6873"/>
    <w:rsid w:val="006E1851"/>
    <w:rsid w:val="00714690"/>
    <w:rsid w:val="00734177"/>
    <w:rsid w:val="007356EA"/>
    <w:rsid w:val="007370D5"/>
    <w:rsid w:val="00740FD5"/>
    <w:rsid w:val="007556CA"/>
    <w:rsid w:val="00767AAE"/>
    <w:rsid w:val="00775BD8"/>
    <w:rsid w:val="00781BC9"/>
    <w:rsid w:val="00784926"/>
    <w:rsid w:val="00792FF4"/>
    <w:rsid w:val="007A22A0"/>
    <w:rsid w:val="007B1706"/>
    <w:rsid w:val="007B5E12"/>
    <w:rsid w:val="007B7B1C"/>
    <w:rsid w:val="007C1048"/>
    <w:rsid w:val="007C5538"/>
    <w:rsid w:val="007D3DD1"/>
    <w:rsid w:val="007D6CBF"/>
    <w:rsid w:val="007E0D84"/>
    <w:rsid w:val="007E5EFA"/>
    <w:rsid w:val="007E61B9"/>
    <w:rsid w:val="008028BF"/>
    <w:rsid w:val="00810AA6"/>
    <w:rsid w:val="00815BBE"/>
    <w:rsid w:val="00834A1E"/>
    <w:rsid w:val="00837E59"/>
    <w:rsid w:val="0085318F"/>
    <w:rsid w:val="00863B56"/>
    <w:rsid w:val="00886A38"/>
    <w:rsid w:val="008870CE"/>
    <w:rsid w:val="00890DA0"/>
    <w:rsid w:val="00893F66"/>
    <w:rsid w:val="008C3B63"/>
    <w:rsid w:val="008C63D7"/>
    <w:rsid w:val="008D16E5"/>
    <w:rsid w:val="008D4FF9"/>
    <w:rsid w:val="008E4843"/>
    <w:rsid w:val="00901AB2"/>
    <w:rsid w:val="00907B6D"/>
    <w:rsid w:val="00922EE2"/>
    <w:rsid w:val="009448B5"/>
    <w:rsid w:val="0096780A"/>
    <w:rsid w:val="0097033C"/>
    <w:rsid w:val="00984FB7"/>
    <w:rsid w:val="00985DAB"/>
    <w:rsid w:val="00986964"/>
    <w:rsid w:val="009B15C7"/>
    <w:rsid w:val="009B18FD"/>
    <w:rsid w:val="009C2DC0"/>
    <w:rsid w:val="009E08C0"/>
    <w:rsid w:val="009F0B7A"/>
    <w:rsid w:val="00A00F09"/>
    <w:rsid w:val="00A12B83"/>
    <w:rsid w:val="00A14652"/>
    <w:rsid w:val="00A15D7E"/>
    <w:rsid w:val="00A171ED"/>
    <w:rsid w:val="00A21F86"/>
    <w:rsid w:val="00A30ABF"/>
    <w:rsid w:val="00A448AD"/>
    <w:rsid w:val="00A52FB6"/>
    <w:rsid w:val="00A533CA"/>
    <w:rsid w:val="00A73FFA"/>
    <w:rsid w:val="00A748FC"/>
    <w:rsid w:val="00A76227"/>
    <w:rsid w:val="00A77E69"/>
    <w:rsid w:val="00A9423E"/>
    <w:rsid w:val="00AB3AD8"/>
    <w:rsid w:val="00AC17BE"/>
    <w:rsid w:val="00AC57B4"/>
    <w:rsid w:val="00AD2264"/>
    <w:rsid w:val="00AD3190"/>
    <w:rsid w:val="00AD7888"/>
    <w:rsid w:val="00AE12FA"/>
    <w:rsid w:val="00AF2690"/>
    <w:rsid w:val="00AF5511"/>
    <w:rsid w:val="00B0240E"/>
    <w:rsid w:val="00B21545"/>
    <w:rsid w:val="00B260EF"/>
    <w:rsid w:val="00B321B4"/>
    <w:rsid w:val="00B34DB2"/>
    <w:rsid w:val="00B34EDA"/>
    <w:rsid w:val="00B56D71"/>
    <w:rsid w:val="00B63E71"/>
    <w:rsid w:val="00B72526"/>
    <w:rsid w:val="00B8172F"/>
    <w:rsid w:val="00B95283"/>
    <w:rsid w:val="00B962A6"/>
    <w:rsid w:val="00BA4F15"/>
    <w:rsid w:val="00BB2FF0"/>
    <w:rsid w:val="00BC05E3"/>
    <w:rsid w:val="00BD0748"/>
    <w:rsid w:val="00BD0CCF"/>
    <w:rsid w:val="00BD4723"/>
    <w:rsid w:val="00C16B7B"/>
    <w:rsid w:val="00C17F9B"/>
    <w:rsid w:val="00C42E8F"/>
    <w:rsid w:val="00C47F20"/>
    <w:rsid w:val="00C928E4"/>
    <w:rsid w:val="00C95ACC"/>
    <w:rsid w:val="00CA4EFE"/>
    <w:rsid w:val="00CC4CCF"/>
    <w:rsid w:val="00CD0F37"/>
    <w:rsid w:val="00CD772B"/>
    <w:rsid w:val="00CF1EA0"/>
    <w:rsid w:val="00CF42C0"/>
    <w:rsid w:val="00D23594"/>
    <w:rsid w:val="00D278C8"/>
    <w:rsid w:val="00D31496"/>
    <w:rsid w:val="00D462C6"/>
    <w:rsid w:val="00D52083"/>
    <w:rsid w:val="00D62754"/>
    <w:rsid w:val="00D66E07"/>
    <w:rsid w:val="00D76477"/>
    <w:rsid w:val="00D8039E"/>
    <w:rsid w:val="00D809ED"/>
    <w:rsid w:val="00D86F93"/>
    <w:rsid w:val="00D90782"/>
    <w:rsid w:val="00DA5AB5"/>
    <w:rsid w:val="00DB4488"/>
    <w:rsid w:val="00DB4E9A"/>
    <w:rsid w:val="00DC5ECB"/>
    <w:rsid w:val="00DC6695"/>
    <w:rsid w:val="00DD0EB3"/>
    <w:rsid w:val="00DD29B5"/>
    <w:rsid w:val="00DF3E26"/>
    <w:rsid w:val="00E06FF8"/>
    <w:rsid w:val="00E36EDA"/>
    <w:rsid w:val="00E462AC"/>
    <w:rsid w:val="00E51C2A"/>
    <w:rsid w:val="00E633EE"/>
    <w:rsid w:val="00E7250E"/>
    <w:rsid w:val="00E725DA"/>
    <w:rsid w:val="00E72A8B"/>
    <w:rsid w:val="00E73F58"/>
    <w:rsid w:val="00E773F8"/>
    <w:rsid w:val="00E82AB5"/>
    <w:rsid w:val="00E945C5"/>
    <w:rsid w:val="00EA21B2"/>
    <w:rsid w:val="00EB7011"/>
    <w:rsid w:val="00EC4D41"/>
    <w:rsid w:val="00EC72FD"/>
    <w:rsid w:val="00EC7E92"/>
    <w:rsid w:val="00ED3807"/>
    <w:rsid w:val="00ED67E7"/>
    <w:rsid w:val="00EE2CA1"/>
    <w:rsid w:val="00EE628F"/>
    <w:rsid w:val="00EF67C7"/>
    <w:rsid w:val="00F0584B"/>
    <w:rsid w:val="00F15872"/>
    <w:rsid w:val="00F2512F"/>
    <w:rsid w:val="00F31D73"/>
    <w:rsid w:val="00F37A86"/>
    <w:rsid w:val="00F70505"/>
    <w:rsid w:val="00F80E69"/>
    <w:rsid w:val="00FA2A70"/>
    <w:rsid w:val="00FA3714"/>
    <w:rsid w:val="00FA7C98"/>
    <w:rsid w:val="00FB679E"/>
    <w:rsid w:val="00FC26A9"/>
    <w:rsid w:val="00FC31CE"/>
    <w:rsid w:val="00FC6984"/>
    <w:rsid w:val="00FD2452"/>
    <w:rsid w:val="00FD3061"/>
    <w:rsid w:val="00FF1B99"/>
    <w:rsid w:val="00FF1F15"/>
    <w:rsid w:val="0139ABB5"/>
    <w:rsid w:val="020A373E"/>
    <w:rsid w:val="0212EC71"/>
    <w:rsid w:val="026214EC"/>
    <w:rsid w:val="03750809"/>
    <w:rsid w:val="05976A72"/>
    <w:rsid w:val="05F65D01"/>
    <w:rsid w:val="06D92807"/>
    <w:rsid w:val="07B6B689"/>
    <w:rsid w:val="099B1777"/>
    <w:rsid w:val="0CE06FAF"/>
    <w:rsid w:val="0DA3B131"/>
    <w:rsid w:val="0FF1AB9F"/>
    <w:rsid w:val="1378B0E9"/>
    <w:rsid w:val="13CEE379"/>
    <w:rsid w:val="14351D95"/>
    <w:rsid w:val="149EFC8A"/>
    <w:rsid w:val="16938806"/>
    <w:rsid w:val="16A5FEC5"/>
    <w:rsid w:val="16CD46AF"/>
    <w:rsid w:val="18298DBD"/>
    <w:rsid w:val="18CAEB7A"/>
    <w:rsid w:val="1A903532"/>
    <w:rsid w:val="1DDF4DB2"/>
    <w:rsid w:val="1F5480CB"/>
    <w:rsid w:val="1FB6EFAF"/>
    <w:rsid w:val="20096DF0"/>
    <w:rsid w:val="24D9D360"/>
    <w:rsid w:val="24EEE256"/>
    <w:rsid w:val="26B2DCCF"/>
    <w:rsid w:val="2758655C"/>
    <w:rsid w:val="277353E3"/>
    <w:rsid w:val="29A95667"/>
    <w:rsid w:val="2A53B89F"/>
    <w:rsid w:val="2B2A6E36"/>
    <w:rsid w:val="2BF03BB3"/>
    <w:rsid w:val="2CFC8002"/>
    <w:rsid w:val="2D7BB542"/>
    <w:rsid w:val="2DFA52C4"/>
    <w:rsid w:val="2E176FDF"/>
    <w:rsid w:val="2FA56372"/>
    <w:rsid w:val="33AAC135"/>
    <w:rsid w:val="33E19B07"/>
    <w:rsid w:val="35294228"/>
    <w:rsid w:val="35BEC6FA"/>
    <w:rsid w:val="37BD9BC2"/>
    <w:rsid w:val="37F2E493"/>
    <w:rsid w:val="395A628F"/>
    <w:rsid w:val="3CFBF55A"/>
    <w:rsid w:val="3D8ECDE2"/>
    <w:rsid w:val="4040CD7C"/>
    <w:rsid w:val="4376A3B7"/>
    <w:rsid w:val="43C0C62E"/>
    <w:rsid w:val="4534435F"/>
    <w:rsid w:val="46BFDE51"/>
    <w:rsid w:val="47635FA2"/>
    <w:rsid w:val="47B05849"/>
    <w:rsid w:val="48112E1E"/>
    <w:rsid w:val="484975A0"/>
    <w:rsid w:val="4942C1E3"/>
    <w:rsid w:val="494A6F83"/>
    <w:rsid w:val="4B0F15A8"/>
    <w:rsid w:val="4D1BACBD"/>
    <w:rsid w:val="4D43B338"/>
    <w:rsid w:val="50309647"/>
    <w:rsid w:val="51F50D08"/>
    <w:rsid w:val="525223B3"/>
    <w:rsid w:val="5631015F"/>
    <w:rsid w:val="591D3CB1"/>
    <w:rsid w:val="5930423C"/>
    <w:rsid w:val="5CF8CD94"/>
    <w:rsid w:val="5DDD2533"/>
    <w:rsid w:val="645CD885"/>
    <w:rsid w:val="645F82B8"/>
    <w:rsid w:val="64FDB92A"/>
    <w:rsid w:val="66B0E5EE"/>
    <w:rsid w:val="6765BD07"/>
    <w:rsid w:val="67A3788F"/>
    <w:rsid w:val="67AE403D"/>
    <w:rsid w:val="67BB2949"/>
    <w:rsid w:val="6C48B1B7"/>
    <w:rsid w:val="6CBA59F2"/>
    <w:rsid w:val="6D7B53B5"/>
    <w:rsid w:val="714965A2"/>
    <w:rsid w:val="7197F653"/>
    <w:rsid w:val="722EFEB8"/>
    <w:rsid w:val="7265A70B"/>
    <w:rsid w:val="72FF0148"/>
    <w:rsid w:val="730468AB"/>
    <w:rsid w:val="778CEE67"/>
    <w:rsid w:val="77D2C767"/>
    <w:rsid w:val="77F63FA9"/>
    <w:rsid w:val="789B6CF7"/>
    <w:rsid w:val="7B94E561"/>
    <w:rsid w:val="7C80A2F5"/>
    <w:rsid w:val="7EB485E8"/>
    <w:rsid w:val="7F426E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CF54"/>
  <w15:chartTrackingRefBased/>
  <w15:docId w15:val="{098F583B-20CE-481A-832D-31157BD7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1A1D"/>
    <w:pPr>
      <w:spacing w:line="256" w:lineRule="auto"/>
      <w:jc w:val="both"/>
    </w:pPr>
    <w:rPr>
      <w:rFonts w:ascii="Arial Narrow" w:hAnsi="Arial Narrow"/>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1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3AD8"/>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D31496"/>
    <w:rPr>
      <w:sz w:val="16"/>
      <w:szCs w:val="16"/>
    </w:rPr>
  </w:style>
  <w:style w:type="paragraph" w:styleId="Tekstkomentarza">
    <w:name w:val="annotation text"/>
    <w:link w:val="TekstkomentarzaZnak"/>
    <w:uiPriority w:val="99"/>
    <w:unhideWhenUsed/>
    <w:rsid w:val="07B6B689"/>
    <w:pPr>
      <w:spacing w:line="240" w:lineRule="auto"/>
    </w:pPr>
    <w:rPr>
      <w:sz w:val="20"/>
      <w:szCs w:val="20"/>
    </w:rPr>
  </w:style>
  <w:style w:type="character" w:customStyle="1" w:styleId="TekstkomentarzaZnak">
    <w:name w:val="Tekst komentarza Znak"/>
    <w:basedOn w:val="Domylnaczcionkaakapitu"/>
    <w:link w:val="Tekstkomentarza"/>
    <w:uiPriority w:val="99"/>
    <w:rsid w:val="00D31496"/>
    <w:rPr>
      <w:rFonts w:ascii="Arial Narrow" w:hAnsi="Arial Narrow"/>
      <w:sz w:val="20"/>
      <w:szCs w:val="20"/>
    </w:rPr>
  </w:style>
  <w:style w:type="paragraph" w:styleId="Tematkomentarza">
    <w:name w:val="annotation subject"/>
    <w:basedOn w:val="Tekstkomentarza"/>
    <w:next w:val="Tekstkomentarza"/>
    <w:link w:val="TematkomentarzaZnak"/>
    <w:uiPriority w:val="99"/>
    <w:semiHidden/>
    <w:unhideWhenUsed/>
    <w:rsid w:val="00D31496"/>
    <w:rPr>
      <w:b/>
      <w:bCs/>
    </w:rPr>
  </w:style>
  <w:style w:type="character" w:customStyle="1" w:styleId="TematkomentarzaZnak">
    <w:name w:val="Temat komentarza Znak"/>
    <w:basedOn w:val="TekstkomentarzaZnak"/>
    <w:link w:val="Tematkomentarza"/>
    <w:uiPriority w:val="99"/>
    <w:semiHidden/>
    <w:rsid w:val="00D31496"/>
    <w:rPr>
      <w:rFonts w:ascii="Arial Narrow" w:hAnsi="Arial Narrow"/>
      <w:b/>
      <w:bCs/>
      <w:sz w:val="20"/>
      <w:szCs w:val="20"/>
    </w:rPr>
  </w:style>
  <w:style w:type="paragraph" w:styleId="Poprawka">
    <w:name w:val="Revision"/>
    <w:hidden/>
    <w:uiPriority w:val="99"/>
    <w:semiHidden/>
    <w:rsid w:val="007370D5"/>
    <w:pPr>
      <w:spacing w:after="0" w:line="240" w:lineRule="auto"/>
    </w:pPr>
    <w:rPr>
      <w:rFonts w:ascii="Arial Narrow" w:hAnsi="Arial Narrow"/>
    </w:rPr>
  </w:style>
  <w:style w:type="character" w:styleId="Hipercze">
    <w:name w:val="Hyperlink"/>
    <w:basedOn w:val="Domylnaczcionkaakapitu"/>
    <w:uiPriority w:val="99"/>
    <w:unhideWhenUsed/>
    <w:rsid w:val="00EC7E92"/>
    <w:rPr>
      <w:color w:val="0563C1" w:themeColor="hyperlink"/>
      <w:u w:val="single"/>
    </w:rPr>
  </w:style>
  <w:style w:type="character" w:styleId="Nierozpoznanawzmianka">
    <w:name w:val="Unresolved Mention"/>
    <w:basedOn w:val="Domylnaczcionkaakapitu"/>
    <w:uiPriority w:val="99"/>
    <w:semiHidden/>
    <w:unhideWhenUsed/>
    <w:rsid w:val="00EC7E92"/>
    <w:rPr>
      <w:color w:val="605E5C"/>
      <w:shd w:val="clear" w:color="auto" w:fill="E1DFDD"/>
    </w:rPr>
  </w:style>
  <w:style w:type="paragraph" w:styleId="Akapitzlist">
    <w:name w:val="List Paragraph"/>
    <w:uiPriority w:val="34"/>
    <w:qFormat/>
    <w:rsid w:val="07B6B689"/>
    <w:pPr>
      <w:ind w:left="720"/>
      <w:contextualSpacing/>
    </w:pPr>
  </w:style>
  <w:style w:type="paragraph" w:customStyle="1" w:styleId="Normalny1">
    <w:name w:val="Normalny1"/>
    <w:basedOn w:val="Normalny"/>
    <w:rsid w:val="0096780A"/>
    <w:pPr>
      <w:spacing w:line="254" w:lineRule="auto"/>
    </w:pPr>
    <w:rPr>
      <w:rFonts w:cs="Times New Roman"/>
      <w:kern w:val="2"/>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0627C53443E5479982773D1789D267" ma:contentTypeVersion="7" ma:contentTypeDescription="Create a new document." ma:contentTypeScope="" ma:versionID="6dea40592ea3bb394691bcf60a9f2c46">
  <xsd:schema xmlns:xsd="http://www.w3.org/2001/XMLSchema" xmlns:xs="http://www.w3.org/2001/XMLSchema" xmlns:p="http://schemas.microsoft.com/office/2006/metadata/properties" xmlns:ns3="26502335-2293-44a1-a1ca-cb1cec2a45e4" xmlns:ns4="a704525a-220b-41c3-a70d-352bd939088d" targetNamespace="http://schemas.microsoft.com/office/2006/metadata/properties" ma:root="true" ma:fieldsID="150c4de06f08be94c009044a10b51a77" ns3:_="" ns4:_="">
    <xsd:import namespace="26502335-2293-44a1-a1ca-cb1cec2a45e4"/>
    <xsd:import namespace="a704525a-220b-41c3-a70d-352bd939088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02335-2293-44a1-a1ca-cb1cec2a45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04525a-220b-41c3-a70d-352bd93908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0C901-2C28-4B6B-AD61-A87DEEA44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02335-2293-44a1-a1ca-cb1cec2a45e4"/>
    <ds:schemaRef ds:uri="a704525a-220b-41c3-a70d-352bd9390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792BE-898F-442B-9265-B0B26DAC88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885D8A-ED5D-42E4-9C31-DDC679B76854}">
  <ds:schemaRefs>
    <ds:schemaRef ds:uri="http://schemas.microsoft.com/sharepoint/v3/contenttype/forms"/>
  </ds:schemaRefs>
</ds:datastoreItem>
</file>

<file path=customXml/itemProps4.xml><?xml version="1.0" encoding="utf-8"?>
<ds:datastoreItem xmlns:ds="http://schemas.openxmlformats.org/officeDocument/2006/customXml" ds:itemID="{22F04CAF-1C8E-4841-B089-8E64D0C59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28</Pages>
  <Words>5357</Words>
  <Characters>38524</Characters>
  <Application>Microsoft Office Word</Application>
  <DocSecurity>0</DocSecurity>
  <Lines>1481</Lines>
  <Paragraphs>359</Paragraphs>
  <ScaleCrop>false</ScaleCrop>
  <Company/>
  <LinksUpToDate>false</LinksUpToDate>
  <CharactersWithSpaces>43522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ZDANUK Mateusz</dc:creator>
  <cp:keywords/>
  <dc:description/>
  <cp:lastModifiedBy>Paulina Grądzik</cp:lastModifiedBy>
  <cp:revision>84</cp:revision>
  <dcterms:created xsi:type="dcterms:W3CDTF">2026-07-03T20:32:00Z</dcterms:created>
  <dcterms:modified xsi:type="dcterms:W3CDTF">2026-07-15T21:03:00Z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0x010100F50627C53443E5479982773D1789D267</vt:lpwstr>
  </property>
</Properties>
</file>