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759C" w14:textId="77777777" w:rsidR="00C93278" w:rsidRPr="00E448BB" w:rsidRDefault="00CA2841" w:rsidP="008B766F">
      <w:pPr>
        <w:spacing w:after="0" w:line="240" w:lineRule="auto"/>
        <w:jc w:val="center"/>
        <w:rPr>
          <w:rFonts w:cstheme="minorHAnsi"/>
          <w:b/>
          <w:bCs/>
        </w:rPr>
      </w:pPr>
      <w:bookmarkStart w:id="0" w:name="_Hlk107398740"/>
      <w:r w:rsidRPr="00E448BB">
        <w:rPr>
          <w:rFonts w:cstheme="minorHAnsi"/>
          <w:b/>
          <w:bCs/>
        </w:rPr>
        <w:t xml:space="preserve">Uwagi </w:t>
      </w:r>
    </w:p>
    <w:p w14:paraId="653DA768" w14:textId="0C5CDBAF" w:rsidR="00894E5C" w:rsidRPr="00E448BB" w:rsidRDefault="00CA2841" w:rsidP="00894E5C">
      <w:pPr>
        <w:spacing w:after="0" w:line="240" w:lineRule="auto"/>
        <w:jc w:val="center"/>
        <w:rPr>
          <w:rFonts w:cstheme="minorHAnsi"/>
          <w:b/>
          <w:bCs/>
        </w:rPr>
      </w:pPr>
      <w:r w:rsidRPr="00E448BB">
        <w:rPr>
          <w:rFonts w:cstheme="minorHAnsi"/>
          <w:b/>
          <w:bCs/>
        </w:rPr>
        <w:t>do projektu</w:t>
      </w:r>
      <w:bookmarkStart w:id="1" w:name="_Hlk163464623"/>
      <w:r w:rsidR="00894E5C" w:rsidRPr="00E448BB">
        <w:rPr>
          <w:rFonts w:cstheme="minorHAnsi"/>
          <w:b/>
          <w:bCs/>
        </w:rPr>
        <w:t xml:space="preserve"> </w:t>
      </w:r>
      <w:r w:rsidR="00FB6259" w:rsidRPr="00E448BB">
        <w:rPr>
          <w:rFonts w:cstheme="minorHAnsi"/>
          <w:b/>
          <w:bCs/>
        </w:rPr>
        <w:t>rozporządzenia Ministra Energii w sprawie sposobu kształtowania i kalkulacji taryf oraz sposobu rozliczeń w obrocie energią elektryczną</w:t>
      </w:r>
    </w:p>
    <w:bookmarkEnd w:id="1"/>
    <w:p w14:paraId="304455B3" w14:textId="3D71B8DA" w:rsidR="00CA2841" w:rsidRPr="00E448BB" w:rsidRDefault="00B91BB7" w:rsidP="008B766F">
      <w:pPr>
        <w:spacing w:after="0" w:line="240" w:lineRule="auto"/>
        <w:jc w:val="center"/>
        <w:rPr>
          <w:rFonts w:cstheme="minorHAnsi"/>
          <w:b/>
          <w:bCs/>
        </w:rPr>
      </w:pPr>
      <w:r w:rsidRPr="00E448BB">
        <w:rPr>
          <w:rFonts w:cstheme="minorHAnsi"/>
          <w:b/>
          <w:bCs/>
        </w:rPr>
        <w:t>(</w:t>
      </w:r>
      <w:r w:rsidR="00894E5C" w:rsidRPr="00E448BB">
        <w:rPr>
          <w:rFonts w:cstheme="minorHAnsi"/>
          <w:b/>
          <w:bCs/>
        </w:rPr>
        <w:t>nr</w:t>
      </w:r>
      <w:r w:rsidR="000E57B7" w:rsidRPr="00E448BB">
        <w:rPr>
          <w:rFonts w:cstheme="minorHAnsi"/>
          <w:b/>
          <w:bCs/>
        </w:rPr>
        <w:t xml:space="preserve"> </w:t>
      </w:r>
      <w:r w:rsidR="00DE35B2" w:rsidRPr="00E448BB">
        <w:rPr>
          <w:rFonts w:cstheme="minorHAnsi"/>
          <w:b/>
          <w:bCs/>
        </w:rPr>
        <w:t>28</w:t>
      </w:r>
      <w:r w:rsidR="00A01497" w:rsidRPr="00E448BB">
        <w:rPr>
          <w:rFonts w:cstheme="minorHAnsi"/>
          <w:b/>
          <w:bCs/>
        </w:rPr>
        <w:t xml:space="preserve"> </w:t>
      </w:r>
      <w:r w:rsidR="00894E5C" w:rsidRPr="00E448BB">
        <w:rPr>
          <w:rFonts w:cstheme="minorHAnsi"/>
          <w:b/>
          <w:bCs/>
        </w:rPr>
        <w:t xml:space="preserve">w Wykazie prac legislacyjnych i programowych </w:t>
      </w:r>
      <w:r w:rsidR="00732D4A" w:rsidRPr="00E448BB">
        <w:rPr>
          <w:rFonts w:cstheme="minorHAnsi"/>
          <w:b/>
          <w:bCs/>
        </w:rPr>
        <w:t>Ministra Energii</w:t>
      </w:r>
      <w:r w:rsidR="00894E5C" w:rsidRPr="00E448BB">
        <w:rPr>
          <w:rFonts w:cstheme="minorHAnsi"/>
          <w:b/>
          <w:bCs/>
        </w:rPr>
        <w:t>)</w:t>
      </w:r>
    </w:p>
    <w:p w14:paraId="711D6FEE" w14:textId="77777777" w:rsidR="00CA2841" w:rsidRPr="00E448BB" w:rsidRDefault="00CA2841" w:rsidP="008B766F">
      <w:pPr>
        <w:spacing w:after="0" w:line="240" w:lineRule="auto"/>
        <w:rPr>
          <w:rFonts w:cstheme="minorHAnsi"/>
        </w:rPr>
      </w:pPr>
    </w:p>
    <w:tbl>
      <w:tblPr>
        <w:tblStyle w:val="Tabela-Siatka"/>
        <w:tblpPr w:leftFromText="142" w:rightFromText="142" w:vertAnchor="text" w:horzAnchor="margin" w:tblpXSpec="center" w:tblpY="58"/>
        <w:tblW w:w="15740" w:type="dxa"/>
        <w:tblLayout w:type="fixed"/>
        <w:tblLook w:val="04A0" w:firstRow="1" w:lastRow="0" w:firstColumn="1" w:lastColumn="0" w:noHBand="0" w:noVBand="1"/>
      </w:tblPr>
      <w:tblGrid>
        <w:gridCol w:w="562"/>
        <w:gridCol w:w="1701"/>
        <w:gridCol w:w="2694"/>
        <w:gridCol w:w="5103"/>
        <w:gridCol w:w="4252"/>
        <w:gridCol w:w="1428"/>
      </w:tblGrid>
      <w:tr w:rsidR="0090574C" w:rsidRPr="00E448BB" w14:paraId="47E9ED08" w14:textId="77777777" w:rsidTr="00DE01B7">
        <w:trPr>
          <w:trHeight w:val="551"/>
          <w:tblHeader/>
        </w:trPr>
        <w:tc>
          <w:tcPr>
            <w:tcW w:w="562" w:type="dxa"/>
          </w:tcPr>
          <w:p w14:paraId="115BF413" w14:textId="00FB059B" w:rsidR="0090574C" w:rsidRPr="001C647D" w:rsidRDefault="00FD42E2" w:rsidP="001C647D">
            <w:pPr>
              <w:tabs>
                <w:tab w:val="left" w:pos="360"/>
              </w:tabs>
              <w:rPr>
                <w:rFonts w:cstheme="minorHAnsi"/>
                <w:b/>
                <w:bCs/>
              </w:rPr>
            </w:pPr>
            <w:r>
              <w:rPr>
                <w:rFonts w:cstheme="minorHAnsi"/>
                <w:b/>
                <w:bCs/>
              </w:rPr>
              <w:t>Lp.</w:t>
            </w:r>
          </w:p>
        </w:tc>
        <w:tc>
          <w:tcPr>
            <w:tcW w:w="1701" w:type="dxa"/>
          </w:tcPr>
          <w:p w14:paraId="0FAF4510" w14:textId="4FD6EB74" w:rsidR="0090574C" w:rsidRPr="00E448BB" w:rsidRDefault="0090574C" w:rsidP="008B766F">
            <w:pPr>
              <w:jc w:val="center"/>
              <w:rPr>
                <w:rFonts w:cstheme="minorHAnsi"/>
                <w:b/>
                <w:bCs/>
              </w:rPr>
            </w:pPr>
            <w:r w:rsidRPr="00E448BB">
              <w:rPr>
                <w:rFonts w:cstheme="minorHAnsi"/>
                <w:b/>
                <w:bCs/>
              </w:rPr>
              <w:t>Podmiot wnoszący uwag</w:t>
            </w:r>
            <w:r w:rsidR="00B91BB7" w:rsidRPr="00E448BB">
              <w:rPr>
                <w:rFonts w:cstheme="minorHAnsi"/>
                <w:b/>
                <w:bCs/>
              </w:rPr>
              <w:t>ę</w:t>
            </w:r>
          </w:p>
        </w:tc>
        <w:tc>
          <w:tcPr>
            <w:tcW w:w="2694" w:type="dxa"/>
          </w:tcPr>
          <w:p w14:paraId="51F92737" w14:textId="48E4A866" w:rsidR="0090574C" w:rsidRPr="00E448BB" w:rsidRDefault="0090574C" w:rsidP="008B766F">
            <w:pPr>
              <w:jc w:val="center"/>
              <w:rPr>
                <w:rFonts w:cstheme="minorHAnsi"/>
                <w:b/>
                <w:bCs/>
              </w:rPr>
            </w:pPr>
            <w:r w:rsidRPr="00E448BB">
              <w:rPr>
                <w:rFonts w:cstheme="minorHAnsi"/>
                <w:b/>
                <w:bCs/>
              </w:rPr>
              <w:t>Jednostka redakcyjna, do której wnoszon</w:t>
            </w:r>
            <w:r w:rsidR="00B91BB7" w:rsidRPr="00E448BB">
              <w:rPr>
                <w:rFonts w:cstheme="minorHAnsi"/>
                <w:b/>
                <w:bCs/>
              </w:rPr>
              <w:t>a jest</w:t>
            </w:r>
            <w:r w:rsidRPr="00E448BB">
              <w:rPr>
                <w:rFonts w:cstheme="minorHAnsi"/>
                <w:b/>
                <w:bCs/>
              </w:rPr>
              <w:t xml:space="preserve"> uwag</w:t>
            </w:r>
            <w:r w:rsidR="00B91BB7" w:rsidRPr="00E448BB">
              <w:rPr>
                <w:rFonts w:cstheme="minorHAnsi"/>
                <w:b/>
                <w:bCs/>
              </w:rPr>
              <w:t>a</w:t>
            </w:r>
            <w:r w:rsidR="004F2D1D" w:rsidRPr="00E448BB">
              <w:rPr>
                <w:rStyle w:val="Odwoanieprzypisudolnego"/>
                <w:rFonts w:cstheme="minorHAnsi"/>
                <w:b/>
                <w:bCs/>
              </w:rPr>
              <w:footnoteReference w:customMarkFollows="1" w:id="1"/>
              <w:t>1)</w:t>
            </w:r>
          </w:p>
        </w:tc>
        <w:tc>
          <w:tcPr>
            <w:tcW w:w="5103" w:type="dxa"/>
          </w:tcPr>
          <w:p w14:paraId="74AACE5A" w14:textId="0BDDBBD7" w:rsidR="0090574C" w:rsidRPr="00E448BB" w:rsidRDefault="0090574C" w:rsidP="008B766F">
            <w:pPr>
              <w:jc w:val="center"/>
              <w:rPr>
                <w:rFonts w:cstheme="minorHAnsi"/>
                <w:b/>
                <w:bCs/>
              </w:rPr>
            </w:pPr>
            <w:r w:rsidRPr="00E448BB">
              <w:rPr>
                <w:rFonts w:cstheme="minorHAnsi"/>
                <w:b/>
                <w:bCs/>
              </w:rPr>
              <w:t>Treść uwagi</w:t>
            </w:r>
          </w:p>
        </w:tc>
        <w:tc>
          <w:tcPr>
            <w:tcW w:w="4252" w:type="dxa"/>
          </w:tcPr>
          <w:p w14:paraId="7C9E6D74" w14:textId="597CDAA9" w:rsidR="0090574C" w:rsidRPr="00E448BB" w:rsidRDefault="0090574C" w:rsidP="008B766F">
            <w:pPr>
              <w:jc w:val="center"/>
              <w:rPr>
                <w:rFonts w:cstheme="minorHAnsi"/>
                <w:b/>
                <w:bCs/>
              </w:rPr>
            </w:pPr>
            <w:r w:rsidRPr="00E448BB">
              <w:rPr>
                <w:rFonts w:cstheme="minorHAnsi"/>
                <w:b/>
                <w:bCs/>
              </w:rPr>
              <w:t xml:space="preserve">Propozycja </w:t>
            </w:r>
            <w:r w:rsidR="00773DAD" w:rsidRPr="00E448BB">
              <w:rPr>
                <w:rFonts w:cstheme="minorHAnsi"/>
                <w:b/>
                <w:bCs/>
              </w:rPr>
              <w:t>brzmienia</w:t>
            </w:r>
            <w:r w:rsidR="00C93278" w:rsidRPr="00E448BB">
              <w:rPr>
                <w:rFonts w:cstheme="minorHAnsi"/>
                <w:b/>
                <w:bCs/>
              </w:rPr>
              <w:t xml:space="preserve"> przepisu</w:t>
            </w:r>
          </w:p>
        </w:tc>
        <w:tc>
          <w:tcPr>
            <w:tcW w:w="1428" w:type="dxa"/>
          </w:tcPr>
          <w:p w14:paraId="2C049C38" w14:textId="382C7B91" w:rsidR="0090574C" w:rsidRPr="00E448BB" w:rsidRDefault="0090574C" w:rsidP="008B766F">
            <w:pPr>
              <w:jc w:val="center"/>
              <w:rPr>
                <w:rFonts w:cstheme="minorHAnsi"/>
                <w:b/>
                <w:bCs/>
              </w:rPr>
            </w:pPr>
            <w:r w:rsidRPr="00E448BB">
              <w:rPr>
                <w:rFonts w:cstheme="minorHAnsi"/>
                <w:b/>
                <w:bCs/>
              </w:rPr>
              <w:t>Stanowisko do uwagi</w:t>
            </w:r>
          </w:p>
        </w:tc>
      </w:tr>
      <w:tr w:rsidR="00FD42E2" w:rsidRPr="00E448BB" w14:paraId="48F383F6" w14:textId="77777777" w:rsidTr="00DE01B7">
        <w:tc>
          <w:tcPr>
            <w:tcW w:w="562" w:type="dxa"/>
          </w:tcPr>
          <w:p w14:paraId="47B1BA4B" w14:textId="77777777" w:rsidR="00FD42E2" w:rsidRPr="00E448BB" w:rsidRDefault="00FD42E2" w:rsidP="00E448BB">
            <w:pPr>
              <w:pStyle w:val="Akapitzlist"/>
              <w:numPr>
                <w:ilvl w:val="0"/>
                <w:numId w:val="3"/>
              </w:numPr>
              <w:jc w:val="center"/>
              <w:rPr>
                <w:rFonts w:cstheme="minorHAnsi"/>
              </w:rPr>
            </w:pPr>
          </w:p>
        </w:tc>
        <w:tc>
          <w:tcPr>
            <w:tcW w:w="1701" w:type="dxa"/>
          </w:tcPr>
          <w:p w14:paraId="08449B01" w14:textId="1E50E945" w:rsidR="00FD42E2" w:rsidRPr="00E448BB" w:rsidRDefault="00FD42E2" w:rsidP="2B25E90A">
            <w:pPr>
              <w:jc w:val="both"/>
              <w:rPr>
                <w:rFonts w:cstheme="minorHAnsi"/>
              </w:rPr>
            </w:pPr>
            <w:r w:rsidRPr="00E448BB">
              <w:rPr>
                <w:rFonts w:cstheme="minorHAnsi"/>
              </w:rPr>
              <w:t>Konfederacja Lewiatan</w:t>
            </w:r>
          </w:p>
        </w:tc>
        <w:tc>
          <w:tcPr>
            <w:tcW w:w="2694" w:type="dxa"/>
          </w:tcPr>
          <w:p w14:paraId="4AFB1AFA" w14:textId="56C769C9" w:rsidR="00FD42E2" w:rsidRPr="00E448BB" w:rsidRDefault="00FD42E2" w:rsidP="2B25E90A">
            <w:pPr>
              <w:jc w:val="both"/>
              <w:rPr>
                <w:rFonts w:eastAsia="Lato" w:cstheme="minorHAnsi"/>
              </w:rPr>
            </w:pPr>
            <w:r>
              <w:rPr>
                <w:rFonts w:eastAsia="Lato" w:cstheme="minorHAnsi"/>
              </w:rPr>
              <w:t>Uwaga ogólna</w:t>
            </w:r>
          </w:p>
        </w:tc>
        <w:tc>
          <w:tcPr>
            <w:tcW w:w="5103" w:type="dxa"/>
          </w:tcPr>
          <w:p w14:paraId="42B2788C" w14:textId="77777777" w:rsidR="003D7CAB" w:rsidRPr="003D7CAB" w:rsidRDefault="003D7CAB" w:rsidP="003D7CAB">
            <w:pPr>
              <w:jc w:val="both"/>
              <w:rPr>
                <w:rFonts w:eastAsia="Lato" w:cstheme="minorHAnsi"/>
              </w:rPr>
            </w:pPr>
            <w:r w:rsidRPr="003D7CAB">
              <w:rPr>
                <w:rFonts w:eastAsia="Lato" w:cstheme="minorHAnsi"/>
              </w:rPr>
              <w:t>Proponowane przepisy projektu nie odpowiadają rzeczywistym potrzebom polskiego przemysłu, ponieważ obejmują wsparciem jedynie bardzo wąską grupę przedsiębiorstw.</w:t>
            </w:r>
          </w:p>
          <w:p w14:paraId="53C7717E" w14:textId="77777777" w:rsidR="003D7CAB" w:rsidRPr="003D7CAB" w:rsidRDefault="003D7CAB" w:rsidP="003D7CAB">
            <w:pPr>
              <w:jc w:val="both"/>
              <w:rPr>
                <w:rFonts w:eastAsia="Lato" w:cstheme="minorHAnsi"/>
              </w:rPr>
            </w:pPr>
            <w:r w:rsidRPr="003D7CAB">
              <w:rPr>
                <w:rFonts w:eastAsia="Lato" w:cstheme="minorHAnsi"/>
              </w:rPr>
              <w:t>W efekcie z projektowanych rozwiązań nie będzie mogła skorzystać zdecydowana większość przedsiębiorstw przemysłowych, które również ponoszą wysokie koszty energii i funkcjonują w warunkach silnej konkurencji międzynarodowej. Tymczasem koszty energii elektrycznej pozostają jednym z kluczowych czynników wpływających na konkurencyjność polskiej gospodarki, poziom inwestycji oraz utrzymanie działalności produkcyjnej w kraju.</w:t>
            </w:r>
          </w:p>
          <w:p w14:paraId="1E46C9B4" w14:textId="4257DF84" w:rsidR="00FD42E2" w:rsidRPr="00E448BB" w:rsidRDefault="0008396D" w:rsidP="2B25E90A">
            <w:pPr>
              <w:jc w:val="both"/>
              <w:rPr>
                <w:rFonts w:eastAsia="Lato" w:cstheme="minorHAnsi"/>
              </w:rPr>
            </w:pPr>
            <w:r w:rsidRPr="0008396D">
              <w:rPr>
                <w:rFonts w:eastAsia="Lato" w:cstheme="minorHAnsi"/>
              </w:rPr>
              <w:t>W związku z powyższym apelujemy o rozważenie wprowadzenia komplementarnych instrumentów wsparcia dla przedsiębiorstw przemysłowych, dla których koszty energii stanowią istotną pozycję kosztową. Rozwiązania</w:t>
            </w:r>
            <w:r w:rsidRPr="0008396D">
              <w:rPr>
                <w:rFonts w:ascii="Calibri" w:hAnsi="Calibri" w:cs="Calibri"/>
              </w:rPr>
              <w:t xml:space="preserve"> </w:t>
            </w:r>
            <w:r w:rsidRPr="0008396D">
              <w:rPr>
                <w:rFonts w:eastAsia="Lato" w:cstheme="minorHAnsi"/>
              </w:rPr>
              <w:t>powinny w większym stopniu uwzględniać potrzebę wzmacniania konkurencyjności całej polskiej gospodarki, wspierać rozwój krajowego przemysłu,</w:t>
            </w:r>
            <w:r w:rsidR="008A2E60" w:rsidRPr="008A2E60">
              <w:rPr>
                <w:rFonts w:ascii="Calibri" w:hAnsi="Calibri" w:cs="Calibri"/>
              </w:rPr>
              <w:t xml:space="preserve"> </w:t>
            </w:r>
            <w:r w:rsidR="008A2E60" w:rsidRPr="008A2E60">
              <w:rPr>
                <w:rFonts w:eastAsia="Lato" w:cstheme="minorHAnsi"/>
              </w:rPr>
              <w:t>ograniczać ryzyko przenoszenia działalności produkcyjnej poza Polskę</w:t>
            </w:r>
            <w:r w:rsidR="008B2851">
              <w:rPr>
                <w:rFonts w:eastAsia="Lato" w:cstheme="minorHAnsi"/>
              </w:rPr>
              <w:t xml:space="preserve"> </w:t>
            </w:r>
            <w:r w:rsidR="008B2851" w:rsidRPr="008B2851">
              <w:rPr>
                <w:rFonts w:eastAsia="Lato" w:cstheme="minorHAnsi"/>
              </w:rPr>
              <w:t>oraz stanowić element szerszej polityki zwiększania konkurencyjności przedsiębiorstw funkcjonujących na krajowym rynku</w:t>
            </w:r>
            <w:r w:rsidR="008B2851">
              <w:rPr>
                <w:rFonts w:eastAsia="Lato" w:cstheme="minorHAnsi"/>
              </w:rPr>
              <w:t>.</w:t>
            </w:r>
          </w:p>
        </w:tc>
        <w:tc>
          <w:tcPr>
            <w:tcW w:w="4252" w:type="dxa"/>
          </w:tcPr>
          <w:p w14:paraId="1CB4D2EA" w14:textId="77777777" w:rsidR="00FD42E2" w:rsidRPr="00E448BB" w:rsidRDefault="00FD42E2" w:rsidP="2B25E90A">
            <w:pPr>
              <w:jc w:val="both"/>
              <w:rPr>
                <w:rFonts w:eastAsia="Lato" w:cstheme="minorHAnsi"/>
              </w:rPr>
            </w:pPr>
          </w:p>
        </w:tc>
        <w:tc>
          <w:tcPr>
            <w:tcW w:w="1428" w:type="dxa"/>
          </w:tcPr>
          <w:p w14:paraId="600C0A49" w14:textId="77777777" w:rsidR="00FD42E2" w:rsidRPr="00E448BB" w:rsidRDefault="00FD42E2" w:rsidP="008B766F">
            <w:pPr>
              <w:jc w:val="both"/>
              <w:rPr>
                <w:rFonts w:cstheme="minorHAnsi"/>
              </w:rPr>
            </w:pPr>
          </w:p>
        </w:tc>
      </w:tr>
      <w:tr w:rsidR="0090574C" w:rsidRPr="00E448BB" w14:paraId="574FF95B" w14:textId="77777777" w:rsidTr="00DE01B7">
        <w:tc>
          <w:tcPr>
            <w:tcW w:w="562" w:type="dxa"/>
          </w:tcPr>
          <w:p w14:paraId="590D690B" w14:textId="0F3706B8" w:rsidR="0090574C" w:rsidRPr="00E448BB" w:rsidRDefault="0090574C" w:rsidP="00E448BB">
            <w:pPr>
              <w:pStyle w:val="Akapitzlist"/>
              <w:numPr>
                <w:ilvl w:val="0"/>
                <w:numId w:val="3"/>
              </w:numPr>
              <w:jc w:val="center"/>
              <w:rPr>
                <w:rFonts w:cstheme="minorHAnsi"/>
              </w:rPr>
            </w:pPr>
          </w:p>
        </w:tc>
        <w:tc>
          <w:tcPr>
            <w:tcW w:w="1701" w:type="dxa"/>
          </w:tcPr>
          <w:p w14:paraId="6735BDA7" w14:textId="30BA2654" w:rsidR="2B25E90A" w:rsidRPr="00E448BB" w:rsidRDefault="0004505F" w:rsidP="2B25E90A">
            <w:pPr>
              <w:jc w:val="both"/>
              <w:rPr>
                <w:rFonts w:cstheme="minorHAnsi"/>
              </w:rPr>
            </w:pPr>
            <w:r w:rsidRPr="00E448BB">
              <w:rPr>
                <w:rFonts w:cstheme="minorHAnsi"/>
              </w:rPr>
              <w:t>Konfederacja Lewiatan</w:t>
            </w:r>
          </w:p>
        </w:tc>
        <w:tc>
          <w:tcPr>
            <w:tcW w:w="2694" w:type="dxa"/>
          </w:tcPr>
          <w:p w14:paraId="0842E126" w14:textId="628F68DE" w:rsidR="2B25E90A" w:rsidRPr="00E448BB" w:rsidRDefault="2B25E90A" w:rsidP="2B25E90A">
            <w:pPr>
              <w:jc w:val="both"/>
              <w:rPr>
                <w:rFonts w:cstheme="minorHAnsi"/>
              </w:rPr>
            </w:pPr>
            <w:r w:rsidRPr="00E448BB">
              <w:rPr>
                <w:rFonts w:eastAsia="Lato" w:cstheme="minorHAnsi"/>
              </w:rPr>
              <w:t>§ 15 ust. 3</w:t>
            </w:r>
          </w:p>
        </w:tc>
        <w:tc>
          <w:tcPr>
            <w:tcW w:w="5103" w:type="dxa"/>
          </w:tcPr>
          <w:p w14:paraId="38E48B6F" w14:textId="0AC2B29D" w:rsidR="2B25E90A" w:rsidRPr="00E448BB" w:rsidRDefault="2B25E90A" w:rsidP="2B25E90A">
            <w:pPr>
              <w:jc w:val="both"/>
              <w:rPr>
                <w:rFonts w:cstheme="minorHAnsi"/>
              </w:rPr>
            </w:pPr>
            <w:r w:rsidRPr="00E448BB">
              <w:rPr>
                <w:rFonts w:eastAsia="Lato" w:cstheme="minorHAnsi"/>
              </w:rPr>
              <w:t xml:space="preserve">Obecne brzmienie projektowanego przepisu jest niejasne językowo i może budzić wątpliwości interpretacyjne. Sformułowanie „z uwzględnieniem stawki wynikającej” nie wskazuje jednoznacznie, czy </w:t>
            </w:r>
            <w:r w:rsidRPr="00E448BB">
              <w:rPr>
                <w:rFonts w:eastAsia="Lato" w:cstheme="minorHAnsi"/>
              </w:rPr>
              <w:lastRenderedPageBreak/>
              <w:t>chodzi o jedną stawkę, czy o określony podział składników opłat. Wymaga doprecyzowania, zwłaszcza w kontekście zmian dotyczących opłaty jakościowej oraz konstrukcji stawek dystrybucyjnych.</w:t>
            </w:r>
          </w:p>
        </w:tc>
        <w:tc>
          <w:tcPr>
            <w:tcW w:w="4252" w:type="dxa"/>
          </w:tcPr>
          <w:p w14:paraId="25B85F3F" w14:textId="3883497E" w:rsidR="2B25E90A" w:rsidRPr="00E448BB" w:rsidRDefault="2B25E90A" w:rsidP="2B25E90A">
            <w:pPr>
              <w:jc w:val="both"/>
              <w:rPr>
                <w:rFonts w:cstheme="minorHAnsi"/>
              </w:rPr>
            </w:pPr>
            <w:r w:rsidRPr="00E448BB">
              <w:rPr>
                <w:rFonts w:eastAsia="Lato" w:cstheme="minorHAnsi"/>
              </w:rPr>
              <w:lastRenderedPageBreak/>
              <w:t>Propozycja modyfikacji:</w:t>
            </w:r>
          </w:p>
          <w:p w14:paraId="4C103103" w14:textId="182A53E2" w:rsidR="2B25E90A" w:rsidRPr="00E448BB" w:rsidRDefault="2B25E90A" w:rsidP="2B25E90A">
            <w:pPr>
              <w:jc w:val="both"/>
              <w:rPr>
                <w:rFonts w:cstheme="minorHAnsi"/>
              </w:rPr>
            </w:pPr>
            <w:r w:rsidRPr="00E448BB">
              <w:rPr>
                <w:rFonts w:eastAsia="Lato" w:cstheme="minorHAnsi"/>
                <w:i/>
                <w:iCs/>
              </w:rPr>
              <w:t xml:space="preserve">„3. Stawki opłat dystrybucyjnych kalkuluje się z uwzględnieniem </w:t>
            </w:r>
            <w:r w:rsidRPr="00E448BB">
              <w:rPr>
                <w:rFonts w:eastAsia="Lato" w:cstheme="minorHAnsi"/>
                <w:i/>
                <w:iCs/>
                <w:strike/>
              </w:rPr>
              <w:t>stawki wynikającej</w:t>
            </w:r>
            <w:r w:rsidRPr="00E448BB">
              <w:rPr>
                <w:rFonts w:eastAsia="Lato" w:cstheme="minorHAnsi"/>
                <w:i/>
                <w:iCs/>
              </w:rPr>
              <w:t xml:space="preserve"> </w:t>
            </w:r>
            <w:r w:rsidRPr="00E448BB">
              <w:rPr>
                <w:rFonts w:eastAsia="Lato" w:cstheme="minorHAnsi"/>
                <w:b/>
                <w:bCs/>
                <w:i/>
                <w:iCs/>
              </w:rPr>
              <w:lastRenderedPageBreak/>
              <w:t>podziału na stawki wynikające</w:t>
            </w:r>
            <w:r w:rsidRPr="00E448BB">
              <w:rPr>
                <w:rFonts w:eastAsia="Lato" w:cstheme="minorHAnsi"/>
                <w:i/>
                <w:iCs/>
              </w:rPr>
              <w:t xml:space="preserve"> z dystrybucji energii elektrycznej.”</w:t>
            </w:r>
          </w:p>
          <w:p w14:paraId="2560F900" w14:textId="448A2310" w:rsidR="2B25E90A" w:rsidRPr="00E448BB" w:rsidRDefault="2B25E90A" w:rsidP="2B25E90A">
            <w:pPr>
              <w:jc w:val="both"/>
              <w:rPr>
                <w:rFonts w:cstheme="minorHAnsi"/>
              </w:rPr>
            </w:pPr>
            <w:r w:rsidRPr="00E448BB">
              <w:rPr>
                <w:rFonts w:eastAsia="Lato" w:cstheme="minorHAnsi"/>
                <w:i/>
                <w:iCs/>
              </w:rPr>
              <w:t xml:space="preserve"> </w:t>
            </w:r>
          </w:p>
          <w:p w14:paraId="11F8C1EF" w14:textId="51C8D7E4" w:rsidR="2B25E90A" w:rsidRPr="00E448BB" w:rsidRDefault="2B25E90A" w:rsidP="2B25E90A">
            <w:pPr>
              <w:jc w:val="both"/>
              <w:rPr>
                <w:rFonts w:cstheme="minorHAnsi"/>
              </w:rPr>
            </w:pPr>
            <w:r w:rsidRPr="00E448BB">
              <w:rPr>
                <w:rFonts w:eastAsia="Lato" w:cstheme="minorHAnsi"/>
              </w:rPr>
              <w:t>Alternatywnie (jeżeli intencją projektodawcy jest utrzymanie konstrukcji zbliżonej do dotychczasowej):</w:t>
            </w:r>
          </w:p>
          <w:p w14:paraId="340B4FE1" w14:textId="238FB1D8" w:rsidR="2B25E90A" w:rsidRPr="00E448BB" w:rsidRDefault="2B25E90A" w:rsidP="2B25E90A">
            <w:pPr>
              <w:jc w:val="both"/>
              <w:rPr>
                <w:rFonts w:cstheme="minorHAnsi"/>
              </w:rPr>
            </w:pPr>
            <w:r w:rsidRPr="00E448BB">
              <w:rPr>
                <w:rFonts w:eastAsia="Lato" w:cstheme="minorHAnsi"/>
                <w:i/>
                <w:iCs/>
              </w:rPr>
              <w:t xml:space="preserve">„3. Stawki opłat dystrybucyjnych kalkuluje się z uwzględnieniem </w:t>
            </w:r>
            <w:r w:rsidRPr="00E448BB">
              <w:rPr>
                <w:rFonts w:eastAsia="Lato" w:cstheme="minorHAnsi"/>
                <w:i/>
                <w:iCs/>
                <w:strike/>
              </w:rPr>
              <w:t>stawki wynikającej z dystrybucji energii elektrycznej</w:t>
            </w:r>
            <w:r w:rsidRPr="00E448BB">
              <w:rPr>
                <w:rFonts w:eastAsia="Lato" w:cstheme="minorHAnsi"/>
                <w:i/>
                <w:iCs/>
              </w:rPr>
              <w:t xml:space="preserve"> </w:t>
            </w:r>
            <w:r w:rsidRPr="00E448BB">
              <w:rPr>
                <w:rFonts w:eastAsia="Lato" w:cstheme="minorHAnsi"/>
                <w:b/>
                <w:bCs/>
                <w:i/>
                <w:iCs/>
              </w:rPr>
              <w:t xml:space="preserve">podziału na stawki wynikające: 1) z dystrybucji energii elektrycznej; </w:t>
            </w:r>
          </w:p>
          <w:p w14:paraId="0A40274A" w14:textId="513E5E1C" w:rsidR="2B25E90A" w:rsidRPr="00E448BB" w:rsidRDefault="2B25E90A" w:rsidP="2B25E90A">
            <w:pPr>
              <w:jc w:val="both"/>
              <w:rPr>
                <w:rFonts w:cstheme="minorHAnsi"/>
              </w:rPr>
            </w:pPr>
            <w:r w:rsidRPr="00E448BB">
              <w:rPr>
                <w:rFonts w:eastAsia="Lato" w:cstheme="minorHAnsi"/>
                <w:b/>
                <w:bCs/>
                <w:i/>
                <w:iCs/>
              </w:rPr>
              <w:t>2) z korzystania z krajowego systemu elektroenergetycznego</w:t>
            </w:r>
            <w:r w:rsidRPr="00E448BB">
              <w:rPr>
                <w:rFonts w:eastAsia="Lato" w:cstheme="minorHAnsi"/>
                <w:i/>
                <w:iCs/>
              </w:rPr>
              <w:t>.”</w:t>
            </w:r>
          </w:p>
        </w:tc>
        <w:tc>
          <w:tcPr>
            <w:tcW w:w="1428" w:type="dxa"/>
          </w:tcPr>
          <w:p w14:paraId="17C40DBE" w14:textId="77777777" w:rsidR="0090574C" w:rsidRPr="00E448BB" w:rsidRDefault="0090574C" w:rsidP="008B766F">
            <w:pPr>
              <w:jc w:val="both"/>
              <w:rPr>
                <w:rFonts w:cstheme="minorHAnsi"/>
              </w:rPr>
            </w:pPr>
          </w:p>
        </w:tc>
      </w:tr>
      <w:tr w:rsidR="00B91BB7" w:rsidRPr="00E448BB" w14:paraId="597EDC07" w14:textId="77777777" w:rsidTr="00DE01B7">
        <w:tc>
          <w:tcPr>
            <w:tcW w:w="562" w:type="dxa"/>
          </w:tcPr>
          <w:p w14:paraId="513652BE" w14:textId="4D098015" w:rsidR="00B91BB7" w:rsidRPr="00E448BB" w:rsidRDefault="00B91BB7" w:rsidP="00E448BB">
            <w:pPr>
              <w:pStyle w:val="Akapitzlist"/>
              <w:numPr>
                <w:ilvl w:val="0"/>
                <w:numId w:val="3"/>
              </w:numPr>
              <w:jc w:val="center"/>
              <w:rPr>
                <w:rFonts w:cstheme="minorHAnsi"/>
              </w:rPr>
            </w:pPr>
          </w:p>
        </w:tc>
        <w:tc>
          <w:tcPr>
            <w:tcW w:w="1701" w:type="dxa"/>
          </w:tcPr>
          <w:p w14:paraId="3183A8A0" w14:textId="4E0CCC41" w:rsidR="2B25E90A" w:rsidRPr="00E448BB" w:rsidRDefault="00D95FDC" w:rsidP="2B25E90A">
            <w:pPr>
              <w:jc w:val="both"/>
              <w:rPr>
                <w:rFonts w:cstheme="minorHAnsi"/>
              </w:rPr>
            </w:pPr>
            <w:r w:rsidRPr="00E448BB">
              <w:rPr>
                <w:rFonts w:cstheme="minorHAnsi"/>
              </w:rPr>
              <w:t>Konfederacja Lewiatan</w:t>
            </w:r>
          </w:p>
        </w:tc>
        <w:tc>
          <w:tcPr>
            <w:tcW w:w="2694" w:type="dxa"/>
          </w:tcPr>
          <w:p w14:paraId="0F1950E8" w14:textId="15540CFB" w:rsidR="2B25E90A" w:rsidRPr="00E448BB" w:rsidRDefault="2B25E90A" w:rsidP="2B25E90A">
            <w:pPr>
              <w:jc w:val="both"/>
              <w:rPr>
                <w:rFonts w:cstheme="minorHAnsi"/>
              </w:rPr>
            </w:pPr>
            <w:r w:rsidRPr="00E448BB">
              <w:rPr>
                <w:rFonts w:eastAsia="Lato" w:cstheme="minorHAnsi"/>
              </w:rPr>
              <w:t>§ 20 ust. 3</w:t>
            </w:r>
          </w:p>
        </w:tc>
        <w:tc>
          <w:tcPr>
            <w:tcW w:w="5103" w:type="dxa"/>
          </w:tcPr>
          <w:p w14:paraId="32D04292" w14:textId="57D2EC36" w:rsidR="2B25E90A" w:rsidRPr="00E448BB" w:rsidRDefault="2B25E90A" w:rsidP="2B25E90A">
            <w:pPr>
              <w:jc w:val="both"/>
              <w:rPr>
                <w:rFonts w:cstheme="minorHAnsi"/>
              </w:rPr>
            </w:pPr>
            <w:r w:rsidRPr="00E448BB">
              <w:rPr>
                <w:rFonts w:eastAsia="Lato" w:cstheme="minorHAnsi"/>
              </w:rPr>
              <w:t xml:space="preserve">Zgodnie z projektowanym § 20 ust. 3 operator systemu przesyłowego uzyskuje możliwość ustalania dla odbiorców końcowych, o których mowa w art. 89a ust. 1 pkt 1 ustawy o rynku mocy, jednostrefowej stawki opłaty jakościowej, pomimo że § 20 ust. 1 i 2 przewiduje zasadę różnicowania tej stawki w zależności od stref doby i okresów roku. </w:t>
            </w:r>
          </w:p>
          <w:p w14:paraId="0A0AA97E" w14:textId="562F4C93" w:rsidR="2B25E90A" w:rsidRPr="00E448BB" w:rsidRDefault="2B25E90A" w:rsidP="2B25E90A">
            <w:pPr>
              <w:jc w:val="both"/>
              <w:rPr>
                <w:rFonts w:cstheme="minorHAnsi"/>
              </w:rPr>
            </w:pPr>
            <w:r w:rsidRPr="00E448BB">
              <w:rPr>
                <w:rFonts w:eastAsia="Lato" w:cstheme="minorHAnsi"/>
              </w:rPr>
              <w:t xml:space="preserve">W obecnym brzmieniu przepis pozostawia operatorowi systemu przesyłowego pełną uznaniowość co do tego, czy dla tej grupy odbiorców stosowane będą stawki jednostrefowe, czy też stawki zróżnicowane czasowo. Dotyczy to bardzo licznej grupy odbiorców, obejmującej w szczególności gospodarstwa domowe oraz inne kategorie odbiorców rozliczanych w sposób ryczałtowy. </w:t>
            </w:r>
          </w:p>
          <w:p w14:paraId="3AF9E029" w14:textId="23609675" w:rsidR="2B25E90A" w:rsidRPr="00E448BB" w:rsidRDefault="2B25E90A" w:rsidP="2B25E90A">
            <w:pPr>
              <w:jc w:val="both"/>
              <w:rPr>
                <w:rFonts w:cstheme="minorHAnsi"/>
              </w:rPr>
            </w:pPr>
            <w:r w:rsidRPr="00E448BB">
              <w:rPr>
                <w:rFonts w:eastAsia="Lato" w:cstheme="minorHAnsi"/>
              </w:rPr>
              <w:t xml:space="preserve">Tak szeroka uznaniowość po stronie OSP generuje istotną niepewność regulacyjną po stronie operatorów systemów dystrybucyjnych. W szczególności uniemożliwia odpowiednio wczesne zaplanowanie i wdrożenie niezbędnych zmian w systemach bilingowych, systemach wymiany danych oraz </w:t>
            </w:r>
            <w:r w:rsidRPr="00E448BB">
              <w:rPr>
                <w:rFonts w:eastAsia="Lato" w:cstheme="minorHAnsi"/>
              </w:rPr>
              <w:lastRenderedPageBreak/>
              <w:t>procesach rozliczeniowych związanych z naliczaniem opłaty jakościowej.</w:t>
            </w:r>
          </w:p>
          <w:p w14:paraId="31E335DB" w14:textId="63B00AE7" w:rsidR="2B25E90A" w:rsidRPr="00E448BB" w:rsidRDefault="2B25E90A" w:rsidP="2B25E90A">
            <w:pPr>
              <w:jc w:val="both"/>
              <w:rPr>
                <w:rFonts w:cstheme="minorHAnsi"/>
              </w:rPr>
            </w:pPr>
            <w:r w:rsidRPr="00E448BB">
              <w:rPr>
                <w:rFonts w:eastAsia="Lato" w:cstheme="minorHAnsi"/>
              </w:rPr>
              <w:t>W skrajnym przypadku operatorzy systemów dystrybucyjnych mogliby uzyskać informację o docelowym modelu rozliczania opłaty jakościowej dla tej grupy odbiorców dopiero z taryfy OSP, a więc na krótko przed terminem jej wejścia w życie. Taki termin może okazać się niewystarczający do przeprowadzenia wymaganych zmian organizacyjnych i informatycznych.</w:t>
            </w:r>
          </w:p>
          <w:p w14:paraId="58B33963" w14:textId="4D543C03" w:rsidR="2B25E90A" w:rsidRPr="00E448BB" w:rsidRDefault="2B25E90A" w:rsidP="0022298E">
            <w:pPr>
              <w:spacing w:after="60"/>
              <w:jc w:val="both"/>
              <w:rPr>
                <w:rFonts w:cstheme="minorHAnsi"/>
              </w:rPr>
            </w:pPr>
            <w:r w:rsidRPr="00E448BB">
              <w:rPr>
                <w:rFonts w:eastAsia="Lato" w:cstheme="minorHAnsi"/>
              </w:rPr>
              <w:t>W związku z powyższym proponuje się doprecyzowanie przesłanek stosowania stawki jednostrefowej albo jednoznaczne określenie modelu rozliczeń dla tej grupy odbiorców na poziomie rozporządzenia, tak aby zapewnić przewidywalność regulacyjną i odpowiedni czas na dostosowanie systemów rozliczeniowych uczestników rynku.</w:t>
            </w:r>
          </w:p>
        </w:tc>
        <w:tc>
          <w:tcPr>
            <w:tcW w:w="4252" w:type="dxa"/>
          </w:tcPr>
          <w:p w14:paraId="428C3908" w14:textId="464A4FF0" w:rsidR="2B25E90A" w:rsidRPr="00E448BB" w:rsidRDefault="2B25E90A" w:rsidP="2B25E90A">
            <w:pPr>
              <w:jc w:val="both"/>
              <w:rPr>
                <w:rFonts w:cstheme="minorHAnsi"/>
              </w:rPr>
            </w:pPr>
            <w:r w:rsidRPr="00E448BB">
              <w:rPr>
                <w:rFonts w:eastAsia="Lato" w:cstheme="minorHAnsi"/>
              </w:rPr>
              <w:lastRenderedPageBreak/>
              <w:t xml:space="preserve">Propozycja modyfikacji: </w:t>
            </w:r>
          </w:p>
          <w:p w14:paraId="5024A2A9" w14:textId="6E3A2D23" w:rsidR="2B25E90A" w:rsidRPr="00E448BB" w:rsidRDefault="2B25E90A" w:rsidP="2B25E90A">
            <w:pPr>
              <w:jc w:val="both"/>
              <w:rPr>
                <w:rFonts w:cstheme="minorHAnsi"/>
              </w:rPr>
            </w:pPr>
            <w:r w:rsidRPr="00E448BB">
              <w:rPr>
                <w:rFonts w:eastAsia="Lato" w:cstheme="minorHAnsi"/>
                <w:i/>
                <w:iCs/>
              </w:rPr>
              <w:t xml:space="preserve">„3. Operator systemu przesyłowego dla grupy odbiorców końcowych, o których mowa w art. 89a ust. 1 pkt 1 ustawy z dnia 8 grudnia 2017 r. o rynku mocy (Dz. U. z 2025 r. poz. 610, 1302), </w:t>
            </w:r>
            <w:r w:rsidRPr="00E448BB">
              <w:rPr>
                <w:rFonts w:eastAsia="Lato" w:cstheme="minorHAnsi"/>
                <w:i/>
                <w:iCs/>
                <w:strike/>
              </w:rPr>
              <w:t>może ustalić</w:t>
            </w:r>
            <w:r w:rsidRPr="00E448BB">
              <w:rPr>
                <w:rFonts w:eastAsia="Lato" w:cstheme="minorHAnsi"/>
                <w:i/>
                <w:iCs/>
              </w:rPr>
              <w:t xml:space="preserve"> </w:t>
            </w:r>
            <w:r w:rsidRPr="00E448BB">
              <w:rPr>
                <w:rFonts w:eastAsia="Lato" w:cstheme="minorHAnsi"/>
                <w:b/>
                <w:bCs/>
                <w:i/>
                <w:iCs/>
              </w:rPr>
              <w:t>ustala</w:t>
            </w:r>
            <w:r w:rsidRPr="00E448BB">
              <w:rPr>
                <w:rFonts w:eastAsia="Lato" w:cstheme="minorHAnsi"/>
                <w:i/>
                <w:iCs/>
              </w:rPr>
              <w:t xml:space="preserve"> stawki opłaty jakościowej jako jednostrefowe na podstawie stawek, o których mowa w ust. 1, oraz średniego profilu zapotrzebowania tych odbiorców w poszczególnych strefach doby i okresach czasowych.</w:t>
            </w:r>
          </w:p>
        </w:tc>
        <w:tc>
          <w:tcPr>
            <w:tcW w:w="1428" w:type="dxa"/>
          </w:tcPr>
          <w:p w14:paraId="2EFA759D" w14:textId="77777777" w:rsidR="00B91BB7" w:rsidRPr="00E448BB" w:rsidRDefault="00B91BB7" w:rsidP="008B766F">
            <w:pPr>
              <w:jc w:val="both"/>
              <w:rPr>
                <w:rFonts w:cstheme="minorHAnsi"/>
              </w:rPr>
            </w:pPr>
          </w:p>
        </w:tc>
      </w:tr>
      <w:tr w:rsidR="00E448BB" w:rsidRPr="00E448BB" w14:paraId="20D873AA" w14:textId="77777777" w:rsidTr="00DE01B7">
        <w:tc>
          <w:tcPr>
            <w:tcW w:w="562" w:type="dxa"/>
          </w:tcPr>
          <w:p w14:paraId="714EBFB6" w14:textId="00838B29" w:rsidR="00E448BB" w:rsidRPr="00E448BB" w:rsidRDefault="00E448BB" w:rsidP="00E448BB">
            <w:pPr>
              <w:pStyle w:val="Akapitzlist"/>
              <w:numPr>
                <w:ilvl w:val="0"/>
                <w:numId w:val="3"/>
              </w:numPr>
              <w:jc w:val="center"/>
              <w:rPr>
                <w:rFonts w:cstheme="minorHAnsi"/>
              </w:rPr>
            </w:pPr>
          </w:p>
        </w:tc>
        <w:tc>
          <w:tcPr>
            <w:tcW w:w="1701" w:type="dxa"/>
          </w:tcPr>
          <w:p w14:paraId="751D8ABF" w14:textId="1BB56C34" w:rsidR="00E448BB" w:rsidRPr="00E448BB" w:rsidRDefault="00E448BB" w:rsidP="00E448BB">
            <w:pPr>
              <w:jc w:val="both"/>
              <w:rPr>
                <w:rFonts w:cstheme="minorHAnsi"/>
              </w:rPr>
            </w:pPr>
            <w:r w:rsidRPr="00E448BB">
              <w:rPr>
                <w:rFonts w:cstheme="minorHAnsi"/>
              </w:rPr>
              <w:t>Konfederacja Lewiatan</w:t>
            </w:r>
          </w:p>
        </w:tc>
        <w:tc>
          <w:tcPr>
            <w:tcW w:w="2694" w:type="dxa"/>
          </w:tcPr>
          <w:p w14:paraId="1A04D724" w14:textId="77777777" w:rsidR="00E448BB" w:rsidRPr="00E448BB" w:rsidRDefault="00E448BB" w:rsidP="00E448BB">
            <w:pPr>
              <w:jc w:val="both"/>
              <w:rPr>
                <w:rFonts w:cstheme="minorHAnsi"/>
              </w:rPr>
            </w:pPr>
            <w:r w:rsidRPr="00E448BB">
              <w:rPr>
                <w:rFonts w:cstheme="minorHAnsi"/>
              </w:rPr>
              <w:t>§ 20 ust. 3</w:t>
            </w:r>
          </w:p>
          <w:p w14:paraId="0960B54E" w14:textId="77777777" w:rsidR="00E448BB" w:rsidRPr="00E448BB" w:rsidRDefault="00E448BB" w:rsidP="00E448BB">
            <w:pPr>
              <w:jc w:val="both"/>
              <w:rPr>
                <w:rFonts w:eastAsia="Lato" w:cstheme="minorHAnsi"/>
              </w:rPr>
            </w:pPr>
          </w:p>
        </w:tc>
        <w:tc>
          <w:tcPr>
            <w:tcW w:w="5103" w:type="dxa"/>
          </w:tcPr>
          <w:p w14:paraId="5E1824CF" w14:textId="46BE4829" w:rsidR="00E448BB" w:rsidRPr="00E448BB" w:rsidRDefault="00E448BB" w:rsidP="00E448BB">
            <w:pPr>
              <w:jc w:val="both"/>
              <w:rPr>
                <w:rFonts w:eastAsia="Lato" w:cstheme="minorHAnsi"/>
              </w:rPr>
            </w:pPr>
            <w:r w:rsidRPr="00E448BB">
              <w:rPr>
                <w:rFonts w:cstheme="minorHAnsi"/>
              </w:rPr>
              <w:t>Zaproponowana w rozporządzeniu zmiana sposobu naliczania opłaty jakościowej jest bardzo korzystnym rozwiązaniem dającym dodatkowe zachęty odbiorcom aktywnym do zmiany profilu zużycia, tak aby pomagać w bilansowaniu systemu. Jednak paragraf 20 ust. 3 może wykluczyć z tego rozwiązania część aktywnych odbiorców, w szczególności odbiorców przemysłowych (w grupach taryfowych C1x), z zainstalowanym LZO i mocą umowną poniżej 16kW. Tacy odbiorcy podejmując decyzje o wdrażaniu rozwiązań umożliwiających zmianę profilu zużycia (np. magazyn energii elektrycznej) opierają swoją decyzję o rachunek ekonomiczny takiego rozwiązania. Im większa będzie zmienność cen, tym rachunek ekonomiczny będzie korzystniejszy i większa będzie skłonność do inwestycji w takie rozwiązania.</w:t>
            </w:r>
          </w:p>
        </w:tc>
        <w:tc>
          <w:tcPr>
            <w:tcW w:w="4252" w:type="dxa"/>
          </w:tcPr>
          <w:p w14:paraId="1DBD099B" w14:textId="77777777" w:rsidR="00052138" w:rsidRDefault="00052138" w:rsidP="00E448BB">
            <w:pPr>
              <w:jc w:val="both"/>
              <w:rPr>
                <w:rFonts w:eastAsia="Calibri" w:cstheme="minorHAnsi"/>
              </w:rPr>
            </w:pPr>
            <w:r>
              <w:rPr>
                <w:rFonts w:eastAsia="Calibri" w:cstheme="minorHAnsi"/>
              </w:rPr>
              <w:t>Propozycja dodania zdania drugiego w brzmieniu:</w:t>
            </w:r>
          </w:p>
          <w:p w14:paraId="5F49113C" w14:textId="57AEF847" w:rsidR="00E448BB" w:rsidRPr="00E448BB" w:rsidRDefault="00052138" w:rsidP="00E448BB">
            <w:pPr>
              <w:jc w:val="both"/>
              <w:rPr>
                <w:rFonts w:eastAsia="Lato" w:cstheme="minorHAnsi"/>
              </w:rPr>
            </w:pPr>
            <w:r>
              <w:rPr>
                <w:rFonts w:eastAsia="Calibri" w:cstheme="minorHAnsi"/>
              </w:rPr>
              <w:t>„</w:t>
            </w:r>
            <w:r w:rsidR="00E448BB" w:rsidRPr="00E448BB">
              <w:rPr>
                <w:rFonts w:eastAsia="Calibri" w:cstheme="minorHAnsi"/>
                <w:b/>
                <w:bCs/>
              </w:rPr>
              <w:t>Odbiorca</w:t>
            </w:r>
            <w:r w:rsidR="00E448BB" w:rsidRPr="00E448BB">
              <w:rPr>
                <w:rFonts w:eastAsia="Calibri" w:cstheme="minorHAnsi"/>
              </w:rPr>
              <w:t xml:space="preserve"> </w:t>
            </w:r>
            <w:r w:rsidR="00E448BB" w:rsidRPr="00E448BB">
              <w:rPr>
                <w:rFonts w:eastAsia="Calibri" w:cstheme="minorHAnsi"/>
                <w:b/>
                <w:bCs/>
              </w:rPr>
              <w:t>końcowy, o którym mowa w art. 89a ust. 1 pkt 1 ustawy z dnia 8 grudnia 2017 r. o rynku mocy</w:t>
            </w:r>
            <w:r w:rsidR="00822A51">
              <w:rPr>
                <w:rFonts w:eastAsia="Calibri" w:cstheme="minorHAnsi"/>
                <w:b/>
                <w:bCs/>
              </w:rPr>
              <w:t>,</w:t>
            </w:r>
            <w:r w:rsidR="00E448BB" w:rsidRPr="00E448BB">
              <w:rPr>
                <w:rFonts w:eastAsia="Calibri" w:cstheme="minorHAnsi"/>
                <w:b/>
                <w:bCs/>
              </w:rPr>
              <w:t xml:space="preserve"> z zainstalowanym </w:t>
            </w:r>
            <w:r w:rsidR="00822A51">
              <w:rPr>
                <w:rFonts w:eastAsia="Calibri" w:cstheme="minorHAnsi"/>
                <w:b/>
                <w:bCs/>
              </w:rPr>
              <w:t>licznikiem zdalnego odczytu</w:t>
            </w:r>
            <w:r w:rsidR="00E448BB" w:rsidRPr="00E448BB">
              <w:rPr>
                <w:rFonts w:eastAsia="Calibri" w:cstheme="minorHAnsi"/>
                <w:b/>
                <w:bCs/>
              </w:rPr>
              <w:t xml:space="preserve">, ma możliwość wyboru pomiędzy stawką rozliczaną jednostrefowo a </w:t>
            </w:r>
            <w:proofErr w:type="spellStart"/>
            <w:r w:rsidR="00E448BB" w:rsidRPr="00E448BB">
              <w:rPr>
                <w:rFonts w:eastAsia="Calibri" w:cstheme="minorHAnsi"/>
                <w:b/>
                <w:bCs/>
              </w:rPr>
              <w:t>wielostrefowo</w:t>
            </w:r>
            <w:proofErr w:type="spellEnd"/>
            <w:r w:rsidR="00E448BB" w:rsidRPr="00E448BB">
              <w:rPr>
                <w:rFonts w:eastAsia="Calibri" w:cstheme="minorHAnsi"/>
                <w:b/>
                <w:bCs/>
              </w:rPr>
              <w:t>.</w:t>
            </w:r>
            <w:r>
              <w:rPr>
                <w:rFonts w:eastAsia="Calibri" w:cstheme="minorHAnsi"/>
                <w:b/>
                <w:bCs/>
              </w:rPr>
              <w:t>”</w:t>
            </w:r>
          </w:p>
        </w:tc>
        <w:tc>
          <w:tcPr>
            <w:tcW w:w="1428" w:type="dxa"/>
          </w:tcPr>
          <w:p w14:paraId="11270431" w14:textId="77777777" w:rsidR="00E448BB" w:rsidRPr="00E448BB" w:rsidRDefault="00E448BB" w:rsidP="00E448BB">
            <w:pPr>
              <w:jc w:val="both"/>
              <w:rPr>
                <w:rFonts w:cstheme="minorHAnsi"/>
              </w:rPr>
            </w:pPr>
          </w:p>
        </w:tc>
      </w:tr>
      <w:tr w:rsidR="00B91BB7" w:rsidRPr="00E448BB" w14:paraId="50E6FC26" w14:textId="77777777" w:rsidTr="00DE01B7">
        <w:tc>
          <w:tcPr>
            <w:tcW w:w="562" w:type="dxa"/>
          </w:tcPr>
          <w:p w14:paraId="72CBEA22" w14:textId="7FE886F8" w:rsidR="00B91BB7" w:rsidRPr="00E448BB" w:rsidRDefault="00B91BB7" w:rsidP="001C647D">
            <w:pPr>
              <w:pStyle w:val="Akapitzlist"/>
              <w:numPr>
                <w:ilvl w:val="0"/>
                <w:numId w:val="3"/>
              </w:numPr>
              <w:rPr>
                <w:rFonts w:cstheme="minorHAnsi"/>
              </w:rPr>
            </w:pPr>
          </w:p>
        </w:tc>
        <w:tc>
          <w:tcPr>
            <w:tcW w:w="1701" w:type="dxa"/>
          </w:tcPr>
          <w:p w14:paraId="3AE4BA74" w14:textId="53C44762" w:rsidR="2B25E90A" w:rsidRPr="00E448BB" w:rsidRDefault="00546D00" w:rsidP="2B25E90A">
            <w:pPr>
              <w:jc w:val="both"/>
              <w:rPr>
                <w:rFonts w:cstheme="minorHAnsi"/>
              </w:rPr>
            </w:pPr>
            <w:r w:rsidRPr="00E448BB">
              <w:rPr>
                <w:rFonts w:cstheme="minorHAnsi"/>
              </w:rPr>
              <w:t>Konfederacja Lewiatan</w:t>
            </w:r>
          </w:p>
        </w:tc>
        <w:tc>
          <w:tcPr>
            <w:tcW w:w="2694" w:type="dxa"/>
          </w:tcPr>
          <w:p w14:paraId="2FD83401" w14:textId="11B3AAB5" w:rsidR="2B25E90A" w:rsidRPr="00E448BB" w:rsidRDefault="2B25E90A" w:rsidP="2B25E90A">
            <w:pPr>
              <w:jc w:val="both"/>
              <w:rPr>
                <w:rFonts w:cstheme="minorHAnsi"/>
              </w:rPr>
            </w:pPr>
            <w:r w:rsidRPr="00E448BB">
              <w:rPr>
                <w:rFonts w:eastAsia="Lato" w:cstheme="minorHAnsi"/>
              </w:rPr>
              <w:t>§ 23 ust. 1 pkt 2 oraz ust. 2-4</w:t>
            </w:r>
          </w:p>
        </w:tc>
        <w:tc>
          <w:tcPr>
            <w:tcW w:w="5103" w:type="dxa"/>
          </w:tcPr>
          <w:p w14:paraId="2AC294D0" w14:textId="73F13309" w:rsidR="2B25E90A" w:rsidRPr="00E448BB" w:rsidRDefault="2B25E90A" w:rsidP="2B25E90A">
            <w:pPr>
              <w:jc w:val="both"/>
              <w:rPr>
                <w:rFonts w:cstheme="minorHAnsi"/>
              </w:rPr>
            </w:pPr>
            <w:r w:rsidRPr="00E448BB">
              <w:rPr>
                <w:rFonts w:eastAsia="Lato" w:cstheme="minorHAnsi"/>
              </w:rPr>
              <w:t xml:space="preserve">Stawki opłat abonamentowych w obrocie mogą być różnicowane </w:t>
            </w:r>
            <w:r w:rsidRPr="00E448BB">
              <w:rPr>
                <w:rFonts w:eastAsia="Lato" w:cstheme="minorHAnsi"/>
                <w:u w:val="single"/>
              </w:rPr>
              <w:t>ze względu na wolumen zużycia rocznego, okres rozliczeniowy lub charakter odbioru</w:t>
            </w:r>
            <w:r w:rsidRPr="00E448BB">
              <w:rPr>
                <w:rFonts w:eastAsia="Lato" w:cstheme="minorHAnsi"/>
              </w:rPr>
              <w:t xml:space="preserve">. </w:t>
            </w:r>
          </w:p>
          <w:p w14:paraId="78A118D4" w14:textId="3DFF6179" w:rsidR="2B25E90A" w:rsidRPr="00E448BB" w:rsidRDefault="2B25E90A" w:rsidP="2B25E90A">
            <w:pPr>
              <w:jc w:val="both"/>
              <w:rPr>
                <w:rFonts w:cstheme="minorHAnsi"/>
              </w:rPr>
            </w:pPr>
            <w:r w:rsidRPr="00E448BB">
              <w:rPr>
                <w:rFonts w:eastAsia="Lato" w:cstheme="minorHAnsi"/>
              </w:rPr>
              <w:lastRenderedPageBreak/>
              <w:t>Naszym zdaniem jest to zbyt szeroka dowolność różnicowania tej opłaty, która może prowadzić do niespójności z dotychczasowym modelem rozliczeń oraz do ryzyka odmiennego traktowania odbiorców o porównywalnych warunkach obsługi. Warto rozważyć doprecyzowanie zasad, aby ograniczyć ryzyko arbitralnego różnicowania stawek.</w:t>
            </w:r>
          </w:p>
          <w:p w14:paraId="1E9A760E" w14:textId="788D14AD" w:rsidR="2B25E90A" w:rsidRPr="00E448BB" w:rsidRDefault="2B25E90A" w:rsidP="2B25E90A">
            <w:pPr>
              <w:jc w:val="both"/>
              <w:rPr>
                <w:rFonts w:cstheme="minorHAnsi"/>
              </w:rPr>
            </w:pPr>
            <w:r w:rsidRPr="00E448BB">
              <w:rPr>
                <w:rFonts w:eastAsia="Lato" w:cstheme="minorHAnsi"/>
              </w:rPr>
              <w:t>Ponadto taki katalog może prowadzić do sytuacji, że w jednym roku zróżnicowanie może mieć miejsce ze względu na wolumen, ale za 2-3 lata już ze względu na okresy rozliczeniowe.</w:t>
            </w:r>
          </w:p>
        </w:tc>
        <w:tc>
          <w:tcPr>
            <w:tcW w:w="4252" w:type="dxa"/>
          </w:tcPr>
          <w:p w14:paraId="2B248668" w14:textId="3BB63A43" w:rsidR="2B25E90A" w:rsidRPr="00E448BB" w:rsidRDefault="2B25E90A" w:rsidP="2B25E90A">
            <w:pPr>
              <w:jc w:val="both"/>
              <w:rPr>
                <w:rFonts w:cstheme="minorHAnsi"/>
              </w:rPr>
            </w:pPr>
            <w:r w:rsidRPr="00E448BB">
              <w:rPr>
                <w:rFonts w:eastAsia="Lato" w:cstheme="minorHAnsi"/>
              </w:rPr>
              <w:lastRenderedPageBreak/>
              <w:t xml:space="preserve"> </w:t>
            </w:r>
          </w:p>
        </w:tc>
        <w:tc>
          <w:tcPr>
            <w:tcW w:w="1428" w:type="dxa"/>
          </w:tcPr>
          <w:p w14:paraId="5D16DB46" w14:textId="77777777" w:rsidR="00B91BB7" w:rsidRPr="00E448BB" w:rsidRDefault="00B91BB7" w:rsidP="008B766F">
            <w:pPr>
              <w:jc w:val="both"/>
              <w:rPr>
                <w:rFonts w:cstheme="minorHAnsi"/>
              </w:rPr>
            </w:pPr>
          </w:p>
        </w:tc>
      </w:tr>
      <w:tr w:rsidR="00B91BB7" w:rsidRPr="00E448BB" w14:paraId="0B5199B1" w14:textId="77777777" w:rsidTr="00DE01B7">
        <w:tc>
          <w:tcPr>
            <w:tcW w:w="562" w:type="dxa"/>
          </w:tcPr>
          <w:p w14:paraId="486410FA" w14:textId="168ED168" w:rsidR="00B91BB7" w:rsidRPr="00E448BB" w:rsidRDefault="00B91BB7" w:rsidP="00E448BB">
            <w:pPr>
              <w:pStyle w:val="Akapitzlist"/>
              <w:numPr>
                <w:ilvl w:val="0"/>
                <w:numId w:val="3"/>
              </w:numPr>
              <w:jc w:val="center"/>
              <w:rPr>
                <w:rFonts w:cstheme="minorHAnsi"/>
              </w:rPr>
            </w:pPr>
          </w:p>
        </w:tc>
        <w:tc>
          <w:tcPr>
            <w:tcW w:w="1701" w:type="dxa"/>
          </w:tcPr>
          <w:p w14:paraId="2CBB889A" w14:textId="0BA7DE7F" w:rsidR="2B25E90A" w:rsidRPr="00E448BB" w:rsidRDefault="00FD42E2" w:rsidP="2B25E90A">
            <w:pPr>
              <w:jc w:val="both"/>
              <w:rPr>
                <w:rFonts w:cstheme="minorHAnsi"/>
              </w:rPr>
            </w:pPr>
            <w:r w:rsidRPr="00E448BB">
              <w:rPr>
                <w:rFonts w:cstheme="minorHAnsi"/>
              </w:rPr>
              <w:t>Konfederacja Lewiatan</w:t>
            </w:r>
          </w:p>
        </w:tc>
        <w:tc>
          <w:tcPr>
            <w:tcW w:w="2694" w:type="dxa"/>
          </w:tcPr>
          <w:p w14:paraId="17FE1BDE" w14:textId="23777159" w:rsidR="2B25E90A" w:rsidRPr="00E448BB" w:rsidRDefault="2B25E90A" w:rsidP="2B25E90A">
            <w:pPr>
              <w:jc w:val="both"/>
              <w:rPr>
                <w:rFonts w:cstheme="minorHAnsi"/>
              </w:rPr>
            </w:pPr>
            <w:r w:rsidRPr="00E448BB">
              <w:rPr>
                <w:rFonts w:eastAsia="Lato" w:cstheme="minorHAnsi"/>
              </w:rPr>
              <w:t>§23 ust. 3</w:t>
            </w:r>
          </w:p>
        </w:tc>
        <w:tc>
          <w:tcPr>
            <w:tcW w:w="5103" w:type="dxa"/>
          </w:tcPr>
          <w:p w14:paraId="684113AC" w14:textId="75098FE0" w:rsidR="2B25E90A" w:rsidRPr="00E448BB" w:rsidRDefault="2B25E90A" w:rsidP="2B25E90A">
            <w:pPr>
              <w:jc w:val="both"/>
              <w:rPr>
                <w:rFonts w:cstheme="minorHAnsi"/>
              </w:rPr>
            </w:pPr>
            <w:r w:rsidRPr="00E448BB">
              <w:rPr>
                <w:rFonts w:eastAsia="Lato" w:cstheme="minorHAnsi"/>
              </w:rPr>
              <w:t xml:space="preserve">Opłata abonamentowa ma pokrywać m.in. koszty obsługi handlowej związanej z obrotem energią elektryczną. Koszty te nie powstają proporcjonalnie do liczby dni obowiązywania umowy z odbiorcą w danym miesiącu. Zasadne jest zatem wprowadzenie zasady wskazującej, że opłata abonamentowa jest naliczana na każdy układ pomiarowo-rozliczeniowy za każdy miesiąc, niezależnie od liczby dni obowiązywania umowy z odbiorcą końcowym w danym miesiącu. </w:t>
            </w:r>
          </w:p>
        </w:tc>
        <w:tc>
          <w:tcPr>
            <w:tcW w:w="4252" w:type="dxa"/>
          </w:tcPr>
          <w:p w14:paraId="1BEEB7AE" w14:textId="2101F04B" w:rsidR="2B25E90A" w:rsidRPr="00E448BB" w:rsidRDefault="2B25E90A" w:rsidP="2B25E90A">
            <w:pPr>
              <w:jc w:val="both"/>
              <w:rPr>
                <w:rFonts w:cstheme="minorHAnsi"/>
              </w:rPr>
            </w:pPr>
            <w:r w:rsidRPr="00E448BB">
              <w:rPr>
                <w:rFonts w:eastAsia="Lato" w:cstheme="minorHAnsi"/>
                <w:i/>
                <w:iCs/>
              </w:rPr>
              <w:t xml:space="preserve">3.  Opłatę abonamentową nalicza się za każdy miesiąc na każdy układ pomiarowo-rozliczeniowy, </w:t>
            </w:r>
            <w:r w:rsidRPr="000C748C">
              <w:rPr>
                <w:rFonts w:eastAsia="Lato" w:cstheme="minorHAnsi"/>
                <w:b/>
                <w:bCs/>
                <w:i/>
                <w:iCs/>
              </w:rPr>
              <w:t>niezależnie od liczby</w:t>
            </w:r>
            <w:r w:rsidRPr="00E448BB">
              <w:rPr>
                <w:rFonts w:eastAsia="Lato" w:cstheme="minorHAnsi"/>
                <w:i/>
                <w:iCs/>
              </w:rPr>
              <w:t xml:space="preserve"> dni obowiązywania umowy z odbiorcą końcowym w danym miesiącu.</w:t>
            </w:r>
          </w:p>
        </w:tc>
        <w:tc>
          <w:tcPr>
            <w:tcW w:w="1428" w:type="dxa"/>
          </w:tcPr>
          <w:p w14:paraId="2EFBC216" w14:textId="77777777" w:rsidR="00B91BB7" w:rsidRPr="00E448BB" w:rsidRDefault="00B91BB7" w:rsidP="008B766F">
            <w:pPr>
              <w:jc w:val="both"/>
              <w:rPr>
                <w:rFonts w:cstheme="minorHAnsi"/>
              </w:rPr>
            </w:pPr>
          </w:p>
        </w:tc>
      </w:tr>
      <w:tr w:rsidR="005B3640" w:rsidRPr="00E448BB" w14:paraId="5864F2CC" w14:textId="77777777" w:rsidTr="00DE01B7">
        <w:tc>
          <w:tcPr>
            <w:tcW w:w="562" w:type="dxa"/>
          </w:tcPr>
          <w:p w14:paraId="65CC19FF" w14:textId="77777777" w:rsidR="005B3640" w:rsidRPr="00E448BB" w:rsidRDefault="005B3640" w:rsidP="005B3640">
            <w:pPr>
              <w:pStyle w:val="Akapitzlist"/>
              <w:numPr>
                <w:ilvl w:val="0"/>
                <w:numId w:val="3"/>
              </w:numPr>
              <w:jc w:val="center"/>
              <w:rPr>
                <w:rFonts w:cstheme="minorHAnsi"/>
              </w:rPr>
            </w:pPr>
          </w:p>
        </w:tc>
        <w:tc>
          <w:tcPr>
            <w:tcW w:w="1701" w:type="dxa"/>
          </w:tcPr>
          <w:p w14:paraId="620E3403" w14:textId="7E13B37D" w:rsidR="005B3640" w:rsidRPr="00E448BB" w:rsidRDefault="005B3640" w:rsidP="005B3640">
            <w:pPr>
              <w:jc w:val="both"/>
              <w:rPr>
                <w:rFonts w:eastAsia="Lato" w:cstheme="minorHAnsi"/>
              </w:rPr>
            </w:pPr>
            <w:r w:rsidRPr="00E448BB">
              <w:rPr>
                <w:rFonts w:cstheme="minorHAnsi"/>
              </w:rPr>
              <w:t>Konfederacja Lewiatan</w:t>
            </w:r>
          </w:p>
        </w:tc>
        <w:tc>
          <w:tcPr>
            <w:tcW w:w="2694" w:type="dxa"/>
          </w:tcPr>
          <w:p w14:paraId="55EE31E7" w14:textId="54D9B8DF" w:rsidR="005B3640" w:rsidRPr="00E448BB" w:rsidRDefault="005B3640" w:rsidP="005B3640">
            <w:pPr>
              <w:jc w:val="both"/>
              <w:rPr>
                <w:rFonts w:eastAsia="Lato" w:cstheme="minorHAnsi"/>
              </w:rPr>
            </w:pPr>
            <w:r w:rsidRPr="00E448BB">
              <w:rPr>
                <w:rFonts w:cstheme="minorHAnsi"/>
              </w:rPr>
              <w:t>§ 32 ust. 8 (</w:t>
            </w:r>
            <w:r>
              <w:rPr>
                <w:rFonts w:cstheme="minorHAnsi"/>
              </w:rPr>
              <w:t>propozycja dodania nowego przepisu</w:t>
            </w:r>
            <w:r w:rsidRPr="00E448BB">
              <w:rPr>
                <w:rFonts w:cstheme="minorHAnsi"/>
              </w:rPr>
              <w:t>)</w:t>
            </w:r>
          </w:p>
        </w:tc>
        <w:tc>
          <w:tcPr>
            <w:tcW w:w="5103" w:type="dxa"/>
          </w:tcPr>
          <w:p w14:paraId="3F962398" w14:textId="77777777" w:rsidR="005B3640" w:rsidRPr="00E448BB" w:rsidRDefault="005B3640" w:rsidP="005B3640">
            <w:pPr>
              <w:jc w:val="both"/>
              <w:rPr>
                <w:rFonts w:cstheme="minorHAnsi"/>
              </w:rPr>
            </w:pPr>
            <w:r w:rsidRPr="00E448BB">
              <w:rPr>
                <w:rFonts w:eastAsia="Calibri" w:cstheme="minorHAnsi"/>
              </w:rPr>
              <w:t>Projekt utrzymuje mechanizm współczynnika K dla magazynów energii, jednak nie zapewnia odpowiedniego odzwierciedlenia skutków jego stosowania w rozliczeniach pomiędzy operatorami systemów elektroenergetycznych. W efekcie koszty wynikające z redukcji opłat stałych dla magazynów energii mogą pozostawać po stronie operatora sieci, do której magazyn jest bezpośrednio przyłączony.</w:t>
            </w:r>
          </w:p>
          <w:p w14:paraId="7DE05D39" w14:textId="77777777" w:rsidR="005B3640" w:rsidRPr="00E448BB" w:rsidRDefault="005B3640" w:rsidP="005B3640">
            <w:pPr>
              <w:jc w:val="both"/>
              <w:rPr>
                <w:rFonts w:cstheme="minorHAnsi"/>
              </w:rPr>
            </w:pPr>
            <w:r w:rsidRPr="00E448BB">
              <w:rPr>
                <w:rFonts w:eastAsia="Calibri" w:cstheme="minorHAnsi"/>
              </w:rPr>
              <w:t xml:space="preserve">Korzyści wynikające z funkcjonowania magazynów energii mają charakter ogólnosystemowy. Magazyny przyczyniają się do ograniczania obciążeń sieciowych, poprawy elastyczności pracy systemu, zmniejszenia zapotrzebowania na rozbudowę infrastruktury oraz wspierają integrację odnawialnych źródeł energii. Z tego względu koszty wynikające ze stosowania </w:t>
            </w:r>
            <w:r w:rsidRPr="00E448BB">
              <w:rPr>
                <w:rFonts w:eastAsia="Calibri" w:cstheme="minorHAnsi"/>
              </w:rPr>
              <w:lastRenderedPageBreak/>
              <w:t>współczynnika K nie powinny być alokowane wyłącznie do operatora, do którego przyłączony jest magazyn energii.</w:t>
            </w:r>
          </w:p>
          <w:p w14:paraId="2DFD4A74" w14:textId="23656033" w:rsidR="005B3640" w:rsidRPr="00E448BB" w:rsidRDefault="005B3640" w:rsidP="005B3640">
            <w:pPr>
              <w:jc w:val="both"/>
              <w:rPr>
                <w:rFonts w:eastAsia="Lato" w:cstheme="minorHAnsi"/>
              </w:rPr>
            </w:pPr>
            <w:r w:rsidRPr="00E448BB">
              <w:rPr>
                <w:rFonts w:eastAsia="Calibri" w:cstheme="minorHAnsi"/>
              </w:rPr>
              <w:t>Zasadne wydaje się wprowadzenie mechanizmu umożliwiającego uwzględnienie skutków stosowania współczynnika K również na poziomie rozliczeń pomiędzy operatorami, tak aby koszt preferencyjnego traktowania magazynów energii był rozłożony w sposób neutralny i proporcjonalny pomiędzy użytkowników krajowego systemu elektroenergetycznego.</w:t>
            </w:r>
          </w:p>
        </w:tc>
        <w:tc>
          <w:tcPr>
            <w:tcW w:w="4252" w:type="dxa"/>
          </w:tcPr>
          <w:p w14:paraId="03284E30" w14:textId="77777777" w:rsidR="005B3640" w:rsidRPr="00E448BB" w:rsidRDefault="005B3640" w:rsidP="005B3640">
            <w:pPr>
              <w:jc w:val="both"/>
              <w:rPr>
                <w:rFonts w:cstheme="minorHAnsi"/>
              </w:rPr>
            </w:pPr>
            <w:r w:rsidRPr="00E448BB">
              <w:rPr>
                <w:rFonts w:cstheme="minorHAnsi"/>
              </w:rPr>
              <w:lastRenderedPageBreak/>
              <w:t>8. W przypadku magazynu energii elektrycznej przyłączonego do sieci operatora systemu dystrybucyjnego elektroenergetycznego skutki zastosowania współczynnika K, o którym mowa w ust. 4, uwzględnia się odpowiednio w rozliczeniach pomiędzy tym operatorem a operatorem systemu przesyłowego elektroenergetycznego, w zakresie, w jakim dotyczą one mocy umownej oraz energii elektrycznej związanych z pobieraniem energii elektrycznej z sieci i wprowadzaniem jej do sieci przez ten magazyn energii elektrycznej.</w:t>
            </w:r>
          </w:p>
          <w:p w14:paraId="691E0E51" w14:textId="77777777" w:rsidR="005B3640" w:rsidRPr="00E448BB" w:rsidRDefault="005B3640" w:rsidP="005B3640">
            <w:pPr>
              <w:jc w:val="both"/>
              <w:rPr>
                <w:rFonts w:eastAsia="Lato" w:cstheme="minorHAnsi"/>
                <w:i/>
                <w:iCs/>
              </w:rPr>
            </w:pPr>
          </w:p>
        </w:tc>
        <w:tc>
          <w:tcPr>
            <w:tcW w:w="1428" w:type="dxa"/>
          </w:tcPr>
          <w:p w14:paraId="411832E3" w14:textId="77777777" w:rsidR="005B3640" w:rsidRPr="00E448BB" w:rsidRDefault="005B3640" w:rsidP="005B3640">
            <w:pPr>
              <w:jc w:val="both"/>
              <w:rPr>
                <w:rFonts w:cstheme="minorHAnsi"/>
              </w:rPr>
            </w:pPr>
          </w:p>
        </w:tc>
      </w:tr>
      <w:tr w:rsidR="2B25E90A" w:rsidRPr="00E448BB" w14:paraId="2B8A1C53" w14:textId="77777777" w:rsidTr="00DE01B7">
        <w:trPr>
          <w:trHeight w:val="300"/>
        </w:trPr>
        <w:tc>
          <w:tcPr>
            <w:tcW w:w="562" w:type="dxa"/>
          </w:tcPr>
          <w:p w14:paraId="74F272D4" w14:textId="221A0BCD" w:rsidR="2B25E90A" w:rsidRPr="00E448BB" w:rsidRDefault="2B25E90A" w:rsidP="00E448BB">
            <w:pPr>
              <w:pStyle w:val="Akapitzlist"/>
              <w:numPr>
                <w:ilvl w:val="0"/>
                <w:numId w:val="3"/>
              </w:numPr>
              <w:jc w:val="center"/>
              <w:rPr>
                <w:rFonts w:cstheme="minorHAnsi"/>
              </w:rPr>
            </w:pPr>
          </w:p>
        </w:tc>
        <w:tc>
          <w:tcPr>
            <w:tcW w:w="1701" w:type="dxa"/>
          </w:tcPr>
          <w:p w14:paraId="61383273" w14:textId="6262DE3E" w:rsidR="2B25E90A" w:rsidRPr="00E448BB" w:rsidRDefault="00FD42E2" w:rsidP="2B25E90A">
            <w:pPr>
              <w:jc w:val="both"/>
              <w:rPr>
                <w:rFonts w:cstheme="minorHAnsi"/>
              </w:rPr>
            </w:pPr>
            <w:r w:rsidRPr="00E448BB">
              <w:rPr>
                <w:rFonts w:cstheme="minorHAnsi"/>
              </w:rPr>
              <w:t>Konfederacja Lewiatan</w:t>
            </w:r>
          </w:p>
        </w:tc>
        <w:tc>
          <w:tcPr>
            <w:tcW w:w="2694" w:type="dxa"/>
          </w:tcPr>
          <w:p w14:paraId="1B865443" w14:textId="79C4DC7F" w:rsidR="2B25E90A" w:rsidRPr="00E448BB" w:rsidRDefault="2B25E90A" w:rsidP="2B25E90A">
            <w:pPr>
              <w:jc w:val="both"/>
              <w:rPr>
                <w:rFonts w:cstheme="minorHAnsi"/>
              </w:rPr>
            </w:pPr>
            <w:r w:rsidRPr="00E448BB">
              <w:rPr>
                <w:rFonts w:eastAsia="Lato" w:cstheme="minorHAnsi"/>
              </w:rPr>
              <w:t>§ 39 ust. 1</w:t>
            </w:r>
          </w:p>
        </w:tc>
        <w:tc>
          <w:tcPr>
            <w:tcW w:w="5103" w:type="dxa"/>
          </w:tcPr>
          <w:p w14:paraId="63080525" w14:textId="2E917BAF" w:rsidR="2B25E90A" w:rsidRPr="00E448BB" w:rsidRDefault="2B25E90A" w:rsidP="2B25E90A">
            <w:pPr>
              <w:jc w:val="both"/>
              <w:rPr>
                <w:rFonts w:cstheme="minorHAnsi"/>
              </w:rPr>
            </w:pPr>
            <w:r w:rsidRPr="00E448BB">
              <w:rPr>
                <w:rFonts w:eastAsia="Lato" w:cstheme="minorHAnsi"/>
              </w:rPr>
              <w:t>W związku z projektowaną zmianą dotyczącą opłaty abonamentowej zasadne jest doprecyzowanie w której taryfie powinny być określane okresy rozliczeniowe. Brak takiego doprecyzowania może powodować wątpliwości czy okresy rozliczeniowe pozostają elementem taryf OSD</w:t>
            </w:r>
            <w:r w:rsidR="00ED6E42">
              <w:rPr>
                <w:rFonts w:eastAsia="Lato" w:cstheme="minorHAnsi"/>
              </w:rPr>
              <w:t>.</w:t>
            </w:r>
          </w:p>
        </w:tc>
        <w:tc>
          <w:tcPr>
            <w:tcW w:w="4252" w:type="dxa"/>
          </w:tcPr>
          <w:p w14:paraId="2B90B0B7" w14:textId="32585504" w:rsidR="2B25E90A" w:rsidRPr="00E448BB" w:rsidRDefault="2B25E90A" w:rsidP="2B25E90A">
            <w:pPr>
              <w:jc w:val="both"/>
              <w:rPr>
                <w:rFonts w:cstheme="minorHAnsi"/>
              </w:rPr>
            </w:pPr>
            <w:r w:rsidRPr="00E448BB">
              <w:rPr>
                <w:rFonts w:eastAsia="Lato" w:cstheme="minorHAnsi"/>
              </w:rPr>
              <w:t>Propozycja modyfikacji:</w:t>
            </w:r>
          </w:p>
          <w:p w14:paraId="22626725" w14:textId="45F9ADA9" w:rsidR="2B25E90A" w:rsidRPr="00E448BB" w:rsidRDefault="2B25E90A" w:rsidP="2B25E90A">
            <w:pPr>
              <w:jc w:val="both"/>
              <w:rPr>
                <w:rFonts w:cstheme="minorHAnsi"/>
              </w:rPr>
            </w:pPr>
            <w:r w:rsidRPr="00E448BB">
              <w:rPr>
                <w:rFonts w:eastAsia="Lato" w:cstheme="minorHAnsi"/>
                <w:i/>
                <w:iCs/>
              </w:rPr>
              <w:t>„1.</w:t>
            </w:r>
            <w:r w:rsidRPr="00E448BB">
              <w:rPr>
                <w:rFonts w:eastAsia="Lato" w:cstheme="minorHAnsi"/>
              </w:rPr>
              <w:t xml:space="preserve"> </w:t>
            </w:r>
            <w:r w:rsidRPr="00E448BB">
              <w:rPr>
                <w:rFonts w:eastAsia="Lato" w:cstheme="minorHAnsi"/>
                <w:i/>
                <w:iCs/>
              </w:rPr>
              <w:t xml:space="preserve">Rozliczeń z odbiorcami za dostarczaną energię elektryczną i świadczone usługi przesyłania lub dystrybucji energii elektrycznej albo usługi kompleksowe dokonuje się w okresach rozliczeniowych określonych </w:t>
            </w:r>
            <w:r w:rsidRPr="00E448BB">
              <w:rPr>
                <w:rFonts w:eastAsia="Lato" w:cstheme="minorHAnsi"/>
                <w:b/>
                <w:bCs/>
                <w:i/>
                <w:iCs/>
              </w:rPr>
              <w:t xml:space="preserve">odpowiednio </w:t>
            </w:r>
            <w:r w:rsidRPr="00E448BB">
              <w:rPr>
                <w:rFonts w:eastAsia="Lato" w:cstheme="minorHAnsi"/>
                <w:i/>
                <w:iCs/>
              </w:rPr>
              <w:t>w taryfie</w:t>
            </w:r>
            <w:r w:rsidRPr="00E448BB">
              <w:rPr>
                <w:rFonts w:eastAsia="Lato" w:cstheme="minorHAnsi"/>
                <w:b/>
                <w:bCs/>
                <w:i/>
                <w:iCs/>
              </w:rPr>
              <w:t xml:space="preserve"> przedsiębiorstwa wykonującego działalność w zakresie przesyłania lub dystrybucji energii elektrycznej</w:t>
            </w:r>
            <w:r w:rsidRPr="00E448BB">
              <w:rPr>
                <w:rFonts w:eastAsia="Lato" w:cstheme="minorHAnsi"/>
                <w:i/>
                <w:iCs/>
              </w:rPr>
              <w:t xml:space="preserve"> </w:t>
            </w:r>
            <w:r w:rsidRPr="00E448BB">
              <w:rPr>
                <w:rFonts w:eastAsia="Lato" w:cstheme="minorHAnsi"/>
                <w:b/>
                <w:bCs/>
                <w:i/>
                <w:iCs/>
              </w:rPr>
              <w:t>oraz</w:t>
            </w:r>
            <w:r w:rsidRPr="00E448BB">
              <w:rPr>
                <w:rFonts w:eastAsia="Lato" w:cstheme="minorHAnsi"/>
                <w:i/>
                <w:iCs/>
              </w:rPr>
              <w:t xml:space="preserve"> </w:t>
            </w:r>
            <w:r w:rsidRPr="00E448BB">
              <w:rPr>
                <w:rFonts w:eastAsia="Lato" w:cstheme="minorHAnsi"/>
                <w:i/>
                <w:iCs/>
                <w:strike/>
              </w:rPr>
              <w:t>i</w:t>
            </w:r>
            <w:r w:rsidRPr="00E448BB">
              <w:rPr>
                <w:rFonts w:eastAsia="Lato" w:cstheme="minorHAnsi"/>
                <w:i/>
                <w:iCs/>
              </w:rPr>
              <w:t xml:space="preserve"> uzgodnionych w zawartej umowie (...)”</w:t>
            </w:r>
            <w:r w:rsidR="00ED6E42">
              <w:rPr>
                <w:rFonts w:cstheme="minorHAnsi"/>
              </w:rPr>
              <w:t>.</w:t>
            </w:r>
          </w:p>
        </w:tc>
        <w:tc>
          <w:tcPr>
            <w:tcW w:w="1428" w:type="dxa"/>
          </w:tcPr>
          <w:p w14:paraId="1C57E10F" w14:textId="23C326DA" w:rsidR="2B25E90A" w:rsidRPr="00E448BB" w:rsidRDefault="2B25E90A" w:rsidP="2B25E90A">
            <w:pPr>
              <w:jc w:val="both"/>
              <w:rPr>
                <w:rFonts w:cstheme="minorHAnsi"/>
              </w:rPr>
            </w:pPr>
          </w:p>
        </w:tc>
      </w:tr>
      <w:tr w:rsidR="2B25E90A" w:rsidRPr="00E448BB" w14:paraId="0C027827" w14:textId="77777777" w:rsidTr="00DE01B7">
        <w:trPr>
          <w:trHeight w:val="300"/>
        </w:trPr>
        <w:tc>
          <w:tcPr>
            <w:tcW w:w="562" w:type="dxa"/>
          </w:tcPr>
          <w:p w14:paraId="2E9D5D6B" w14:textId="7F8C88AE" w:rsidR="2B25E90A" w:rsidRPr="00E448BB" w:rsidRDefault="2B25E90A" w:rsidP="00E448BB">
            <w:pPr>
              <w:pStyle w:val="Akapitzlist"/>
              <w:numPr>
                <w:ilvl w:val="0"/>
                <w:numId w:val="3"/>
              </w:numPr>
              <w:jc w:val="center"/>
              <w:rPr>
                <w:rFonts w:cstheme="minorHAnsi"/>
              </w:rPr>
            </w:pPr>
          </w:p>
        </w:tc>
        <w:tc>
          <w:tcPr>
            <w:tcW w:w="1701" w:type="dxa"/>
          </w:tcPr>
          <w:p w14:paraId="1D164BA2" w14:textId="1B771E49" w:rsidR="2B25E90A" w:rsidRPr="00E448BB" w:rsidRDefault="00FD42E2" w:rsidP="2B25E90A">
            <w:pPr>
              <w:jc w:val="both"/>
              <w:rPr>
                <w:rFonts w:cstheme="minorHAnsi"/>
              </w:rPr>
            </w:pPr>
            <w:r w:rsidRPr="00E448BB">
              <w:rPr>
                <w:rFonts w:cstheme="minorHAnsi"/>
              </w:rPr>
              <w:t>Konfederacja Lewiatan</w:t>
            </w:r>
          </w:p>
        </w:tc>
        <w:tc>
          <w:tcPr>
            <w:tcW w:w="2694" w:type="dxa"/>
          </w:tcPr>
          <w:p w14:paraId="4563392D" w14:textId="7E6C53D4" w:rsidR="2B25E90A" w:rsidRPr="00E448BB" w:rsidRDefault="2B25E90A" w:rsidP="2B25E90A">
            <w:pPr>
              <w:jc w:val="both"/>
              <w:rPr>
                <w:rFonts w:cstheme="minorHAnsi"/>
              </w:rPr>
            </w:pPr>
            <w:r w:rsidRPr="00E448BB">
              <w:rPr>
                <w:rFonts w:eastAsia="Lato" w:cstheme="minorHAnsi"/>
              </w:rPr>
              <w:t>§ 39 ust. 5</w:t>
            </w:r>
          </w:p>
        </w:tc>
        <w:tc>
          <w:tcPr>
            <w:tcW w:w="5103" w:type="dxa"/>
          </w:tcPr>
          <w:p w14:paraId="1554DB32" w14:textId="57EA0455" w:rsidR="2B25E90A" w:rsidRPr="00E448BB" w:rsidRDefault="2B25E90A" w:rsidP="2B25E90A">
            <w:pPr>
              <w:jc w:val="both"/>
              <w:rPr>
                <w:rFonts w:cstheme="minorHAnsi"/>
              </w:rPr>
            </w:pPr>
            <w:r w:rsidRPr="00E448BB">
              <w:rPr>
                <w:rFonts w:eastAsia="Lato" w:cstheme="minorHAnsi"/>
              </w:rPr>
              <w:t>Brzmienie przepisu z § 39 ust. 5 nakładającego na sprzedawców energii elektrycznej obowiązek poinformowania odbiorcy końcowego o możliwości przejścia na rozliczenie według rzeczywistych odczytów urządzeń pomiarowo-rozliczeniowych, wymaga doprecyzowania zakresu i sposobu jego realizacji. Obecna redakcja wskazuje jedynie na obowiązek poinformowania, nie określając jednak w sposób jednoznaczny momentu realizacji obowiązku informacyjnego, formy przekazania informacji, częstotliwości przekazywania informacji czy zakresu informacji, które powinny zostać przekazane odbiorcy.</w:t>
            </w:r>
          </w:p>
          <w:p w14:paraId="68113781" w14:textId="3AE43A0A" w:rsidR="2B25E90A" w:rsidRPr="00E448BB" w:rsidRDefault="2B25E90A" w:rsidP="2B25E90A">
            <w:pPr>
              <w:jc w:val="both"/>
              <w:rPr>
                <w:rFonts w:cstheme="minorHAnsi"/>
              </w:rPr>
            </w:pPr>
            <w:r w:rsidRPr="00E448BB">
              <w:rPr>
                <w:rFonts w:eastAsia="Lato" w:cstheme="minorHAnsi"/>
              </w:rPr>
              <w:t xml:space="preserve"> </w:t>
            </w:r>
          </w:p>
          <w:p w14:paraId="196CCADB" w14:textId="4786F280" w:rsidR="2B25E90A" w:rsidRPr="00E448BB" w:rsidRDefault="2B25E90A" w:rsidP="2B25E90A">
            <w:pPr>
              <w:jc w:val="both"/>
              <w:rPr>
                <w:rFonts w:cstheme="minorHAnsi"/>
              </w:rPr>
            </w:pPr>
            <w:r w:rsidRPr="00E448BB">
              <w:rPr>
                <w:rFonts w:eastAsia="Lato" w:cstheme="minorHAnsi"/>
              </w:rPr>
              <w:lastRenderedPageBreak/>
              <w:t xml:space="preserve">Brak doprecyzowania może prowadzić do rozbieżności interpretacyjnych oraz niejednolitego stosowania przepisów przez sprzedawców energii elektrycznej, a także utrudniać ocenę prawidłowości wykonania obowiązku. </w:t>
            </w:r>
          </w:p>
          <w:p w14:paraId="7A0BCFA2" w14:textId="2758F291" w:rsidR="2B25E90A" w:rsidRPr="00E448BB" w:rsidRDefault="2B25E90A" w:rsidP="2B25E90A">
            <w:pPr>
              <w:jc w:val="both"/>
              <w:rPr>
                <w:rFonts w:cstheme="minorHAnsi"/>
              </w:rPr>
            </w:pPr>
            <w:r w:rsidRPr="00E448BB">
              <w:rPr>
                <w:rFonts w:eastAsia="Lato" w:cstheme="minorHAnsi"/>
              </w:rPr>
              <w:t xml:space="preserve"> </w:t>
            </w:r>
          </w:p>
        </w:tc>
        <w:tc>
          <w:tcPr>
            <w:tcW w:w="4252" w:type="dxa"/>
          </w:tcPr>
          <w:p w14:paraId="76FE3B19" w14:textId="47ED68C3" w:rsidR="2B25E90A" w:rsidRPr="00E448BB" w:rsidRDefault="2B25E90A" w:rsidP="2B25E90A">
            <w:pPr>
              <w:jc w:val="both"/>
              <w:rPr>
                <w:rFonts w:cstheme="minorHAnsi"/>
              </w:rPr>
            </w:pPr>
            <w:r w:rsidRPr="00E448BB">
              <w:rPr>
                <w:rFonts w:eastAsia="Lato" w:cstheme="minorHAnsi"/>
              </w:rPr>
              <w:lastRenderedPageBreak/>
              <w:t>Proponujemy uzupełnienie przepisu o jednoznaczne określenie:</w:t>
            </w:r>
          </w:p>
          <w:p w14:paraId="638BE307" w14:textId="494084DE" w:rsidR="2B25E90A" w:rsidRPr="00E448BB" w:rsidRDefault="2B25E90A" w:rsidP="2B25E90A">
            <w:pPr>
              <w:pStyle w:val="Akapitzlist"/>
              <w:numPr>
                <w:ilvl w:val="0"/>
                <w:numId w:val="2"/>
              </w:numPr>
              <w:tabs>
                <w:tab w:val="left" w:pos="0"/>
                <w:tab w:val="left" w:pos="720"/>
              </w:tabs>
              <w:jc w:val="both"/>
              <w:rPr>
                <w:rFonts w:eastAsia="Lato" w:cstheme="minorHAnsi"/>
              </w:rPr>
            </w:pPr>
            <w:r w:rsidRPr="00E448BB">
              <w:rPr>
                <w:rFonts w:eastAsia="Lato" w:cstheme="minorHAnsi"/>
              </w:rPr>
              <w:t>trybu i terminu realizacji obowiązku informacyjnego,</w:t>
            </w:r>
          </w:p>
          <w:p w14:paraId="0479327F" w14:textId="05905426" w:rsidR="2B25E90A" w:rsidRPr="00E448BB" w:rsidRDefault="2B25E90A" w:rsidP="2B25E90A">
            <w:pPr>
              <w:pStyle w:val="Akapitzlist"/>
              <w:numPr>
                <w:ilvl w:val="0"/>
                <w:numId w:val="2"/>
              </w:numPr>
              <w:tabs>
                <w:tab w:val="left" w:pos="0"/>
                <w:tab w:val="left" w:pos="720"/>
              </w:tabs>
              <w:jc w:val="both"/>
              <w:rPr>
                <w:rFonts w:eastAsia="Lato" w:cstheme="minorHAnsi"/>
              </w:rPr>
            </w:pPr>
            <w:r w:rsidRPr="00E448BB">
              <w:rPr>
                <w:rFonts w:eastAsia="Lato" w:cstheme="minorHAnsi"/>
              </w:rPr>
              <w:t>minimalnego zakresu przekazywanej informacji,</w:t>
            </w:r>
          </w:p>
          <w:p w14:paraId="0D8EDB86" w14:textId="37BD748F" w:rsidR="2B25E90A" w:rsidRPr="00E448BB" w:rsidRDefault="2B25E90A" w:rsidP="2B25E90A">
            <w:pPr>
              <w:pStyle w:val="Akapitzlist"/>
              <w:numPr>
                <w:ilvl w:val="0"/>
                <w:numId w:val="2"/>
              </w:numPr>
              <w:tabs>
                <w:tab w:val="left" w:pos="0"/>
                <w:tab w:val="left" w:pos="720"/>
              </w:tabs>
              <w:jc w:val="both"/>
              <w:rPr>
                <w:rFonts w:eastAsia="Lato" w:cstheme="minorHAnsi"/>
              </w:rPr>
            </w:pPr>
            <w:r w:rsidRPr="00E448BB">
              <w:rPr>
                <w:rFonts w:eastAsia="Lato" w:cstheme="minorHAnsi"/>
              </w:rPr>
              <w:t>dopuszczalnych kanałów komunikacji z odbiorcą.</w:t>
            </w:r>
          </w:p>
          <w:p w14:paraId="6729F442" w14:textId="3EB801EA" w:rsidR="2B25E90A" w:rsidRPr="00E448BB" w:rsidRDefault="2B25E90A" w:rsidP="2B25E90A">
            <w:pPr>
              <w:jc w:val="both"/>
              <w:rPr>
                <w:rFonts w:cstheme="minorHAnsi"/>
              </w:rPr>
            </w:pPr>
            <w:r w:rsidRPr="00E448BB">
              <w:rPr>
                <w:rFonts w:eastAsia="Lato" w:cstheme="minorHAnsi"/>
              </w:rPr>
              <w:t>W szczególności wskazanie czy obowiązek powinien być realizowany jednorazowo (np. przy zawarciu umowy), okresowo (np. wraz z fakturą lub informacją rozliczeniową), czy</w:t>
            </w:r>
            <w:r w:rsidRPr="00E448BB">
              <w:rPr>
                <w:rFonts w:eastAsia="Calibri" w:cstheme="minorHAnsi"/>
              </w:rPr>
              <w:t xml:space="preserve"> </w:t>
            </w:r>
            <w:r w:rsidRPr="00E448BB">
              <w:rPr>
                <w:rFonts w:eastAsia="Lato" w:cstheme="minorHAnsi"/>
              </w:rPr>
              <w:t xml:space="preserve">każdorazowo po otrzymaniu od operatora </w:t>
            </w:r>
            <w:r w:rsidRPr="00E448BB">
              <w:rPr>
                <w:rFonts w:eastAsia="Lato" w:cstheme="minorHAnsi"/>
              </w:rPr>
              <w:lastRenderedPageBreak/>
              <w:t>informacji o zainstalowaniu LZO u danego odbiorcy. Jednocześnie, czy przekazywana informacja powinna obejmować sposób zmiany modelu rozliczeń, warunki techniczne takiej zmiany oraz ewentualne skutki dla odbiorcy.</w:t>
            </w:r>
          </w:p>
        </w:tc>
        <w:tc>
          <w:tcPr>
            <w:tcW w:w="1428" w:type="dxa"/>
          </w:tcPr>
          <w:p w14:paraId="4FB9540F" w14:textId="76FBE7A6" w:rsidR="2B25E90A" w:rsidRPr="00E448BB" w:rsidRDefault="2B25E90A" w:rsidP="2B25E90A">
            <w:pPr>
              <w:jc w:val="both"/>
              <w:rPr>
                <w:rFonts w:cstheme="minorHAnsi"/>
              </w:rPr>
            </w:pPr>
          </w:p>
        </w:tc>
      </w:tr>
      <w:tr w:rsidR="00394E80" w:rsidRPr="00E448BB" w14:paraId="75B5DB10" w14:textId="77777777" w:rsidTr="00DE01B7">
        <w:trPr>
          <w:trHeight w:val="300"/>
        </w:trPr>
        <w:tc>
          <w:tcPr>
            <w:tcW w:w="562" w:type="dxa"/>
          </w:tcPr>
          <w:p w14:paraId="7A00AFAE" w14:textId="77777777" w:rsidR="00394E80" w:rsidRPr="00E448BB" w:rsidRDefault="00394E80" w:rsidP="00394E80">
            <w:pPr>
              <w:pStyle w:val="Akapitzlist"/>
              <w:numPr>
                <w:ilvl w:val="0"/>
                <w:numId w:val="3"/>
              </w:numPr>
              <w:jc w:val="center"/>
              <w:rPr>
                <w:rFonts w:cstheme="minorHAnsi"/>
              </w:rPr>
            </w:pPr>
          </w:p>
        </w:tc>
        <w:tc>
          <w:tcPr>
            <w:tcW w:w="1701" w:type="dxa"/>
          </w:tcPr>
          <w:p w14:paraId="07608DD7" w14:textId="5CA15F87" w:rsidR="00394E80" w:rsidRPr="00E448BB" w:rsidRDefault="00FD42E2" w:rsidP="00394E80">
            <w:pPr>
              <w:jc w:val="both"/>
              <w:rPr>
                <w:rFonts w:eastAsia="Lato" w:cstheme="minorHAnsi"/>
              </w:rPr>
            </w:pPr>
            <w:r w:rsidRPr="00E448BB">
              <w:rPr>
                <w:rFonts w:cstheme="minorHAnsi"/>
              </w:rPr>
              <w:t>Konfederacja Lewiatan</w:t>
            </w:r>
          </w:p>
        </w:tc>
        <w:tc>
          <w:tcPr>
            <w:tcW w:w="2694" w:type="dxa"/>
          </w:tcPr>
          <w:p w14:paraId="1E2E2CAD" w14:textId="4B9632DF" w:rsidR="00394E80" w:rsidRPr="00E448BB" w:rsidRDefault="00214D8F" w:rsidP="00394E80">
            <w:pPr>
              <w:jc w:val="both"/>
              <w:rPr>
                <w:rFonts w:eastAsia="Lato" w:cstheme="minorHAnsi"/>
              </w:rPr>
            </w:pPr>
            <w:r w:rsidRPr="00E448BB">
              <w:rPr>
                <w:rFonts w:eastAsia="Lato" w:cstheme="minorHAnsi"/>
              </w:rPr>
              <w:t>§</w:t>
            </w:r>
            <w:r>
              <w:rPr>
                <w:rFonts w:eastAsia="Lato" w:cstheme="minorHAnsi"/>
              </w:rPr>
              <w:t xml:space="preserve"> 54</w:t>
            </w:r>
          </w:p>
        </w:tc>
        <w:tc>
          <w:tcPr>
            <w:tcW w:w="5103" w:type="dxa"/>
          </w:tcPr>
          <w:p w14:paraId="35128A19" w14:textId="77777777" w:rsidR="00214D8F" w:rsidRDefault="00214D8F" w:rsidP="00394E80">
            <w:pPr>
              <w:jc w:val="both"/>
              <w:rPr>
                <w:rFonts w:eastAsia="Lato" w:cstheme="minorHAnsi"/>
              </w:rPr>
            </w:pPr>
            <w:r>
              <w:rPr>
                <w:rFonts w:eastAsia="Lato" w:cstheme="minorHAnsi"/>
              </w:rPr>
              <w:t>Uwaga redakcyjna</w:t>
            </w:r>
          </w:p>
          <w:p w14:paraId="6C74ABD5" w14:textId="2348A68B" w:rsidR="00394E80" w:rsidRPr="00E448BB" w:rsidRDefault="00394E80" w:rsidP="00394E80">
            <w:pPr>
              <w:jc w:val="both"/>
              <w:rPr>
                <w:rFonts w:eastAsia="Lato" w:cstheme="minorHAnsi"/>
              </w:rPr>
            </w:pPr>
            <w:r w:rsidRPr="00E448BB">
              <w:rPr>
                <w:rFonts w:eastAsia="Lato" w:cstheme="minorHAnsi"/>
              </w:rPr>
              <w:t>W projekcie rozporządzenia po par. 54 jest par</w:t>
            </w:r>
            <w:r w:rsidR="00214D8F">
              <w:rPr>
                <w:rFonts w:eastAsia="Lato" w:cstheme="minorHAnsi"/>
              </w:rPr>
              <w:t>.</w:t>
            </w:r>
            <w:r w:rsidRPr="00E448BB">
              <w:rPr>
                <w:rFonts w:eastAsia="Lato" w:cstheme="minorHAnsi"/>
              </w:rPr>
              <w:t xml:space="preserve"> 58, brakuje par. 55, 56 i 57.</w:t>
            </w:r>
          </w:p>
        </w:tc>
        <w:tc>
          <w:tcPr>
            <w:tcW w:w="4252" w:type="dxa"/>
          </w:tcPr>
          <w:p w14:paraId="52F0F30E" w14:textId="77777777" w:rsidR="00394E80" w:rsidRPr="00E448BB" w:rsidRDefault="00394E80" w:rsidP="00394E80">
            <w:pPr>
              <w:jc w:val="both"/>
              <w:rPr>
                <w:rFonts w:eastAsia="Lato" w:cstheme="minorHAnsi"/>
              </w:rPr>
            </w:pPr>
          </w:p>
        </w:tc>
        <w:tc>
          <w:tcPr>
            <w:tcW w:w="1428" w:type="dxa"/>
          </w:tcPr>
          <w:p w14:paraId="00A9307D" w14:textId="77777777" w:rsidR="00394E80" w:rsidRPr="00E448BB" w:rsidRDefault="00394E80" w:rsidP="00394E80">
            <w:pPr>
              <w:jc w:val="both"/>
              <w:rPr>
                <w:rFonts w:cstheme="minorHAnsi"/>
              </w:rPr>
            </w:pPr>
          </w:p>
        </w:tc>
      </w:tr>
      <w:tr w:rsidR="2B25E90A" w:rsidRPr="00E448BB" w14:paraId="18AF3744" w14:textId="77777777" w:rsidTr="00DE01B7">
        <w:trPr>
          <w:trHeight w:val="300"/>
        </w:trPr>
        <w:tc>
          <w:tcPr>
            <w:tcW w:w="562" w:type="dxa"/>
          </w:tcPr>
          <w:p w14:paraId="6505E146" w14:textId="00486B47" w:rsidR="2B25E90A" w:rsidRPr="00E448BB" w:rsidRDefault="2B25E90A" w:rsidP="00E448BB">
            <w:pPr>
              <w:pStyle w:val="Akapitzlist"/>
              <w:numPr>
                <w:ilvl w:val="0"/>
                <w:numId w:val="3"/>
              </w:numPr>
              <w:jc w:val="center"/>
              <w:rPr>
                <w:rFonts w:cstheme="minorHAnsi"/>
              </w:rPr>
            </w:pPr>
          </w:p>
        </w:tc>
        <w:tc>
          <w:tcPr>
            <w:tcW w:w="1701" w:type="dxa"/>
          </w:tcPr>
          <w:p w14:paraId="7571202F" w14:textId="1DC80D5D" w:rsidR="2B25E90A" w:rsidRPr="00E448BB" w:rsidRDefault="00FD42E2" w:rsidP="2B25E90A">
            <w:pPr>
              <w:jc w:val="both"/>
              <w:rPr>
                <w:rFonts w:cstheme="minorHAnsi"/>
              </w:rPr>
            </w:pPr>
            <w:r w:rsidRPr="00E448BB">
              <w:rPr>
                <w:rFonts w:cstheme="minorHAnsi"/>
              </w:rPr>
              <w:t>Konfederacja Lewiatan</w:t>
            </w:r>
          </w:p>
        </w:tc>
        <w:tc>
          <w:tcPr>
            <w:tcW w:w="2694" w:type="dxa"/>
          </w:tcPr>
          <w:p w14:paraId="3E8F4FCC" w14:textId="64B6E0D1" w:rsidR="2B25E90A" w:rsidRPr="00E448BB" w:rsidRDefault="00214D8F" w:rsidP="2B25E90A">
            <w:pPr>
              <w:jc w:val="both"/>
              <w:rPr>
                <w:rFonts w:cstheme="minorHAnsi"/>
              </w:rPr>
            </w:pPr>
            <w:r w:rsidRPr="00E448BB">
              <w:rPr>
                <w:rFonts w:eastAsia="Lato" w:cstheme="minorHAnsi"/>
              </w:rPr>
              <w:t>§</w:t>
            </w:r>
            <w:r w:rsidR="2B25E90A" w:rsidRPr="00E448BB">
              <w:rPr>
                <w:rFonts w:eastAsia="Lato" w:cstheme="minorHAnsi"/>
              </w:rPr>
              <w:t xml:space="preserve"> 58 ust. 3</w:t>
            </w:r>
          </w:p>
        </w:tc>
        <w:tc>
          <w:tcPr>
            <w:tcW w:w="5103" w:type="dxa"/>
          </w:tcPr>
          <w:p w14:paraId="77E526EF" w14:textId="7C7B499D" w:rsidR="2B25E90A" w:rsidRPr="00E448BB" w:rsidRDefault="00214D8F" w:rsidP="2B25E90A">
            <w:pPr>
              <w:jc w:val="both"/>
              <w:rPr>
                <w:rFonts w:cstheme="minorHAnsi"/>
              </w:rPr>
            </w:pPr>
            <w:r>
              <w:rPr>
                <w:rFonts w:eastAsia="Lato" w:cstheme="minorHAnsi"/>
              </w:rPr>
              <w:t>W naszej opinii</w:t>
            </w:r>
            <w:r w:rsidR="2B25E90A" w:rsidRPr="00E448BB">
              <w:rPr>
                <w:rFonts w:eastAsia="Lato" w:cstheme="minorHAnsi"/>
              </w:rPr>
              <w:t xml:space="preserve"> zasadnym </w:t>
            </w:r>
            <w:r>
              <w:rPr>
                <w:rFonts w:eastAsia="Lato" w:cstheme="minorHAnsi"/>
              </w:rPr>
              <w:t xml:space="preserve">jest </w:t>
            </w:r>
            <w:r w:rsidR="2B25E90A" w:rsidRPr="00E448BB">
              <w:rPr>
                <w:rFonts w:eastAsia="Lato" w:cstheme="minorHAnsi"/>
              </w:rPr>
              <w:t>określenie</w:t>
            </w:r>
            <w:r w:rsidR="006A4B1C">
              <w:rPr>
                <w:rFonts w:eastAsia="Lato" w:cstheme="minorHAnsi"/>
              </w:rPr>
              <w:t xml:space="preserve"> </w:t>
            </w:r>
            <w:r w:rsidR="2B25E90A" w:rsidRPr="00E448BB">
              <w:rPr>
                <w:rFonts w:eastAsia="Lato" w:cstheme="minorHAnsi"/>
              </w:rPr>
              <w:t>od kiedy projektowane w rozporządzeniu zmiany dotyczące opłaty abonamentowej miałyby obowiązywać w taryfach obowiązujących do końca roku 2026</w:t>
            </w:r>
            <w:r>
              <w:rPr>
                <w:rFonts w:eastAsia="Lato" w:cstheme="minorHAnsi"/>
              </w:rPr>
              <w:t>,</w:t>
            </w:r>
            <w:r w:rsidR="2B25E90A" w:rsidRPr="00E448BB">
              <w:rPr>
                <w:rFonts w:eastAsia="Lato" w:cstheme="minorHAnsi"/>
              </w:rPr>
              <w:t xml:space="preserve"> mając na uwadze chociażby konieczność przeprowadzenia postępowań taryfowych przed Prezesem URE. Proponujemy określenie daty, od </w:t>
            </w:r>
            <w:r w:rsidR="006A4B1C">
              <w:rPr>
                <w:rFonts w:eastAsia="Lato" w:cstheme="minorHAnsi"/>
              </w:rPr>
              <w:t>której</w:t>
            </w:r>
            <w:r w:rsidR="2B25E90A" w:rsidRPr="00E448BB">
              <w:rPr>
                <w:rFonts w:eastAsia="Lato" w:cstheme="minorHAnsi"/>
              </w:rPr>
              <w:t xml:space="preserve"> abonament znika z taryf dystrybucyjnych a pojawia się w taryfach obrotowych</w:t>
            </w:r>
            <w:r w:rsidR="006A4B1C">
              <w:rPr>
                <w:rFonts w:eastAsia="Lato" w:cstheme="minorHAnsi"/>
              </w:rPr>
              <w:t>,</w:t>
            </w:r>
            <w:r w:rsidR="2B25E90A" w:rsidRPr="00E448BB">
              <w:rPr>
                <w:rFonts w:eastAsia="Lato" w:cstheme="minorHAnsi"/>
              </w:rPr>
              <w:t xml:space="preserve"> zgodnej z datą wprowadzenia zatwierdzonych taryf do stosowania w rozliczeniach z odbiorcami, lecz nie później niż np. 01.10.2026</w:t>
            </w:r>
            <w:r w:rsidR="006A4B1C">
              <w:rPr>
                <w:rFonts w:eastAsia="Lato" w:cstheme="minorHAnsi"/>
              </w:rPr>
              <w:t xml:space="preserve"> r.</w:t>
            </w:r>
          </w:p>
        </w:tc>
        <w:tc>
          <w:tcPr>
            <w:tcW w:w="4252" w:type="dxa"/>
          </w:tcPr>
          <w:p w14:paraId="72F0AF59" w14:textId="5F0A408F" w:rsidR="2B25E90A" w:rsidRPr="00E448BB" w:rsidRDefault="2B25E90A" w:rsidP="2B25E90A">
            <w:pPr>
              <w:jc w:val="both"/>
              <w:rPr>
                <w:rFonts w:cstheme="minorHAnsi"/>
              </w:rPr>
            </w:pPr>
            <w:r w:rsidRPr="00E448BB">
              <w:rPr>
                <w:rFonts w:eastAsia="Lato" w:cstheme="minorHAnsi"/>
              </w:rPr>
              <w:t xml:space="preserve"> </w:t>
            </w:r>
          </w:p>
        </w:tc>
        <w:tc>
          <w:tcPr>
            <w:tcW w:w="1428" w:type="dxa"/>
          </w:tcPr>
          <w:p w14:paraId="34A9A4D5" w14:textId="753C463F" w:rsidR="2B25E90A" w:rsidRPr="00E448BB" w:rsidRDefault="2B25E90A" w:rsidP="2B25E90A">
            <w:pPr>
              <w:jc w:val="both"/>
              <w:rPr>
                <w:rFonts w:cstheme="minorHAnsi"/>
              </w:rPr>
            </w:pPr>
          </w:p>
        </w:tc>
      </w:tr>
      <w:tr w:rsidR="2B25E90A" w:rsidRPr="00E448BB" w14:paraId="1AF14326" w14:textId="77777777" w:rsidTr="00DE01B7">
        <w:trPr>
          <w:trHeight w:val="300"/>
        </w:trPr>
        <w:tc>
          <w:tcPr>
            <w:tcW w:w="562" w:type="dxa"/>
          </w:tcPr>
          <w:p w14:paraId="05689A68" w14:textId="24F52786" w:rsidR="2B25E90A" w:rsidRPr="00E448BB" w:rsidRDefault="2B25E90A" w:rsidP="00E448BB">
            <w:pPr>
              <w:pStyle w:val="Akapitzlist"/>
              <w:numPr>
                <w:ilvl w:val="0"/>
                <w:numId w:val="3"/>
              </w:numPr>
              <w:jc w:val="center"/>
              <w:rPr>
                <w:rFonts w:cstheme="minorHAnsi"/>
              </w:rPr>
            </w:pPr>
          </w:p>
        </w:tc>
        <w:tc>
          <w:tcPr>
            <w:tcW w:w="1701" w:type="dxa"/>
          </w:tcPr>
          <w:p w14:paraId="3C1E2FD5" w14:textId="2F6A7EF6" w:rsidR="2B25E90A" w:rsidRPr="00E448BB" w:rsidRDefault="00FD42E2" w:rsidP="2B25E90A">
            <w:pPr>
              <w:jc w:val="both"/>
              <w:rPr>
                <w:rFonts w:cstheme="minorHAnsi"/>
              </w:rPr>
            </w:pPr>
            <w:r w:rsidRPr="00E448BB">
              <w:rPr>
                <w:rFonts w:cstheme="minorHAnsi"/>
              </w:rPr>
              <w:t>Konfederacja Lewiatan</w:t>
            </w:r>
          </w:p>
        </w:tc>
        <w:tc>
          <w:tcPr>
            <w:tcW w:w="2694" w:type="dxa"/>
          </w:tcPr>
          <w:p w14:paraId="3068F843" w14:textId="52E963F4" w:rsidR="2B25E90A" w:rsidRPr="00E448BB" w:rsidRDefault="2B25E90A" w:rsidP="2B25E90A">
            <w:pPr>
              <w:jc w:val="both"/>
              <w:rPr>
                <w:rFonts w:cstheme="minorHAnsi"/>
              </w:rPr>
            </w:pPr>
            <w:r w:rsidRPr="00E448BB">
              <w:rPr>
                <w:rFonts w:eastAsia="Lato" w:cstheme="minorHAnsi"/>
              </w:rPr>
              <w:t>§ 58 ust. 4</w:t>
            </w:r>
          </w:p>
        </w:tc>
        <w:tc>
          <w:tcPr>
            <w:tcW w:w="5103" w:type="dxa"/>
          </w:tcPr>
          <w:p w14:paraId="1F4EC5D4" w14:textId="77777777" w:rsidR="00B13A63" w:rsidRDefault="2B25E90A" w:rsidP="2B25E90A">
            <w:pPr>
              <w:jc w:val="both"/>
              <w:rPr>
                <w:rFonts w:cstheme="minorHAnsi"/>
              </w:rPr>
            </w:pPr>
            <w:r w:rsidRPr="00E448BB">
              <w:rPr>
                <w:rFonts w:eastAsia="Lato" w:cstheme="minorHAnsi"/>
              </w:rPr>
              <w:t xml:space="preserve">Obecne brzmienie może prowadzić do niejednoznacznych skutków prawnych i praktycznych - dla taryf zatwierdzanych przed 1 stycznia 2027 r., ale obowiązujących od tej daty. </w:t>
            </w:r>
          </w:p>
          <w:p w14:paraId="264E6905" w14:textId="2C08207F" w:rsidR="2B25E90A" w:rsidRPr="00E448BB" w:rsidRDefault="2B25E90A" w:rsidP="2B25E90A">
            <w:pPr>
              <w:jc w:val="both"/>
              <w:rPr>
                <w:rFonts w:cstheme="minorHAnsi"/>
              </w:rPr>
            </w:pPr>
            <w:r w:rsidRPr="00E448BB">
              <w:rPr>
                <w:rFonts w:eastAsia="Lato" w:cstheme="minorHAnsi"/>
              </w:rPr>
              <w:t>Proponowana zmiana usuwa wątpliwość czy chodzi o datę zatwierdzenia taryfy, czy o datę jej obowiązywania.</w:t>
            </w:r>
          </w:p>
          <w:p w14:paraId="74D99600" w14:textId="643EDFD9" w:rsidR="2B25E90A" w:rsidRPr="00E448BB" w:rsidRDefault="2B25E90A" w:rsidP="2B25E90A">
            <w:pPr>
              <w:jc w:val="both"/>
              <w:rPr>
                <w:rFonts w:cstheme="minorHAnsi"/>
              </w:rPr>
            </w:pPr>
            <w:r w:rsidRPr="00E448BB">
              <w:rPr>
                <w:rFonts w:eastAsia="Lato" w:cstheme="minorHAnsi"/>
              </w:rPr>
              <w:t xml:space="preserve"> </w:t>
            </w:r>
          </w:p>
          <w:p w14:paraId="5C1675F0" w14:textId="54F8A2BB" w:rsidR="2B25E90A" w:rsidRDefault="2B25E90A" w:rsidP="2B25E90A">
            <w:pPr>
              <w:jc w:val="both"/>
              <w:rPr>
                <w:rFonts w:eastAsia="Lato" w:cstheme="minorHAnsi"/>
              </w:rPr>
            </w:pPr>
            <w:r w:rsidRPr="00E448BB">
              <w:rPr>
                <w:rFonts w:eastAsia="Lato" w:cstheme="minorHAnsi"/>
              </w:rPr>
              <w:t xml:space="preserve">Ponadto, do rozważenia - dodanie przepisu przejściowego jednoznacznie wskazującego czy przepisy dotyczące opłaty, o której mowa w § 33 (solidarnościowej) stosuje się do taryf obowiązujących w 2026 r., czy też wyłącznie do taryf obowiązujących od 1 stycznia 2027 r. </w:t>
            </w:r>
          </w:p>
          <w:p w14:paraId="2F1F9068" w14:textId="77777777" w:rsidR="0054461C" w:rsidRPr="00E448BB" w:rsidRDefault="0054461C" w:rsidP="2B25E90A">
            <w:pPr>
              <w:jc w:val="both"/>
              <w:rPr>
                <w:rFonts w:cstheme="minorHAnsi"/>
              </w:rPr>
            </w:pPr>
          </w:p>
          <w:p w14:paraId="0F64DF47" w14:textId="42D59C0E" w:rsidR="2B25E90A" w:rsidRPr="00E448BB" w:rsidRDefault="2B25E90A" w:rsidP="2B25E90A">
            <w:pPr>
              <w:jc w:val="both"/>
              <w:rPr>
                <w:rFonts w:cstheme="minorHAnsi"/>
              </w:rPr>
            </w:pPr>
            <w:r w:rsidRPr="00E448BB">
              <w:rPr>
                <w:rFonts w:eastAsia="Lato" w:cstheme="minorHAnsi"/>
              </w:rPr>
              <w:lastRenderedPageBreak/>
              <w:t>Brak - w projektowanym brzmieniu - jednoznacznego odniesienia do opłaty solidarnościowej może oznaczać, że przepisy jej dotyczące znajdą zastosowanie jeszcze w 2026 r., co mogłoby wpływać na zakres wniosku taryfowego składanego w terminie 14 dni</w:t>
            </w:r>
            <w:r w:rsidRPr="00E448BB">
              <w:rPr>
                <w:rFonts w:eastAsia="Calibri" w:cstheme="minorHAnsi"/>
              </w:rPr>
              <w:t xml:space="preserve"> od wejścia w życie rozporządzenia</w:t>
            </w:r>
            <w:r w:rsidRPr="00E448BB">
              <w:rPr>
                <w:rFonts w:eastAsia="Lato" w:cstheme="minorHAnsi"/>
              </w:rPr>
              <w:t>. Wymaga to doprecyzowania w przepisach przejściowych, aby uniknąć rozbieżności w stosowaniu rozporządzenia.</w:t>
            </w:r>
          </w:p>
        </w:tc>
        <w:tc>
          <w:tcPr>
            <w:tcW w:w="4252" w:type="dxa"/>
          </w:tcPr>
          <w:p w14:paraId="011B8340" w14:textId="291E0950" w:rsidR="2B25E90A" w:rsidRPr="00E448BB" w:rsidRDefault="2B25E90A" w:rsidP="2B25E90A">
            <w:pPr>
              <w:jc w:val="both"/>
              <w:rPr>
                <w:rFonts w:cstheme="minorHAnsi"/>
              </w:rPr>
            </w:pPr>
            <w:r w:rsidRPr="00E448BB">
              <w:rPr>
                <w:rFonts w:eastAsia="Lato" w:cstheme="minorHAnsi"/>
                <w:i/>
                <w:iCs/>
              </w:rPr>
              <w:lastRenderedPageBreak/>
              <w:t>„W odniesieniu do przedsiębiorstw energetycznych wykonujących działalność gospodarczą w zakresie dystrybucji lub przesyłania energii elektrycznej przepisy</w:t>
            </w:r>
            <w:r w:rsidRPr="00E448BB">
              <w:rPr>
                <w:rFonts w:cstheme="minorHAnsi"/>
              </w:rPr>
              <w:br/>
            </w:r>
            <w:r w:rsidRPr="00E448BB">
              <w:rPr>
                <w:rFonts w:eastAsia="Lato" w:cstheme="minorHAnsi"/>
                <w:i/>
                <w:iCs/>
              </w:rPr>
              <w:t xml:space="preserve"> § 7 ust. 13–15, § 19, § 20, § 29</w:t>
            </w:r>
            <w:r w:rsidRPr="00E448BB">
              <w:rPr>
                <w:rFonts w:eastAsia="Lato" w:cstheme="minorHAnsi"/>
                <w:b/>
                <w:bCs/>
                <w:i/>
                <w:iCs/>
              </w:rPr>
              <w:t xml:space="preserve">, </w:t>
            </w:r>
            <w:r w:rsidRPr="00E448BB">
              <w:rPr>
                <w:rFonts w:eastAsia="Lato" w:cstheme="minorHAnsi"/>
                <w:i/>
                <w:iCs/>
                <w:strike/>
              </w:rPr>
              <w:t xml:space="preserve">i </w:t>
            </w:r>
            <w:r w:rsidRPr="00E448BB">
              <w:rPr>
                <w:rFonts w:eastAsia="Lato" w:cstheme="minorHAnsi"/>
                <w:i/>
                <w:iCs/>
              </w:rPr>
              <w:t>§ 30</w:t>
            </w:r>
            <w:r w:rsidRPr="00E448BB">
              <w:rPr>
                <w:rFonts w:eastAsia="Lato" w:cstheme="minorHAnsi"/>
              </w:rPr>
              <w:t xml:space="preserve"> </w:t>
            </w:r>
            <w:r w:rsidRPr="00E448BB">
              <w:rPr>
                <w:rFonts w:eastAsia="Lato" w:cstheme="minorHAnsi"/>
                <w:b/>
                <w:bCs/>
                <w:i/>
                <w:iCs/>
              </w:rPr>
              <w:t>i § 33</w:t>
            </w:r>
            <w:r w:rsidRPr="00E448BB">
              <w:rPr>
                <w:rFonts w:eastAsia="Lato" w:cstheme="minorHAnsi"/>
                <w:i/>
                <w:iCs/>
              </w:rPr>
              <w:t xml:space="preserve"> stosuje się do taryf </w:t>
            </w:r>
            <w:r w:rsidRPr="00E448BB">
              <w:rPr>
                <w:rFonts w:eastAsia="Lato" w:cstheme="minorHAnsi"/>
                <w:i/>
                <w:iCs/>
                <w:strike/>
              </w:rPr>
              <w:t>zatwierdzanych</w:t>
            </w:r>
            <w:r w:rsidRPr="00E448BB">
              <w:rPr>
                <w:rFonts w:eastAsia="Lato" w:cstheme="minorHAnsi"/>
                <w:i/>
                <w:iCs/>
              </w:rPr>
              <w:t xml:space="preserve"> </w:t>
            </w:r>
            <w:r w:rsidRPr="00E448BB">
              <w:rPr>
                <w:rFonts w:eastAsia="Lato" w:cstheme="minorHAnsi"/>
                <w:b/>
                <w:bCs/>
                <w:i/>
                <w:iCs/>
              </w:rPr>
              <w:t>obowiązujących</w:t>
            </w:r>
            <w:r w:rsidRPr="00E448BB">
              <w:rPr>
                <w:rFonts w:eastAsia="Lato" w:cstheme="minorHAnsi"/>
                <w:i/>
                <w:iCs/>
              </w:rPr>
              <w:t xml:space="preserve"> od dnia</w:t>
            </w:r>
            <w:r w:rsidR="00B13A63">
              <w:rPr>
                <w:rFonts w:cstheme="minorHAnsi"/>
              </w:rPr>
              <w:t xml:space="preserve"> </w:t>
            </w:r>
            <w:r w:rsidRPr="00E448BB">
              <w:rPr>
                <w:rFonts w:eastAsia="Lato" w:cstheme="minorHAnsi"/>
                <w:i/>
                <w:iCs/>
              </w:rPr>
              <w:t>1 stycznia 2027 r.”</w:t>
            </w:r>
          </w:p>
        </w:tc>
        <w:tc>
          <w:tcPr>
            <w:tcW w:w="1428" w:type="dxa"/>
          </w:tcPr>
          <w:p w14:paraId="731240ED" w14:textId="105914C3" w:rsidR="2B25E90A" w:rsidRPr="00E448BB" w:rsidRDefault="2B25E90A" w:rsidP="2B25E90A">
            <w:pPr>
              <w:jc w:val="both"/>
              <w:rPr>
                <w:rFonts w:cstheme="minorHAnsi"/>
              </w:rPr>
            </w:pPr>
          </w:p>
        </w:tc>
      </w:tr>
      <w:tr w:rsidR="00394E80" w:rsidRPr="00E448BB" w14:paraId="5BBDCBFC" w14:textId="77777777" w:rsidTr="00DE01B7">
        <w:trPr>
          <w:trHeight w:val="300"/>
        </w:trPr>
        <w:tc>
          <w:tcPr>
            <w:tcW w:w="562" w:type="dxa"/>
          </w:tcPr>
          <w:p w14:paraId="500C2255" w14:textId="77777777" w:rsidR="00394E80" w:rsidRPr="00E448BB" w:rsidRDefault="00394E80" w:rsidP="00394E80">
            <w:pPr>
              <w:pStyle w:val="Akapitzlist"/>
              <w:numPr>
                <w:ilvl w:val="0"/>
                <w:numId w:val="3"/>
              </w:numPr>
              <w:jc w:val="center"/>
              <w:rPr>
                <w:rFonts w:cstheme="minorHAnsi"/>
              </w:rPr>
            </w:pPr>
          </w:p>
        </w:tc>
        <w:tc>
          <w:tcPr>
            <w:tcW w:w="1701" w:type="dxa"/>
          </w:tcPr>
          <w:p w14:paraId="7C8DF762" w14:textId="35E34F1A" w:rsidR="00394E80" w:rsidRPr="00E448BB" w:rsidRDefault="00FD42E2" w:rsidP="00394E80">
            <w:pPr>
              <w:jc w:val="both"/>
              <w:rPr>
                <w:rFonts w:eastAsia="Lato" w:cstheme="minorHAnsi"/>
              </w:rPr>
            </w:pPr>
            <w:r w:rsidRPr="00E448BB">
              <w:rPr>
                <w:rFonts w:cstheme="minorHAnsi"/>
              </w:rPr>
              <w:t>Konfederacja Lewiatan</w:t>
            </w:r>
          </w:p>
        </w:tc>
        <w:tc>
          <w:tcPr>
            <w:tcW w:w="2694" w:type="dxa"/>
          </w:tcPr>
          <w:p w14:paraId="6D586901" w14:textId="5E815FB7" w:rsidR="00394E80" w:rsidRPr="00E448BB" w:rsidRDefault="00394E80" w:rsidP="00394E80">
            <w:pPr>
              <w:jc w:val="both"/>
              <w:rPr>
                <w:rFonts w:eastAsia="Lato" w:cstheme="minorHAnsi"/>
              </w:rPr>
            </w:pPr>
            <w:r w:rsidRPr="00E448BB">
              <w:rPr>
                <w:rFonts w:eastAsia="Lato" w:cstheme="minorHAnsi"/>
              </w:rPr>
              <w:t>§ 58 ust. 6</w:t>
            </w:r>
          </w:p>
        </w:tc>
        <w:tc>
          <w:tcPr>
            <w:tcW w:w="5103" w:type="dxa"/>
          </w:tcPr>
          <w:p w14:paraId="2441DCA7" w14:textId="77777777" w:rsidR="00394E80" w:rsidRPr="00E448BB" w:rsidRDefault="00394E80" w:rsidP="00394E80">
            <w:pPr>
              <w:jc w:val="both"/>
              <w:rPr>
                <w:rFonts w:cstheme="minorHAnsi"/>
              </w:rPr>
            </w:pPr>
            <w:r w:rsidRPr="00E448BB">
              <w:rPr>
                <w:rFonts w:eastAsia="Lato" w:cstheme="minorHAnsi"/>
              </w:rPr>
              <w:t xml:space="preserve">W § 58 ust. 6 jest błędne odniesienie do § 42 ust. 2 rozporządzenia z dnia 29 listopada 2022 r. w sprawie sposobu kształtowania i kalkulacji taryf oraz sposobu rozliczeń w obrocie energią elektryczną, które dotyczy niedotrzymania dopuszczalnych poziomów odchyleń napięcia od napięcia znamionowego. </w:t>
            </w:r>
          </w:p>
          <w:p w14:paraId="73C135AF" w14:textId="0DBABF19" w:rsidR="00394E80" w:rsidRPr="00E448BB" w:rsidRDefault="00394E80" w:rsidP="00394E80">
            <w:pPr>
              <w:jc w:val="both"/>
              <w:rPr>
                <w:rFonts w:eastAsia="Lato" w:cstheme="minorHAnsi"/>
              </w:rPr>
            </w:pPr>
            <w:r w:rsidRPr="00E448BB">
              <w:rPr>
                <w:rFonts w:eastAsia="Lato" w:cstheme="minorHAnsi"/>
              </w:rPr>
              <w:t xml:space="preserve">Zgodnie z uzasadnieniem, projekt ust. 6 </w:t>
            </w:r>
            <w:r w:rsidRPr="00E448BB">
              <w:rPr>
                <w:rFonts w:eastAsia="Lato" w:cstheme="minorHAnsi"/>
                <w:i/>
                <w:iCs/>
              </w:rPr>
              <w:t>„…przewiduje zmianę polegającą na zapewnieniu prawidłowości faktur za energię elektryczną wystawianych przez sprzedawców energii elektrycznej odbiorcom w gospodarstwach domowych, które nie zawierają informacji o strukturze procentowej kosztów wynikającej z § 37 ust. 2–4 rozporządzenia uchylanego</w:t>
            </w:r>
            <w:r w:rsidRPr="00E448BB">
              <w:rPr>
                <w:rFonts w:eastAsia="Lato" w:cstheme="minorHAnsi"/>
              </w:rPr>
              <w:t>” (uzasadnienie, str. 4), co wynika z zapisów § 37 ust. 2-4 rozporządzenia uchylanego, i takie odniesienie jest prawidłowe.</w:t>
            </w:r>
          </w:p>
        </w:tc>
        <w:tc>
          <w:tcPr>
            <w:tcW w:w="4252" w:type="dxa"/>
          </w:tcPr>
          <w:p w14:paraId="5041E00C" w14:textId="77777777" w:rsidR="00394E80" w:rsidRPr="00E448BB" w:rsidRDefault="00394E80" w:rsidP="00394E80">
            <w:pPr>
              <w:jc w:val="both"/>
              <w:rPr>
                <w:rFonts w:cstheme="minorHAnsi"/>
              </w:rPr>
            </w:pPr>
            <w:r w:rsidRPr="00E448BB">
              <w:rPr>
                <w:rFonts w:eastAsia="Lato" w:cstheme="minorHAnsi"/>
              </w:rPr>
              <w:t>Proponujemy następujące brzmienie § 58 ust. 6</w:t>
            </w:r>
          </w:p>
          <w:p w14:paraId="5635712F" w14:textId="0A3D0E85" w:rsidR="00394E80" w:rsidRPr="00E448BB" w:rsidRDefault="00394E80" w:rsidP="00394E80">
            <w:pPr>
              <w:jc w:val="both"/>
              <w:rPr>
                <w:rFonts w:eastAsia="Lato" w:cstheme="minorHAnsi"/>
                <w:i/>
                <w:iCs/>
              </w:rPr>
            </w:pPr>
            <w:r w:rsidRPr="00E448BB">
              <w:rPr>
                <w:rFonts w:eastAsia="Lato" w:cstheme="minorHAnsi"/>
              </w:rPr>
              <w:t xml:space="preserve">„6. Faktury za dostarczanie energii elektrycznej wystawione od dnia 1 stycznia 2024 r. do dnia wejścia w życie niniejszego rozporządzenia bez informacji, o której mowa w </w:t>
            </w:r>
            <w:r w:rsidRPr="00E448BB">
              <w:rPr>
                <w:rFonts w:eastAsia="Lato" w:cstheme="minorHAnsi"/>
                <w:b/>
                <w:bCs/>
              </w:rPr>
              <w:t>§ 37 ust. 2-4</w:t>
            </w:r>
            <w:r w:rsidRPr="00E448BB">
              <w:rPr>
                <w:rFonts w:eastAsia="Lato" w:cstheme="minorHAnsi"/>
              </w:rPr>
              <w:t xml:space="preserve"> rozporządzenia z dnia 29 listopada 2022 r. w sprawie sposobu kształtowania i kalkulacji taryf oraz sposobu rozliczeń w obrocie energią elektryczną, uznaje się za faktury wystawione prawidłowo.</w:t>
            </w:r>
          </w:p>
        </w:tc>
        <w:tc>
          <w:tcPr>
            <w:tcW w:w="1428" w:type="dxa"/>
          </w:tcPr>
          <w:p w14:paraId="5B440698" w14:textId="77777777" w:rsidR="00394E80" w:rsidRPr="00E448BB" w:rsidRDefault="00394E80" w:rsidP="00394E80">
            <w:pPr>
              <w:jc w:val="both"/>
              <w:rPr>
                <w:rFonts w:cstheme="minorHAnsi"/>
              </w:rPr>
            </w:pPr>
          </w:p>
        </w:tc>
      </w:tr>
      <w:bookmarkEnd w:id="0"/>
    </w:tbl>
    <w:p w14:paraId="4A485AB3" w14:textId="77777777" w:rsidR="00CA2841" w:rsidRDefault="00CA2841" w:rsidP="00FD42E2">
      <w:pPr>
        <w:spacing w:after="0" w:line="240" w:lineRule="auto"/>
        <w:rPr>
          <w:rFonts w:cstheme="minorHAnsi"/>
        </w:rPr>
      </w:pPr>
    </w:p>
    <w:p w14:paraId="185FB8E6" w14:textId="77777777" w:rsidR="007B0C1A" w:rsidRDefault="007B0C1A" w:rsidP="00FD42E2">
      <w:pPr>
        <w:spacing w:after="0" w:line="240" w:lineRule="auto"/>
        <w:rPr>
          <w:rFonts w:cstheme="minorHAnsi"/>
        </w:rPr>
      </w:pPr>
    </w:p>
    <w:p w14:paraId="15D94A4F" w14:textId="2CC538E2" w:rsidR="007B0C1A" w:rsidRPr="007B0C1A" w:rsidRDefault="007B0C1A" w:rsidP="00FD42E2">
      <w:pPr>
        <w:spacing w:after="0" w:line="240" w:lineRule="auto"/>
        <w:rPr>
          <w:rFonts w:cstheme="minorHAnsi"/>
          <w:b/>
          <w:bCs/>
          <w:i/>
          <w:iCs/>
        </w:rPr>
      </w:pPr>
      <w:r w:rsidRPr="007B0C1A">
        <w:rPr>
          <w:rFonts w:cstheme="minorHAnsi"/>
          <w:b/>
          <w:bCs/>
          <w:i/>
          <w:iCs/>
        </w:rPr>
        <w:t>KL/491/151/PG/2026</w:t>
      </w:r>
    </w:p>
    <w:sectPr w:rsidR="007B0C1A" w:rsidRPr="007B0C1A" w:rsidSect="00B91BB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AE95E" w14:textId="77777777" w:rsidR="00F92AD5" w:rsidRDefault="00F92AD5" w:rsidP="00CA2841">
      <w:pPr>
        <w:spacing w:after="0" w:line="240" w:lineRule="auto"/>
      </w:pPr>
      <w:r>
        <w:separator/>
      </w:r>
    </w:p>
  </w:endnote>
  <w:endnote w:type="continuationSeparator" w:id="0">
    <w:p w14:paraId="298BE102" w14:textId="77777777" w:rsidR="00F92AD5" w:rsidRDefault="00F92AD5" w:rsidP="00CA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CD652" w14:textId="77777777" w:rsidR="00F92AD5" w:rsidRDefault="00F92AD5" w:rsidP="00CA2841">
      <w:pPr>
        <w:spacing w:after="0" w:line="240" w:lineRule="auto"/>
      </w:pPr>
      <w:r>
        <w:separator/>
      </w:r>
    </w:p>
  </w:footnote>
  <w:footnote w:type="continuationSeparator" w:id="0">
    <w:p w14:paraId="26617210" w14:textId="77777777" w:rsidR="00F92AD5" w:rsidRDefault="00F92AD5" w:rsidP="00CA2841">
      <w:pPr>
        <w:spacing w:after="0" w:line="240" w:lineRule="auto"/>
      </w:pPr>
      <w:r>
        <w:continuationSeparator/>
      </w:r>
    </w:p>
  </w:footnote>
  <w:footnote w:id="1">
    <w:p w14:paraId="722C9D04" w14:textId="76DFC1E6" w:rsidR="004F2D1D" w:rsidRPr="00EF494C" w:rsidRDefault="004F2D1D">
      <w:pPr>
        <w:pStyle w:val="Tekstprzypisudolnego"/>
        <w:rPr>
          <w:rFonts w:ascii="Lato" w:hAnsi="Lato" w:cs="Times New Roman"/>
          <w:sz w:val="22"/>
          <w:szCs w:val="22"/>
        </w:rPr>
      </w:pPr>
      <w:r w:rsidRPr="00EF494C">
        <w:rPr>
          <w:rStyle w:val="Odwoanieprzypisudolnego"/>
          <w:rFonts w:ascii="Lato" w:hAnsi="Lato" w:cs="Times New Roman"/>
        </w:rPr>
        <w:t>1)</w:t>
      </w:r>
      <w:r w:rsidRPr="00EF494C">
        <w:rPr>
          <w:rFonts w:ascii="Lato" w:hAnsi="Lato" w:cs="Times New Roman"/>
        </w:rPr>
        <w:t xml:space="preserve"> </w:t>
      </w:r>
      <w:r w:rsidR="00B91BB7" w:rsidRPr="00EF494C">
        <w:rPr>
          <w:rFonts w:ascii="Lato" w:hAnsi="Lato" w:cs="Times New Roman"/>
        </w:rPr>
        <w:t>W przypadku aktu nowelizującego n</w:t>
      </w:r>
      <w:r w:rsidRPr="00EF494C">
        <w:rPr>
          <w:rFonts w:ascii="Lato" w:hAnsi="Lato" w:cs="Times New Roman"/>
        </w:rPr>
        <w:t xml:space="preserve">ależy wskazać jednostkę redakcyjną projektu </w:t>
      </w:r>
      <w:r w:rsidR="00EB31B4" w:rsidRPr="00EF494C">
        <w:rPr>
          <w:rFonts w:ascii="Lato" w:hAnsi="Lato" w:cs="Times New Roman"/>
        </w:rPr>
        <w:t>oraz jednostkę redakcyjną zmienianego aktu prawnego.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145E"/>
    <w:multiLevelType w:val="hybridMultilevel"/>
    <w:tmpl w:val="256C19C0"/>
    <w:lvl w:ilvl="0" w:tplc="3CD2C7E0">
      <w:start w:val="1"/>
      <w:numFmt w:val="decimal"/>
      <w:lvlText w:val="3)"/>
      <w:lvlJc w:val="left"/>
      <w:pPr>
        <w:ind w:left="720" w:hanging="360"/>
      </w:pPr>
    </w:lvl>
    <w:lvl w:ilvl="1" w:tplc="8CB0CD7C">
      <w:start w:val="1"/>
      <w:numFmt w:val="lowerLetter"/>
      <w:lvlText w:val="%2."/>
      <w:lvlJc w:val="left"/>
      <w:pPr>
        <w:ind w:left="1440" w:hanging="360"/>
      </w:pPr>
    </w:lvl>
    <w:lvl w:ilvl="2" w:tplc="9F2027C6">
      <w:start w:val="1"/>
      <w:numFmt w:val="lowerRoman"/>
      <w:lvlText w:val="%3."/>
      <w:lvlJc w:val="right"/>
      <w:pPr>
        <w:ind w:left="2160" w:hanging="180"/>
      </w:pPr>
    </w:lvl>
    <w:lvl w:ilvl="3" w:tplc="239C5C10">
      <w:start w:val="1"/>
      <w:numFmt w:val="decimal"/>
      <w:lvlText w:val="%4."/>
      <w:lvlJc w:val="left"/>
      <w:pPr>
        <w:ind w:left="2880" w:hanging="360"/>
      </w:pPr>
    </w:lvl>
    <w:lvl w:ilvl="4" w:tplc="57B07BAA">
      <w:start w:val="1"/>
      <w:numFmt w:val="lowerLetter"/>
      <w:lvlText w:val="%5."/>
      <w:lvlJc w:val="left"/>
      <w:pPr>
        <w:ind w:left="3600" w:hanging="360"/>
      </w:pPr>
    </w:lvl>
    <w:lvl w:ilvl="5" w:tplc="CBDC495A">
      <w:start w:val="1"/>
      <w:numFmt w:val="lowerRoman"/>
      <w:lvlText w:val="%6."/>
      <w:lvlJc w:val="right"/>
      <w:pPr>
        <w:ind w:left="4320" w:hanging="180"/>
      </w:pPr>
    </w:lvl>
    <w:lvl w:ilvl="6" w:tplc="77069AA0">
      <w:start w:val="1"/>
      <w:numFmt w:val="decimal"/>
      <w:lvlText w:val="%7."/>
      <w:lvlJc w:val="left"/>
      <w:pPr>
        <w:ind w:left="5040" w:hanging="360"/>
      </w:pPr>
    </w:lvl>
    <w:lvl w:ilvl="7" w:tplc="5B36832C">
      <w:start w:val="1"/>
      <w:numFmt w:val="lowerLetter"/>
      <w:lvlText w:val="%8."/>
      <w:lvlJc w:val="left"/>
      <w:pPr>
        <w:ind w:left="5760" w:hanging="360"/>
      </w:pPr>
    </w:lvl>
    <w:lvl w:ilvl="8" w:tplc="C2222244">
      <w:start w:val="1"/>
      <w:numFmt w:val="lowerRoman"/>
      <w:lvlText w:val="%9."/>
      <w:lvlJc w:val="right"/>
      <w:pPr>
        <w:ind w:left="6480" w:hanging="180"/>
      </w:pPr>
    </w:lvl>
  </w:abstractNum>
  <w:abstractNum w:abstractNumId="1" w15:restartNumberingAfterBreak="0">
    <w:nsid w:val="39E31E46"/>
    <w:multiLevelType w:val="hybridMultilevel"/>
    <w:tmpl w:val="3AB23C04"/>
    <w:lvl w:ilvl="0" w:tplc="DF2668B6">
      <w:start w:val="1"/>
      <w:numFmt w:val="bullet"/>
      <w:lvlText w:val=""/>
      <w:lvlJc w:val="left"/>
      <w:pPr>
        <w:ind w:left="720" w:hanging="360"/>
      </w:pPr>
      <w:rPr>
        <w:rFonts w:ascii="Symbol" w:hAnsi="Symbol" w:hint="default"/>
      </w:rPr>
    </w:lvl>
    <w:lvl w:ilvl="1" w:tplc="A1E8D1BA">
      <w:start w:val="1"/>
      <w:numFmt w:val="bullet"/>
      <w:lvlText w:val="o"/>
      <w:lvlJc w:val="left"/>
      <w:pPr>
        <w:ind w:left="1440" w:hanging="360"/>
      </w:pPr>
      <w:rPr>
        <w:rFonts w:ascii="Courier New" w:hAnsi="Courier New" w:hint="default"/>
      </w:rPr>
    </w:lvl>
    <w:lvl w:ilvl="2" w:tplc="4B240FB6">
      <w:start w:val="1"/>
      <w:numFmt w:val="bullet"/>
      <w:lvlText w:val=""/>
      <w:lvlJc w:val="left"/>
      <w:pPr>
        <w:ind w:left="2160" w:hanging="360"/>
      </w:pPr>
      <w:rPr>
        <w:rFonts w:ascii="Wingdings" w:hAnsi="Wingdings" w:hint="default"/>
      </w:rPr>
    </w:lvl>
    <w:lvl w:ilvl="3" w:tplc="083C3AFC">
      <w:start w:val="1"/>
      <w:numFmt w:val="bullet"/>
      <w:lvlText w:val=""/>
      <w:lvlJc w:val="left"/>
      <w:pPr>
        <w:ind w:left="2880" w:hanging="360"/>
      </w:pPr>
      <w:rPr>
        <w:rFonts w:ascii="Symbol" w:hAnsi="Symbol" w:hint="default"/>
      </w:rPr>
    </w:lvl>
    <w:lvl w:ilvl="4" w:tplc="20DC1CAE">
      <w:start w:val="1"/>
      <w:numFmt w:val="bullet"/>
      <w:lvlText w:val="o"/>
      <w:lvlJc w:val="left"/>
      <w:pPr>
        <w:ind w:left="3600" w:hanging="360"/>
      </w:pPr>
      <w:rPr>
        <w:rFonts w:ascii="Courier New" w:hAnsi="Courier New" w:hint="default"/>
      </w:rPr>
    </w:lvl>
    <w:lvl w:ilvl="5" w:tplc="9CE8E1EE">
      <w:start w:val="1"/>
      <w:numFmt w:val="bullet"/>
      <w:lvlText w:val=""/>
      <w:lvlJc w:val="left"/>
      <w:pPr>
        <w:ind w:left="4320" w:hanging="360"/>
      </w:pPr>
      <w:rPr>
        <w:rFonts w:ascii="Wingdings" w:hAnsi="Wingdings" w:hint="default"/>
      </w:rPr>
    </w:lvl>
    <w:lvl w:ilvl="6" w:tplc="0B309EF4">
      <w:start w:val="1"/>
      <w:numFmt w:val="bullet"/>
      <w:lvlText w:val=""/>
      <w:lvlJc w:val="left"/>
      <w:pPr>
        <w:ind w:left="5040" w:hanging="360"/>
      </w:pPr>
      <w:rPr>
        <w:rFonts w:ascii="Symbol" w:hAnsi="Symbol" w:hint="default"/>
      </w:rPr>
    </w:lvl>
    <w:lvl w:ilvl="7" w:tplc="9A44CADC">
      <w:start w:val="1"/>
      <w:numFmt w:val="bullet"/>
      <w:lvlText w:val="o"/>
      <w:lvlJc w:val="left"/>
      <w:pPr>
        <w:ind w:left="5760" w:hanging="360"/>
      </w:pPr>
      <w:rPr>
        <w:rFonts w:ascii="Courier New" w:hAnsi="Courier New" w:hint="default"/>
      </w:rPr>
    </w:lvl>
    <w:lvl w:ilvl="8" w:tplc="11F65DF0">
      <w:start w:val="1"/>
      <w:numFmt w:val="bullet"/>
      <w:lvlText w:val=""/>
      <w:lvlJc w:val="left"/>
      <w:pPr>
        <w:ind w:left="6480" w:hanging="360"/>
      </w:pPr>
      <w:rPr>
        <w:rFonts w:ascii="Wingdings" w:hAnsi="Wingdings" w:hint="default"/>
      </w:rPr>
    </w:lvl>
  </w:abstractNum>
  <w:abstractNum w:abstractNumId="2" w15:restartNumberingAfterBreak="0">
    <w:nsid w:val="4D173603"/>
    <w:multiLevelType w:val="hybridMultilevel"/>
    <w:tmpl w:val="A32C595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16cid:durableId="805242367">
    <w:abstractNumId w:val="0"/>
  </w:num>
  <w:num w:numId="2" w16cid:durableId="73936872">
    <w:abstractNumId w:val="1"/>
  </w:num>
  <w:num w:numId="3" w16cid:durableId="1472290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41"/>
    <w:rsid w:val="00032CA9"/>
    <w:rsid w:val="0004505F"/>
    <w:rsid w:val="00052138"/>
    <w:rsid w:val="0008396D"/>
    <w:rsid w:val="000A3207"/>
    <w:rsid w:val="000C748C"/>
    <w:rsid w:val="000E2187"/>
    <w:rsid w:val="000E57B7"/>
    <w:rsid w:val="001230CF"/>
    <w:rsid w:val="00173E53"/>
    <w:rsid w:val="00187721"/>
    <w:rsid w:val="0019568F"/>
    <w:rsid w:val="001B734F"/>
    <w:rsid w:val="001C647D"/>
    <w:rsid w:val="001E4824"/>
    <w:rsid w:val="001F6727"/>
    <w:rsid w:val="00214D8F"/>
    <w:rsid w:val="0022298E"/>
    <w:rsid w:val="00394E80"/>
    <w:rsid w:val="003D7CAB"/>
    <w:rsid w:val="003E21A7"/>
    <w:rsid w:val="00435D45"/>
    <w:rsid w:val="004F2D1D"/>
    <w:rsid w:val="0054461C"/>
    <w:rsid w:val="00546D00"/>
    <w:rsid w:val="005B315D"/>
    <w:rsid w:val="005B3640"/>
    <w:rsid w:val="0065784C"/>
    <w:rsid w:val="006A4B1C"/>
    <w:rsid w:val="007228ED"/>
    <w:rsid w:val="00732D4A"/>
    <w:rsid w:val="00773DAD"/>
    <w:rsid w:val="007B0C1A"/>
    <w:rsid w:val="007B0CEB"/>
    <w:rsid w:val="00822A51"/>
    <w:rsid w:val="00894E5C"/>
    <w:rsid w:val="008A2E60"/>
    <w:rsid w:val="008B1756"/>
    <w:rsid w:val="008B2851"/>
    <w:rsid w:val="008B766F"/>
    <w:rsid w:val="0090574C"/>
    <w:rsid w:val="009127C0"/>
    <w:rsid w:val="00934B37"/>
    <w:rsid w:val="009B5AD6"/>
    <w:rsid w:val="009E504D"/>
    <w:rsid w:val="00A01497"/>
    <w:rsid w:val="00A51AC4"/>
    <w:rsid w:val="00A6377B"/>
    <w:rsid w:val="00B13A63"/>
    <w:rsid w:val="00B829F8"/>
    <w:rsid w:val="00B91BB7"/>
    <w:rsid w:val="00BC46F0"/>
    <w:rsid w:val="00BF1DA3"/>
    <w:rsid w:val="00C93278"/>
    <w:rsid w:val="00CA2841"/>
    <w:rsid w:val="00CD3075"/>
    <w:rsid w:val="00CE2679"/>
    <w:rsid w:val="00D35962"/>
    <w:rsid w:val="00D85207"/>
    <w:rsid w:val="00D95FDC"/>
    <w:rsid w:val="00DE01B7"/>
    <w:rsid w:val="00DE35B2"/>
    <w:rsid w:val="00E373A7"/>
    <w:rsid w:val="00E40E3D"/>
    <w:rsid w:val="00E448BB"/>
    <w:rsid w:val="00EB31B4"/>
    <w:rsid w:val="00EC4C43"/>
    <w:rsid w:val="00ED6E42"/>
    <w:rsid w:val="00EF494C"/>
    <w:rsid w:val="00F92AD5"/>
    <w:rsid w:val="00FB6259"/>
    <w:rsid w:val="00FD42E2"/>
    <w:rsid w:val="2B25E90A"/>
    <w:rsid w:val="6006D4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3F60"/>
  <w15:chartTrackingRefBased/>
  <w15:docId w15:val="{6BE2EF6E-7A57-45BA-8729-04A92DBE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link w:val="TekstprzypisudolnegoZnak"/>
    <w:uiPriority w:val="99"/>
    <w:semiHidden/>
    <w:unhideWhenUsed/>
    <w:rsid w:val="2B25E90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A2841"/>
    <w:rPr>
      <w:sz w:val="20"/>
      <w:szCs w:val="20"/>
    </w:rPr>
  </w:style>
  <w:style w:type="character" w:styleId="Odwoanieprzypisudolnego">
    <w:name w:val="footnote reference"/>
    <w:basedOn w:val="Domylnaczcionkaakapitu"/>
    <w:uiPriority w:val="99"/>
    <w:semiHidden/>
    <w:unhideWhenUsed/>
    <w:rsid w:val="00CA2841"/>
    <w:rPr>
      <w:vertAlign w:val="superscript"/>
    </w:rPr>
  </w:style>
  <w:style w:type="table" w:styleId="Tabela-Siatka">
    <w:name w:val="Table Grid"/>
    <w:basedOn w:val="Standardowy"/>
    <w:uiPriority w:val="39"/>
    <w:rsid w:val="00CA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2D1D"/>
    <w:rPr>
      <w:sz w:val="16"/>
      <w:szCs w:val="16"/>
    </w:rPr>
  </w:style>
  <w:style w:type="paragraph" w:styleId="Tekstkomentarza">
    <w:name w:val="annotation text"/>
    <w:link w:val="TekstkomentarzaZnak"/>
    <w:uiPriority w:val="99"/>
    <w:unhideWhenUsed/>
    <w:rsid w:val="2B25E90A"/>
    <w:pPr>
      <w:spacing w:line="240" w:lineRule="auto"/>
    </w:pPr>
    <w:rPr>
      <w:sz w:val="20"/>
      <w:szCs w:val="20"/>
    </w:rPr>
  </w:style>
  <w:style w:type="character" w:customStyle="1" w:styleId="TekstkomentarzaZnak">
    <w:name w:val="Tekst komentarza Znak"/>
    <w:basedOn w:val="Domylnaczcionkaakapitu"/>
    <w:link w:val="Tekstkomentarza"/>
    <w:uiPriority w:val="99"/>
    <w:rsid w:val="004F2D1D"/>
    <w:rPr>
      <w:sz w:val="20"/>
      <w:szCs w:val="20"/>
    </w:rPr>
  </w:style>
  <w:style w:type="paragraph" w:styleId="Tematkomentarza">
    <w:name w:val="annotation subject"/>
    <w:basedOn w:val="Tekstkomentarza"/>
    <w:next w:val="Tekstkomentarza"/>
    <w:link w:val="TematkomentarzaZnak"/>
    <w:uiPriority w:val="99"/>
    <w:semiHidden/>
    <w:unhideWhenUsed/>
    <w:rsid w:val="004F2D1D"/>
    <w:rPr>
      <w:b/>
      <w:bCs/>
    </w:rPr>
  </w:style>
  <w:style w:type="character" w:customStyle="1" w:styleId="TematkomentarzaZnak">
    <w:name w:val="Temat komentarza Znak"/>
    <w:basedOn w:val="TekstkomentarzaZnak"/>
    <w:link w:val="Tematkomentarza"/>
    <w:uiPriority w:val="99"/>
    <w:semiHidden/>
    <w:rsid w:val="004F2D1D"/>
    <w:rPr>
      <w:b/>
      <w:bCs/>
      <w:sz w:val="20"/>
      <w:szCs w:val="20"/>
    </w:rPr>
  </w:style>
  <w:style w:type="paragraph" w:styleId="Akapitzlist">
    <w:name w:val="List Paragraph"/>
    <w:uiPriority w:val="34"/>
    <w:qFormat/>
    <w:rsid w:val="2B25E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68A9B-02CF-49B8-B19D-07AFA93A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2023</Words>
  <Characters>12141</Characters>
  <Application>Microsoft Office Word</Application>
  <DocSecurity>0</DocSecurity>
  <Lines>101</Lines>
  <Paragraphs>28</Paragraphs>
  <ScaleCrop>false</ScaleCrop>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Wójcikiewicz-Kawa Agata</dc:creator>
  <cp:keywords/>
  <dc:description/>
  <cp:lastModifiedBy>Magdalena Widlicka</cp:lastModifiedBy>
  <cp:revision>43</cp:revision>
  <dcterms:created xsi:type="dcterms:W3CDTF">2025-03-20T12:30:00Z</dcterms:created>
  <dcterms:modified xsi:type="dcterms:W3CDTF">2026-07-27T13:26:00Z</dcterms:modified>
</cp:coreProperties>
</file>