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8759C" w14:textId="166F3B9F" w:rsidR="00C93278" w:rsidRPr="008B766F" w:rsidRDefault="00CA2841" w:rsidP="008B766F">
      <w:pPr>
        <w:spacing w:after="0" w:line="240" w:lineRule="auto"/>
        <w:jc w:val="center"/>
        <w:rPr>
          <w:rFonts w:ascii="Lato" w:hAnsi="Lato" w:cs="Times New Roman"/>
          <w:b/>
          <w:bCs/>
          <w:sz w:val="20"/>
          <w:szCs w:val="20"/>
        </w:rPr>
      </w:pPr>
      <w:bookmarkStart w:id="0" w:name="_Hlk107398740"/>
      <w:r w:rsidRPr="008B766F">
        <w:rPr>
          <w:rFonts w:ascii="Lato" w:hAnsi="Lato" w:cs="Times New Roman"/>
          <w:b/>
          <w:bCs/>
          <w:sz w:val="20"/>
          <w:szCs w:val="20"/>
        </w:rPr>
        <w:t xml:space="preserve">Uwagi </w:t>
      </w:r>
      <w:r w:rsidR="00EB0D1D">
        <w:rPr>
          <w:rFonts w:ascii="Lato" w:hAnsi="Lato" w:cs="Times New Roman"/>
          <w:b/>
          <w:bCs/>
          <w:sz w:val="20"/>
          <w:szCs w:val="20"/>
        </w:rPr>
        <w:t>Konfederacji Lewiatan</w:t>
      </w:r>
    </w:p>
    <w:p w14:paraId="304455B3" w14:textId="0ED62D04" w:rsidR="00CA2841" w:rsidRPr="00E419AB" w:rsidRDefault="00CA2841" w:rsidP="008B766F">
      <w:pPr>
        <w:spacing w:after="0" w:line="240" w:lineRule="auto"/>
        <w:jc w:val="center"/>
        <w:rPr>
          <w:rFonts w:ascii="Lato" w:hAnsi="Lato" w:cs="Times New Roman"/>
          <w:b/>
          <w:bCs/>
          <w:sz w:val="20"/>
          <w:szCs w:val="20"/>
        </w:rPr>
      </w:pPr>
      <w:r w:rsidRPr="00E419AB">
        <w:rPr>
          <w:rFonts w:ascii="Lato" w:hAnsi="Lato" w:cs="Times New Roman"/>
          <w:b/>
          <w:bCs/>
          <w:sz w:val="20"/>
          <w:szCs w:val="20"/>
        </w:rPr>
        <w:t>do projekt</w:t>
      </w:r>
      <w:r w:rsidR="003054AE" w:rsidRPr="00E419AB">
        <w:rPr>
          <w:rFonts w:ascii="Lato" w:hAnsi="Lato" w:cs="Times New Roman"/>
          <w:b/>
          <w:bCs/>
          <w:sz w:val="20"/>
          <w:szCs w:val="20"/>
        </w:rPr>
        <w:t>u</w:t>
      </w:r>
      <w:r w:rsidR="003054AE" w:rsidRPr="00E419AB">
        <w:rPr>
          <w:rFonts w:ascii="Lato" w:hAnsi="Lato"/>
          <w:sz w:val="20"/>
          <w:szCs w:val="20"/>
        </w:rPr>
        <w:t xml:space="preserve"> </w:t>
      </w:r>
      <w:r w:rsidR="003054AE" w:rsidRPr="00E419AB">
        <w:rPr>
          <w:rFonts w:ascii="Lato" w:hAnsi="Lato"/>
          <w:b/>
          <w:bCs/>
          <w:sz w:val="20"/>
          <w:szCs w:val="20"/>
        </w:rPr>
        <w:t>rozporządzenia Rady Ministrów sprawie szczegółowych zasad i trybu wprowadzania ograniczeń w sprzedaży paliw stałych oraz w dostarczaniu i poborze energii elektrycznej lub ciepła</w:t>
      </w:r>
      <w:r w:rsidR="00B91BB7" w:rsidRPr="00E419AB">
        <w:rPr>
          <w:rFonts w:ascii="Lato" w:hAnsi="Lato" w:cs="Times New Roman"/>
          <w:b/>
          <w:bCs/>
          <w:sz w:val="20"/>
          <w:szCs w:val="20"/>
        </w:rPr>
        <w:t xml:space="preserve"> (</w:t>
      </w:r>
      <w:r w:rsidR="00E404C1" w:rsidRPr="00E419AB">
        <w:rPr>
          <w:rFonts w:ascii="Lato" w:hAnsi="Lato" w:cs="Times New Roman"/>
          <w:b/>
          <w:bCs/>
          <w:sz w:val="20"/>
          <w:szCs w:val="20"/>
        </w:rPr>
        <w:t>RD314</w:t>
      </w:r>
      <w:r w:rsidR="00D45318" w:rsidRPr="00E419AB">
        <w:rPr>
          <w:rFonts w:ascii="Lato" w:hAnsi="Lato" w:cs="Times New Roman"/>
          <w:b/>
          <w:bCs/>
          <w:sz w:val="20"/>
          <w:szCs w:val="20"/>
        </w:rPr>
        <w:t xml:space="preserve"> </w:t>
      </w:r>
      <w:r w:rsidR="003054AE" w:rsidRPr="00E419AB">
        <w:rPr>
          <w:rFonts w:ascii="Lato" w:hAnsi="Lato"/>
          <w:b/>
          <w:bCs/>
          <w:sz w:val="20"/>
          <w:szCs w:val="20"/>
        </w:rPr>
        <w:t>w</w:t>
      </w:r>
      <w:r w:rsidR="003054AE" w:rsidRPr="00E419AB">
        <w:rPr>
          <w:rFonts w:ascii="Lato" w:hAnsi="Lato"/>
          <w:sz w:val="20"/>
          <w:szCs w:val="20"/>
        </w:rPr>
        <w:t xml:space="preserve"> </w:t>
      </w:r>
      <w:r w:rsidR="003054AE" w:rsidRPr="00E419AB">
        <w:rPr>
          <w:rFonts w:ascii="Lato" w:hAnsi="Lato" w:cs="Times New Roman"/>
          <w:b/>
          <w:bCs/>
          <w:sz w:val="20"/>
          <w:szCs w:val="20"/>
        </w:rPr>
        <w:t>Wykazie prac legislacyjnych i programowych Rady Ministrów</w:t>
      </w:r>
      <w:r w:rsidR="00B91BB7" w:rsidRPr="00E419AB">
        <w:rPr>
          <w:rFonts w:ascii="Lato" w:hAnsi="Lato" w:cs="Times New Roman"/>
          <w:b/>
          <w:bCs/>
          <w:sz w:val="20"/>
          <w:szCs w:val="20"/>
        </w:rPr>
        <w:t>)</w:t>
      </w:r>
    </w:p>
    <w:p w14:paraId="711D6FEE" w14:textId="77777777" w:rsidR="00CA2841" w:rsidRPr="008B766F" w:rsidRDefault="00CA2841" w:rsidP="008B766F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tbl>
      <w:tblPr>
        <w:tblStyle w:val="Tabela-Siatka"/>
        <w:tblpPr w:leftFromText="142" w:rightFromText="142" w:vertAnchor="text" w:horzAnchor="margin" w:tblpXSpec="center" w:tblpY="58"/>
        <w:tblW w:w="15740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2694"/>
        <w:gridCol w:w="5103"/>
        <w:gridCol w:w="4252"/>
        <w:gridCol w:w="1428"/>
      </w:tblGrid>
      <w:tr w:rsidR="0090574C" w:rsidRPr="008B766F" w14:paraId="47E9ED08" w14:textId="77777777" w:rsidTr="7BCD6D5E">
        <w:trPr>
          <w:trHeight w:val="551"/>
          <w:tblHeader/>
        </w:trPr>
        <w:tc>
          <w:tcPr>
            <w:tcW w:w="562" w:type="dxa"/>
          </w:tcPr>
          <w:p w14:paraId="115BF413" w14:textId="6257DDCF" w:rsidR="0090574C" w:rsidRPr="008B766F" w:rsidRDefault="0090574C" w:rsidP="008B766F">
            <w:pPr>
              <w:jc w:val="center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</w:tcPr>
          <w:p w14:paraId="0FAF4510" w14:textId="4FD6EB74" w:rsidR="0090574C" w:rsidRPr="008B766F" w:rsidRDefault="0090574C" w:rsidP="008B766F">
            <w:pPr>
              <w:jc w:val="center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Podmiot wnoszący uwag</w:t>
            </w:r>
            <w:r w:rsidR="00B91BB7"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ę</w:t>
            </w:r>
          </w:p>
        </w:tc>
        <w:tc>
          <w:tcPr>
            <w:tcW w:w="2694" w:type="dxa"/>
          </w:tcPr>
          <w:p w14:paraId="51F92737" w14:textId="48E4A866" w:rsidR="0090574C" w:rsidRPr="008B766F" w:rsidRDefault="0090574C" w:rsidP="008B766F">
            <w:pPr>
              <w:jc w:val="center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Jednostka redakcyjna, do której wnoszon</w:t>
            </w:r>
            <w:r w:rsidR="00B91BB7"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a jest</w:t>
            </w:r>
            <w:r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 xml:space="preserve"> uwag</w:t>
            </w:r>
            <w:r w:rsidR="00B91BB7"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a</w:t>
            </w:r>
            <w:r w:rsidR="004F2D1D" w:rsidRPr="008B766F">
              <w:rPr>
                <w:rStyle w:val="Odwoanieprzypisudolnego"/>
                <w:rFonts w:ascii="Lato" w:hAnsi="Lato" w:cs="Times New Roman"/>
                <w:b/>
                <w:bCs/>
                <w:sz w:val="20"/>
                <w:szCs w:val="20"/>
              </w:rPr>
              <w:footnoteReference w:customMarkFollows="1" w:id="1"/>
              <w:t>1)</w:t>
            </w:r>
          </w:p>
        </w:tc>
        <w:tc>
          <w:tcPr>
            <w:tcW w:w="5103" w:type="dxa"/>
          </w:tcPr>
          <w:p w14:paraId="74AACE5A" w14:textId="0BDDBBD7" w:rsidR="0090574C" w:rsidRPr="008B766F" w:rsidRDefault="0090574C" w:rsidP="008B766F">
            <w:pPr>
              <w:jc w:val="center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Treść uwagi</w:t>
            </w:r>
          </w:p>
        </w:tc>
        <w:tc>
          <w:tcPr>
            <w:tcW w:w="4252" w:type="dxa"/>
          </w:tcPr>
          <w:p w14:paraId="7C9E6D74" w14:textId="597CDAA9" w:rsidR="0090574C" w:rsidRPr="008B766F" w:rsidRDefault="0090574C" w:rsidP="008B766F">
            <w:pPr>
              <w:jc w:val="center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 xml:space="preserve">Propozycja </w:t>
            </w:r>
            <w:r w:rsidR="00773DAD"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brzmienia</w:t>
            </w:r>
            <w:r w:rsidR="00C93278"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 xml:space="preserve"> przepisu</w:t>
            </w:r>
          </w:p>
        </w:tc>
        <w:tc>
          <w:tcPr>
            <w:tcW w:w="1428" w:type="dxa"/>
          </w:tcPr>
          <w:p w14:paraId="2C049C38" w14:textId="382C7B91" w:rsidR="0090574C" w:rsidRPr="008B766F" w:rsidRDefault="0090574C" w:rsidP="008B766F">
            <w:pPr>
              <w:jc w:val="center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Stanowisko do uwagi</w:t>
            </w:r>
          </w:p>
        </w:tc>
      </w:tr>
      <w:tr w:rsidR="0090574C" w:rsidRPr="008B766F" w14:paraId="27D19DF6" w14:textId="77777777" w:rsidTr="7BCD6D5E">
        <w:tc>
          <w:tcPr>
            <w:tcW w:w="562" w:type="dxa"/>
          </w:tcPr>
          <w:p w14:paraId="743719D4" w14:textId="77777777" w:rsidR="0090574C" w:rsidRPr="008B766F" w:rsidRDefault="0090574C" w:rsidP="008B766F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00E6D6A0" w14:textId="444F0599" w:rsidR="0090574C" w:rsidRPr="008B766F" w:rsidRDefault="0090574C" w:rsidP="008B766F">
            <w:pPr>
              <w:jc w:val="both"/>
            </w:pPr>
          </w:p>
        </w:tc>
        <w:tc>
          <w:tcPr>
            <w:tcW w:w="2694" w:type="dxa"/>
          </w:tcPr>
          <w:p w14:paraId="32C46E4D" w14:textId="6335562D" w:rsidR="0090574C" w:rsidRPr="008B766F" w:rsidRDefault="7BCD6D5E" w:rsidP="008B766F">
            <w:pPr>
              <w:jc w:val="both"/>
            </w:pPr>
            <w:r w:rsidRPr="7BCD6D5E">
              <w:rPr>
                <w:rFonts w:ascii="Lato" w:hAnsi="Lato" w:cs="Times New Roman"/>
                <w:sz w:val="20"/>
                <w:szCs w:val="20"/>
              </w:rPr>
              <w:t>Uwaga ogólna do Rozdziału 3</w:t>
            </w:r>
          </w:p>
        </w:tc>
        <w:tc>
          <w:tcPr>
            <w:tcW w:w="5103" w:type="dxa"/>
          </w:tcPr>
          <w:p w14:paraId="32AD3F61" w14:textId="424AF8A5" w:rsidR="0090574C" w:rsidRPr="008B766F" w:rsidRDefault="7BCD6D5E" w:rsidP="008B766F">
            <w:pPr>
              <w:jc w:val="both"/>
            </w:pPr>
            <w:r w:rsidRPr="7BCD6D5E">
              <w:rPr>
                <w:rFonts w:ascii="Lato" w:hAnsi="Lato" w:cs="Times New Roman"/>
                <w:sz w:val="20"/>
                <w:szCs w:val="20"/>
              </w:rPr>
              <w:t>Projektowany mechanizm rozliczeń oparty na relacji trójstronnej (odbiorca – OSP – OSD) budzi wątpliwości pod względem rachunkowym, podatkowym oraz praktycznym, w szczególności w zakresie fakturowania i obiegu dokumentów w Krajowym Systemie e-Faktur. W celu ograniczenia ryzyk interpretacyjnych i uproszczenia procesu rozliczeń zasadne wydaje się rozważenie modelu, w którym wynagrodzenie byłoby wypłacane bezpośrednio przez OSP odbiorcom uprawnionym do jego otrzymania, analogicznie do rozwiązania stosowanego w redysponowaniu nierynkowym.</w:t>
            </w:r>
          </w:p>
          <w:p w14:paraId="473A40F5" w14:textId="26DFF001" w:rsidR="0090574C" w:rsidRPr="008B766F" w:rsidRDefault="0090574C" w:rsidP="008B766F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2530CAA" w14:textId="690B757C" w:rsidR="0090574C" w:rsidRPr="008B766F" w:rsidRDefault="7BCD6D5E" w:rsidP="008B766F">
            <w:pPr>
              <w:jc w:val="both"/>
            </w:pPr>
            <w:r w:rsidRPr="7BCD6D5E">
              <w:rPr>
                <w:rFonts w:ascii="Lato" w:hAnsi="Lato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</w:tcPr>
          <w:p w14:paraId="330A28F2" w14:textId="77777777" w:rsidR="0090574C" w:rsidRPr="008B766F" w:rsidRDefault="0090574C" w:rsidP="008B766F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90574C" w:rsidRPr="008B766F" w14:paraId="4AE66715" w14:textId="77777777" w:rsidTr="7BCD6D5E">
        <w:tc>
          <w:tcPr>
            <w:tcW w:w="562" w:type="dxa"/>
          </w:tcPr>
          <w:p w14:paraId="6AFC8947" w14:textId="6420194E" w:rsidR="0090574C" w:rsidRPr="008B766F" w:rsidRDefault="0090574C" w:rsidP="008B766F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54E9CB2E" w14:textId="26969952" w:rsidR="7BCD6D5E" w:rsidRDefault="7BCD6D5E" w:rsidP="7BCD6D5E">
            <w:pPr>
              <w:jc w:val="both"/>
            </w:pPr>
          </w:p>
        </w:tc>
        <w:tc>
          <w:tcPr>
            <w:tcW w:w="2694" w:type="dxa"/>
          </w:tcPr>
          <w:p w14:paraId="5D549928" w14:textId="6335562D" w:rsidR="7BCD6D5E" w:rsidRDefault="7BCD6D5E" w:rsidP="7BCD6D5E">
            <w:pPr>
              <w:jc w:val="both"/>
            </w:pPr>
            <w:r w:rsidRPr="7BCD6D5E">
              <w:rPr>
                <w:rFonts w:ascii="Lato" w:hAnsi="Lato" w:cs="Times New Roman"/>
                <w:sz w:val="20"/>
                <w:szCs w:val="20"/>
              </w:rPr>
              <w:t>Uwaga ogólna do Rozdziału 3</w:t>
            </w:r>
          </w:p>
        </w:tc>
        <w:tc>
          <w:tcPr>
            <w:tcW w:w="5103" w:type="dxa"/>
          </w:tcPr>
          <w:p w14:paraId="70C02395" w14:textId="6F8D1CAA" w:rsidR="0090574C" w:rsidRPr="008B766F" w:rsidRDefault="7BCD6D5E" w:rsidP="008B766F">
            <w:pPr>
              <w:jc w:val="both"/>
            </w:pPr>
            <w:r w:rsidRPr="7BCD6D5E">
              <w:rPr>
                <w:rFonts w:ascii="Lato" w:hAnsi="Lato" w:cs="Times New Roman"/>
                <w:sz w:val="20"/>
                <w:szCs w:val="20"/>
              </w:rPr>
              <w:t>Projekt wyłącza prawo do wynagrodzenia w przypadku redukcji realizowanej w ramach rynku mocy oraz określonych usług systemowych, nie odnosi się jednak do usług elastyczności oraz innych mechanizmów zarządzania popytem. W celu uniknięcia wątpliwości interpretacyjnych i ryzyka podwójnego wynagradzania za ten sam efekt redukcji zasadne jest jednoznaczne określenie relacji pomiędzy projektowanym mechanizmem wynagrodzeń a usługami elastyczności oraz pozostałymi usługami świadczonymi na rzecz operatorów systemów elektroenergetycznych.</w:t>
            </w:r>
          </w:p>
          <w:p w14:paraId="2D79E846" w14:textId="39719FB2" w:rsidR="0090574C" w:rsidRPr="008B766F" w:rsidRDefault="0090574C" w:rsidP="008B766F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14:paraId="38D07FBA" w14:textId="44708361" w:rsidR="0090574C" w:rsidRPr="008B766F" w:rsidRDefault="7BCD6D5E" w:rsidP="008B766F">
            <w:pPr>
              <w:jc w:val="both"/>
            </w:pPr>
            <w:r w:rsidRPr="7BCD6D5E">
              <w:rPr>
                <w:rFonts w:ascii="Lato" w:hAnsi="Lato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</w:tcPr>
          <w:p w14:paraId="31C0C230" w14:textId="77777777" w:rsidR="0090574C" w:rsidRPr="008B766F" w:rsidRDefault="0090574C" w:rsidP="008B766F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90574C" w:rsidRPr="008B766F" w14:paraId="574FF95B" w14:textId="77777777" w:rsidTr="7BCD6D5E">
        <w:tc>
          <w:tcPr>
            <w:tcW w:w="562" w:type="dxa"/>
          </w:tcPr>
          <w:p w14:paraId="590D690B" w14:textId="321DEEE7" w:rsidR="0090574C" w:rsidRPr="008B766F" w:rsidRDefault="0090574C" w:rsidP="008B766F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7283C367" w14:textId="1EB5DD7A" w:rsidR="0090574C" w:rsidRPr="008B766F" w:rsidRDefault="0090574C" w:rsidP="00EB0D1D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14:paraId="43EC42A6" w14:textId="71A3BC07" w:rsidR="0090574C" w:rsidRPr="008B766F" w:rsidRDefault="7BCD6D5E" w:rsidP="008B766F">
            <w:pPr>
              <w:jc w:val="both"/>
            </w:pPr>
            <w:r w:rsidRPr="7BCD6D5E">
              <w:rPr>
                <w:rFonts w:ascii="Lato" w:hAnsi="Lato" w:cs="Times New Roman"/>
                <w:sz w:val="20"/>
                <w:szCs w:val="20"/>
              </w:rPr>
              <w:t>Przepisy przejściowe w związku z §15</w:t>
            </w:r>
          </w:p>
        </w:tc>
        <w:tc>
          <w:tcPr>
            <w:tcW w:w="5103" w:type="dxa"/>
          </w:tcPr>
          <w:p w14:paraId="59C5BA70" w14:textId="734C2097" w:rsidR="0090574C" w:rsidRPr="002E2089" w:rsidRDefault="7BCD6D5E" w:rsidP="7BCD6D5E">
            <w:pPr>
              <w:jc w:val="both"/>
            </w:pPr>
            <w:r w:rsidRPr="7BCD6D5E">
              <w:rPr>
                <w:rFonts w:ascii="Lato" w:hAnsi="Lato" w:cs="Times New Roman"/>
                <w:sz w:val="20"/>
                <w:szCs w:val="20"/>
              </w:rPr>
              <w:t>Przepisy przejściowe projektu nie wskazują terminu pierwszej publikacji na stronie internetowej operatora listy odbiorców energii elektrycznej posiadających obiekty podlegające ograniczeniom w dostarczaniu i poborze energii elektrycznej – a same zapisy §15 określają obowiązek i termin aktualizacji. W celu uniknięcia wątpliwości interpretacyjnych proponujemy uzupełnienie przepisów przejściowych o wskazanie terminu pierwszej publikacji ww. listy.</w:t>
            </w:r>
          </w:p>
        </w:tc>
        <w:tc>
          <w:tcPr>
            <w:tcW w:w="4252" w:type="dxa"/>
          </w:tcPr>
          <w:p w14:paraId="118E3641" w14:textId="53CD7492" w:rsidR="0090574C" w:rsidRPr="008B766F" w:rsidRDefault="7BCD6D5E" w:rsidP="008B766F">
            <w:pPr>
              <w:jc w:val="both"/>
            </w:pPr>
            <w:r w:rsidRPr="7BCD6D5E">
              <w:rPr>
                <w:rFonts w:ascii="Lato" w:hAnsi="Lato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</w:tcPr>
          <w:p w14:paraId="17C40DBE" w14:textId="77777777" w:rsidR="0090574C" w:rsidRPr="008B766F" w:rsidRDefault="0090574C" w:rsidP="008B766F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</w:tr>
      <w:bookmarkEnd w:id="0"/>
    </w:tbl>
    <w:p w14:paraId="4A485AB3" w14:textId="77777777" w:rsidR="00CA2841" w:rsidRPr="008B766F" w:rsidRDefault="00CA2841" w:rsidP="002E2089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sectPr w:rsidR="00CA2841" w:rsidRPr="008B766F" w:rsidSect="00B91BB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537E8" w14:textId="77777777" w:rsidR="00F741AF" w:rsidRDefault="00F741AF" w:rsidP="00CA2841">
      <w:pPr>
        <w:spacing w:after="0" w:line="240" w:lineRule="auto"/>
      </w:pPr>
      <w:r>
        <w:separator/>
      </w:r>
    </w:p>
  </w:endnote>
  <w:endnote w:type="continuationSeparator" w:id="0">
    <w:p w14:paraId="69BF4C31" w14:textId="77777777" w:rsidR="00F741AF" w:rsidRDefault="00F741AF" w:rsidP="00CA2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AFCBE" w14:textId="77777777" w:rsidR="00F741AF" w:rsidRDefault="00F741AF" w:rsidP="00CA2841">
      <w:pPr>
        <w:spacing w:after="0" w:line="240" w:lineRule="auto"/>
      </w:pPr>
      <w:r>
        <w:separator/>
      </w:r>
    </w:p>
  </w:footnote>
  <w:footnote w:type="continuationSeparator" w:id="0">
    <w:p w14:paraId="5B3BC272" w14:textId="77777777" w:rsidR="00F741AF" w:rsidRDefault="00F741AF" w:rsidP="00CA2841">
      <w:pPr>
        <w:spacing w:after="0" w:line="240" w:lineRule="auto"/>
      </w:pPr>
      <w:r>
        <w:continuationSeparator/>
      </w:r>
    </w:p>
  </w:footnote>
  <w:footnote w:id="1">
    <w:p w14:paraId="722C9D04" w14:textId="76DFC1E6" w:rsidR="004F2D1D" w:rsidRPr="00EF494C" w:rsidRDefault="004F2D1D">
      <w:pPr>
        <w:pStyle w:val="Tekstprzypisudolnego"/>
        <w:rPr>
          <w:rFonts w:ascii="Lato" w:hAnsi="Lato" w:cs="Times New Roman"/>
          <w:sz w:val="22"/>
          <w:szCs w:val="22"/>
        </w:rPr>
      </w:pPr>
      <w:r w:rsidRPr="00EF494C">
        <w:rPr>
          <w:rStyle w:val="Odwoanieprzypisudolnego"/>
          <w:rFonts w:ascii="Lato" w:hAnsi="Lato" w:cs="Times New Roman"/>
        </w:rPr>
        <w:t>1)</w:t>
      </w:r>
      <w:r w:rsidRPr="00EF494C">
        <w:rPr>
          <w:rFonts w:ascii="Lato" w:hAnsi="Lato" w:cs="Times New Roman"/>
        </w:rPr>
        <w:t xml:space="preserve"> </w:t>
      </w:r>
      <w:r w:rsidR="00B91BB7" w:rsidRPr="00EF494C">
        <w:rPr>
          <w:rFonts w:ascii="Lato" w:hAnsi="Lato" w:cs="Times New Roman"/>
        </w:rPr>
        <w:t>W przypadku aktu nowelizującego n</w:t>
      </w:r>
      <w:r w:rsidRPr="00EF494C">
        <w:rPr>
          <w:rFonts w:ascii="Lato" w:hAnsi="Lato" w:cs="Times New Roman"/>
        </w:rPr>
        <w:t xml:space="preserve">ależy wskazać jednostkę redakcyjną projektu </w:t>
      </w:r>
      <w:r w:rsidR="00EB31B4" w:rsidRPr="00EF494C">
        <w:rPr>
          <w:rFonts w:ascii="Lato" w:hAnsi="Lato" w:cs="Times New Roman"/>
        </w:rPr>
        <w:t>oraz jednostkę redakcyjną zmienianego aktu prawnego.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41"/>
    <w:rsid w:val="00044574"/>
    <w:rsid w:val="000B7939"/>
    <w:rsid w:val="0019568F"/>
    <w:rsid w:val="001B734F"/>
    <w:rsid w:val="001E4824"/>
    <w:rsid w:val="002E2089"/>
    <w:rsid w:val="003054AE"/>
    <w:rsid w:val="003865E1"/>
    <w:rsid w:val="003E0CF3"/>
    <w:rsid w:val="003F1B25"/>
    <w:rsid w:val="00435D45"/>
    <w:rsid w:val="004F2D1D"/>
    <w:rsid w:val="0065784C"/>
    <w:rsid w:val="00773DAD"/>
    <w:rsid w:val="008169D1"/>
    <w:rsid w:val="0083699A"/>
    <w:rsid w:val="008B1756"/>
    <w:rsid w:val="008B766F"/>
    <w:rsid w:val="0090574C"/>
    <w:rsid w:val="00983420"/>
    <w:rsid w:val="009B5AD6"/>
    <w:rsid w:val="009E0465"/>
    <w:rsid w:val="009E504D"/>
    <w:rsid w:val="00A50DD6"/>
    <w:rsid w:val="00B829F8"/>
    <w:rsid w:val="00B91BB7"/>
    <w:rsid w:val="00BD54FB"/>
    <w:rsid w:val="00C2477F"/>
    <w:rsid w:val="00C93278"/>
    <w:rsid w:val="00CA2841"/>
    <w:rsid w:val="00CD11E1"/>
    <w:rsid w:val="00CD3075"/>
    <w:rsid w:val="00D35962"/>
    <w:rsid w:val="00D45318"/>
    <w:rsid w:val="00D5771E"/>
    <w:rsid w:val="00E404C1"/>
    <w:rsid w:val="00E40E3D"/>
    <w:rsid w:val="00E419AB"/>
    <w:rsid w:val="00EB0D1D"/>
    <w:rsid w:val="00EB31B4"/>
    <w:rsid w:val="00EC4C43"/>
    <w:rsid w:val="00EF494C"/>
    <w:rsid w:val="00F741AF"/>
    <w:rsid w:val="00F902F2"/>
    <w:rsid w:val="7BCD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43F60"/>
  <w15:chartTrackingRefBased/>
  <w15:docId w15:val="{6BE2EF6E-7A57-45BA-8729-04A92DBE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A28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284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2841"/>
    <w:rPr>
      <w:vertAlign w:val="superscript"/>
    </w:rPr>
  </w:style>
  <w:style w:type="table" w:styleId="Tabela-Siatka">
    <w:name w:val="Table Grid"/>
    <w:basedOn w:val="Standardowy"/>
    <w:uiPriority w:val="39"/>
    <w:rsid w:val="00CA2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F2D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F2D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F2D1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D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D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6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68A9B-02CF-49B8-B19D-07AFA93A7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1813</Characters>
  <Application>Microsoft Office Word</Application>
  <DocSecurity>0</DocSecurity>
  <Lines>69</Lines>
  <Paragraphs>23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Wójcikiewicz-Kawa Agata</dc:creator>
  <cp:keywords/>
  <dc:description/>
  <cp:lastModifiedBy>Magdalena Widlicka</cp:lastModifiedBy>
  <cp:revision>3</cp:revision>
  <dcterms:created xsi:type="dcterms:W3CDTF">2026-07-30T08:26:00Z</dcterms:created>
  <dcterms:modified xsi:type="dcterms:W3CDTF">2026-07-30T09:27:00Z</dcterms:modified>
</cp:coreProperties>
</file>