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13659" w:type="dxa"/>
        <w:jc w:val="center"/>
        <w:tblCellMar>
          <w:left w:w="113" w:type="dxa"/>
          <w:right w:w="113" w:type="dxa"/>
        </w:tblCellMar>
        <w:tblLook w:val="0000" w:firstRow="0" w:lastRow="0" w:firstColumn="0" w:lastColumn="0" w:noHBand="0" w:noVBand="0"/>
      </w:tblPr>
      <w:tblGrid>
        <w:gridCol w:w="936"/>
        <w:gridCol w:w="3312"/>
        <w:gridCol w:w="5953"/>
        <w:gridCol w:w="3458"/>
      </w:tblGrid>
      <w:tr w:rsidR="00EF04F9" w14:paraId="70582E9B" w14:textId="77777777" w:rsidTr="4B18DE5F">
        <w:trPr>
          <w:trHeight w:val="592"/>
          <w:jc w:val="center"/>
        </w:trPr>
        <w:tc>
          <w:tcPr>
            <w:tcW w:w="136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055C3B97" w14:textId="77777777" w:rsidR="00EF04F9" w:rsidRDefault="00EF04F9" w:rsidP="00EF04F9">
            <w:pPr>
              <w:spacing w:before="120"/>
              <w:jc w:val="center"/>
            </w:pPr>
            <w:r>
              <w:rPr>
                <w:rFonts w:cs="Calibri"/>
                <w:b/>
                <w:bCs/>
                <w:color w:val="000000"/>
                <w:lang w:eastAsia="pl-PL"/>
              </w:rPr>
              <w:t xml:space="preserve">Uwagi do projektu ustawy </w:t>
            </w:r>
            <w:r>
              <w:rPr>
                <w:rFonts w:cs="Calibri"/>
                <w:b/>
                <w:bCs/>
              </w:rPr>
              <w:t xml:space="preserve"> prawo własności przemysłowej (UC81)</w:t>
            </w:r>
          </w:p>
          <w:p w14:paraId="3E66BD7D" w14:textId="2CFC22E0" w:rsidR="00EF04F9" w:rsidRPr="00DB4E80" w:rsidRDefault="00DB4E80" w:rsidP="00EF04F9">
            <w:pPr>
              <w:spacing w:before="120" w:after="0"/>
              <w:jc w:val="center"/>
              <w:rPr>
                <w:b/>
                <w:bCs/>
              </w:rPr>
            </w:pPr>
            <w:r w:rsidRPr="00DB4E80">
              <w:rPr>
                <w:b/>
                <w:bCs/>
              </w:rPr>
              <w:t>Konfederacja Lewiatan</w:t>
            </w:r>
          </w:p>
          <w:p w14:paraId="06802FA4" w14:textId="77777777" w:rsidR="00EF04F9" w:rsidRDefault="00EF04F9" w:rsidP="00EF04F9">
            <w:pPr>
              <w:jc w:val="center"/>
            </w:pPr>
            <w:r>
              <w:rPr>
                <w:rFonts w:cs="Calibri"/>
                <w:i/>
                <w:iCs/>
                <w:color w:val="000000"/>
                <w:lang w:eastAsia="pl-PL"/>
              </w:rPr>
              <w:t>(nazwa podmiotu zgłaszającego uwagi)</w:t>
            </w:r>
          </w:p>
          <w:p w14:paraId="7FA8231E" w14:textId="44F784EB" w:rsidR="00EF04F9" w:rsidRPr="00EF04F9" w:rsidRDefault="00EF04F9" w:rsidP="00EF04F9">
            <w:pPr>
              <w:pStyle w:val="Akapitzlist"/>
              <w:numPr>
                <w:ilvl w:val="0"/>
                <w:numId w:val="3"/>
              </w:numPr>
              <w:contextualSpacing w:val="0"/>
              <w:jc w:val="center"/>
              <w:rPr>
                <w:rFonts w:cs="Calibri"/>
                <w:i/>
                <w:iCs/>
                <w:color w:val="000000"/>
                <w:shd w:val="clear" w:color="auto" w:fill="FFFF00"/>
                <w:lang w:eastAsia="pl-PL"/>
              </w:rPr>
            </w:pPr>
          </w:p>
        </w:tc>
      </w:tr>
      <w:tr w:rsidR="00261D38" w14:paraId="3319492E" w14:textId="04E5D0A9" w:rsidTr="4B18DE5F">
        <w:trPr>
          <w:trHeight w:val="592"/>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381E3FF6" w14:textId="77777777" w:rsidR="00261D38" w:rsidRDefault="00261D38" w:rsidP="00261D38">
            <w:pPr>
              <w:jc w:val="center"/>
              <w:rPr>
                <w:rFonts w:cs="Calibri"/>
                <w:b/>
                <w:color w:val="000000"/>
              </w:rPr>
            </w:pPr>
            <w:r>
              <w:rPr>
                <w:rFonts w:cs="Calibri"/>
                <w:b/>
                <w:color w:val="000000"/>
              </w:rPr>
              <w:t>Lp.</w:t>
            </w: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7B888F6A" w14:textId="77777777" w:rsidR="00261D38" w:rsidRDefault="00261D38" w:rsidP="00261D38">
            <w:pPr>
              <w:spacing w:after="60"/>
              <w:jc w:val="center"/>
              <w:rPr>
                <w:rFonts w:cs="Calibri"/>
                <w:b/>
                <w:color w:val="000000"/>
              </w:rPr>
            </w:pPr>
            <w:r>
              <w:rPr>
                <w:rFonts w:cs="Calibri"/>
                <w:b/>
                <w:color w:val="000000"/>
              </w:rPr>
              <w:t>Treść jednostki redakcyjnej, której dotyczy uwaga</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3CDE3162" w14:textId="5D959870" w:rsidR="00261D38" w:rsidRDefault="00261D38" w:rsidP="00261D38">
            <w:pPr>
              <w:jc w:val="center"/>
              <w:rPr>
                <w:rFonts w:cs="Calibri"/>
                <w:b/>
                <w:color w:val="000000"/>
              </w:rPr>
            </w:pPr>
            <w:r w:rsidRPr="00EF04F9">
              <w:rPr>
                <w:rFonts w:cs="Calibri"/>
                <w:b/>
                <w:color w:val="000000"/>
              </w:rPr>
              <w:t>Treść uwagi</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F8291FF" w14:textId="4A6120A8" w:rsidR="00261D38" w:rsidRPr="00261D38" w:rsidRDefault="00261D38" w:rsidP="00261D38">
            <w:pPr>
              <w:jc w:val="center"/>
              <w:rPr>
                <w:rFonts w:ascii="Aptos" w:eastAsiaTheme="minorHAnsi" w:hAnsi="Aptos" w:cs="Aptos"/>
                <w:b/>
                <w:bCs/>
                <w:sz w:val="24"/>
                <w:szCs w:val="24"/>
              </w:rPr>
            </w:pPr>
            <w:r>
              <w:rPr>
                <w:b/>
                <w:bCs/>
                <w:color w:val="000000"/>
              </w:rPr>
              <w:t xml:space="preserve">Ewentualna propozycja zmiany </w:t>
            </w:r>
          </w:p>
        </w:tc>
      </w:tr>
      <w:tr w:rsidR="00EF04F9" w14:paraId="311C019D" w14:textId="7C20B99A"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F79746"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7341B5" w14:textId="5F1E1E19" w:rsidR="00EF04F9" w:rsidRDefault="00EF04F9" w:rsidP="00EF04F9">
            <w:pPr>
              <w:jc w:val="both"/>
              <w:rPr>
                <w:rFonts w:cs="Calibri"/>
              </w:rPr>
            </w:pPr>
            <w:r>
              <w:rPr>
                <w:rFonts w:cs="Calibri"/>
              </w:rPr>
              <w:t>Art. 2</w:t>
            </w:r>
          </w:p>
          <w:p w14:paraId="5EAC7818" w14:textId="77777777" w:rsidR="00EF04F9" w:rsidRDefault="00EF04F9" w:rsidP="00EF04F9">
            <w:pPr>
              <w:jc w:val="both"/>
              <w:rPr>
                <w:rFonts w:cs="Calibri"/>
              </w:rPr>
            </w:pPr>
            <w:r>
              <w:rPr>
                <w:rFonts w:cs="Calibri"/>
              </w:rPr>
              <w:t>1. Na warunkach określonych w ustawie są udzielane patenty na wynalazki, dodatkowe prawa ochronne na produkty lecznicze, dodatkowe prawa ochronne na środki ochrony roślin, prawa ochronne na znaki towarowe oraz prawa z rejestracji na wzory użytkowe, topografie układów scalonych i wzory przemysłowe.</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11485A5" w14:textId="5890F662" w:rsidR="00EF04F9" w:rsidRDefault="00EF04F9" w:rsidP="00EF04F9">
            <w:pPr>
              <w:jc w:val="both"/>
              <w:rPr>
                <w:rFonts w:cs="Calibri"/>
              </w:rPr>
            </w:pPr>
          </w:p>
          <w:p w14:paraId="06276A0C" w14:textId="29E40F80" w:rsidR="00D345DF" w:rsidRDefault="00D345DF" w:rsidP="00EF04F9">
            <w:pPr>
              <w:jc w:val="both"/>
              <w:rPr>
                <w:rFonts w:cs="Calibri"/>
              </w:rPr>
            </w:pPr>
            <w:r>
              <w:rPr>
                <w:rFonts w:cs="Calibri"/>
              </w:rPr>
              <w:t>Utrzymanie tryb</w:t>
            </w:r>
            <w:r w:rsidR="00373E9C">
              <w:rPr>
                <w:rFonts w:cs="Calibri"/>
              </w:rPr>
              <w:t>u</w:t>
            </w:r>
            <w:r>
              <w:rPr>
                <w:rFonts w:cs="Calibri"/>
              </w:rPr>
              <w:t xml:space="preserve"> badawczego dla wzorów przemysłowych. Szersze uzasadnienie podane w komentarzach do projektowanego art. 109 i następnych.</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15415" w14:textId="1ACB204E" w:rsidR="00EF04F9" w:rsidRPr="0048016A" w:rsidRDefault="00EF04F9" w:rsidP="00EF04F9">
            <w:pPr>
              <w:jc w:val="both"/>
              <w:rPr>
                <w:rFonts w:eastAsia="Times New Roman" w:cs="Calibri"/>
                <w:i/>
                <w:iCs/>
              </w:rPr>
            </w:pPr>
            <w:r w:rsidRPr="0048016A">
              <w:rPr>
                <w:rFonts w:eastAsia="Times New Roman" w:cs="Calibri"/>
                <w:i/>
                <w:iCs/>
              </w:rPr>
              <w:t xml:space="preserve">Art. 2 </w:t>
            </w:r>
          </w:p>
          <w:p w14:paraId="0E7D35F8" w14:textId="70539F6A" w:rsidR="00EF04F9" w:rsidRPr="0048016A" w:rsidRDefault="00EF04F9" w:rsidP="00EF04F9">
            <w:pPr>
              <w:jc w:val="both"/>
              <w:rPr>
                <w:rFonts w:cs="Calibri"/>
                <w:i/>
                <w:iCs/>
              </w:rPr>
            </w:pPr>
            <w:r w:rsidRPr="0048016A">
              <w:rPr>
                <w:rFonts w:eastAsia="Times New Roman" w:cs="Calibri"/>
                <w:i/>
                <w:iCs/>
              </w:rPr>
              <w:t xml:space="preserve">1. Na warunkach określonych w ustawie są udzielane patenty na wynalazki, dodatkowe prawa ochronne na produkty lecznicze, dodatkowe prawa ochronne na środki ochrony roślin, prawa ochronne na znaki towarowe oraz prawa </w:t>
            </w:r>
            <w:r w:rsidRPr="0048016A">
              <w:rPr>
                <w:rFonts w:eastAsia="Times New Roman" w:cs="Calibri"/>
                <w:b/>
                <w:bCs/>
                <w:i/>
                <w:iCs/>
                <w:strike/>
                <w:color w:val="EE0000"/>
              </w:rPr>
              <w:t>z rejestracji</w:t>
            </w:r>
            <w:r w:rsidRPr="0048016A">
              <w:rPr>
                <w:rFonts w:eastAsia="Times New Roman" w:cs="Calibri"/>
                <w:b/>
                <w:bCs/>
                <w:i/>
                <w:iCs/>
                <w:color w:val="EE0000"/>
              </w:rPr>
              <w:t xml:space="preserve"> ochronne </w:t>
            </w:r>
            <w:r w:rsidRPr="0048016A">
              <w:rPr>
                <w:rFonts w:eastAsia="Times New Roman" w:cs="Calibri"/>
                <w:i/>
                <w:iCs/>
              </w:rPr>
              <w:t>na wzory użytkowe, topografie układów scalonych i wzory przemysłowe.</w:t>
            </w:r>
          </w:p>
        </w:tc>
      </w:tr>
      <w:tr w:rsidR="0048016A" w14:paraId="50EA6734" w14:textId="77777777"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DF3E7C" w14:textId="77777777" w:rsidR="0048016A" w:rsidRDefault="0048016A" w:rsidP="0048016A">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6CBDE3" w14:textId="63997DFB" w:rsidR="0048016A" w:rsidRDefault="0048016A" w:rsidP="0048016A">
            <w:pPr>
              <w:jc w:val="both"/>
              <w:rPr>
                <w:rFonts w:cs="Calibri"/>
              </w:rPr>
            </w:pPr>
            <w:r>
              <w:rPr>
                <w:rFonts w:eastAsia="Times New Roman" w:cs="Calibri"/>
              </w:rPr>
              <w:t>Art. 3</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BD9910" w14:textId="24F19598" w:rsidR="0048016A" w:rsidRDefault="0048016A" w:rsidP="0048016A">
            <w:pPr>
              <w:jc w:val="both"/>
              <w:rPr>
                <w:rFonts w:cs="Calibri"/>
              </w:rPr>
            </w:pPr>
            <w:r>
              <w:rPr>
                <w:rFonts w:cs="Calibri"/>
              </w:rPr>
              <w:t>Zastąpienie pojęcia „wytwór” pojęciem „</w:t>
            </w:r>
            <w:proofErr w:type="gramStart"/>
            <w:r>
              <w:rPr>
                <w:rFonts w:cs="Calibri"/>
              </w:rPr>
              <w:t>produkt”  służy</w:t>
            </w:r>
            <w:proofErr w:type="gramEnd"/>
            <w:r>
              <w:rPr>
                <w:rFonts w:cs="Calibri"/>
              </w:rPr>
              <w:t xml:space="preserve"> ujednoliceniu terminologii </w:t>
            </w:r>
            <w:r w:rsidR="00574B74">
              <w:rPr>
                <w:rFonts w:cs="Calibri"/>
              </w:rPr>
              <w:t>ustawy</w:t>
            </w:r>
            <w:r w:rsidR="00177672">
              <w:rPr>
                <w:rFonts w:cs="Calibri"/>
              </w:rPr>
              <w:t xml:space="preserve"> </w:t>
            </w:r>
            <w:r>
              <w:rPr>
                <w:rFonts w:cs="Calibri"/>
              </w:rPr>
              <w:t xml:space="preserve">oraz dostosowaniu jej do pojęć używanych w przepisach unijnych. </w:t>
            </w:r>
            <w:r w:rsidR="00574B74">
              <w:rPr>
                <w:rFonts w:cs="Calibri"/>
              </w:rPr>
              <w:t>B</w:t>
            </w:r>
            <w:r>
              <w:rPr>
                <w:rFonts w:cs="Calibri"/>
              </w:rPr>
              <w:t xml:space="preserve">rak doprecyzowania relacji między tymi pojęciami może budzić wątpliwości interpretacyjne co do ich zakresu i wzajemnego znaczenia, </w:t>
            </w:r>
            <w:r>
              <w:rPr>
                <w:rFonts w:cs="Calibri"/>
              </w:rPr>
              <w:lastRenderedPageBreak/>
              <w:t xml:space="preserve">przykładowo: </w:t>
            </w:r>
            <w:r w:rsidRPr="00640B63">
              <w:rPr>
                <w:rFonts w:cs="Calibri"/>
                <w:i/>
              </w:rPr>
              <w:t>Art. 67. 1. Patent na wynalazek dotyczący sposobu wytwarzania obejmuje także wytwory uzyskane bezpośrednio tym sposobem.</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229B7" w14:textId="594EED74" w:rsidR="0048016A" w:rsidRPr="0048016A" w:rsidRDefault="0048016A" w:rsidP="0048016A">
            <w:pPr>
              <w:spacing w:after="120"/>
              <w:jc w:val="both"/>
              <w:rPr>
                <w:rFonts w:eastAsia="Times New Roman" w:cs="Calibri"/>
                <w:i/>
                <w:iCs/>
              </w:rPr>
            </w:pPr>
            <w:r w:rsidRPr="0048016A">
              <w:rPr>
                <w:rFonts w:eastAsia="Times New Roman" w:cs="Calibri"/>
                <w:i/>
                <w:iCs/>
              </w:rPr>
              <w:lastRenderedPageBreak/>
              <w:t>Art. 3</w:t>
            </w:r>
          </w:p>
          <w:p w14:paraId="01A5CE5D" w14:textId="25FC4717" w:rsidR="0048016A" w:rsidRPr="0048016A" w:rsidRDefault="0048016A" w:rsidP="0048016A">
            <w:pPr>
              <w:jc w:val="both"/>
              <w:rPr>
                <w:rFonts w:eastAsia="Times New Roman" w:cs="Calibri"/>
                <w:i/>
                <w:iCs/>
              </w:rPr>
            </w:pPr>
            <w:r w:rsidRPr="0079377B">
              <w:rPr>
                <w:rFonts w:eastAsia="Times New Roman" w:cs="Calibri"/>
                <w:i/>
                <w:iCs/>
                <w:color w:val="EE0000"/>
              </w:rPr>
              <w:t xml:space="preserve">4. Ilekroć w ustawie jest mowa o wytworze, należy przez to rozumieć również produkt w znaczeniu </w:t>
            </w:r>
            <w:r w:rsidRPr="0079377B">
              <w:rPr>
                <w:rFonts w:eastAsia="Times New Roman" w:cs="Calibri"/>
                <w:i/>
                <w:iCs/>
                <w:color w:val="EE0000"/>
              </w:rPr>
              <w:lastRenderedPageBreak/>
              <w:t>technicznym będący rezultatem działania wynalazku, chyba że przepis</w:t>
            </w:r>
            <w:r w:rsidR="000C6042">
              <w:rPr>
                <w:rFonts w:eastAsia="Times New Roman" w:cs="Calibri"/>
                <w:i/>
                <w:iCs/>
                <w:color w:val="EE0000"/>
              </w:rPr>
              <w:t xml:space="preserve"> </w:t>
            </w:r>
            <w:r w:rsidR="00CF732A">
              <w:rPr>
                <w:rFonts w:eastAsia="Times New Roman" w:cs="Calibri"/>
                <w:i/>
                <w:iCs/>
                <w:color w:val="EE0000"/>
              </w:rPr>
              <w:t xml:space="preserve">szczególny </w:t>
            </w:r>
            <w:r w:rsidRPr="0079377B">
              <w:rPr>
                <w:rFonts w:eastAsia="Times New Roman" w:cs="Calibri"/>
                <w:i/>
                <w:iCs/>
                <w:color w:val="EE0000"/>
              </w:rPr>
              <w:t xml:space="preserve"> </w:t>
            </w:r>
            <w:r w:rsidR="00CF732A">
              <w:rPr>
                <w:rFonts w:eastAsia="Times New Roman" w:cs="Calibri"/>
                <w:i/>
                <w:iCs/>
                <w:color w:val="EE0000"/>
              </w:rPr>
              <w:t>stanowi</w:t>
            </w:r>
            <w:r w:rsidRPr="0079377B">
              <w:rPr>
                <w:rFonts w:eastAsia="Times New Roman" w:cs="Calibri"/>
                <w:i/>
                <w:iCs/>
                <w:color w:val="EE0000"/>
              </w:rPr>
              <w:t xml:space="preserve"> inaczej.</w:t>
            </w:r>
          </w:p>
        </w:tc>
      </w:tr>
      <w:tr w:rsidR="00EF04F9" w14:paraId="7900E4BD" w14:textId="340D8F7A"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76A0CE"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03BE39" w14:textId="1A38BEA5" w:rsidR="00EF04F9" w:rsidRDefault="00EF04F9" w:rsidP="00EF04F9">
            <w:pPr>
              <w:jc w:val="both"/>
              <w:rPr>
                <w:rFonts w:eastAsia="Aptos" w:cs="Calibri"/>
              </w:rPr>
            </w:pPr>
            <w:r>
              <w:rPr>
                <w:rFonts w:eastAsia="Aptos" w:cs="Calibri"/>
              </w:rPr>
              <w:t xml:space="preserve">Art. 3 </w:t>
            </w:r>
            <w:r w:rsidR="00C658EE">
              <w:rPr>
                <w:rFonts w:eastAsia="Aptos" w:cs="Calibri"/>
              </w:rPr>
              <w:t>u</w:t>
            </w:r>
            <w:r>
              <w:rPr>
                <w:rFonts w:eastAsia="Aptos" w:cs="Calibri"/>
              </w:rPr>
              <w:t>st</w:t>
            </w:r>
            <w:r w:rsidR="00C658EE">
              <w:rPr>
                <w:rFonts w:eastAsia="Aptos" w:cs="Calibri"/>
              </w:rPr>
              <w:t>.</w:t>
            </w:r>
            <w:r>
              <w:rPr>
                <w:rFonts w:eastAsia="Aptos" w:cs="Calibri"/>
              </w:rPr>
              <w:t xml:space="preserve"> 1 pkt 21)</w:t>
            </w:r>
          </w:p>
          <w:p w14:paraId="2EA5842C" w14:textId="77777777" w:rsidR="00EF04F9" w:rsidRDefault="00EF04F9" w:rsidP="00EF04F9">
            <w:pPr>
              <w:jc w:val="both"/>
              <w:rPr>
                <w:rFonts w:cs="Calibri"/>
              </w:rPr>
            </w:pPr>
            <w:r>
              <w:rPr>
                <w:rFonts w:cs="Calibri"/>
              </w:rPr>
              <w:t>1. Użyte w ustawie skróty oznaczają:</w:t>
            </w:r>
          </w:p>
          <w:p w14:paraId="1ECC624E" w14:textId="77777777" w:rsidR="00EF04F9" w:rsidRDefault="00EF04F9" w:rsidP="00EF04F9">
            <w:pPr>
              <w:jc w:val="both"/>
              <w:rPr>
                <w:rFonts w:cs="Calibri"/>
              </w:rPr>
            </w:pPr>
            <w:r>
              <w:rPr>
                <w:rFonts w:cs="Calibri"/>
              </w:rPr>
              <w:t>21) urzędzie przyjmującym – rozumie się przez to Urząd Patentowy, działający jako organ, do którego są wnoszone zgłoszenia międzynarodowe na podstawie Układu o współpracy patentowej;</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683CA9E" w14:textId="77777777" w:rsidR="00EF04F9" w:rsidRDefault="00EF04F9" w:rsidP="00EF04F9">
            <w:pPr>
              <w:spacing w:after="160"/>
              <w:jc w:val="both"/>
              <w:rPr>
                <w:rFonts w:eastAsia="Aptos" w:cs="Calibri"/>
                <w:color w:val="000000"/>
              </w:rPr>
            </w:pPr>
            <w:r>
              <w:rPr>
                <w:rFonts w:eastAsia="Aptos" w:cs="Calibri"/>
                <w:color w:val="000000"/>
              </w:rPr>
              <w:t>Zmiana ma na celu uzupełnienie definicji „urzędu przyjmującego” o europejskie zgłoszenia patentowe składane za pośrednictwem Urzędu Patentowego na podstawie Konwencji o udzielaniu patentów europejskich. Pozwoli to odzwierciedlić pełny zakres czynności wykonywanych przez Urząd Patentowy oraz zapewnić spójność definicji z regulacją dotyczącą europejskiej procedury zgłoszeniowej.</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79407" w14:textId="544AE935" w:rsidR="00EF04F9" w:rsidRPr="0048016A" w:rsidRDefault="00925BAD" w:rsidP="00EF04F9">
            <w:pPr>
              <w:jc w:val="both"/>
              <w:rPr>
                <w:rFonts w:eastAsia="Aptos" w:cs="Calibri"/>
                <w:i/>
                <w:iCs/>
              </w:rPr>
            </w:pPr>
            <w:r>
              <w:rPr>
                <w:rFonts w:eastAsia="Aptos" w:cs="Calibri"/>
                <w:i/>
                <w:iCs/>
              </w:rPr>
              <w:t>Art.</w:t>
            </w:r>
            <w:r w:rsidR="00EF04F9" w:rsidRPr="0048016A">
              <w:rPr>
                <w:rFonts w:eastAsia="Aptos" w:cs="Calibri"/>
                <w:i/>
                <w:iCs/>
              </w:rPr>
              <w:t xml:space="preserve"> 3 </w:t>
            </w:r>
            <w:r>
              <w:rPr>
                <w:rFonts w:eastAsia="Aptos" w:cs="Calibri"/>
                <w:i/>
                <w:iCs/>
              </w:rPr>
              <w:t>u</w:t>
            </w:r>
            <w:r w:rsidR="00EF04F9" w:rsidRPr="0048016A">
              <w:rPr>
                <w:rFonts w:eastAsia="Aptos" w:cs="Calibri"/>
                <w:i/>
                <w:iCs/>
              </w:rPr>
              <w:t>st</w:t>
            </w:r>
            <w:r w:rsidR="00C658EE">
              <w:rPr>
                <w:rFonts w:eastAsia="Aptos" w:cs="Calibri"/>
                <w:i/>
                <w:iCs/>
              </w:rPr>
              <w:t>.</w:t>
            </w:r>
            <w:r w:rsidR="00EF04F9" w:rsidRPr="0048016A">
              <w:rPr>
                <w:rFonts w:eastAsia="Aptos" w:cs="Calibri"/>
                <w:i/>
                <w:iCs/>
              </w:rPr>
              <w:t xml:space="preserve"> 1 pkt 21)</w:t>
            </w:r>
          </w:p>
          <w:p w14:paraId="4A96A762" w14:textId="77777777" w:rsidR="00EF04F9" w:rsidRPr="0048016A" w:rsidRDefault="00EF04F9" w:rsidP="00EF04F9">
            <w:pPr>
              <w:jc w:val="both"/>
              <w:rPr>
                <w:rFonts w:cs="Calibri"/>
                <w:i/>
                <w:iCs/>
              </w:rPr>
            </w:pPr>
            <w:r w:rsidRPr="0048016A">
              <w:rPr>
                <w:rFonts w:cs="Calibri"/>
                <w:i/>
                <w:iCs/>
              </w:rPr>
              <w:t>1. Użyte w ustawie skróty oznaczają:</w:t>
            </w:r>
          </w:p>
          <w:p w14:paraId="07460235" w14:textId="10A04873" w:rsidR="00EF04F9" w:rsidRPr="0048016A" w:rsidRDefault="00EF04F9" w:rsidP="00EF04F9">
            <w:pPr>
              <w:spacing w:after="160"/>
              <w:jc w:val="both"/>
              <w:rPr>
                <w:rFonts w:eastAsia="Aptos" w:cs="Calibri"/>
                <w:i/>
                <w:iCs/>
                <w:color w:val="000000"/>
              </w:rPr>
            </w:pPr>
            <w:r w:rsidRPr="0048016A">
              <w:rPr>
                <w:rFonts w:cs="Calibri"/>
                <w:i/>
                <w:iCs/>
              </w:rPr>
              <w:t xml:space="preserve">21) urzędzie przyjmującym – rozumie się przez to Urząd Patentowy, działający jako organ, do którego są wnoszone zgłoszenia międzynarodowe na podstawie Układu o współpracy patentowej </w:t>
            </w:r>
            <w:r w:rsidRPr="0048016A">
              <w:rPr>
                <w:rFonts w:eastAsia="Aptos" w:cs="Calibri"/>
                <w:b/>
                <w:bCs/>
                <w:i/>
                <w:iCs/>
                <w:color w:val="EE0000"/>
              </w:rPr>
              <w:t>lub europejskie zgłoszenia patentowe na postawie przepisów Konwencji o Patencie Europejskim</w:t>
            </w:r>
            <w:r w:rsidRPr="0048016A">
              <w:rPr>
                <w:rFonts w:cs="Calibri"/>
                <w:i/>
                <w:iCs/>
              </w:rPr>
              <w:t>;</w:t>
            </w:r>
            <w:r w:rsidRPr="0048016A">
              <w:rPr>
                <w:rFonts w:eastAsia="Aptos" w:cs="Calibri"/>
                <w:i/>
                <w:iCs/>
              </w:rPr>
              <w:t xml:space="preserve"> </w:t>
            </w:r>
          </w:p>
        </w:tc>
      </w:tr>
      <w:tr w:rsidR="00EF04F9" w14:paraId="0601903B" w14:textId="55736A1A"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542298"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BFE57A" w14:textId="77777777" w:rsidR="00EF04F9" w:rsidRDefault="00EF04F9" w:rsidP="00EF04F9">
            <w:pPr>
              <w:jc w:val="both"/>
              <w:rPr>
                <w:rFonts w:eastAsia="Aptos" w:cs="Calibri"/>
              </w:rPr>
            </w:pPr>
            <w:r>
              <w:rPr>
                <w:rFonts w:eastAsia="Aptos" w:cs="Calibri"/>
              </w:rPr>
              <w:t>Art. 17 ust. 2</w:t>
            </w:r>
          </w:p>
          <w:p w14:paraId="3CD3655E" w14:textId="77777777" w:rsidR="00EF04F9" w:rsidRDefault="00EF04F9" w:rsidP="00EF04F9">
            <w:pPr>
              <w:jc w:val="both"/>
              <w:rPr>
                <w:rFonts w:eastAsia="Aptos" w:cs="Calibri"/>
              </w:rPr>
            </w:pPr>
            <w:r>
              <w:rPr>
                <w:rFonts w:eastAsia="Aptos" w:cs="Calibri"/>
              </w:rPr>
              <w:t xml:space="preserve">2. Zgłoszenie uważa się za dokonane w dniu, w którym wpłynęło do Urzędu Patentowego na piśmie utrwalonym w postaci papierowej albo elektronicznej, o ile zawiera, sporządzone w języku polskim, wszystkie części dające </w:t>
            </w:r>
            <w:r>
              <w:rPr>
                <w:rFonts w:eastAsia="Aptos" w:cs="Calibri"/>
              </w:rPr>
              <w:lastRenderedPageBreak/>
              <w:t>podstawę do uznania zgłoszenia za dokonane.</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78104AD" w14:textId="77777777" w:rsidR="00EF04F9" w:rsidRDefault="00EF04F9" w:rsidP="00EF04F9">
            <w:pPr>
              <w:jc w:val="both"/>
              <w:rPr>
                <w:rFonts w:eastAsia="Aptos" w:cs="Calibri"/>
              </w:rPr>
            </w:pPr>
          </w:p>
          <w:p w14:paraId="6B9D20D6" w14:textId="77777777" w:rsidR="00EF04F9" w:rsidRDefault="00EF04F9" w:rsidP="00EF04F9">
            <w:pPr>
              <w:jc w:val="both"/>
              <w:rPr>
                <w:rFonts w:eastAsia="Aptos" w:cs="Calibri"/>
              </w:rPr>
            </w:pPr>
            <w:r>
              <w:rPr>
                <w:rFonts w:eastAsia="Aptos" w:cs="Calibri"/>
              </w:rPr>
              <w:t>Odwołanie do art. 34 eliminuje wątpliwości interpretacyjne dotyczące zakresu „wszystkich części” zgłoszenia oraz zapewnia spójność art. 17 ust. 2 z regulacją szczegółowo określającą wymagania formalne zgłoszenia.</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82231" w14:textId="77777777" w:rsidR="00EF04F9" w:rsidRPr="0048016A" w:rsidRDefault="00EF04F9" w:rsidP="00EF04F9">
            <w:pPr>
              <w:jc w:val="both"/>
              <w:rPr>
                <w:rFonts w:eastAsia="Aptos" w:cs="Calibri"/>
                <w:i/>
                <w:iCs/>
              </w:rPr>
            </w:pPr>
            <w:r w:rsidRPr="0048016A">
              <w:rPr>
                <w:rFonts w:eastAsia="Aptos" w:cs="Calibri"/>
                <w:i/>
                <w:iCs/>
              </w:rPr>
              <w:t>Art. 17 ust. 2</w:t>
            </w:r>
          </w:p>
          <w:p w14:paraId="47BA3BD0" w14:textId="03149768" w:rsidR="00EF04F9" w:rsidRPr="0048016A" w:rsidRDefault="00EF04F9" w:rsidP="00EF04F9">
            <w:pPr>
              <w:jc w:val="both"/>
              <w:rPr>
                <w:rFonts w:eastAsia="Aptos" w:cs="Calibri"/>
                <w:i/>
                <w:iCs/>
              </w:rPr>
            </w:pPr>
            <w:r w:rsidRPr="0048016A">
              <w:rPr>
                <w:rFonts w:eastAsia="Aptos" w:cs="Calibri"/>
                <w:i/>
                <w:iCs/>
              </w:rPr>
              <w:t xml:space="preserve">2. Zgłoszenie uważa się za dokonane w dniu, w którym wpłynęło do Urzędu Patentowego na piśmie utrwalonym w postaci papierowej albo elektronicznej, o ile zawiera, sporządzone w języku polskim, wszystkie części dające podstawę do </w:t>
            </w:r>
            <w:r w:rsidRPr="0048016A">
              <w:rPr>
                <w:rFonts w:eastAsia="Aptos" w:cs="Calibri"/>
                <w:i/>
                <w:iCs/>
              </w:rPr>
              <w:lastRenderedPageBreak/>
              <w:t>uznania zgłoszenia za dokonane</w:t>
            </w:r>
            <w:r w:rsidRPr="0048016A">
              <w:rPr>
                <w:rFonts w:eastAsia="Aptos" w:cs="Calibri"/>
                <w:b/>
                <w:bCs/>
                <w:i/>
                <w:iCs/>
                <w:color w:val="EE0000"/>
              </w:rPr>
              <w:t>, zgodnie z treścią art. 34</w:t>
            </w:r>
            <w:r w:rsidRPr="0048016A">
              <w:rPr>
                <w:rFonts w:eastAsia="Aptos" w:cs="Calibri"/>
                <w:i/>
                <w:iCs/>
              </w:rPr>
              <w:t>.</w:t>
            </w:r>
          </w:p>
        </w:tc>
      </w:tr>
      <w:tr w:rsidR="00EF04F9" w14:paraId="282BDCD7" w14:textId="0A39AB3A"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06DCDD"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53AAF3" w14:textId="672D5E2E" w:rsidR="00EF04F9" w:rsidRDefault="00EF04F9" w:rsidP="00EF04F9">
            <w:pPr>
              <w:jc w:val="both"/>
              <w:rPr>
                <w:rFonts w:eastAsia="Times New Roman" w:cs="Calibri"/>
              </w:rPr>
            </w:pPr>
            <w:r>
              <w:rPr>
                <w:rFonts w:eastAsia="Times New Roman" w:cs="Calibri"/>
              </w:rPr>
              <w:t>Art. 26</w:t>
            </w:r>
          </w:p>
          <w:p w14:paraId="6BD233F8" w14:textId="77777777" w:rsidR="00EF04F9" w:rsidRDefault="00EF04F9" w:rsidP="00EF04F9">
            <w:pPr>
              <w:jc w:val="both"/>
            </w:pPr>
            <w:r>
              <w:rPr>
                <w:rFonts w:eastAsia="Times New Roman" w:cs="Calibri"/>
              </w:rPr>
              <w:t>1. Zgłoszenie wynalazku, wzoru użytkowego, wzoru przemysłowego lub znaku towarowego będące podstawą do zastrzeżenia pierwszeństwa wewnętrznego, w dacie dokonania zgłoszenia późniejszego, powinno zostać wycofane w całości albo części.</w:t>
            </w:r>
          </w:p>
          <w:p w14:paraId="7A20AF7F" w14:textId="66B2F925" w:rsidR="00EF04F9" w:rsidRDefault="00EF04F9" w:rsidP="00EF04F9">
            <w:pPr>
              <w:jc w:val="both"/>
            </w:pPr>
            <w:r>
              <w:rPr>
                <w:rFonts w:eastAsia="Times New Roman" w:cs="Calibri"/>
              </w:rPr>
              <w:t>2. W przypadku, o którym mowa w ust. 1, Urząd Patentowy umarza, w całości albo części, postępowanie w sprawie zgłoszenia będącego podstawą zastrzeżenia pierwszeństwa wewnętrznego.</w:t>
            </w:r>
          </w:p>
          <w:p w14:paraId="52F98576" w14:textId="7B0CEF1B" w:rsidR="00EF04F9" w:rsidRDefault="00EF04F9" w:rsidP="00EF04F9">
            <w:pPr>
              <w:jc w:val="both"/>
            </w:pPr>
            <w:r>
              <w:rPr>
                <w:rFonts w:eastAsia="Times New Roman" w:cs="Calibri"/>
              </w:rPr>
              <w:t xml:space="preserve">3. W przypadku niewycofania zgłoszenia będącego podstawą zastrzeżenia pierwszeństwa wewnętrznego Urząd Patentowy wydaje postanowienie o odmowie przyznania uprzedniego </w:t>
            </w:r>
            <w:r>
              <w:rPr>
                <w:rFonts w:eastAsia="Times New Roman" w:cs="Calibri"/>
              </w:rPr>
              <w:lastRenderedPageBreak/>
              <w:t>pierwszeństwa. Art. 25 ust. 2 i 3 stosuje się odpowiednio.</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AA32F3D" w14:textId="77777777" w:rsidR="00EF04F9" w:rsidRPr="003F01EE" w:rsidRDefault="00EF04F9" w:rsidP="00EF04F9">
            <w:pPr>
              <w:jc w:val="both"/>
              <w:rPr>
                <w:rFonts w:cs="Calibri"/>
              </w:rPr>
            </w:pPr>
            <w:r w:rsidRPr="003F01EE">
              <w:rPr>
                <w:rFonts w:cs="Calibri"/>
              </w:rPr>
              <w:lastRenderedPageBreak/>
              <w:t>Zmiana ma na celu doprecyzowanie zakresu wycofania zgłoszenia będącego podstawą zastrzeżenia pierwszeństwa wewnętrznego oraz odpowiadającego mu umorzenia postępowania. Wycofaniu powinna podlegać całość zgłoszenia albo wyłącznie jego część, której dotyczy zgłoszenie późniejsze. W konsekwencji Urząd Patentowy umarza postępowanie odpowiednio w całości albo w części.</w:t>
            </w:r>
          </w:p>
          <w:p w14:paraId="27102706" w14:textId="77777777" w:rsidR="00EF04F9" w:rsidRDefault="00EF04F9" w:rsidP="00EF04F9">
            <w:pPr>
              <w:jc w:val="both"/>
              <w:rPr>
                <w:rFonts w:cs="Calibri"/>
              </w:rPr>
            </w:pPr>
            <w:r w:rsidRPr="003F01EE">
              <w:rPr>
                <w:rFonts w:cs="Calibri"/>
              </w:rPr>
              <w:t xml:space="preserve">Usunięcie ust. 3 wynika z założenia, że odmowa przyznania uprzedniego pierwszeństwa powinna mieć miejsce wyłącznie w sytuacjach wskazanych w art. 25 ust. 1. </w:t>
            </w:r>
          </w:p>
          <w:p w14:paraId="31B5D7FD" w14:textId="270DF407" w:rsidR="00EF04F9" w:rsidRDefault="00EF04F9" w:rsidP="00EF04F9">
            <w:pPr>
              <w:jc w:val="both"/>
            </w:pP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12FF2" w14:textId="06AA7684" w:rsidR="00EF04F9" w:rsidRPr="0048016A" w:rsidRDefault="00EF04F9" w:rsidP="00EF04F9">
            <w:pPr>
              <w:jc w:val="both"/>
              <w:rPr>
                <w:rFonts w:eastAsia="Times New Roman" w:cs="Calibri"/>
                <w:i/>
                <w:iCs/>
              </w:rPr>
            </w:pPr>
            <w:r w:rsidRPr="0048016A">
              <w:rPr>
                <w:rFonts w:eastAsia="Times New Roman" w:cs="Calibri"/>
                <w:i/>
                <w:iCs/>
              </w:rPr>
              <w:t>Art. 26</w:t>
            </w:r>
          </w:p>
          <w:p w14:paraId="70993579" w14:textId="53F9D1D1" w:rsidR="00EF04F9" w:rsidRPr="0048016A" w:rsidRDefault="00EF04F9" w:rsidP="00EF04F9">
            <w:pPr>
              <w:jc w:val="both"/>
              <w:rPr>
                <w:i/>
                <w:iCs/>
              </w:rPr>
            </w:pPr>
            <w:r w:rsidRPr="0048016A">
              <w:rPr>
                <w:rFonts w:eastAsia="Times New Roman" w:cs="Calibri"/>
                <w:i/>
                <w:iCs/>
              </w:rPr>
              <w:t>1. Zgłoszenie wynalazku, wzoru użytkowego, wzoru przemysłowego lub znaku towarowego będące podstawą do zastrzeżenia pierwszeństwa wewnętrznego, w dacie dokonania zgłoszenia późniejszego, powinno zostać wycofane w</w:t>
            </w:r>
            <w:r w:rsidR="007F3999" w:rsidRPr="00665201">
              <w:rPr>
                <w:rFonts w:eastAsia="Times New Roman" w:cs="Calibri"/>
                <w:i/>
                <w:iCs/>
                <w:strike/>
                <w:color w:val="EE0000"/>
              </w:rPr>
              <w:t xml:space="preserve"> całości albo części</w:t>
            </w:r>
            <w:r w:rsidRPr="0048016A">
              <w:rPr>
                <w:rFonts w:eastAsia="Times New Roman" w:cs="Calibri"/>
                <w:i/>
                <w:iCs/>
              </w:rPr>
              <w:t xml:space="preserve"> </w:t>
            </w:r>
            <w:r w:rsidR="00DD1128" w:rsidRPr="00DB4E80">
              <w:rPr>
                <w:rFonts w:eastAsia="Times New Roman" w:cs="Calibri"/>
                <w:b/>
                <w:bCs/>
                <w:i/>
                <w:iCs/>
                <w:color w:val="EE0000"/>
              </w:rPr>
              <w:t xml:space="preserve">zakresie, w którym </w:t>
            </w:r>
            <w:r w:rsidR="00FD3CAD" w:rsidRPr="00DB4E80">
              <w:rPr>
                <w:rFonts w:eastAsia="Times New Roman" w:cs="Calibri"/>
                <w:b/>
                <w:bCs/>
                <w:i/>
                <w:iCs/>
                <w:color w:val="EE0000"/>
              </w:rPr>
              <w:t xml:space="preserve">zastrzeżenia patentowe zgłoszenia późniejszego </w:t>
            </w:r>
            <w:r w:rsidR="00DA3A1A" w:rsidRPr="00DB4E80">
              <w:rPr>
                <w:rFonts w:eastAsia="Times New Roman" w:cs="Calibri"/>
                <w:b/>
                <w:bCs/>
                <w:i/>
                <w:iCs/>
                <w:color w:val="EE0000"/>
              </w:rPr>
              <w:t xml:space="preserve">chronią tożsamy wynalazek </w:t>
            </w:r>
            <w:r w:rsidR="00561547" w:rsidRPr="00DB4E80">
              <w:rPr>
                <w:rFonts w:eastAsia="Times New Roman" w:cs="Calibri"/>
                <w:b/>
                <w:bCs/>
                <w:i/>
                <w:iCs/>
                <w:color w:val="EE0000"/>
              </w:rPr>
              <w:t>względem</w:t>
            </w:r>
            <w:r w:rsidR="004D3E34" w:rsidRPr="00DB4E80">
              <w:rPr>
                <w:rFonts w:eastAsia="Times New Roman" w:cs="Calibri"/>
                <w:b/>
                <w:bCs/>
                <w:i/>
                <w:iCs/>
                <w:color w:val="EE0000"/>
              </w:rPr>
              <w:t xml:space="preserve"> zastrzegan</w:t>
            </w:r>
            <w:r w:rsidR="00561547" w:rsidRPr="00DB4E80">
              <w:rPr>
                <w:rFonts w:eastAsia="Times New Roman" w:cs="Calibri"/>
                <w:b/>
                <w:bCs/>
                <w:i/>
                <w:iCs/>
                <w:color w:val="EE0000"/>
              </w:rPr>
              <w:t>ego</w:t>
            </w:r>
            <w:r w:rsidR="004D3E34" w:rsidRPr="00DB4E80">
              <w:rPr>
                <w:rFonts w:eastAsia="Times New Roman" w:cs="Calibri"/>
                <w:b/>
                <w:bCs/>
                <w:i/>
                <w:iCs/>
                <w:color w:val="EE0000"/>
              </w:rPr>
              <w:t xml:space="preserve"> w zgłoszeniu</w:t>
            </w:r>
            <w:r w:rsidR="00837682" w:rsidRPr="00DB4E80">
              <w:rPr>
                <w:rFonts w:eastAsia="Times New Roman" w:cs="Calibri"/>
                <w:b/>
                <w:bCs/>
                <w:i/>
                <w:iCs/>
                <w:color w:val="EE0000"/>
              </w:rPr>
              <w:t xml:space="preserve"> pierwszeństwa</w:t>
            </w:r>
            <w:r w:rsidRPr="0048016A">
              <w:rPr>
                <w:rFonts w:eastAsia="Times New Roman" w:cs="Calibri"/>
                <w:i/>
                <w:iCs/>
              </w:rPr>
              <w:t>.</w:t>
            </w:r>
          </w:p>
          <w:p w14:paraId="40A55CA4" w14:textId="77777777" w:rsidR="00EF04F9" w:rsidRPr="0048016A" w:rsidRDefault="00EF04F9" w:rsidP="00EF04F9">
            <w:pPr>
              <w:jc w:val="both"/>
              <w:rPr>
                <w:i/>
                <w:iCs/>
              </w:rPr>
            </w:pPr>
            <w:r w:rsidRPr="0048016A">
              <w:rPr>
                <w:rFonts w:eastAsia="Times New Roman" w:cs="Calibri"/>
                <w:i/>
                <w:iCs/>
              </w:rPr>
              <w:t xml:space="preserve">2. W przypadku </w:t>
            </w:r>
            <w:r w:rsidRPr="0048016A">
              <w:rPr>
                <w:rFonts w:eastAsia="Times New Roman" w:cs="Calibri"/>
                <w:b/>
                <w:bCs/>
                <w:i/>
                <w:iCs/>
                <w:color w:val="EE0000"/>
              </w:rPr>
              <w:t>wycofania zgłoszenia w całości lub części</w:t>
            </w:r>
            <w:r w:rsidRPr="0048016A">
              <w:rPr>
                <w:rFonts w:eastAsia="Times New Roman" w:cs="Calibri"/>
                <w:i/>
                <w:iCs/>
                <w:color w:val="EE0000"/>
              </w:rPr>
              <w:t>,</w:t>
            </w:r>
            <w:r w:rsidRPr="0048016A">
              <w:rPr>
                <w:rFonts w:eastAsia="Times New Roman" w:cs="Calibri"/>
                <w:i/>
                <w:iCs/>
              </w:rPr>
              <w:t xml:space="preserve"> o którym mowa w ust. 1, Urząd Patentowy umarza, w całości albo części, postępowanie w sprawie zgłoszenia będącego podstawą zastrzeżenia pierwszeństwa wewnętrznego.</w:t>
            </w:r>
          </w:p>
          <w:p w14:paraId="616A905B" w14:textId="22DFD8D2" w:rsidR="00EF04F9" w:rsidRPr="0048016A" w:rsidRDefault="00EF04F9" w:rsidP="00EF04F9">
            <w:pPr>
              <w:jc w:val="both"/>
              <w:rPr>
                <w:rFonts w:cs="Calibri"/>
                <w:i/>
                <w:iCs/>
              </w:rPr>
            </w:pPr>
            <w:r w:rsidRPr="0048016A">
              <w:rPr>
                <w:rFonts w:cs="Calibri"/>
                <w:i/>
                <w:iCs/>
                <w:strike/>
                <w:color w:val="EE0000"/>
              </w:rPr>
              <w:lastRenderedPageBreak/>
              <w:t>3. W przypadku niewycofania zgłoszenia będącego podstawą zastrzeżenia pierwszeństwa wewnętrznego Urząd Patentowy wydaje postanowienie o odmowie przyznania uprzedniego</w:t>
            </w:r>
            <w:r w:rsidRPr="0048016A">
              <w:rPr>
                <w:rFonts w:cs="Calibri"/>
                <w:b/>
                <w:bCs/>
                <w:i/>
                <w:iCs/>
                <w:strike/>
                <w:color w:val="EE0000"/>
              </w:rPr>
              <w:t xml:space="preserve"> </w:t>
            </w:r>
            <w:r w:rsidRPr="0048016A">
              <w:rPr>
                <w:rFonts w:cs="Calibri"/>
                <w:i/>
                <w:iCs/>
                <w:strike/>
                <w:color w:val="EE0000"/>
              </w:rPr>
              <w:t>pierwszeństwa. Art. 25 ust. 2 i 3 stosuje się odpowiednio.</w:t>
            </w:r>
          </w:p>
        </w:tc>
      </w:tr>
      <w:tr w:rsidR="00EF04F9" w14:paraId="66B7994B" w14:textId="2464C002"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C3F0B8"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F6A56A" w14:textId="77777777" w:rsidR="00EF04F9" w:rsidRDefault="00EF04F9" w:rsidP="00EF04F9">
            <w:pPr>
              <w:spacing w:after="0"/>
              <w:jc w:val="both"/>
              <w:rPr>
                <w:rFonts w:eastAsia="Times New Roman" w:cs="Calibri"/>
              </w:rPr>
            </w:pPr>
            <w:r>
              <w:rPr>
                <w:rFonts w:eastAsia="Times New Roman" w:cs="Calibri"/>
              </w:rPr>
              <w:t xml:space="preserve">Art. 33 </w:t>
            </w:r>
          </w:p>
          <w:p w14:paraId="69349824" w14:textId="77777777" w:rsidR="00EF04F9" w:rsidRDefault="00EF04F9" w:rsidP="00EF04F9">
            <w:pPr>
              <w:spacing w:after="0"/>
              <w:jc w:val="both"/>
              <w:rPr>
                <w:rFonts w:eastAsia="Times New Roman" w:cs="Calibri"/>
              </w:rPr>
            </w:pPr>
            <w:r>
              <w:rPr>
                <w:rFonts w:eastAsia="Times New Roman" w:cs="Calibri"/>
              </w:rPr>
              <w:t>1. Patentów nie udziela się na:</w:t>
            </w:r>
          </w:p>
          <w:p w14:paraId="21BD859B" w14:textId="77777777" w:rsidR="00EF04F9" w:rsidRDefault="00EF04F9" w:rsidP="00EF04F9">
            <w:pPr>
              <w:spacing w:after="0"/>
              <w:jc w:val="both"/>
              <w:rPr>
                <w:rFonts w:eastAsia="Times New Roman" w:cs="Calibri"/>
              </w:rPr>
            </w:pPr>
            <w:r>
              <w:rPr>
                <w:rFonts w:eastAsia="Times New Roman" w:cs="Calibri"/>
              </w:rPr>
              <w:t>1) wynalazki, których wykorzystywanie byłoby sprzeczne z porządkiem publicznym lub dobrymi obyczajami;</w:t>
            </w:r>
          </w:p>
          <w:p w14:paraId="7EBB4DB1" w14:textId="77777777" w:rsidR="00EF04F9" w:rsidRDefault="00EF04F9" w:rsidP="00EF04F9">
            <w:pPr>
              <w:spacing w:after="0"/>
              <w:jc w:val="both"/>
            </w:pPr>
            <w:r>
              <w:t>(…)</w:t>
            </w:r>
          </w:p>
          <w:p w14:paraId="72A07CF4" w14:textId="77777777" w:rsidR="00EF04F9" w:rsidRDefault="00EF04F9" w:rsidP="00EF04F9">
            <w:pPr>
              <w:spacing w:after="0"/>
              <w:jc w:val="both"/>
            </w:pPr>
            <w:r>
              <w:rPr>
                <w:rFonts w:eastAsia="Times New Roman" w:cs="Calibri"/>
              </w:rPr>
              <w:t>2. Nie uważa się za sprzeczne z porządkiem publicznym korzystanie z wynalazku tylko dlatego, że jest zabronione przez prawo.</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D36B481" w14:textId="77777777" w:rsidR="00EF04F9" w:rsidRDefault="00EF04F9" w:rsidP="00EF04F9">
            <w:pPr>
              <w:spacing w:after="120"/>
              <w:jc w:val="both"/>
              <w:rPr>
                <w:rFonts w:cs="Calibri"/>
              </w:rPr>
            </w:pPr>
            <w:r w:rsidRPr="003F01EE">
              <w:rPr>
                <w:rFonts w:cs="Calibri"/>
              </w:rPr>
              <w:t>Zmiana ma na celu doprecyzowanie, że zakaz wykorzystywania wynalazku, o którym mowa w ust. 2, powinien wynikać z przepisów ustawowych lub wykonawczych obowiązujących w Rzeczypospolitej Polskiej. Ogólne odwołanie do „prawa” może prowadzić do wątpliwości co do zakresu tego pojęcia i powodować jego utożsamianie z pozaprawnymi ocenami obyczajowymi lub moralnymi.</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DB095" w14:textId="77777777" w:rsidR="00EF04F9" w:rsidRPr="0048016A" w:rsidRDefault="00EF04F9" w:rsidP="00EF04F9">
            <w:pPr>
              <w:spacing w:after="0"/>
              <w:jc w:val="both"/>
              <w:rPr>
                <w:rFonts w:eastAsia="Times New Roman" w:cs="Calibri"/>
                <w:i/>
                <w:iCs/>
              </w:rPr>
            </w:pPr>
            <w:r w:rsidRPr="0048016A">
              <w:rPr>
                <w:rFonts w:eastAsia="Times New Roman" w:cs="Calibri"/>
                <w:i/>
                <w:iCs/>
              </w:rPr>
              <w:t xml:space="preserve">Art. 33 </w:t>
            </w:r>
          </w:p>
          <w:p w14:paraId="56BBF1C2" w14:textId="77777777" w:rsidR="00EF04F9" w:rsidRPr="0048016A" w:rsidRDefault="00EF04F9" w:rsidP="00EF04F9">
            <w:pPr>
              <w:spacing w:after="0"/>
              <w:jc w:val="both"/>
              <w:rPr>
                <w:i/>
                <w:iCs/>
              </w:rPr>
            </w:pPr>
            <w:r w:rsidRPr="0048016A">
              <w:rPr>
                <w:rFonts w:eastAsia="Times New Roman" w:cs="Calibri"/>
                <w:i/>
                <w:iCs/>
              </w:rPr>
              <w:t>1. Patentów nie udziela się na:</w:t>
            </w:r>
          </w:p>
          <w:p w14:paraId="03369113" w14:textId="77777777" w:rsidR="00EF04F9" w:rsidRPr="0048016A" w:rsidRDefault="00EF04F9" w:rsidP="00EF04F9">
            <w:pPr>
              <w:spacing w:after="0"/>
              <w:jc w:val="both"/>
              <w:rPr>
                <w:rFonts w:eastAsia="Times New Roman" w:cs="Calibri"/>
                <w:i/>
                <w:iCs/>
              </w:rPr>
            </w:pPr>
            <w:r w:rsidRPr="0048016A">
              <w:rPr>
                <w:rFonts w:eastAsia="Times New Roman" w:cs="Calibri"/>
                <w:i/>
                <w:iCs/>
              </w:rPr>
              <w:t>1) wynalazki, których wykorzystywanie byłoby sprzeczne z porządkiem publicznym lub dobrymi obyczajami;</w:t>
            </w:r>
          </w:p>
          <w:p w14:paraId="5F682C90" w14:textId="77777777" w:rsidR="00EF04F9" w:rsidRPr="0048016A" w:rsidRDefault="00EF04F9" w:rsidP="00EF04F9">
            <w:pPr>
              <w:spacing w:after="0"/>
              <w:jc w:val="both"/>
              <w:rPr>
                <w:i/>
                <w:iCs/>
              </w:rPr>
            </w:pPr>
            <w:r w:rsidRPr="0048016A">
              <w:rPr>
                <w:i/>
                <w:iCs/>
              </w:rPr>
              <w:t>(…)</w:t>
            </w:r>
          </w:p>
          <w:p w14:paraId="3C5C92BC" w14:textId="56D0A99A" w:rsidR="00EF04F9" w:rsidRPr="00665201" w:rsidRDefault="00EF04F9" w:rsidP="00EF04F9">
            <w:pPr>
              <w:spacing w:after="0"/>
              <w:jc w:val="both"/>
              <w:rPr>
                <w:i/>
                <w:iCs/>
              </w:rPr>
            </w:pPr>
            <w:r w:rsidRPr="0048016A">
              <w:rPr>
                <w:rFonts w:eastAsia="Times New Roman" w:cs="Calibri"/>
                <w:i/>
                <w:iCs/>
              </w:rPr>
              <w:t>2. Nie uważa się za sprzeczne z porządkiem publicznym korzystanie z wynalazku tylko dlatego, że jest</w:t>
            </w:r>
            <w:r w:rsidRPr="0048016A">
              <w:rPr>
                <w:rFonts w:eastAsia="Times New Roman" w:cs="Calibri"/>
                <w:i/>
                <w:iCs/>
                <w:strike/>
              </w:rPr>
              <w:t xml:space="preserve"> </w:t>
            </w:r>
            <w:r w:rsidRPr="00665201">
              <w:rPr>
                <w:rFonts w:eastAsia="Times New Roman" w:cs="Calibri"/>
                <w:i/>
                <w:iCs/>
              </w:rPr>
              <w:t xml:space="preserve">zabronione przez </w:t>
            </w:r>
            <w:r w:rsidRPr="0048016A">
              <w:rPr>
                <w:rFonts w:eastAsia="Times New Roman" w:cs="Calibri"/>
                <w:i/>
                <w:iCs/>
                <w:strike/>
                <w:color w:val="EE0000"/>
              </w:rPr>
              <w:t>prawo</w:t>
            </w:r>
            <w:r w:rsidRPr="0048016A">
              <w:rPr>
                <w:rFonts w:eastAsia="Times New Roman" w:cs="Calibri"/>
                <w:i/>
                <w:iCs/>
              </w:rPr>
              <w:t xml:space="preserve"> </w:t>
            </w:r>
            <w:r w:rsidR="00665201" w:rsidRPr="00665201">
              <w:rPr>
                <w:rFonts w:eastAsia="Times New Roman" w:cs="Calibri"/>
                <w:b/>
                <w:bCs/>
                <w:i/>
                <w:iCs/>
                <w:color w:val="EE0000"/>
              </w:rPr>
              <w:t>przepisy prawa powszechnie obowiązującego w Rzeczypospolitej Polskiej.</w:t>
            </w:r>
            <w:r w:rsidR="00665201" w:rsidRPr="00665201">
              <w:rPr>
                <w:rFonts w:eastAsia="Times New Roman" w:cs="Calibri"/>
                <w:i/>
                <w:iCs/>
                <w:color w:val="EE0000"/>
              </w:rPr>
              <w:t xml:space="preserve"> </w:t>
            </w:r>
          </w:p>
          <w:p w14:paraId="4826E418" w14:textId="77777777" w:rsidR="00EF04F9" w:rsidRPr="0048016A" w:rsidRDefault="00EF04F9" w:rsidP="00EF04F9">
            <w:pPr>
              <w:spacing w:after="120"/>
              <w:jc w:val="both"/>
              <w:rPr>
                <w:rFonts w:cs="Calibri"/>
                <w:i/>
                <w:iCs/>
              </w:rPr>
            </w:pPr>
          </w:p>
        </w:tc>
      </w:tr>
      <w:tr w:rsidR="00EF04F9" w14:paraId="29830634" w14:textId="71CCF5D7"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80C9C2"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C8E673" w14:textId="77777777" w:rsidR="00EF04F9" w:rsidRDefault="00EF04F9" w:rsidP="00EF04F9">
            <w:pPr>
              <w:spacing w:after="160"/>
              <w:jc w:val="both"/>
              <w:rPr>
                <w:rFonts w:eastAsia="Aptos" w:cs="Calibri"/>
              </w:rPr>
            </w:pPr>
            <w:r>
              <w:rPr>
                <w:rFonts w:eastAsia="Aptos" w:cs="Calibri"/>
              </w:rPr>
              <w:t>Art. 34 ust. 3</w:t>
            </w:r>
          </w:p>
          <w:p w14:paraId="2D3DB4DA" w14:textId="77777777" w:rsidR="00EF04F9" w:rsidRDefault="00EF04F9" w:rsidP="00EF04F9">
            <w:pPr>
              <w:spacing w:after="160"/>
              <w:jc w:val="both"/>
              <w:rPr>
                <w:rFonts w:eastAsia="Aptos" w:cs="Calibri"/>
              </w:rPr>
            </w:pPr>
            <w:r>
              <w:rPr>
                <w:rFonts w:eastAsia="Aptos" w:cs="Calibri"/>
              </w:rPr>
              <w:lastRenderedPageBreak/>
              <w:t>Zgłoszenie wynalazku, które obejmuje, sporządzone w języku polskim, co najmniej podanie oraz opis wynalazku i zastrzeżenie albo zastrzeżenia patentowe, stanowi podstawę do uznania zgłoszenia za dokonane. Dokumenty sporządzone w języku innym niż język polski uważa się za niezłożone.</w:t>
            </w:r>
          </w:p>
          <w:p w14:paraId="334FD854" w14:textId="77777777" w:rsidR="00EF04F9" w:rsidRDefault="00EF04F9" w:rsidP="00EF04F9">
            <w:pPr>
              <w:jc w:val="both"/>
              <w:rPr>
                <w:rFonts w:eastAsia="Times New Roman" w:cs="Calibri"/>
              </w:rPr>
            </w:pP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2D892C2" w14:textId="77777777" w:rsidR="00EF04F9" w:rsidRDefault="00EF04F9" w:rsidP="00EF04F9">
            <w:pPr>
              <w:jc w:val="both"/>
            </w:pPr>
            <w:r w:rsidRPr="002A349D">
              <w:rPr>
                <w:rFonts w:cs="Calibri"/>
              </w:rPr>
              <w:lastRenderedPageBreak/>
              <w:t xml:space="preserve">Zmiana ma na celu zachowanie dotychczasowego </w:t>
            </w:r>
            <w:r>
              <w:rPr>
                <w:rFonts w:cs="Calibri"/>
              </w:rPr>
              <w:t>brzmienia przepisu (obecny art. 31 ust. 3 PWP)</w:t>
            </w:r>
            <w:r w:rsidRPr="002A349D">
              <w:rPr>
                <w:rFonts w:cs="Calibri"/>
              </w:rPr>
              <w:t xml:space="preserve">, zgodnie z którym dla uznania zgłoszenia wynalazku za dokonane wystarczające jest </w:t>
            </w:r>
            <w:r w:rsidRPr="002A349D">
              <w:rPr>
                <w:rFonts w:cs="Calibri"/>
              </w:rPr>
              <w:lastRenderedPageBreak/>
              <w:t>złożenie podania oraz części zgłoszenia wyglądających zewnętrznie na opis wynalazku i zastrzeżenie patentowe. Rozwiązanie to pozwala na ustalenie daty zgłoszenia mimo ewentualnych braków lub wad formalnych dokumentacji, które mogą zostać usunięte w toku dalszego postępowania.</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6081E" w14:textId="77777777" w:rsidR="00EF04F9" w:rsidRPr="0048016A" w:rsidRDefault="00EF04F9" w:rsidP="00EF04F9">
            <w:pPr>
              <w:spacing w:after="160"/>
              <w:jc w:val="both"/>
              <w:rPr>
                <w:rFonts w:eastAsia="Aptos" w:cs="Calibri"/>
                <w:i/>
                <w:iCs/>
              </w:rPr>
            </w:pPr>
            <w:r w:rsidRPr="0048016A">
              <w:rPr>
                <w:rFonts w:eastAsia="Aptos" w:cs="Calibri"/>
                <w:i/>
                <w:iCs/>
              </w:rPr>
              <w:lastRenderedPageBreak/>
              <w:t>Art. 34 ust. 3</w:t>
            </w:r>
          </w:p>
          <w:p w14:paraId="39224E3A" w14:textId="77777777" w:rsidR="00EF04F9" w:rsidRPr="0048016A" w:rsidRDefault="00EF04F9" w:rsidP="00EF04F9">
            <w:pPr>
              <w:spacing w:after="160"/>
              <w:jc w:val="both"/>
              <w:rPr>
                <w:i/>
                <w:iCs/>
              </w:rPr>
            </w:pPr>
            <w:r w:rsidRPr="0048016A">
              <w:rPr>
                <w:rFonts w:eastAsia="Aptos" w:cs="Calibri"/>
                <w:i/>
                <w:iCs/>
              </w:rPr>
              <w:lastRenderedPageBreak/>
              <w:t xml:space="preserve">Zgłoszenie wynalazku, które obejmuje, sporządzone w języku polskim, co najmniej podanie </w:t>
            </w:r>
            <w:r w:rsidRPr="0048016A">
              <w:rPr>
                <w:rFonts w:eastAsia="Aptos" w:cs="Calibri"/>
                <w:b/>
                <w:bCs/>
                <w:i/>
                <w:iCs/>
                <w:color w:val="EE0000"/>
              </w:rPr>
              <w:t>oraz części wyglądające zewnętrznie na opis wynalazku i na zastrzeżenie albo zastrzeżenia patentowe, daje podstawę do uznania zgłoszenia za dokonane</w:t>
            </w:r>
            <w:r w:rsidRPr="0048016A">
              <w:rPr>
                <w:rFonts w:eastAsia="Aptos" w:cs="Calibri"/>
                <w:b/>
                <w:bCs/>
                <w:i/>
                <w:iCs/>
              </w:rPr>
              <w:t xml:space="preserve">. </w:t>
            </w:r>
            <w:r w:rsidRPr="0048016A">
              <w:rPr>
                <w:rFonts w:eastAsia="Aptos" w:cs="Calibri"/>
                <w:i/>
                <w:iCs/>
              </w:rPr>
              <w:t>Dokumenty sporządzone w języku innym niż język polski uważa się za niezłożone.</w:t>
            </w:r>
          </w:p>
          <w:p w14:paraId="5F0023CD" w14:textId="77777777" w:rsidR="00EF04F9" w:rsidRPr="0048016A" w:rsidRDefault="00EF04F9" w:rsidP="00EF04F9">
            <w:pPr>
              <w:jc w:val="both"/>
              <w:rPr>
                <w:rFonts w:cs="Calibri"/>
                <w:i/>
                <w:iCs/>
              </w:rPr>
            </w:pPr>
          </w:p>
        </w:tc>
      </w:tr>
      <w:tr w:rsidR="00EF04F9" w14:paraId="13031DE8" w14:textId="1B8327F4"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91B7AF"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40704B" w14:textId="77777777" w:rsidR="00EF04F9" w:rsidRDefault="00EF04F9" w:rsidP="00EF04F9">
            <w:pPr>
              <w:jc w:val="both"/>
              <w:rPr>
                <w:rFonts w:eastAsia="Aptos" w:cs="Calibri"/>
              </w:rPr>
            </w:pPr>
            <w:r>
              <w:rPr>
                <w:rFonts w:eastAsia="Aptos" w:cs="Calibri"/>
              </w:rPr>
              <w:t>Art. 35 ust. 2. Zastrzeżenie patentowe określa zastrzegany wynalazek i zakres żądanej ochrony przez wskazanie cech technicznych lub innych cech przyczyniających się do powstawania efektu technicznego tego rozwiązania.</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D2C580E" w14:textId="77777777" w:rsidR="00EF04F9" w:rsidRPr="002A349D" w:rsidRDefault="00EF04F9" w:rsidP="00EF04F9">
            <w:pPr>
              <w:jc w:val="both"/>
              <w:rPr>
                <w:rFonts w:eastAsia="Aptos" w:cs="Calibri"/>
              </w:rPr>
            </w:pPr>
            <w:r w:rsidRPr="002A349D">
              <w:rPr>
                <w:rFonts w:eastAsia="Aptos" w:cs="Calibri"/>
              </w:rPr>
              <w:t>Zmiana ma na celu uniknięcie zawężenia zakresu ochrony patentowej przez odwołanie do „cech przyczyniających się do powstawania efektu technicznego”. Sformułowanie to może powodować wątpliwości interpretacyjne, zwłaszcza co do tego, które cechy rozwiązania rzeczywiście przyczyniają się do powstania takiego efektu, a w konsekwencji prowadzić do nadmiernego ograniczania zakresu ochrony już na etapie formułowania zastrzeżeń patentowych.</w:t>
            </w:r>
          </w:p>
          <w:p w14:paraId="693AE229" w14:textId="77777777" w:rsidR="00EF04F9" w:rsidRDefault="00EF04F9" w:rsidP="00EF04F9">
            <w:pPr>
              <w:jc w:val="both"/>
            </w:pPr>
            <w:r w:rsidRPr="002A349D">
              <w:rPr>
                <w:rFonts w:eastAsia="Aptos" w:cs="Calibri"/>
              </w:rPr>
              <w:t xml:space="preserve">Proponowane brzmienie koncentruje się na podstawowej funkcji zastrzeżenia patentowego, jaką jest określenie rozwiązania, dla którego żąda się ochrony. Jest ono bardziej przejrzyste i odpowiada konstrukcji art. 84 Konwencji o patencie europejskim, zgodnie z którą zastrzeżenia określają przedmiot, </w:t>
            </w:r>
            <w:r w:rsidRPr="002A349D">
              <w:rPr>
                <w:rFonts w:eastAsia="Aptos" w:cs="Calibri"/>
              </w:rPr>
              <w:lastRenderedPageBreak/>
              <w:t>dla którego żąda się ochrony, oraz powinny być jasne, zwięzłe i oparte na opisie.</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06E4C" w14:textId="741FCD0D" w:rsidR="00EF04F9" w:rsidRPr="0048016A" w:rsidRDefault="00EF04F9" w:rsidP="00EF04F9">
            <w:pPr>
              <w:jc w:val="both"/>
              <w:rPr>
                <w:rFonts w:eastAsia="Aptos" w:cs="Calibri"/>
                <w:i/>
                <w:iCs/>
              </w:rPr>
            </w:pPr>
            <w:r w:rsidRPr="0048016A">
              <w:rPr>
                <w:rFonts w:eastAsia="Aptos" w:cs="Calibri"/>
                <w:i/>
                <w:iCs/>
              </w:rPr>
              <w:lastRenderedPageBreak/>
              <w:t xml:space="preserve">Art. 35 ust. 2. Zastrzeżenie patentowe określa </w:t>
            </w:r>
            <w:r w:rsidRPr="0048016A">
              <w:rPr>
                <w:rFonts w:eastAsia="Aptos" w:cs="Calibri"/>
                <w:b/>
                <w:bCs/>
                <w:i/>
                <w:iCs/>
                <w:color w:val="EE0000"/>
              </w:rPr>
              <w:t>rozwiązanie, dla którego żąda się ochrony</w:t>
            </w:r>
            <w:r w:rsidRPr="0048016A">
              <w:rPr>
                <w:rFonts w:eastAsia="Aptos" w:cs="Calibri"/>
                <w:b/>
                <w:bCs/>
                <w:i/>
                <w:iCs/>
              </w:rPr>
              <w:t>.</w:t>
            </w:r>
          </w:p>
        </w:tc>
      </w:tr>
      <w:tr w:rsidR="00EF04F9" w14:paraId="774B5043" w14:textId="5E9164F4"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9F0D0B"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C44EF0" w14:textId="6C06FD3D" w:rsidR="00EF04F9" w:rsidRDefault="00EF04F9" w:rsidP="00EF04F9">
            <w:pPr>
              <w:jc w:val="both"/>
              <w:rPr>
                <w:rFonts w:eastAsia="Aptos" w:cs="Calibri"/>
              </w:rPr>
            </w:pPr>
            <w:r w:rsidRPr="002A349D">
              <w:rPr>
                <w:rFonts w:eastAsia="Aptos" w:cs="Calibri"/>
              </w:rPr>
              <w:t>Art. 41</w:t>
            </w:r>
          </w:p>
          <w:p w14:paraId="3715356A" w14:textId="77777777" w:rsidR="00EF04F9" w:rsidRDefault="00EF04F9" w:rsidP="00EF04F9">
            <w:pPr>
              <w:jc w:val="both"/>
              <w:rPr>
                <w:rFonts w:eastAsia="Aptos" w:cs="Calibri"/>
              </w:rPr>
            </w:pPr>
            <w:r w:rsidRPr="002A349D">
              <w:rPr>
                <w:rFonts w:eastAsia="Aptos" w:cs="Calibri"/>
              </w:rPr>
              <w:t xml:space="preserve">1. W przypadku stwierdzenia, że zgłoszenie wynalazku zostało dokonane z naruszeniem warunku jednolitości zgłoszenia wynalazku, Urząd Patentowy wzywa, w drodze postanowienia, do złożenia, w wyznaczonym terminie, oddzielnych zgłoszeń (zgłoszenie wydzielone). Na postanowienie służy wniosek o ponowne rozpatrzenie sprawy. </w:t>
            </w:r>
          </w:p>
          <w:p w14:paraId="43AEF062" w14:textId="77777777" w:rsidR="00EF04F9" w:rsidRDefault="00EF04F9" w:rsidP="00EF04F9">
            <w:pPr>
              <w:jc w:val="both"/>
              <w:rPr>
                <w:rFonts w:eastAsia="Aptos" w:cs="Calibri"/>
              </w:rPr>
            </w:pPr>
            <w:r w:rsidRPr="002A349D">
              <w:rPr>
                <w:rFonts w:eastAsia="Aptos" w:cs="Calibri"/>
              </w:rPr>
              <w:t xml:space="preserve">2. Jeżeli zgłoszenie wydzielone nie wpłynie w wyznaczonym terminie, uważa się, że zgłoszenie pierwotne dotyczy wynalazku określonego na pierwszym miejscu w zastrzeżeniach patentowych oraz innych wynalazków spełniających warunek jednolitości, a pozostałe wynalazki zostały wycofane przez zgłaszającego. </w:t>
            </w:r>
          </w:p>
          <w:p w14:paraId="2948C761" w14:textId="77777777" w:rsidR="00EF04F9" w:rsidRDefault="00EF04F9" w:rsidP="00EF04F9">
            <w:pPr>
              <w:jc w:val="both"/>
              <w:rPr>
                <w:rFonts w:eastAsia="Aptos" w:cs="Calibri"/>
              </w:rPr>
            </w:pPr>
            <w:r w:rsidRPr="002A349D">
              <w:rPr>
                <w:rFonts w:eastAsia="Aptos" w:cs="Calibri"/>
              </w:rPr>
              <w:lastRenderedPageBreak/>
              <w:t xml:space="preserve">Art. 42. </w:t>
            </w:r>
          </w:p>
          <w:p w14:paraId="68159DAA" w14:textId="77777777" w:rsidR="00EF04F9" w:rsidRDefault="00EF04F9" w:rsidP="00EF04F9">
            <w:pPr>
              <w:jc w:val="both"/>
              <w:rPr>
                <w:rFonts w:eastAsia="Aptos" w:cs="Calibri"/>
              </w:rPr>
            </w:pPr>
            <w:r w:rsidRPr="002A349D">
              <w:rPr>
                <w:rFonts w:eastAsia="Aptos" w:cs="Calibri"/>
              </w:rPr>
              <w:t xml:space="preserve">1. W przypadku, o którym mowa w art. 41 ust. 1, zgłoszenie wydzielone uważa się za dokonane w dniu zgłoszenia pierwotnego. </w:t>
            </w:r>
          </w:p>
          <w:p w14:paraId="204E8343" w14:textId="77777777" w:rsidR="00EF04F9" w:rsidRDefault="00EF04F9" w:rsidP="00EF04F9">
            <w:pPr>
              <w:jc w:val="both"/>
              <w:rPr>
                <w:rFonts w:eastAsia="Aptos" w:cs="Calibri"/>
              </w:rPr>
            </w:pPr>
            <w:r w:rsidRPr="002A349D">
              <w:rPr>
                <w:rFonts w:eastAsia="Aptos" w:cs="Calibri"/>
              </w:rPr>
              <w:t xml:space="preserve">2. Jeżeli zgłaszający złoży zgłoszenie wydzielone bez wezwania Urzędu Patentowego, w przypadku, gdy zgłoszenie pierwotne zostało dokonane z naruszeniem przepisu o jednolitości zgłoszenia wynalazku, przepis ust. 1 stosuje się odpowiednio. </w:t>
            </w:r>
          </w:p>
          <w:p w14:paraId="7F0E6885" w14:textId="77777777" w:rsidR="00EF04F9" w:rsidRDefault="00EF04F9" w:rsidP="00EF04F9">
            <w:pPr>
              <w:jc w:val="both"/>
              <w:rPr>
                <w:rFonts w:eastAsia="Aptos" w:cs="Calibri"/>
              </w:rPr>
            </w:pPr>
            <w:r w:rsidRPr="002A349D">
              <w:rPr>
                <w:rFonts w:eastAsia="Aptos" w:cs="Calibri"/>
              </w:rPr>
              <w:t xml:space="preserve">3. Urząd Patentowy odmawia, w drodze postanowienia, przyznania zgłoszeniu wydzielonemu daty zgłoszenia pierwotnego, jeżeli uzna, że zgłoszenie to nie dotyczy wynalazku ujawnionego w zgłoszeniu pierwotnym albo zgłoszenie to spełniało warunek jednolitości. Przepisy art. 37 oraz art. 52 ust. 2 stosuje się odpowiednio. Na postanowienie </w:t>
            </w:r>
            <w:r w:rsidRPr="002A349D">
              <w:rPr>
                <w:rFonts w:eastAsia="Aptos" w:cs="Calibri"/>
              </w:rPr>
              <w:lastRenderedPageBreak/>
              <w:t>służy wniosek o ponowne rozpatrzenie sprawy.</w:t>
            </w:r>
          </w:p>
          <w:p w14:paraId="66CCA595" w14:textId="77777777" w:rsidR="00EF04F9" w:rsidRDefault="00EF04F9" w:rsidP="00EF04F9">
            <w:pPr>
              <w:jc w:val="both"/>
              <w:rPr>
                <w:rFonts w:eastAsia="Aptos" w:cs="Calibri"/>
              </w:rPr>
            </w:pPr>
            <w:r w:rsidRPr="002A349D">
              <w:rPr>
                <w:rFonts w:eastAsia="Aptos" w:cs="Calibri"/>
              </w:rPr>
              <w:t>4.</w:t>
            </w:r>
            <w:r>
              <w:rPr>
                <w:rFonts w:eastAsia="Aptos" w:cs="Calibri"/>
              </w:rPr>
              <w:t xml:space="preserve"> </w:t>
            </w:r>
            <w:r w:rsidRPr="002A349D">
              <w:rPr>
                <w:rFonts w:eastAsia="Aptos" w:cs="Calibri"/>
              </w:rPr>
              <w:t>Po uprawomocnieniu się postanowienia o odmowie przyznania zgłoszeniu wydzielonemu daty zgłoszenia pierwotnego, postępowanie w sprawie zgłoszenia wydzielonego podlega umorzeniu.</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B6470E2" w14:textId="77777777" w:rsidR="00EF04F9" w:rsidRPr="002A349D" w:rsidRDefault="00EF04F9" w:rsidP="00EF04F9">
            <w:pPr>
              <w:spacing w:after="2"/>
              <w:jc w:val="both"/>
            </w:pPr>
            <w:r>
              <w:rPr>
                <w:rFonts w:eastAsia="Aptos" w:cs="Calibri"/>
              </w:rPr>
              <w:lastRenderedPageBreak/>
              <w:t xml:space="preserve">Zdecydowanie popieramy obecny kształt wskazanych przepisów dotyczących zgłoszeń wydzielonych. Możliwość składania zgłoszeń wydzielonych bez wezwania Urzędu Patentowego musi podlegać pewnym ograniczeniom. Jedynie wówczas zapobiegnie się tzw. kaskadom zgłoszeń wydzielonych, możliwym np. w postępowaniu przed EUP. Praktyka ta jest nagminnie stosowana przez zgłaszających w dziedzinie farmacji w celu kreowania sytuacji niepewności prawnej dla innych osób, zwłaszcza w przypadku wynalazków o bardzo wątpliwej zdolności patentowej. Na szkodliwość takich praktyk zwraca uwagę Komisja Europejska oraz organizacja </w:t>
            </w:r>
            <w:proofErr w:type="spellStart"/>
            <w:r>
              <w:rPr>
                <w:rFonts w:eastAsia="Aptos" w:cs="Calibri"/>
              </w:rPr>
              <w:t>Medicines</w:t>
            </w:r>
            <w:proofErr w:type="spellEnd"/>
            <w:r>
              <w:rPr>
                <w:rFonts w:eastAsia="Aptos" w:cs="Calibri"/>
              </w:rPr>
              <w:t xml:space="preserve"> for Europe, postulując wprowadzenie odpowiednich ograniczeń.</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AD722" w14:textId="77777777" w:rsidR="00EF04F9" w:rsidRPr="0048016A" w:rsidRDefault="00EF04F9" w:rsidP="00EF04F9">
            <w:pPr>
              <w:spacing w:after="2"/>
              <w:jc w:val="both"/>
              <w:rPr>
                <w:rFonts w:eastAsia="Aptos" w:cs="Calibri"/>
                <w:i/>
                <w:iCs/>
              </w:rPr>
            </w:pPr>
          </w:p>
        </w:tc>
      </w:tr>
      <w:tr w:rsidR="00EF04F9" w14:paraId="0C77A509" w14:textId="71B71EB6"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530318"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AA60CC" w14:textId="77777777" w:rsidR="00EF04F9" w:rsidRDefault="00EF04F9" w:rsidP="00EF04F9">
            <w:pPr>
              <w:jc w:val="both"/>
              <w:rPr>
                <w:rFonts w:eastAsia="Aptos" w:cs="Calibri"/>
              </w:rPr>
            </w:pPr>
            <w:r>
              <w:rPr>
                <w:rFonts w:eastAsia="Aptos" w:cs="Calibri"/>
              </w:rPr>
              <w:t>Art. 44</w:t>
            </w:r>
          </w:p>
          <w:p w14:paraId="79504AF9" w14:textId="77777777" w:rsidR="00EF04F9" w:rsidRDefault="00EF04F9" w:rsidP="00EF04F9">
            <w:pPr>
              <w:jc w:val="both"/>
              <w:rPr>
                <w:rFonts w:eastAsia="Aptos" w:cs="Calibri"/>
              </w:rPr>
            </w:pPr>
            <w:r w:rsidRPr="002A349D">
              <w:rPr>
                <w:rFonts w:eastAsia="Aptos" w:cs="Calibri"/>
              </w:rPr>
              <w:t xml:space="preserve">1. Urząd Patentowy niezwłocznie po upływie 18 miesięcy od daty pierwszeństwa do uzyskania patentu ogłasza w „Biuletynie Urzędu Patentowego” o zgłoszeniu wynalazku. Zgłaszający może w okresie 12 miesięcy od daty pierwszeństwa złożyć wniosek o dokonanie ogłoszenia w terminie wcześniejszym. </w:t>
            </w:r>
          </w:p>
          <w:p w14:paraId="18591CA2" w14:textId="77777777" w:rsidR="00EF04F9" w:rsidRDefault="00EF04F9" w:rsidP="00EF04F9">
            <w:pPr>
              <w:jc w:val="both"/>
              <w:rPr>
                <w:rFonts w:eastAsia="Aptos" w:cs="Calibri"/>
              </w:rPr>
            </w:pPr>
            <w:r w:rsidRPr="002A349D">
              <w:rPr>
                <w:rFonts w:eastAsia="Aptos" w:cs="Calibri"/>
              </w:rPr>
              <w:t xml:space="preserve">2. Po ogłoszeniu o zgłoszeniu wynalazku, o której mowa w ust. 1, Urząd Patentowy podaje do publicznej wiadomości opis </w:t>
            </w:r>
            <w:r w:rsidRPr="002A349D">
              <w:rPr>
                <w:rFonts w:eastAsia="Aptos" w:cs="Calibri"/>
              </w:rPr>
              <w:lastRenderedPageBreak/>
              <w:t xml:space="preserve">zgłoszeniowy wynalazku z daty dokonania zgłoszenia. </w:t>
            </w:r>
          </w:p>
          <w:p w14:paraId="2DAC352A" w14:textId="77777777" w:rsidR="00EF04F9" w:rsidRDefault="00EF04F9" w:rsidP="00EF04F9">
            <w:pPr>
              <w:jc w:val="both"/>
              <w:rPr>
                <w:rFonts w:eastAsia="Aptos" w:cs="Calibri"/>
              </w:rPr>
            </w:pPr>
            <w:r w:rsidRPr="002A349D">
              <w:rPr>
                <w:rFonts w:eastAsia="Aptos" w:cs="Calibri"/>
              </w:rPr>
              <w:t xml:space="preserve">3. W ogłoszeniu o zgłoszeniu wynalazku zamieszcza się informację o zmienionych zastrzeżeniach patentowych, z określeniem daty ich wprowadzenia, jeżeli wpłynęły one do Urzędu Patentowego co najmniej na miesiąc przed dniem ogłoszenia o zgłoszeniu wynalazku. </w:t>
            </w:r>
          </w:p>
          <w:p w14:paraId="42805C95" w14:textId="77777777" w:rsidR="00EF04F9" w:rsidRDefault="00EF04F9" w:rsidP="00EF04F9">
            <w:pPr>
              <w:jc w:val="both"/>
              <w:rPr>
                <w:rFonts w:eastAsia="Aptos" w:cs="Calibri"/>
              </w:rPr>
            </w:pPr>
            <w:r w:rsidRPr="002A349D">
              <w:rPr>
                <w:rFonts w:eastAsia="Aptos" w:cs="Calibri"/>
              </w:rPr>
              <w:t>4. Zmienione zastrzeżenia patentowe, o których mowa w ust. 3, Urząd Patentowy podaje do publicznej wiadomości, jeżeli zastrzeżenia te wpłynęły do Urzędu Patentowego, co najmniej na miesiąc przed dniem ogłoszenia o zgłoszeniu wynalazku.</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210E03E" w14:textId="77777777" w:rsidR="00EF04F9" w:rsidRPr="002A349D" w:rsidRDefault="00EF04F9" w:rsidP="00EF04F9">
            <w:pPr>
              <w:jc w:val="both"/>
              <w:rPr>
                <w:rFonts w:eastAsia="Aptos" w:cs="Calibri"/>
                <w:lang w:val="et-EE"/>
              </w:rPr>
            </w:pPr>
            <w:r w:rsidRPr="002A349D">
              <w:rPr>
                <w:rFonts w:eastAsia="Aptos" w:cs="Calibri"/>
                <w:lang w:val="et-EE"/>
              </w:rPr>
              <w:lastRenderedPageBreak/>
              <w:t>Dodanie ust. 4a zwiększy przejrzystość postępowania patentowego. Publikowanie zmienionych zastrzeżeń patentowych składanych po ogłoszeniu zgłoszenia, wraz z datą ich złożenia, pozwoli osobom trzecim poznać aktualny zakres żądanej ochrony oraz, w razie potrzeby, zgłosić Urzędowi Patentowemu uwagi co do zasadności udzielenia patentu.</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A5E97" w14:textId="77777777" w:rsidR="00EF04F9" w:rsidRPr="0048016A" w:rsidRDefault="00EF04F9" w:rsidP="00EF04F9">
            <w:pPr>
              <w:spacing w:after="160"/>
              <w:jc w:val="both"/>
              <w:rPr>
                <w:rFonts w:eastAsia="Aptos" w:cs="Calibri"/>
                <w:i/>
                <w:iCs/>
              </w:rPr>
            </w:pPr>
            <w:r w:rsidRPr="0048016A">
              <w:rPr>
                <w:rFonts w:eastAsia="Aptos" w:cs="Calibri"/>
                <w:i/>
                <w:iCs/>
              </w:rPr>
              <w:t>Do art. 44 dodać ust. 4a</w:t>
            </w:r>
          </w:p>
          <w:p w14:paraId="19221685" w14:textId="3FDB8BDD" w:rsidR="00EF04F9" w:rsidRPr="0048016A" w:rsidRDefault="00EF04F9" w:rsidP="00EF04F9">
            <w:pPr>
              <w:jc w:val="both"/>
              <w:rPr>
                <w:rFonts w:eastAsia="Aptos" w:cs="Calibri"/>
                <w:i/>
                <w:iCs/>
                <w:lang w:val="et-EE"/>
              </w:rPr>
            </w:pPr>
            <w:r w:rsidRPr="0048016A">
              <w:rPr>
                <w:rFonts w:eastAsia="Aptos" w:cs="Calibri"/>
                <w:b/>
                <w:bCs/>
                <w:i/>
                <w:iCs/>
                <w:color w:val="EE0000"/>
              </w:rPr>
              <w:t>4a. W toku postępowania po ogłoszeniu o zgłoszeniu wynalazku, Urząd Patentowy podaje do publicznej wiadomości zmienione zastrzeżenia patentowe wraz z podaniem daty ich złożenia.</w:t>
            </w:r>
          </w:p>
        </w:tc>
      </w:tr>
      <w:tr w:rsidR="00EF04F9" w14:paraId="2D7F87B1" w14:textId="264EFE33" w:rsidTr="002D64E0">
        <w:trPr>
          <w:trHeight w:val="1805"/>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02FD25" w14:textId="77777777" w:rsidR="00EF04F9" w:rsidRDefault="00EF04F9" w:rsidP="00EF04F9">
            <w:pPr>
              <w:pStyle w:val="Akapitzlist"/>
              <w:numPr>
                <w:ilvl w:val="0"/>
                <w:numId w:val="2"/>
              </w:numPr>
              <w:contextualSpacing w:val="0"/>
              <w:jc w:val="both"/>
              <w:rPr>
                <w:rFonts w:cs="Calibri"/>
                <w:b/>
                <w:bCs/>
              </w:rPr>
            </w:pPr>
          </w:p>
          <w:p w14:paraId="3EB65B18" w14:textId="77777777" w:rsidR="00EF04F9" w:rsidRDefault="00EF04F9" w:rsidP="00EF04F9">
            <w:pPr>
              <w:pStyle w:val="Akapitzlist"/>
              <w:ind w:left="108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D17BB6" w14:textId="77777777" w:rsidR="00EF04F9" w:rsidRPr="00B528DC" w:rsidRDefault="00EF04F9" w:rsidP="00EF04F9">
            <w:pPr>
              <w:jc w:val="both"/>
              <w:rPr>
                <w:rFonts w:eastAsia="Times New Roman" w:cs="Calibri"/>
              </w:rPr>
            </w:pPr>
            <w:r w:rsidRPr="00B528DC">
              <w:rPr>
                <w:rFonts w:eastAsia="Times New Roman" w:cs="Calibri"/>
              </w:rPr>
              <w:t>Art. 47</w:t>
            </w:r>
          </w:p>
          <w:p w14:paraId="2383E6B6" w14:textId="77777777" w:rsidR="00EF04F9" w:rsidRDefault="00EF04F9" w:rsidP="00EF04F9">
            <w:pPr>
              <w:jc w:val="both"/>
            </w:pPr>
            <w:r>
              <w:rPr>
                <w:rFonts w:eastAsia="Times New Roman" w:cs="Calibri"/>
              </w:rPr>
              <w:t xml:space="preserve">1. Urząd Patentowy sporządza, w terminie 6 miesięcy od daty wpływu zgłoszenia wynalazku do Urzędu Patentowego, dla każdego </w:t>
            </w:r>
            <w:r>
              <w:rPr>
                <w:rFonts w:eastAsia="Times New Roman" w:cs="Calibri"/>
              </w:rPr>
              <w:lastRenderedPageBreak/>
              <w:t>zgłoszenia wynalazku podlegającego ogłoszeniu, sprawozdanie o stanie techniki, obejmujące wykaz publikacji, które będą brane pod uwagę przy ocenie zgłoszonego wynalazku. Sprawozdanie sporządza się w oparciu o zastrzeżenia patentowe. Sprawozdanie jest przekazywane zgłaszającemu niezwłocznie po jego sporządzeniu.</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6DDFEAA" w14:textId="3A3DE9E0" w:rsidR="00EF04F9" w:rsidRDefault="00EF04F9" w:rsidP="00EF04F9">
            <w:pPr>
              <w:jc w:val="both"/>
            </w:pPr>
            <w:r>
              <w:rPr>
                <w:rFonts w:eastAsia="Lato" w:cs="Calibri"/>
              </w:rPr>
              <w:lastRenderedPageBreak/>
              <w:t xml:space="preserve">Proponowana zmiana ma na celu zwiększenie przejrzystości i użyteczności sprawozdania o stanie techniki poprzez wskazanie związku pomiędzy cytowanymi dokumentami a poszczególnymi zastrzeżeniami patentowymi oraz identyfikację relewantnych fragmentów tych dokumentów. Obecnie sam wykaz dokumentów nie pozwala zgłaszającemu na ustalenie, które </w:t>
            </w:r>
            <w:r>
              <w:rPr>
                <w:rFonts w:eastAsia="Lato" w:cs="Calibri"/>
              </w:rPr>
              <w:lastRenderedPageBreak/>
              <w:t>zastrzeżenia patentowe są kwestionowane przez poszczególne publikacje</w:t>
            </w:r>
            <w:r w:rsidR="003E5898">
              <w:rPr>
                <w:rFonts w:eastAsia="Lato" w:cs="Calibri"/>
              </w:rPr>
              <w:t>,</w:t>
            </w:r>
            <w:r>
              <w:rPr>
                <w:rFonts w:eastAsia="Lato" w:cs="Calibri"/>
              </w:rPr>
              <w:t xml:space="preserve"> ani które fragmenty tych publikacji zostały uznane za relewantne. Informacje te są istotne dla oceny nowości i poziomu wynalazczego oraz przygotowania stanowiska zgłaszającego. Rozwiązanie jest zgodne ze standardami EPC i PCT (regule 61 ust. 2 EPC oraz regule 43.5 lit. d–e Regulaminu wykonawczego do PCT) i odpowiada utrwalonym standardom międzynarodowym w zakresie sporządzania raportów z poszukiwań patentowych.</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1824A" w14:textId="77777777" w:rsidR="00EF04F9" w:rsidRPr="0048016A" w:rsidRDefault="00EF04F9" w:rsidP="00EF04F9">
            <w:pPr>
              <w:jc w:val="both"/>
              <w:rPr>
                <w:rFonts w:eastAsia="Times New Roman" w:cs="Calibri"/>
                <w:i/>
                <w:iCs/>
              </w:rPr>
            </w:pPr>
            <w:r w:rsidRPr="0048016A">
              <w:rPr>
                <w:rFonts w:eastAsia="Times New Roman" w:cs="Calibri"/>
                <w:i/>
                <w:iCs/>
              </w:rPr>
              <w:lastRenderedPageBreak/>
              <w:t>Art. 47</w:t>
            </w:r>
          </w:p>
          <w:p w14:paraId="3F7AAB44" w14:textId="3D403C08" w:rsidR="00EF04F9" w:rsidRPr="0048016A" w:rsidRDefault="00EF04F9" w:rsidP="00EF04F9">
            <w:pPr>
              <w:jc w:val="both"/>
              <w:rPr>
                <w:rFonts w:eastAsia="Lato" w:cs="Calibri"/>
                <w:i/>
                <w:iCs/>
              </w:rPr>
            </w:pPr>
            <w:r w:rsidRPr="0048016A">
              <w:rPr>
                <w:rFonts w:eastAsia="Lato" w:cs="Calibri"/>
                <w:i/>
                <w:iCs/>
              </w:rPr>
              <w:t xml:space="preserve">1. Urząd Patentowy sporządza, w terminie 6 miesięcy od daty wpływu zgłoszenia wynalazku do Urzędu Patentowego, dla każdego </w:t>
            </w:r>
            <w:r w:rsidRPr="0048016A">
              <w:rPr>
                <w:rFonts w:eastAsia="Lato" w:cs="Calibri"/>
                <w:i/>
                <w:iCs/>
              </w:rPr>
              <w:lastRenderedPageBreak/>
              <w:t xml:space="preserve">zgłoszenia wynalazku podlegającego ogłoszeniu, sprawozdanie o stanie techniki obejmujące wykaz publikacji, które będą brane pod uwagę przy ocenie zgłoszonego wynalazku. Sprawozdanie sporządza się w oparciu o zastrzeżenia patentowe. </w:t>
            </w:r>
            <w:r w:rsidRPr="0048016A">
              <w:rPr>
                <w:rFonts w:eastAsia="Lato" w:cs="Calibri"/>
                <w:b/>
                <w:bCs/>
                <w:i/>
                <w:iCs/>
                <w:color w:val="EE0000"/>
              </w:rPr>
              <w:t>Każdą cytowaną publikację przyporządkowuje się do zastrzeżenia patentowego albo zastrzeżeń patentowych, których dotyczy. Jeżeli znaczenie dla oceny zgłoszonego wynalazku mają jedynie określone części cytowanej publikacji, wskazuje się również odpowiednie fragmenty tej publikacji, w szczególności strony, kolumny, akapity, wiersze, figury lub inne części dokumentu.</w:t>
            </w:r>
            <w:r w:rsidRPr="0048016A">
              <w:rPr>
                <w:rFonts w:eastAsia="Lato" w:cs="Calibri"/>
                <w:i/>
                <w:iCs/>
                <w:color w:val="EE0000"/>
              </w:rPr>
              <w:t xml:space="preserve"> </w:t>
            </w:r>
            <w:r w:rsidRPr="0048016A">
              <w:rPr>
                <w:rFonts w:eastAsia="Times New Roman" w:cs="Calibri"/>
                <w:i/>
                <w:iCs/>
              </w:rPr>
              <w:t>Sprawozdanie jest przekazywane zgłaszającemu niezwłocznie po jego sporządzeniu.</w:t>
            </w:r>
          </w:p>
        </w:tc>
      </w:tr>
      <w:tr w:rsidR="00EF04F9" w14:paraId="214026A4" w14:textId="6D998D82"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85532A"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D43F22" w14:textId="6BCDCACC" w:rsidR="00EF04F9" w:rsidRDefault="00EF04F9" w:rsidP="00EF04F9">
            <w:pPr>
              <w:jc w:val="both"/>
              <w:rPr>
                <w:rFonts w:eastAsia="Times New Roman" w:cs="Calibri"/>
              </w:rPr>
            </w:pPr>
            <w:r>
              <w:rPr>
                <w:rFonts w:eastAsia="Times New Roman" w:cs="Calibri"/>
              </w:rPr>
              <w:t>Art. 56</w:t>
            </w:r>
          </w:p>
          <w:p w14:paraId="1A86E321" w14:textId="77777777" w:rsidR="00EF04F9" w:rsidRDefault="00EF04F9" w:rsidP="00EF04F9">
            <w:pPr>
              <w:jc w:val="both"/>
              <w:rPr>
                <w:rFonts w:eastAsia="Times New Roman" w:cs="Calibri"/>
              </w:rPr>
            </w:pPr>
            <w:r>
              <w:rPr>
                <w:rFonts w:eastAsia="Times New Roman" w:cs="Calibri"/>
              </w:rPr>
              <w:lastRenderedPageBreak/>
              <w:t>3. Tłumaczenie międzynarodowego zgłoszenia na język polski, obejmujące części, o których mowa w ust. 2 pkt 1-3 może być złożone również w terminie 3 miesięcy od dnia złożenia wniosku o podjęcie postępowania. Termin do złożenia tłumaczenia międzynarodowego zgłoszenia nie podlega przywróceniu.</w:t>
            </w:r>
          </w:p>
          <w:p w14:paraId="43C4326B" w14:textId="77777777" w:rsidR="00EF04F9" w:rsidRDefault="00EF04F9" w:rsidP="00EF04F9">
            <w:pPr>
              <w:jc w:val="both"/>
              <w:rPr>
                <w:rFonts w:eastAsia="Times New Roman" w:cs="Calibri"/>
              </w:rPr>
            </w:pPr>
            <w:r>
              <w:rPr>
                <w:rFonts w:eastAsia="Times New Roman" w:cs="Calibri"/>
              </w:rPr>
              <w:t xml:space="preserve">(…) </w:t>
            </w:r>
          </w:p>
          <w:p w14:paraId="58CF0D02" w14:textId="77777777" w:rsidR="00EF04F9" w:rsidRDefault="00EF04F9" w:rsidP="00EF04F9">
            <w:pPr>
              <w:jc w:val="both"/>
              <w:rPr>
                <w:rFonts w:eastAsia="Times New Roman" w:cs="Calibri"/>
              </w:rPr>
            </w:pPr>
            <w:r>
              <w:rPr>
                <w:rFonts w:eastAsia="Times New Roman" w:cs="Calibri"/>
              </w:rPr>
              <w:t>6. Jeżeli części międzynarodowego zgłoszenia wymienione w ust. 2 zmieniono na podstawie art. 28 albo art. 41 Układu o współpracy patentowej, przepis ust. 4 stosuje się odpowiednio. Tłumaczenie międzynarodowego zgłoszenia na język polski, składa się wraz z wnioskiem o podjęcie postępowania w sprawie międzynarodowego zgłoszenia lub w terminie 3 miesięcy od dnia złożenia tego wniosku.</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DAD6D20" w14:textId="77777777" w:rsidR="00EF04F9" w:rsidRDefault="00EF04F9" w:rsidP="00EF04F9">
            <w:pPr>
              <w:jc w:val="both"/>
            </w:pPr>
            <w:r>
              <w:rPr>
                <w:rFonts w:eastAsia="Lato" w:cs="Calibri"/>
              </w:rPr>
              <w:lastRenderedPageBreak/>
              <w:t>Drugie zdanie ust. 6 stanowi powtórzenie ust. 3.</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BCF01" w14:textId="77777777" w:rsidR="00EF04F9" w:rsidRPr="0048016A" w:rsidRDefault="00EF04F9" w:rsidP="00EF04F9">
            <w:pPr>
              <w:jc w:val="both"/>
              <w:rPr>
                <w:rFonts w:eastAsia="Times New Roman" w:cs="Calibri"/>
                <w:i/>
                <w:iCs/>
              </w:rPr>
            </w:pPr>
            <w:r w:rsidRPr="0048016A">
              <w:rPr>
                <w:rFonts w:eastAsia="Times New Roman" w:cs="Calibri"/>
                <w:i/>
                <w:iCs/>
              </w:rPr>
              <w:t xml:space="preserve">Art. 56.  </w:t>
            </w:r>
          </w:p>
          <w:p w14:paraId="4B5139DF" w14:textId="77777777" w:rsidR="00EF04F9" w:rsidRPr="0048016A" w:rsidRDefault="00EF04F9" w:rsidP="00EF04F9">
            <w:pPr>
              <w:jc w:val="both"/>
              <w:rPr>
                <w:rFonts w:eastAsia="Times New Roman" w:cs="Calibri"/>
                <w:i/>
                <w:iCs/>
              </w:rPr>
            </w:pPr>
            <w:r w:rsidRPr="0048016A">
              <w:rPr>
                <w:rFonts w:eastAsia="Times New Roman" w:cs="Calibri"/>
                <w:i/>
                <w:iCs/>
              </w:rPr>
              <w:lastRenderedPageBreak/>
              <w:t xml:space="preserve">3. Tłumaczenie międzynarodowego zgłoszenia na język polski, obejmujące części, o których mowa w ust. 2 pkt 1-3 może być złożone również w terminie 3 miesięcy od dnia złożenia wniosku o podjęcie postępowania. Termin do złożenia tłumaczenia międzynarodowego zgłoszenia nie podlega przywróceniu. </w:t>
            </w:r>
          </w:p>
          <w:p w14:paraId="0625F80E" w14:textId="77777777" w:rsidR="00EF04F9" w:rsidRPr="0048016A" w:rsidRDefault="00EF04F9" w:rsidP="00EF04F9">
            <w:pPr>
              <w:jc w:val="both"/>
              <w:rPr>
                <w:rFonts w:eastAsia="Times New Roman" w:cs="Calibri"/>
                <w:i/>
                <w:iCs/>
              </w:rPr>
            </w:pPr>
            <w:r w:rsidRPr="0048016A">
              <w:rPr>
                <w:rFonts w:eastAsia="Times New Roman" w:cs="Calibri"/>
                <w:i/>
                <w:iCs/>
              </w:rPr>
              <w:t xml:space="preserve">(…) </w:t>
            </w:r>
          </w:p>
          <w:p w14:paraId="36D69CD4" w14:textId="79A9F4F8" w:rsidR="00EF04F9" w:rsidRPr="0048016A" w:rsidRDefault="00EF04F9" w:rsidP="00EF04F9">
            <w:pPr>
              <w:jc w:val="both"/>
              <w:rPr>
                <w:rFonts w:eastAsia="Lato" w:cs="Calibri"/>
                <w:i/>
                <w:iCs/>
              </w:rPr>
            </w:pPr>
            <w:r w:rsidRPr="0048016A">
              <w:rPr>
                <w:rFonts w:eastAsia="Times New Roman" w:cs="Calibri"/>
                <w:i/>
                <w:iCs/>
              </w:rPr>
              <w:t xml:space="preserve">6. Jeżeli części międzynarodowego zgłoszenia wymienione w ust. 2 zmieniono na podstawie art. 28 albo art. 41 Układu o współpracy patentowej, przepis ust. 4 stosuje się odpowiednio. </w:t>
            </w:r>
            <w:r w:rsidRPr="0048016A">
              <w:rPr>
                <w:rFonts w:eastAsia="Times New Roman" w:cs="Calibri"/>
                <w:i/>
                <w:iCs/>
                <w:strike/>
                <w:color w:val="EE0000"/>
              </w:rPr>
              <w:t>Tłumaczenie międzynarodowego zgłoszenia na język polski, składa się wraz z wnioskiem o podjęcie postępowania w sprawie międzynarodowego zgłoszenia lub w terminie 3 miesięcy od dnia złożenia tego wniosku.</w:t>
            </w:r>
          </w:p>
        </w:tc>
      </w:tr>
      <w:tr w:rsidR="00EF04F9" w14:paraId="600AD21C" w14:textId="0583DFC0"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20018E"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E8949B" w14:textId="36096369" w:rsidR="00EF04F9" w:rsidRDefault="00EF04F9" w:rsidP="00EF04F9">
            <w:pPr>
              <w:jc w:val="both"/>
              <w:rPr>
                <w:rFonts w:eastAsia="Aptos" w:cs="Calibri"/>
              </w:rPr>
            </w:pPr>
            <w:r>
              <w:rPr>
                <w:rFonts w:eastAsia="Aptos" w:cs="Calibri"/>
              </w:rPr>
              <w:t>Art. 67</w:t>
            </w:r>
          </w:p>
          <w:p w14:paraId="7499C6FC" w14:textId="77777777" w:rsidR="00EF04F9" w:rsidRDefault="00EF04F9" w:rsidP="00EF04F9">
            <w:pPr>
              <w:jc w:val="both"/>
            </w:pPr>
            <w:r>
              <w:rPr>
                <w:rFonts w:eastAsia="Aptos" w:cs="Calibri"/>
              </w:rPr>
              <w:t>2. W stosunku do nowych wytworów albo gdy uprawniony wykaże, że nie mógł ustalić, mimo podjęcia należytych wysiłków, rzeczywiście zastosowanego przez inną osobę sposobu wytwarzania wytworu, domniemywa się, że wytwór, który może być uzyskany opatentowanym sposobem, został tym sposobem wytworzony.</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A1D45C7" w14:textId="77777777" w:rsidR="00EF04F9" w:rsidRDefault="00EF04F9" w:rsidP="00EF04F9">
            <w:pPr>
              <w:jc w:val="both"/>
            </w:pPr>
            <w:r w:rsidRPr="00FC2C99">
              <w:rPr>
                <w:rFonts w:eastAsia="Aptos" w:cs="Calibri"/>
              </w:rPr>
              <w:t>Zmiana ma na celu doprecyzowanie przesłanki nowości wytworu oraz prawidłowe odzwierciedlenie art. 34 ust. 1 Porozumienia TRIPS. Nowość powinna dotyczyć wytworu otrzymanego opatentowanym sposobem, a nie bliżej nieokreślonych „nowych wytworów”.</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3E810" w14:textId="6375EF1D" w:rsidR="00EF04F9" w:rsidRPr="0048016A" w:rsidRDefault="00EF04F9" w:rsidP="00EF04F9">
            <w:pPr>
              <w:jc w:val="both"/>
              <w:rPr>
                <w:rFonts w:eastAsia="Aptos" w:cs="Calibri"/>
                <w:i/>
                <w:iCs/>
              </w:rPr>
            </w:pPr>
            <w:r w:rsidRPr="0048016A">
              <w:rPr>
                <w:rFonts w:eastAsia="Aptos" w:cs="Calibri"/>
                <w:i/>
                <w:iCs/>
              </w:rPr>
              <w:t>Art. 67</w:t>
            </w:r>
          </w:p>
          <w:p w14:paraId="2F2B72DC" w14:textId="660AAEB0" w:rsidR="00EF04F9" w:rsidRPr="0048016A" w:rsidRDefault="00EF04F9" w:rsidP="00EF04F9">
            <w:pPr>
              <w:jc w:val="both"/>
              <w:rPr>
                <w:rFonts w:eastAsia="Aptos" w:cs="Calibri"/>
                <w:i/>
                <w:iCs/>
              </w:rPr>
            </w:pPr>
            <w:r w:rsidRPr="0048016A">
              <w:rPr>
                <w:rFonts w:eastAsia="Aptos" w:cs="Calibri"/>
                <w:i/>
                <w:iCs/>
              </w:rPr>
              <w:t xml:space="preserve">2. </w:t>
            </w:r>
            <w:r w:rsidRPr="0048016A">
              <w:rPr>
                <w:rFonts w:eastAsia="Aptos" w:cs="Calibri"/>
                <w:i/>
                <w:iCs/>
                <w:strike/>
                <w:color w:val="EE0000"/>
              </w:rPr>
              <w:t>W stosunku do nowych wytworów</w:t>
            </w:r>
            <w:r w:rsidRPr="0048016A">
              <w:rPr>
                <w:rFonts w:eastAsia="Aptos" w:cs="Calibri"/>
                <w:i/>
                <w:iCs/>
                <w:color w:val="EE0000"/>
              </w:rPr>
              <w:t xml:space="preserve"> </w:t>
            </w:r>
            <w:r w:rsidRPr="0048016A">
              <w:rPr>
                <w:rFonts w:eastAsia="Aptos" w:cs="Calibri"/>
                <w:b/>
                <w:bCs/>
                <w:i/>
                <w:iCs/>
                <w:color w:val="EE0000"/>
              </w:rPr>
              <w:t>Jeśli wytwór otrzymany opatentowanym sposobem jest nowy</w:t>
            </w:r>
            <w:r w:rsidRPr="0048016A">
              <w:rPr>
                <w:rFonts w:eastAsia="Aptos" w:cs="Calibri"/>
                <w:i/>
                <w:iCs/>
                <w:color w:val="EE0000"/>
              </w:rPr>
              <w:t xml:space="preserve"> </w:t>
            </w:r>
            <w:r w:rsidRPr="0048016A">
              <w:rPr>
                <w:rFonts w:eastAsia="Aptos" w:cs="Calibri"/>
                <w:i/>
                <w:iCs/>
              </w:rPr>
              <w:t>albo gdy uprawniony wykaże, że nie mógł ustalić, mimo podjęcia należytych wysiłków, rzeczywiście zastosowanego przez inną osobę sposobu wytwarzania wytworu, domniemywa się, że wytwór, który może być uzyskany opatentowanym sposobem, został tym sposobem wytworzony.</w:t>
            </w:r>
          </w:p>
        </w:tc>
      </w:tr>
      <w:tr w:rsidR="00EF04F9" w14:paraId="7F0791DF" w14:textId="3A9ECF63"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2B6ED1"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46F7F5" w14:textId="77777777" w:rsidR="00EF04F9" w:rsidRDefault="00EF04F9" w:rsidP="00EF04F9">
            <w:pPr>
              <w:jc w:val="both"/>
              <w:rPr>
                <w:rFonts w:eastAsia="Aptos" w:cs="Calibri"/>
                <w:color w:val="000000"/>
              </w:rPr>
            </w:pPr>
            <w:r>
              <w:rPr>
                <w:rFonts w:eastAsia="Aptos" w:cs="Calibri"/>
                <w:color w:val="000000"/>
              </w:rPr>
              <w:t xml:space="preserve">Art. 70 </w:t>
            </w:r>
          </w:p>
          <w:p w14:paraId="30A3360A" w14:textId="74421502" w:rsidR="00EF04F9" w:rsidRPr="00FC2C99" w:rsidRDefault="00EF04F9" w:rsidP="00EF04F9">
            <w:pPr>
              <w:jc w:val="both"/>
              <w:rPr>
                <w:rFonts w:eastAsia="Aptos" w:cs="Calibri"/>
                <w:color w:val="000000"/>
              </w:rPr>
            </w:pPr>
            <w:r w:rsidRPr="00FC2C99">
              <w:rPr>
                <w:rFonts w:eastAsia="Aptos" w:cs="Calibri"/>
                <w:color w:val="000000"/>
              </w:rPr>
              <w:t xml:space="preserve">2. Nie narusza się patentu także przez korzystanie z wynalazku w celu przeprowadzenia badań, analiz i innych czynności, które są wymagane do: </w:t>
            </w:r>
          </w:p>
          <w:p w14:paraId="005CF4C7" w14:textId="77777777" w:rsidR="00EF04F9" w:rsidRPr="00FC2C99" w:rsidRDefault="00EF04F9" w:rsidP="00EF04F9">
            <w:pPr>
              <w:jc w:val="both"/>
              <w:rPr>
                <w:rFonts w:eastAsia="Aptos" w:cs="Calibri"/>
                <w:color w:val="000000"/>
              </w:rPr>
            </w:pPr>
            <w:r w:rsidRPr="00FC2C99">
              <w:rPr>
                <w:rFonts w:eastAsia="Aptos" w:cs="Calibri"/>
                <w:color w:val="000000"/>
              </w:rPr>
              <w:t>1)</w:t>
            </w:r>
            <w:r>
              <w:rPr>
                <w:rFonts w:eastAsia="Aptos" w:cs="Calibri"/>
                <w:color w:val="000000"/>
              </w:rPr>
              <w:t xml:space="preserve"> </w:t>
            </w:r>
            <w:r w:rsidRPr="00FC2C99">
              <w:rPr>
                <w:rFonts w:eastAsia="Aptos" w:cs="Calibri"/>
                <w:color w:val="000000"/>
              </w:rPr>
              <w:t xml:space="preserve">uzyskania pozwolenia na dopuszczenie do obrotu produktów leczniczych, w szczególności generycznych, </w:t>
            </w:r>
            <w:proofErr w:type="spellStart"/>
            <w:r w:rsidRPr="00FC2C99">
              <w:rPr>
                <w:rFonts w:eastAsia="Aptos" w:cs="Calibri"/>
                <w:color w:val="000000"/>
              </w:rPr>
              <w:t>biopodobnych</w:t>
            </w:r>
            <w:proofErr w:type="spellEnd"/>
            <w:r w:rsidRPr="00FC2C99">
              <w:rPr>
                <w:rFonts w:eastAsia="Aptos" w:cs="Calibri"/>
                <w:color w:val="000000"/>
              </w:rPr>
              <w:t xml:space="preserve">, hybrydowych lub </w:t>
            </w:r>
            <w:proofErr w:type="spellStart"/>
            <w:r w:rsidRPr="00FC2C99">
              <w:rPr>
                <w:rFonts w:eastAsia="Aptos" w:cs="Calibri"/>
                <w:color w:val="000000"/>
              </w:rPr>
              <w:lastRenderedPageBreak/>
              <w:t>biohybrydowych</w:t>
            </w:r>
            <w:proofErr w:type="spellEnd"/>
            <w:r w:rsidRPr="00FC2C99">
              <w:rPr>
                <w:rFonts w:eastAsia="Aptos" w:cs="Calibri"/>
                <w:color w:val="000000"/>
              </w:rPr>
              <w:t xml:space="preserve"> produktów leczniczych oraz na potrzeby zmian danych stanowiących podstawę wydania pozwolenia;</w:t>
            </w:r>
          </w:p>
          <w:p w14:paraId="0927334A" w14:textId="262CD761" w:rsidR="00EF04F9" w:rsidRPr="00FC2C99" w:rsidRDefault="00EF04F9" w:rsidP="00EF04F9">
            <w:pPr>
              <w:jc w:val="both"/>
              <w:rPr>
                <w:rFonts w:eastAsia="Aptos" w:cs="Calibri"/>
                <w:color w:val="000000"/>
              </w:rPr>
            </w:pPr>
            <w:r w:rsidRPr="00FC2C99">
              <w:rPr>
                <w:rFonts w:eastAsia="Aptos" w:cs="Calibri"/>
                <w:color w:val="000000"/>
              </w:rPr>
              <w:t>2)</w:t>
            </w:r>
            <w:r>
              <w:rPr>
                <w:rFonts w:eastAsia="Aptos" w:cs="Calibri"/>
                <w:color w:val="000000"/>
              </w:rPr>
              <w:t xml:space="preserve"> </w:t>
            </w:r>
            <w:r w:rsidRPr="00FC2C99">
              <w:rPr>
                <w:rFonts w:eastAsia="Aptos" w:cs="Calibri"/>
                <w:color w:val="000000"/>
              </w:rPr>
              <w:t xml:space="preserve">prowadzenia oceny technologii medycznych zgodnie z definicją zawartą w rozporządzeniu Parlamentu Europejskiego i Rady (UE) 2021/2282 z dnia 15 grudnia 2021 r. w sprawie oceny technologii medycznych i zmiany dyrektywy 2011/24/UE (Dz. Urz. UE L 458 z 22.12.2021 r., str. 1); </w:t>
            </w:r>
          </w:p>
          <w:p w14:paraId="3FE74BD1" w14:textId="77777777" w:rsidR="00EF04F9" w:rsidRPr="00FC2C99" w:rsidRDefault="00EF04F9" w:rsidP="00EF04F9">
            <w:pPr>
              <w:jc w:val="both"/>
              <w:rPr>
                <w:rFonts w:eastAsia="Aptos" w:cs="Calibri"/>
                <w:color w:val="000000"/>
              </w:rPr>
            </w:pPr>
            <w:r w:rsidRPr="00FC2C99">
              <w:rPr>
                <w:rFonts w:eastAsia="Aptos" w:cs="Calibri"/>
                <w:color w:val="000000"/>
              </w:rPr>
              <w:t>3)</w:t>
            </w:r>
            <w:r>
              <w:rPr>
                <w:rFonts w:eastAsia="Aptos" w:cs="Calibri"/>
                <w:color w:val="000000"/>
              </w:rPr>
              <w:t xml:space="preserve"> </w:t>
            </w:r>
            <w:r w:rsidRPr="00FC2C99">
              <w:rPr>
                <w:rFonts w:eastAsia="Aptos" w:cs="Calibri"/>
                <w:color w:val="000000"/>
              </w:rPr>
              <w:t xml:space="preserve">ustalania cen i refundacji; </w:t>
            </w:r>
          </w:p>
          <w:p w14:paraId="2754600B" w14:textId="214F5C36" w:rsidR="00EF04F9" w:rsidRPr="00FC2C99" w:rsidRDefault="00EF04F9" w:rsidP="00EF04F9">
            <w:pPr>
              <w:jc w:val="both"/>
              <w:rPr>
                <w:rFonts w:eastAsia="Aptos" w:cs="Calibri"/>
                <w:color w:val="000000"/>
              </w:rPr>
            </w:pPr>
            <w:r w:rsidRPr="00FC2C99">
              <w:rPr>
                <w:rFonts w:eastAsia="Aptos" w:cs="Calibri"/>
                <w:color w:val="000000"/>
              </w:rPr>
              <w:t>4)</w:t>
            </w:r>
            <w:r>
              <w:rPr>
                <w:rFonts w:eastAsia="Aptos" w:cs="Calibri"/>
                <w:color w:val="000000"/>
              </w:rPr>
              <w:t xml:space="preserve"> </w:t>
            </w:r>
            <w:r w:rsidRPr="00FC2C99">
              <w:rPr>
                <w:rFonts w:eastAsia="Aptos" w:cs="Calibri"/>
                <w:color w:val="000000"/>
              </w:rPr>
              <w:t>spełnienia praktycznych wymagań związanych z działaniami, o których mowa w pkt 1-3;</w:t>
            </w:r>
          </w:p>
          <w:p w14:paraId="6AF5495B" w14:textId="77777777" w:rsidR="00EF04F9" w:rsidRDefault="00EF04F9" w:rsidP="00EF04F9">
            <w:pPr>
              <w:jc w:val="both"/>
              <w:rPr>
                <w:rFonts w:eastAsia="Aptos" w:cs="Calibri"/>
                <w:color w:val="000000"/>
              </w:rPr>
            </w:pPr>
            <w:r w:rsidRPr="00FC2C99">
              <w:rPr>
                <w:rFonts w:eastAsia="Aptos" w:cs="Calibri"/>
                <w:color w:val="000000"/>
              </w:rPr>
              <w:t xml:space="preserve">5) składania wniosków o udzielenie zamówienia publicznego w zakresie, w jakim nie wiąże się to ze sprzedażą, oferowaniem do sprzedaży lub wprowadzaniem do obrotu danego produktu </w:t>
            </w:r>
            <w:r w:rsidRPr="00FC2C99">
              <w:rPr>
                <w:rFonts w:eastAsia="Aptos" w:cs="Calibri"/>
                <w:color w:val="000000"/>
              </w:rPr>
              <w:lastRenderedPageBreak/>
              <w:t>leczniczego w okresie trwania ochrony wynikającej z patentu.</w:t>
            </w:r>
          </w:p>
          <w:p w14:paraId="5F0C0D36" w14:textId="77777777" w:rsidR="00EF04F9" w:rsidRDefault="00EF04F9" w:rsidP="00EF04F9">
            <w:pPr>
              <w:jc w:val="both"/>
              <w:rPr>
                <w:rFonts w:eastAsia="Aptos" w:cs="Calibri"/>
                <w:color w:val="000000"/>
              </w:rPr>
            </w:pPr>
          </w:p>
          <w:p w14:paraId="6C63B2D9" w14:textId="77777777" w:rsidR="00EF04F9" w:rsidRDefault="00EF04F9" w:rsidP="00EF04F9">
            <w:pPr>
              <w:jc w:val="both"/>
              <w:rPr>
                <w:rFonts w:eastAsia="Aptos" w:cs="Calibri"/>
                <w:color w:val="000000"/>
              </w:rPr>
            </w:pPr>
          </w:p>
          <w:p w14:paraId="47D10DB1" w14:textId="77777777" w:rsidR="00EF04F9" w:rsidRDefault="00EF04F9" w:rsidP="00EF04F9">
            <w:pPr>
              <w:jc w:val="both"/>
              <w:rPr>
                <w:rFonts w:eastAsia="Aptos" w:cs="Calibri"/>
                <w:color w:val="000000"/>
              </w:rPr>
            </w:pPr>
          </w:p>
          <w:p w14:paraId="3A0717A4" w14:textId="77777777" w:rsidR="00EF04F9" w:rsidRDefault="00EF04F9" w:rsidP="00EF04F9">
            <w:pPr>
              <w:jc w:val="both"/>
              <w:rPr>
                <w:rFonts w:eastAsia="Aptos" w:cs="Calibri"/>
                <w:color w:val="000000"/>
              </w:rPr>
            </w:pPr>
          </w:p>
          <w:p w14:paraId="3D22CE56" w14:textId="77777777" w:rsidR="00EF04F9" w:rsidRDefault="00EF04F9" w:rsidP="00EF04F9">
            <w:pPr>
              <w:jc w:val="both"/>
              <w:rPr>
                <w:rFonts w:eastAsia="Aptos" w:cs="Calibri"/>
                <w:color w:val="000000"/>
              </w:rPr>
            </w:pPr>
          </w:p>
          <w:p w14:paraId="7B529853" w14:textId="77777777" w:rsidR="00EF04F9" w:rsidRDefault="00EF04F9" w:rsidP="00EF04F9">
            <w:pPr>
              <w:jc w:val="both"/>
              <w:rPr>
                <w:rFonts w:eastAsia="Aptos" w:cs="Calibri"/>
                <w:color w:val="000000"/>
              </w:rPr>
            </w:pPr>
          </w:p>
          <w:p w14:paraId="2AAA9540" w14:textId="77777777" w:rsidR="00EF04F9" w:rsidRDefault="00EF04F9" w:rsidP="00EF04F9">
            <w:pPr>
              <w:jc w:val="both"/>
              <w:rPr>
                <w:rFonts w:eastAsia="Aptos" w:cs="Calibri"/>
                <w:color w:val="000000"/>
              </w:rPr>
            </w:pPr>
          </w:p>
          <w:p w14:paraId="6D2C7DB5" w14:textId="77777777" w:rsidR="00EF04F9" w:rsidRDefault="00EF04F9" w:rsidP="00EF04F9">
            <w:pPr>
              <w:jc w:val="both"/>
              <w:rPr>
                <w:rFonts w:eastAsia="Aptos" w:cs="Calibri"/>
                <w:color w:val="000000"/>
              </w:rPr>
            </w:pPr>
          </w:p>
          <w:p w14:paraId="731B7C4A" w14:textId="77777777" w:rsidR="00737AFA" w:rsidRDefault="00737AFA" w:rsidP="00EF04F9">
            <w:pPr>
              <w:jc w:val="both"/>
              <w:rPr>
                <w:rFonts w:eastAsia="Aptos" w:cs="Calibri"/>
                <w:color w:val="000000"/>
              </w:rPr>
            </w:pPr>
          </w:p>
          <w:p w14:paraId="4BD4BB1F" w14:textId="77777777" w:rsidR="00737AFA" w:rsidRDefault="00737AFA" w:rsidP="00EF04F9">
            <w:pPr>
              <w:jc w:val="both"/>
              <w:rPr>
                <w:rFonts w:eastAsia="Aptos" w:cs="Calibri"/>
                <w:color w:val="000000"/>
              </w:rPr>
            </w:pPr>
          </w:p>
          <w:p w14:paraId="46C8DB5B" w14:textId="77777777" w:rsidR="00737AFA" w:rsidRDefault="00737AFA" w:rsidP="00EF04F9">
            <w:pPr>
              <w:jc w:val="both"/>
              <w:rPr>
                <w:rFonts w:eastAsia="Aptos" w:cs="Calibri"/>
                <w:color w:val="000000"/>
              </w:rPr>
            </w:pPr>
          </w:p>
          <w:p w14:paraId="5EDF7134" w14:textId="77777777" w:rsidR="00EF04F9" w:rsidRDefault="00EF04F9" w:rsidP="00EF04F9">
            <w:pPr>
              <w:jc w:val="both"/>
              <w:rPr>
                <w:rFonts w:eastAsia="Aptos" w:cs="Calibri"/>
                <w:color w:val="000000"/>
              </w:rPr>
            </w:pPr>
            <w:r>
              <w:rPr>
                <w:rFonts w:eastAsia="Aptos" w:cs="Calibri"/>
                <w:color w:val="000000"/>
              </w:rPr>
              <w:br/>
              <w:t>(…)</w:t>
            </w:r>
          </w:p>
          <w:p w14:paraId="461396A3" w14:textId="10E42D59" w:rsidR="00EF04F9" w:rsidRDefault="00EF04F9" w:rsidP="00EF04F9">
            <w:pPr>
              <w:jc w:val="both"/>
              <w:rPr>
                <w:rFonts w:eastAsia="Aptos" w:cs="Calibri"/>
                <w:color w:val="000000"/>
              </w:rPr>
            </w:pPr>
            <w:r>
              <w:rPr>
                <w:rFonts w:eastAsia="Aptos" w:cs="Calibri"/>
                <w:bCs/>
                <w:color w:val="000000"/>
              </w:rPr>
              <w:br/>
            </w:r>
            <w:r w:rsidRPr="00FC2C99">
              <w:rPr>
                <w:rFonts w:eastAsia="Aptos" w:cs="Calibri"/>
                <w:bCs/>
                <w:color w:val="000000"/>
              </w:rPr>
              <w:t xml:space="preserve">6. Uzyskanie pozwolenia na dopuszczenie do obrotu, decyzji w </w:t>
            </w:r>
            <w:r w:rsidRPr="00FC2C99">
              <w:rPr>
                <w:rFonts w:eastAsia="Aptos" w:cs="Calibri"/>
                <w:bCs/>
                <w:color w:val="000000"/>
              </w:rPr>
              <w:lastRenderedPageBreak/>
              <w:t>sprawie ustalenia ceny, decyzji w sprawie objęcia refundacją lub udzielenia zamówienia publicznego, o których mowa w ust. 2, nie wpływa na odpowiedzialność cywilną za wprowadzenie wytworów do obrotu bez zgody uprawnionego, jeżeli taka zgoda jest potrzebna.</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90702A5" w14:textId="77777777" w:rsidR="00EF04F9" w:rsidRPr="0035655F" w:rsidRDefault="00EF04F9" w:rsidP="00EF04F9">
            <w:pPr>
              <w:jc w:val="both"/>
              <w:rPr>
                <w:rFonts w:eastAsia="Aptos" w:cs="Calibri"/>
              </w:rPr>
            </w:pPr>
            <w:r>
              <w:rPr>
                <w:rFonts w:eastAsia="Aptos" w:cs="Calibri"/>
              </w:rPr>
              <w:lastRenderedPageBreak/>
              <w:t xml:space="preserve">Proponowane brzmienie art. 70 ust. 2 pkt 1 </w:t>
            </w:r>
            <w:r w:rsidRPr="0035655F">
              <w:rPr>
                <w:rFonts w:eastAsia="Aptos" w:cs="Calibri"/>
              </w:rPr>
              <w:t>wyraźnie obejmuje zakresem wyjątku czynności podejmowane przez osoby trzecie, a także nie ogranicza jego zastosowania wyłącznie do terytorium Rzeczypospolitej Polskiej lub Unii Europejskiej. Pozwala to na objęcie wyjątkiem czynności podejmowanych w celu uzyskania i utrzymywania rejestracji lub zezwolenia wymaganego do dopuszczenia określonych wytworów do obrotu, w szczególności produktów leczniczych.</w:t>
            </w:r>
          </w:p>
          <w:p w14:paraId="0CFD3ECC" w14:textId="459291BF" w:rsidR="00EF04F9" w:rsidRPr="0035655F" w:rsidRDefault="00EF04F9" w:rsidP="00EF04F9">
            <w:pPr>
              <w:jc w:val="both"/>
              <w:rPr>
                <w:rFonts w:eastAsia="Aptos" w:cs="Calibri"/>
              </w:rPr>
            </w:pPr>
            <w:r w:rsidRPr="0035655F">
              <w:rPr>
                <w:rFonts w:eastAsia="Aptos" w:cs="Calibri"/>
              </w:rPr>
              <w:t xml:space="preserve">Dodanie kolejnego akapitu odpowiada kierunkowi zmian przewidzianych w projekcie nowej dyrektywy </w:t>
            </w:r>
            <w:r w:rsidR="001A169F" w:rsidRPr="00665201">
              <w:rPr>
                <w:rFonts w:eastAsia="Aptos" w:cs="Calibri"/>
              </w:rPr>
              <w:t>farmaceutycznej</w:t>
            </w:r>
            <w:r w:rsidRPr="00665201">
              <w:rPr>
                <w:rFonts w:eastAsia="Aptos" w:cs="Calibri"/>
              </w:rPr>
              <w:t>.</w:t>
            </w:r>
            <w:r w:rsidRPr="0035655F">
              <w:rPr>
                <w:rFonts w:eastAsia="Aptos" w:cs="Calibri"/>
              </w:rPr>
              <w:t xml:space="preserve"> </w:t>
            </w:r>
            <w:r w:rsidRPr="0035655F">
              <w:rPr>
                <w:rFonts w:eastAsia="Aptos" w:cs="Calibri"/>
              </w:rPr>
              <w:lastRenderedPageBreak/>
              <w:t>Po katalogu przypadków dozwolonego działania przewidziano w nim następujące uzupełnienie:</w:t>
            </w:r>
          </w:p>
          <w:p w14:paraId="6A5EDD31" w14:textId="77777777" w:rsidR="00EF04F9" w:rsidRPr="0035655F" w:rsidRDefault="00EF04F9" w:rsidP="00EF04F9">
            <w:pPr>
              <w:jc w:val="both"/>
              <w:rPr>
                <w:rFonts w:eastAsia="Aptos" w:cs="Calibri"/>
                <w:lang w:val="en-GB"/>
              </w:rPr>
            </w:pPr>
            <w:r w:rsidRPr="0035655F">
              <w:rPr>
                <w:rFonts w:eastAsia="Aptos" w:cs="Calibri"/>
                <w:i/>
                <w:iCs/>
                <w:lang w:val="en-GB"/>
              </w:rPr>
              <w:t>“The activities conducted exclusively for the purposes set out in the first subparagraph, may cover, where relevant, the submission of the application for a marketing authorisation and the offer, manufacture, sale, supply, storage, import, use and purchase of medicinal products or processes, including by third party suppliers and service providers.”</w:t>
            </w:r>
          </w:p>
          <w:p w14:paraId="54588CC6" w14:textId="77777777" w:rsidR="00EF04F9" w:rsidRPr="0035655F" w:rsidRDefault="00EF04F9" w:rsidP="00EF04F9">
            <w:pPr>
              <w:jc w:val="both"/>
              <w:rPr>
                <w:rFonts w:eastAsia="Aptos" w:cs="Calibri"/>
              </w:rPr>
            </w:pPr>
            <w:r w:rsidRPr="0035655F">
              <w:rPr>
                <w:rFonts w:eastAsia="Aptos" w:cs="Calibri"/>
              </w:rPr>
              <w:t>Proponowany akapit doprecyzowuje zatem, że czynności podejmowane w celach wskazanych w pkt 1 i 3 mogą obejmować, w stosownym zakresie, złożenie wniosku o uzyskanie i utrzymywanie rejestracji lub zezwolenia, a także oferowanie, wytwarzanie, sprzedaż, dostawę, magazynowanie, import, nabywanie wytworów lub używanie procesów stosowanych w ich wytwarzaniu, również za pośrednictwem podmiotów trzecich, w tym dostawców i usługodawców.</w:t>
            </w:r>
          </w:p>
          <w:p w14:paraId="641D57F4" w14:textId="77777777" w:rsidR="00EF04F9" w:rsidRPr="0035655F" w:rsidRDefault="00EF04F9" w:rsidP="00EF04F9">
            <w:pPr>
              <w:jc w:val="both"/>
              <w:rPr>
                <w:rFonts w:eastAsia="Aptos" w:cs="Calibri"/>
              </w:rPr>
            </w:pPr>
            <w:r w:rsidRPr="0035655F">
              <w:rPr>
                <w:rFonts w:eastAsia="Aptos" w:cs="Calibri"/>
              </w:rPr>
              <w:t xml:space="preserve">Pozostałe zmiany redakcyjne wynikają z konieczności dostosowania przepisu do polskiej specyfiki systemu wydawania zezwoleń na dopuszczenie produktów do obrotu, ustalania cen oraz obejmowania produktów refundacją. Jednocześnie ust. 6 zachowuje zasadę, zgodnie z którą uzyskanie rejestracji lub zezwolenia, decyzji w sprawie ceny, refundacji albo zamówienia publicznego nie wpływa na odpowiedzialność cywilną za </w:t>
            </w:r>
            <w:r w:rsidRPr="0035655F">
              <w:rPr>
                <w:rFonts w:eastAsia="Aptos" w:cs="Calibri"/>
              </w:rPr>
              <w:lastRenderedPageBreak/>
              <w:t>wprowadzenie wytworów na rynek lub prowadzenie obrotu bez zgody uprawnionego, jeżeli zgoda ta jest wymagana.</w:t>
            </w:r>
          </w:p>
          <w:p w14:paraId="54C4052E" w14:textId="77777777" w:rsidR="00EF04F9" w:rsidRDefault="00EF04F9" w:rsidP="00EF04F9">
            <w:pPr>
              <w:spacing w:before="240" w:after="240"/>
              <w:jc w:val="both"/>
              <w:rPr>
                <w:rFonts w:eastAsia="Segoe UI" w:cs="Calibri"/>
              </w:rPr>
            </w:pP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C7FF6" w14:textId="77777777" w:rsidR="00EF04F9" w:rsidRPr="0048016A" w:rsidRDefault="00EF04F9" w:rsidP="00EF04F9">
            <w:pPr>
              <w:jc w:val="both"/>
              <w:rPr>
                <w:rFonts w:eastAsia="Aptos" w:cs="Calibri"/>
                <w:i/>
                <w:iCs/>
                <w:color w:val="000000"/>
              </w:rPr>
            </w:pPr>
            <w:r w:rsidRPr="0048016A">
              <w:rPr>
                <w:rFonts w:eastAsia="Aptos" w:cs="Calibri"/>
                <w:i/>
                <w:iCs/>
                <w:color w:val="000000"/>
              </w:rPr>
              <w:lastRenderedPageBreak/>
              <w:t xml:space="preserve">Art. 70 </w:t>
            </w:r>
          </w:p>
          <w:p w14:paraId="2025DB08" w14:textId="7C915164" w:rsidR="00EF04F9" w:rsidRPr="0048016A" w:rsidRDefault="00EF04F9" w:rsidP="00EF04F9">
            <w:pPr>
              <w:jc w:val="both"/>
              <w:rPr>
                <w:rFonts w:eastAsia="Aptos" w:cs="Calibri"/>
                <w:i/>
                <w:iCs/>
                <w:color w:val="000000"/>
              </w:rPr>
            </w:pPr>
            <w:r w:rsidRPr="0048016A">
              <w:rPr>
                <w:rFonts w:eastAsia="Aptos" w:cs="Calibri"/>
                <w:i/>
                <w:iCs/>
                <w:color w:val="000000"/>
              </w:rPr>
              <w:t xml:space="preserve">2. Nie narusza się patentu także przez korzystanie z wynalazku w celu przeprowadzenia badań, analiz i innych czynności, które są wymagane do: </w:t>
            </w:r>
          </w:p>
          <w:p w14:paraId="67509380" w14:textId="77777777" w:rsidR="00EF04F9" w:rsidRPr="0048016A" w:rsidRDefault="00EF04F9" w:rsidP="00EF04F9">
            <w:pPr>
              <w:spacing w:before="240" w:after="240"/>
              <w:jc w:val="both"/>
              <w:rPr>
                <w:i/>
                <w:iCs/>
              </w:rPr>
            </w:pPr>
            <w:r w:rsidRPr="0048016A">
              <w:rPr>
                <w:rFonts w:eastAsia="Aptos" w:cs="Calibri"/>
                <w:i/>
                <w:iCs/>
              </w:rPr>
              <w:t xml:space="preserve">1) </w:t>
            </w:r>
            <w:r w:rsidRPr="0048016A">
              <w:rPr>
                <w:rFonts w:eastAsia="Aptos" w:cs="Calibri"/>
                <w:b/>
                <w:bCs/>
                <w:i/>
                <w:iCs/>
                <w:color w:val="EE0000"/>
              </w:rPr>
              <w:t xml:space="preserve">uzyskania i utrzymywania, również przez osobę trzecią, rejestracji lub zezwolenia, stanowiących warunek dopuszczenia do obrotu niektórych </w:t>
            </w:r>
            <w:r w:rsidRPr="0048016A">
              <w:rPr>
                <w:rFonts w:eastAsia="Aptos" w:cs="Calibri"/>
                <w:b/>
                <w:bCs/>
                <w:i/>
                <w:iCs/>
                <w:color w:val="EE0000"/>
              </w:rPr>
              <w:lastRenderedPageBreak/>
              <w:t>wytworów ze względu na ich przeznaczenie, w szczególności produktów leczniczych na terytorium Europejskiego Obszaru Gospodarczego lub innego państwa;</w:t>
            </w:r>
          </w:p>
          <w:p w14:paraId="19378E49" w14:textId="77777777" w:rsidR="00EF04F9" w:rsidRPr="0048016A" w:rsidRDefault="00EF04F9" w:rsidP="00EF04F9">
            <w:pPr>
              <w:spacing w:before="240" w:after="240"/>
              <w:jc w:val="both"/>
              <w:rPr>
                <w:rFonts w:eastAsia="Aptos" w:cs="Calibri"/>
                <w:i/>
                <w:iCs/>
              </w:rPr>
            </w:pPr>
            <w:r w:rsidRPr="0048016A">
              <w:rPr>
                <w:rFonts w:eastAsia="Aptos" w:cs="Calibri"/>
                <w:i/>
                <w:iCs/>
              </w:rPr>
              <w:t>2) prowadzenia oceny technologii medycznych zgodnie z definicją zawartą w rozporządzeniu Parlamentu Europejskiego i Rady (UE) 2021/2282 z dnia 15 grudnia 2021 r. w sprawie oceny technologii medycznych i zmiany dyrektywy 2011/24/UE (Dz. Urz. UE L 458 z 22.12.2021 r., str. 1);</w:t>
            </w:r>
          </w:p>
          <w:p w14:paraId="035A58DF" w14:textId="77777777" w:rsidR="00EF04F9" w:rsidRPr="0048016A" w:rsidRDefault="00EF04F9" w:rsidP="00EF04F9">
            <w:pPr>
              <w:spacing w:before="240" w:after="240"/>
              <w:jc w:val="both"/>
              <w:rPr>
                <w:i/>
                <w:iCs/>
              </w:rPr>
            </w:pPr>
            <w:r w:rsidRPr="0048016A">
              <w:rPr>
                <w:rFonts w:eastAsia="Aptos" w:cs="Calibri"/>
                <w:i/>
                <w:iCs/>
              </w:rPr>
              <w:t xml:space="preserve">3) ustalania cen i </w:t>
            </w:r>
            <w:r w:rsidRPr="0048016A">
              <w:rPr>
                <w:rFonts w:eastAsia="Aptos" w:cs="Calibri"/>
                <w:b/>
                <w:bCs/>
                <w:i/>
                <w:iCs/>
                <w:color w:val="EE0000"/>
              </w:rPr>
              <w:t>uzyskania decyzji o objęciu</w:t>
            </w:r>
            <w:r w:rsidRPr="0048016A">
              <w:rPr>
                <w:rFonts w:eastAsia="Aptos" w:cs="Calibri"/>
                <w:i/>
                <w:iCs/>
                <w:color w:val="EE0000"/>
              </w:rPr>
              <w:t xml:space="preserve"> </w:t>
            </w:r>
            <w:r w:rsidRPr="0048016A">
              <w:rPr>
                <w:rFonts w:eastAsia="Aptos" w:cs="Calibri"/>
                <w:i/>
                <w:iCs/>
              </w:rPr>
              <w:t>refundacją;</w:t>
            </w:r>
          </w:p>
          <w:p w14:paraId="3C100807" w14:textId="77777777" w:rsidR="00EF04F9" w:rsidRPr="0048016A" w:rsidRDefault="00EF04F9" w:rsidP="00EF04F9">
            <w:pPr>
              <w:spacing w:before="240" w:after="240"/>
              <w:jc w:val="both"/>
              <w:rPr>
                <w:rFonts w:eastAsia="Aptos" w:cs="Calibri"/>
                <w:i/>
                <w:iCs/>
              </w:rPr>
            </w:pPr>
            <w:r w:rsidRPr="0048016A">
              <w:rPr>
                <w:rFonts w:eastAsia="Aptos" w:cs="Calibri"/>
                <w:i/>
                <w:iCs/>
              </w:rPr>
              <w:t>4) spełnienia praktycznych wymagań związanych z działaniami, o których mowa w pkt 1-3;</w:t>
            </w:r>
          </w:p>
          <w:p w14:paraId="4E10C40B" w14:textId="77777777" w:rsidR="00EF04F9" w:rsidRPr="0048016A" w:rsidRDefault="00EF04F9" w:rsidP="00EF04F9">
            <w:pPr>
              <w:spacing w:before="240" w:after="240"/>
              <w:jc w:val="both"/>
              <w:rPr>
                <w:rFonts w:eastAsia="Aptos" w:cs="Calibri"/>
                <w:i/>
                <w:iCs/>
              </w:rPr>
            </w:pPr>
            <w:r w:rsidRPr="0048016A">
              <w:rPr>
                <w:rFonts w:eastAsia="Aptos" w:cs="Calibri"/>
                <w:i/>
                <w:iCs/>
              </w:rPr>
              <w:t xml:space="preserve">5) składania wniosków o udzielenie zamówienia publicznego w zakresie, w jakim nie wiąże się to ze sprzedażą, oferowaniem do </w:t>
            </w:r>
            <w:r w:rsidRPr="0048016A">
              <w:rPr>
                <w:rFonts w:eastAsia="Aptos" w:cs="Calibri"/>
                <w:i/>
                <w:iCs/>
              </w:rPr>
              <w:lastRenderedPageBreak/>
              <w:t>sprzedaży lub prowadzeniem obrotu danym produktem leczniczym w okresie trwania ochrony wynikającej z patentu.</w:t>
            </w:r>
          </w:p>
          <w:p w14:paraId="743DA91E" w14:textId="77777777" w:rsidR="00EF04F9" w:rsidRPr="0048016A" w:rsidRDefault="00EF04F9" w:rsidP="00EF04F9">
            <w:pPr>
              <w:spacing w:before="240" w:after="240"/>
              <w:jc w:val="both"/>
              <w:rPr>
                <w:rFonts w:eastAsia="Aptos" w:cs="Calibri"/>
                <w:b/>
                <w:bCs/>
                <w:i/>
                <w:iCs/>
                <w:color w:val="EE0000"/>
              </w:rPr>
            </w:pPr>
            <w:r w:rsidRPr="0048016A">
              <w:rPr>
                <w:rFonts w:eastAsia="Aptos" w:cs="Calibri"/>
                <w:b/>
                <w:bCs/>
                <w:i/>
                <w:iCs/>
                <w:color w:val="EE0000"/>
              </w:rPr>
              <w:t>Czynności podejmowane w celach wskazanych w pkt 1 oraz 3 mogą obejmować, w stosownym zakresie, złożenie wniosku o uzyskanie i utrzymywanie rejestracji lub zezwolenia, a także oferowanie, wytwarzanie, sprzedaż, dostawę, magazynowanie, import, nabywanie wytworów lub używanie stosowanych w ich wytwarzaniu procesów, również za pośrednictwem podmiotów trzecich, w tym dostawców i usługodawców.</w:t>
            </w:r>
          </w:p>
          <w:p w14:paraId="7986E6FF" w14:textId="7C8DDCE7" w:rsidR="00EF04F9" w:rsidRPr="0048016A" w:rsidRDefault="00EF04F9" w:rsidP="00EF04F9">
            <w:pPr>
              <w:jc w:val="both"/>
              <w:rPr>
                <w:rFonts w:eastAsia="Aptos" w:cs="Calibri"/>
                <w:i/>
                <w:iCs/>
              </w:rPr>
            </w:pPr>
            <w:r w:rsidRPr="0048016A">
              <w:rPr>
                <w:rFonts w:eastAsia="Aptos" w:cs="Calibri"/>
                <w:i/>
                <w:iCs/>
              </w:rPr>
              <w:t>(…)</w:t>
            </w:r>
            <w:r w:rsidRPr="0048016A">
              <w:rPr>
                <w:rFonts w:eastAsia="Aptos" w:cs="Calibri"/>
                <w:i/>
                <w:iCs/>
              </w:rPr>
              <w:br/>
            </w:r>
            <w:r w:rsidRPr="0048016A">
              <w:rPr>
                <w:rFonts w:eastAsia="Aptos" w:cs="Calibri"/>
                <w:i/>
                <w:iCs/>
              </w:rPr>
              <w:br/>
              <w:t xml:space="preserve">6. Uzyskanie rejestracji lub zezwolenia, decyzji w sprawie ustalenia ceny, decyzji w sprawie objęcia refundacją lub udzielenia </w:t>
            </w:r>
            <w:r w:rsidRPr="0048016A">
              <w:rPr>
                <w:rFonts w:eastAsia="Aptos" w:cs="Calibri"/>
                <w:i/>
                <w:iCs/>
              </w:rPr>
              <w:lastRenderedPageBreak/>
              <w:t xml:space="preserve">zamówienia publicznego, o których mowa w ust. 2, nie wpływa na odpowiedzialność cywilną za wprowadzenie wytworów </w:t>
            </w:r>
            <w:r w:rsidRPr="0048016A">
              <w:rPr>
                <w:rFonts w:eastAsia="Aptos" w:cs="Calibri"/>
                <w:b/>
                <w:bCs/>
                <w:i/>
                <w:iCs/>
                <w:color w:val="EE0000"/>
              </w:rPr>
              <w:t>na rynek i prowadzenie</w:t>
            </w:r>
            <w:r w:rsidRPr="0048016A">
              <w:rPr>
                <w:rFonts w:eastAsia="Aptos" w:cs="Calibri"/>
                <w:i/>
                <w:iCs/>
              </w:rPr>
              <w:t xml:space="preserve"> obrotu bez zgody uprawnionego, jeżeli taka zgoda jest potrzebna. </w:t>
            </w:r>
          </w:p>
        </w:tc>
      </w:tr>
      <w:tr w:rsidR="00EF04F9" w14:paraId="1A1128C4" w14:textId="6781E4B8"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7401E2"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792E44" w14:textId="434A2B2F" w:rsidR="00EF04F9" w:rsidRDefault="00EF04F9" w:rsidP="00EF04F9">
            <w:pPr>
              <w:spacing w:after="160"/>
              <w:jc w:val="both"/>
              <w:rPr>
                <w:rFonts w:eastAsia="Times New Roman" w:cs="Calibri"/>
              </w:rPr>
            </w:pPr>
            <w:r>
              <w:rPr>
                <w:rFonts w:eastAsia="Times New Roman" w:cs="Calibri"/>
              </w:rPr>
              <w:t>Art. 74</w:t>
            </w:r>
          </w:p>
          <w:p w14:paraId="0CF0C784" w14:textId="77777777" w:rsidR="00EF04F9" w:rsidRDefault="00EF04F9" w:rsidP="00EF04F9">
            <w:pPr>
              <w:spacing w:after="160"/>
              <w:jc w:val="both"/>
            </w:pPr>
            <w:r>
              <w:rPr>
                <w:rFonts w:eastAsia="Times New Roman" w:cs="Calibri"/>
              </w:rPr>
              <w:t>1</w:t>
            </w:r>
            <w:r>
              <w:rPr>
                <w:rFonts w:eastAsia="Cambria" w:cs="Calibri"/>
              </w:rPr>
              <w:t xml:space="preserve">. Osoba, która w dobrej wierze uzyskała albo nabyła patent, przeniesiony następnie na podstawie art. 73 na rzecz osoby uprawnionej, albo uzyskała w dobrej wierze licencję, a korzystała z wynalazku co najmniej przez rok przed wszczęciem postępowania o przeniesienie patentu lub w tym okresie przygotowała wszystkie istotne urządzenia potrzebne do korzystania z wynalazku, może z tego wynalazku korzystać w swoim przedsiębiorstwie w zakresie, w jakim z niego korzystała w chwili wszczęcia tego postępowania, z </w:t>
            </w:r>
            <w:r>
              <w:rPr>
                <w:rFonts w:eastAsia="Cambria" w:cs="Calibri"/>
              </w:rPr>
              <w:lastRenderedPageBreak/>
              <w:t>tym że jest obowiązana do uiszczania uprawnionemu ustalonego wynagrodzenia.</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5A7AA7E" w14:textId="77777777" w:rsidR="00EF04F9" w:rsidRDefault="00EF04F9" w:rsidP="00EF04F9">
            <w:pPr>
              <w:jc w:val="both"/>
              <w:rPr>
                <w:rFonts w:cs="Calibri"/>
              </w:rPr>
            </w:pPr>
            <w:r>
              <w:rPr>
                <w:rFonts w:cs="Calibri"/>
              </w:rPr>
              <w:lastRenderedPageBreak/>
              <w:t xml:space="preserve">Redakcja nie uwzględnia sytuacji, gdzie korzystnie z wynalazku nie jest zależne od korzystania z urządzeń. Przykładowo, w przypadku patentów dotyczących wskazań medycznych/sposobów terapeutycznych/profilaktycznych. </w:t>
            </w:r>
          </w:p>
          <w:p w14:paraId="1C4497FD" w14:textId="77777777" w:rsidR="00EF04F9" w:rsidRDefault="00EF04F9" w:rsidP="00EF04F9">
            <w:pPr>
              <w:jc w:val="both"/>
              <w:rPr>
                <w:rFonts w:cs="Calibri"/>
              </w:rPr>
            </w:pPr>
            <w:r>
              <w:rPr>
                <w:rFonts w:cs="Calibri"/>
              </w:rPr>
              <w:t>Zmiana “urządzeń” na “podjęcie przygotowań” wydaje się rozszerzać praktyczne zastosowaniu tego przepisu, który ma służyć temu, aby działający w dobrej wierze nie ponosili strat za bezprawne działania stron trzecich.</w:t>
            </w:r>
          </w:p>
          <w:p w14:paraId="0E879430" w14:textId="77777777" w:rsidR="00EF04F9" w:rsidRDefault="00EF04F9" w:rsidP="00EF04F9">
            <w:pPr>
              <w:jc w:val="both"/>
              <w:rPr>
                <w:rFonts w:cs="Calibri"/>
              </w:rPr>
            </w:pPr>
            <w:r>
              <w:rPr>
                <w:rFonts w:cs="Calibri"/>
              </w:rPr>
              <w:t xml:space="preserve">Nie jest jasne jak obiektywnie należy określić “wszystkie istotne” urządzenia (lub proponowane przygotowania). Nie jest możliwe przyjęcie miary obiektywnej przygotowań i ich relacji do korzystania z wynalazku, dlatego określenie “podjęła działania umożliwiające praktyczne wykorzystanie wynalazku bez dodatkowych przygotowań”. Ostatecznie przepis pozwala na </w:t>
            </w:r>
            <w:r>
              <w:rPr>
                <w:rFonts w:cs="Calibri"/>
              </w:rPr>
              <w:lastRenderedPageBreak/>
              <w:t xml:space="preserve">korzystnie z wynalazku ograniczone do zakresu jak na czas wszczęcia postępowania. </w:t>
            </w:r>
          </w:p>
          <w:p w14:paraId="024CAFA9" w14:textId="77777777" w:rsidR="00EF04F9" w:rsidRDefault="00EF04F9" w:rsidP="00EF04F9">
            <w:pPr>
              <w:jc w:val="both"/>
              <w:rPr>
                <w:rFonts w:cs="Calibri"/>
              </w:rPr>
            </w:pPr>
            <w:r>
              <w:rPr>
                <w:rFonts w:cs="Calibri"/>
              </w:rPr>
              <w:t>To ograniczenie jest już dla nabywcy/licencjobiorcy krzywdzące, dlatego, że najprawdopodobniej nie planował poprzestać na tak określonym zakresie i być może to ograniczenie niweczy opłacalność przedsięwzięcia. Dlatego “podwójne” ograniczanie (tzn. ocena, czy przygotowane zostały wszystkie potrzebne urządzenia) wydaje się nadmiarowe. Zwłaszcza w sytuacji, gdzie na dany czas przygotowań, przygotowanie urządzeń jest nielogiczne (albo zbędne, jak w przypadku patentów, które urządzeń nie wymagają).</w:t>
            </w:r>
          </w:p>
          <w:p w14:paraId="52FB9F0A" w14:textId="77777777" w:rsidR="00EF04F9" w:rsidRDefault="00EF04F9" w:rsidP="00EF04F9">
            <w:pPr>
              <w:jc w:val="both"/>
              <w:rPr>
                <w:rFonts w:cs="Calibri"/>
              </w:rPr>
            </w:pPr>
            <w:r w:rsidRPr="00887A35">
              <w:rPr>
                <w:rFonts w:cs="Calibri"/>
              </w:rPr>
              <w:t>Proponowana redakcja pozostaje przy tym spójna z rozwiązaniem przyjętym w art. 175 ust. 1 i 2 w odniesieniu do uprzedniego używacza wzoru, który posługuje się pojęciem „poważnych i skutecznych przygotowań”.</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0979B" w14:textId="77777777" w:rsidR="00EF04F9" w:rsidRPr="0048016A" w:rsidRDefault="00EF04F9" w:rsidP="00EF04F9">
            <w:pPr>
              <w:jc w:val="both"/>
              <w:rPr>
                <w:rFonts w:eastAsia="Times New Roman" w:cs="Calibri"/>
                <w:i/>
                <w:iCs/>
              </w:rPr>
            </w:pPr>
            <w:r w:rsidRPr="0048016A">
              <w:rPr>
                <w:rFonts w:eastAsia="Times New Roman" w:cs="Calibri"/>
                <w:i/>
                <w:iCs/>
              </w:rPr>
              <w:lastRenderedPageBreak/>
              <w:t xml:space="preserve">Art. 74. </w:t>
            </w:r>
          </w:p>
          <w:p w14:paraId="39A501BB" w14:textId="77777777" w:rsidR="00EF04F9" w:rsidRPr="0048016A" w:rsidRDefault="00EF04F9" w:rsidP="00EF04F9">
            <w:pPr>
              <w:jc w:val="both"/>
              <w:rPr>
                <w:i/>
                <w:iCs/>
              </w:rPr>
            </w:pPr>
            <w:r w:rsidRPr="0048016A">
              <w:rPr>
                <w:rFonts w:eastAsia="Times New Roman" w:cs="Calibri"/>
                <w:i/>
                <w:iCs/>
              </w:rPr>
              <w:t>1</w:t>
            </w:r>
            <w:r w:rsidRPr="0048016A">
              <w:rPr>
                <w:rFonts w:eastAsia="Cambria" w:cs="Calibri"/>
                <w:i/>
                <w:iCs/>
              </w:rPr>
              <w:t xml:space="preserve">. Osoba, która w dobrej wierze uzyskała albo nabyła patent, przeniesiony następnie na podstawie art. 73 na rzecz osoby uprawnionej, albo uzyskała w dobrej wierze licencję, a korzystała z wynalazku </w:t>
            </w:r>
            <w:r w:rsidRPr="0048016A">
              <w:rPr>
                <w:rFonts w:eastAsia="Cambria" w:cs="Calibri"/>
                <w:i/>
                <w:iCs/>
                <w:strike/>
                <w:color w:val="EE0000"/>
              </w:rPr>
              <w:t>co najmniej przez rok</w:t>
            </w:r>
            <w:r w:rsidRPr="0048016A">
              <w:rPr>
                <w:rFonts w:eastAsia="Cambria" w:cs="Calibri"/>
                <w:i/>
                <w:iCs/>
                <w:color w:val="EE0000"/>
              </w:rPr>
              <w:t xml:space="preserve"> </w:t>
            </w:r>
            <w:r w:rsidRPr="0048016A">
              <w:rPr>
                <w:rFonts w:eastAsia="Cambria" w:cs="Calibri"/>
                <w:i/>
                <w:iCs/>
              </w:rPr>
              <w:t xml:space="preserve">przed wszczęciem postępowania o przeniesienie patentu lub w tym okresie </w:t>
            </w:r>
            <w:r w:rsidRPr="0048016A">
              <w:rPr>
                <w:rFonts w:eastAsia="Cambria" w:cs="Calibri"/>
                <w:i/>
                <w:iCs/>
                <w:strike/>
                <w:color w:val="EE0000"/>
              </w:rPr>
              <w:t>przygotowała wszystkie istotne urządzenia</w:t>
            </w:r>
            <w:r w:rsidRPr="0048016A">
              <w:rPr>
                <w:rFonts w:eastAsia="Cambria" w:cs="Calibri"/>
                <w:i/>
                <w:iCs/>
                <w:color w:val="EE0000"/>
              </w:rPr>
              <w:t xml:space="preserve"> </w:t>
            </w:r>
            <w:r w:rsidRPr="0048016A">
              <w:rPr>
                <w:rFonts w:eastAsia="Cambria" w:cs="Calibri"/>
                <w:b/>
                <w:bCs/>
                <w:i/>
                <w:iCs/>
                <w:color w:val="EE0000"/>
              </w:rPr>
              <w:t xml:space="preserve">podjęła przygotowania </w:t>
            </w:r>
            <w:r w:rsidRPr="0048016A">
              <w:rPr>
                <w:rFonts w:eastAsia="Cambria" w:cs="Calibri"/>
                <w:i/>
                <w:iCs/>
              </w:rPr>
              <w:t xml:space="preserve">potrzebne do korzystania z wynalazku, może z tego wynalazku korzystać w swoim przedsiębiorstwie w zakresie, w </w:t>
            </w:r>
            <w:r w:rsidRPr="0048016A">
              <w:rPr>
                <w:rFonts w:eastAsia="Cambria" w:cs="Calibri"/>
                <w:i/>
                <w:iCs/>
              </w:rPr>
              <w:lastRenderedPageBreak/>
              <w:t>jakim z niego korzystała w chwili wszczęcia tego postępowania, z tym że jest obowiązana do uiszczania uprawnionemu ustalonego wynagrodzenia.</w:t>
            </w:r>
          </w:p>
          <w:p w14:paraId="7D304B52" w14:textId="77777777" w:rsidR="00EF04F9" w:rsidRPr="0048016A" w:rsidRDefault="00EF04F9" w:rsidP="00EF04F9">
            <w:pPr>
              <w:jc w:val="both"/>
              <w:rPr>
                <w:rFonts w:cs="Calibri"/>
                <w:i/>
                <w:iCs/>
              </w:rPr>
            </w:pPr>
          </w:p>
        </w:tc>
      </w:tr>
      <w:tr w:rsidR="00EF04F9" w14:paraId="468AB129" w14:textId="5338B3CF" w:rsidTr="4B18DE5F">
        <w:trPr>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55A16D" w14:textId="77777777" w:rsidR="00EF04F9" w:rsidRDefault="00EF04F9" w:rsidP="00EF04F9">
            <w:pPr>
              <w:pStyle w:val="Akapitzlist"/>
              <w:numPr>
                <w:ilvl w:val="0"/>
                <w:numId w:val="2"/>
              </w:numPr>
              <w:spacing w:before="120" w:after="0"/>
              <w:ind w:right="-534"/>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411E2E" w14:textId="1A6BE962" w:rsidR="00EF04F9" w:rsidRDefault="00EF04F9" w:rsidP="00EF04F9">
            <w:pPr>
              <w:spacing w:after="0"/>
              <w:jc w:val="both"/>
              <w:rPr>
                <w:rFonts w:eastAsia="Times New Roman" w:cs="Calibri"/>
              </w:rPr>
            </w:pPr>
            <w:r>
              <w:rPr>
                <w:rFonts w:eastAsia="Times New Roman" w:cs="Calibri"/>
              </w:rPr>
              <w:t xml:space="preserve">Art. 76 </w:t>
            </w:r>
          </w:p>
          <w:p w14:paraId="35D0AFA7" w14:textId="6DEC57FF" w:rsidR="00EF04F9" w:rsidRDefault="00EF04F9" w:rsidP="0079377B">
            <w:pPr>
              <w:spacing w:after="0"/>
              <w:jc w:val="both"/>
            </w:pPr>
            <w:r>
              <w:rPr>
                <w:rFonts w:eastAsia="Times New Roman" w:cs="Calibri"/>
              </w:rPr>
              <w:t>1. Za wynalazki biotechnologiczne, na które mogą być udzielane patenty, uważa się w szczególności:</w:t>
            </w:r>
            <w:r>
              <w:rPr>
                <w:rFonts w:eastAsia="Times New Roman" w:cs="Calibri"/>
              </w:rPr>
              <w:br/>
              <w:t xml:space="preserve">1) stanowiące materiał biologiczny, który jest wyizolowany ze swojego naturalnego środowiska lub wytworzony sposobem </w:t>
            </w:r>
            <w:r>
              <w:rPr>
                <w:rFonts w:eastAsia="Times New Roman" w:cs="Calibri"/>
              </w:rPr>
              <w:lastRenderedPageBreak/>
              <w:t>technicznym, nawet jeżeli poprzednio występował w naturze;</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94AED12" w14:textId="4D481811" w:rsidR="00EF04F9" w:rsidRPr="00D079B7" w:rsidRDefault="00EF04F9" w:rsidP="00EF04F9">
            <w:pPr>
              <w:spacing w:after="120"/>
              <w:jc w:val="both"/>
              <w:rPr>
                <w:rFonts w:cs="Calibri"/>
              </w:rPr>
            </w:pPr>
            <w:r w:rsidRPr="00D079B7">
              <w:rPr>
                <w:rFonts w:cs="Calibri"/>
              </w:rPr>
              <w:lastRenderedPageBreak/>
              <w:t xml:space="preserve">Zmiana ma na celu dostosowanie brzmienia przepisu do terminologii stosowanej w dyrektywie 98/44/WE. Określenie </w:t>
            </w:r>
            <w:r w:rsidRPr="00D079B7">
              <w:rPr>
                <w:rFonts w:cs="Calibri"/>
                <w:i/>
                <w:iCs/>
              </w:rPr>
              <w:t>„wyprodukowany przy pomocy sposobu technicznego”</w:t>
            </w:r>
            <w:r w:rsidRPr="00D079B7">
              <w:rPr>
                <w:rFonts w:cs="Calibri"/>
              </w:rPr>
              <w:t xml:space="preserve"> ma szerszy zakres niż sformułowanie </w:t>
            </w:r>
            <w:r w:rsidRPr="00D079B7">
              <w:rPr>
                <w:rFonts w:cs="Calibri"/>
                <w:i/>
                <w:iCs/>
              </w:rPr>
              <w:t>„wytworzony sposobem technicznym”</w:t>
            </w:r>
            <w:r w:rsidRPr="00D079B7">
              <w:rPr>
                <w:rFonts w:cs="Calibri"/>
              </w:rPr>
              <w:t>. To pierwsze nie wymaga, aby cały proces produkcji miał charakter techniczny, lecz obejmuje również sytuacje, w których tylko część procesu wykorzystuje środki techniczne, a pozostałe jego elementy nie mają takiego charakteru.</w:t>
            </w:r>
          </w:p>
          <w:p w14:paraId="6F345AC2" w14:textId="78273153" w:rsidR="00EF04F9" w:rsidRDefault="00EF04F9" w:rsidP="00EF04F9">
            <w:pPr>
              <w:spacing w:after="120"/>
              <w:jc w:val="both"/>
              <w:rPr>
                <w:rFonts w:cs="Calibri"/>
              </w:rPr>
            </w:pPr>
            <w:r w:rsidRPr="00D079B7">
              <w:rPr>
                <w:rFonts w:cs="Calibri"/>
              </w:rPr>
              <w:lastRenderedPageBreak/>
              <w:t xml:space="preserve">Zmiana pozwala zatem uniknąć nadmiernego zawężenia kategorii materiału biologicznego, który może korzystać z ochrony patentowej, oraz zapewnia zgodność przepisu z właściwym rozumieniem regulacji unijnej wskazanym w tabeli zbieżności dotyczącej dyrektywy 98/44/WE. Jednocześnie proponuje się ujednolicenie terminologii przez konsekwentne posługiwanie się pojęciem </w:t>
            </w:r>
            <w:r w:rsidRPr="00D079B7">
              <w:rPr>
                <w:rFonts w:cs="Calibri"/>
                <w:i/>
                <w:iCs/>
              </w:rPr>
              <w:t>„produkcja”</w:t>
            </w:r>
            <w:r w:rsidRPr="00D079B7">
              <w:rPr>
                <w:rFonts w:cs="Calibri"/>
              </w:rPr>
              <w:t xml:space="preserve"> zamiast pojęć </w:t>
            </w:r>
            <w:r w:rsidRPr="00D079B7">
              <w:rPr>
                <w:rFonts w:cs="Calibri"/>
                <w:i/>
                <w:iCs/>
              </w:rPr>
              <w:t>„produkcja” i „wytwarzanie”,</w:t>
            </w:r>
            <w:r w:rsidRPr="00D079B7">
              <w:rPr>
                <w:rFonts w:cs="Calibri"/>
              </w:rPr>
              <w:t xml:space="preserve"> ponieważ</w:t>
            </w:r>
            <w:r w:rsidR="00BF2A4C">
              <w:rPr>
                <w:rFonts w:cs="Calibri"/>
              </w:rPr>
              <w:t xml:space="preserve"> </w:t>
            </w:r>
            <w:r w:rsidR="00BF2A4C" w:rsidRPr="00BF2A4C">
              <w:rPr>
                <w:rFonts w:cs="Calibri"/>
              </w:rPr>
              <w:t>produkcja może obejmować całość procesu, w tym poszczególne etapy wytwarzania</w:t>
            </w:r>
            <w:r w:rsidR="00BF2A4C">
              <w:rPr>
                <w:rFonts w:cs="Calibri"/>
              </w:rPr>
              <w:t>.</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03668" w14:textId="77777777" w:rsidR="00EF04F9" w:rsidRPr="0048016A" w:rsidRDefault="00EF04F9" w:rsidP="00EF04F9">
            <w:pPr>
              <w:spacing w:after="0"/>
              <w:jc w:val="both"/>
              <w:rPr>
                <w:rFonts w:eastAsia="Times New Roman" w:cs="Calibri"/>
                <w:i/>
                <w:iCs/>
              </w:rPr>
            </w:pPr>
            <w:r w:rsidRPr="0048016A">
              <w:rPr>
                <w:rFonts w:eastAsia="Times New Roman" w:cs="Calibri"/>
                <w:i/>
                <w:iCs/>
              </w:rPr>
              <w:lastRenderedPageBreak/>
              <w:t xml:space="preserve">Art. 76 </w:t>
            </w:r>
          </w:p>
          <w:p w14:paraId="5C73F498" w14:textId="77777777" w:rsidR="00EF04F9" w:rsidRPr="0048016A" w:rsidRDefault="00EF04F9" w:rsidP="00EF04F9">
            <w:pPr>
              <w:spacing w:after="0"/>
              <w:jc w:val="both"/>
              <w:rPr>
                <w:i/>
                <w:iCs/>
              </w:rPr>
            </w:pPr>
            <w:r w:rsidRPr="0048016A">
              <w:rPr>
                <w:rFonts w:eastAsia="Times New Roman" w:cs="Calibri"/>
                <w:i/>
                <w:iCs/>
              </w:rPr>
              <w:t>1. Za wynalazki biotechnologiczne, na które mogą być udzielane patenty, uważa się w szczególności:</w:t>
            </w:r>
          </w:p>
          <w:p w14:paraId="4156FCF7" w14:textId="7FC47A3B" w:rsidR="00EF04F9" w:rsidRPr="0048016A" w:rsidRDefault="00EF04F9" w:rsidP="00EF04F9">
            <w:pPr>
              <w:spacing w:after="120"/>
              <w:jc w:val="both"/>
              <w:rPr>
                <w:rFonts w:cs="Calibri"/>
                <w:i/>
                <w:iCs/>
              </w:rPr>
            </w:pPr>
            <w:r w:rsidRPr="0048016A">
              <w:rPr>
                <w:rFonts w:eastAsia="Times New Roman" w:cs="Calibri"/>
                <w:i/>
                <w:iCs/>
              </w:rPr>
              <w:t xml:space="preserve">1) stanowiące materiał biologiczny, który jest wyizolowany ze swojego naturalnego środowiska lub </w:t>
            </w:r>
            <w:r w:rsidRPr="0048016A">
              <w:rPr>
                <w:rFonts w:eastAsia="Times New Roman" w:cs="Calibri"/>
                <w:i/>
                <w:iCs/>
                <w:strike/>
                <w:color w:val="EE0000"/>
              </w:rPr>
              <w:t>wytworzony sposobem technicznym</w:t>
            </w:r>
            <w:r w:rsidRPr="0048016A">
              <w:rPr>
                <w:rFonts w:eastAsia="Times New Roman" w:cs="Calibri"/>
                <w:i/>
                <w:iCs/>
                <w:color w:val="EE0000"/>
                <w:u w:val="single"/>
              </w:rPr>
              <w:t xml:space="preserve"> </w:t>
            </w:r>
            <w:r w:rsidRPr="0048016A">
              <w:rPr>
                <w:rFonts w:eastAsia="Times New Roman" w:cs="Calibri"/>
                <w:b/>
                <w:bCs/>
                <w:i/>
                <w:iCs/>
                <w:color w:val="EE0000"/>
              </w:rPr>
              <w:t xml:space="preserve">wyprodukowany przy pomocy </w:t>
            </w:r>
            <w:r w:rsidRPr="0048016A">
              <w:rPr>
                <w:rFonts w:eastAsia="Times New Roman" w:cs="Calibri"/>
                <w:b/>
                <w:bCs/>
                <w:i/>
                <w:iCs/>
                <w:color w:val="EE0000"/>
              </w:rPr>
              <w:lastRenderedPageBreak/>
              <w:t>sposobu technicznego</w:t>
            </w:r>
            <w:r w:rsidRPr="0048016A">
              <w:rPr>
                <w:rFonts w:eastAsia="Times New Roman" w:cs="Calibri"/>
                <w:i/>
                <w:iCs/>
              </w:rPr>
              <w:t xml:space="preserve">, nawet jeżeli poprzednio występował w naturze; </w:t>
            </w:r>
          </w:p>
        </w:tc>
      </w:tr>
      <w:tr w:rsidR="00EF04F9" w14:paraId="1EBC7F3A" w14:textId="040D67D9" w:rsidTr="4B18DE5F">
        <w:trPr>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BB4AAF" w14:textId="77777777" w:rsidR="00EF04F9" w:rsidRDefault="00EF04F9" w:rsidP="00EF04F9">
            <w:pPr>
              <w:pStyle w:val="Akapitzlist"/>
              <w:numPr>
                <w:ilvl w:val="0"/>
                <w:numId w:val="2"/>
              </w:numPr>
              <w:spacing w:before="120" w:after="0"/>
              <w:ind w:right="-534"/>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2E3D95" w14:textId="77777777" w:rsidR="00EF04F9" w:rsidRDefault="00EF04F9" w:rsidP="00EF04F9">
            <w:pPr>
              <w:spacing w:before="120"/>
              <w:jc w:val="both"/>
              <w:rPr>
                <w:rFonts w:eastAsia="Times New Roman" w:cs="Calibri"/>
              </w:rPr>
            </w:pPr>
            <w:r>
              <w:rPr>
                <w:rFonts w:eastAsia="Times New Roman" w:cs="Calibri"/>
              </w:rPr>
              <w:t xml:space="preserve">Art. 77 </w:t>
            </w:r>
          </w:p>
          <w:p w14:paraId="192CFEC8" w14:textId="1D5E2E98" w:rsidR="00EF04F9" w:rsidRDefault="00EF04F9" w:rsidP="00EF04F9">
            <w:pPr>
              <w:spacing w:before="120"/>
              <w:jc w:val="both"/>
            </w:pPr>
            <w:r>
              <w:rPr>
                <w:rFonts w:eastAsia="Times New Roman" w:cs="Calibri"/>
              </w:rPr>
              <w:t>2. W zgłoszeniu wynalazku dotyczącym sekwencji lub częściowej sekwencji genu, w opisie wynalazku, ujawnia się funkcję takiej sekwencji i jej przemysłowe zastosowanie.</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395391A" w14:textId="3B97C3EC" w:rsidR="00EF04F9" w:rsidRDefault="00EF04F9" w:rsidP="00EF04F9">
            <w:pPr>
              <w:spacing w:after="120"/>
              <w:jc w:val="both"/>
              <w:rPr>
                <w:rFonts w:cs="Calibri"/>
              </w:rPr>
            </w:pPr>
            <w:r>
              <w:rPr>
                <w:rFonts w:cs="Calibri"/>
              </w:rPr>
              <w:t>Określenie “ujawnia się” nie wyraża wymogu ujawnienia funkcji i stosowalności przemysłowej sekwencji.</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213FC" w14:textId="77777777" w:rsidR="00EF04F9" w:rsidRPr="0048016A" w:rsidRDefault="00EF04F9" w:rsidP="00EF04F9">
            <w:pPr>
              <w:spacing w:before="120" w:after="120"/>
              <w:jc w:val="both"/>
              <w:rPr>
                <w:rFonts w:eastAsia="Times New Roman" w:cs="Calibri"/>
                <w:i/>
                <w:iCs/>
              </w:rPr>
            </w:pPr>
            <w:r w:rsidRPr="0048016A">
              <w:rPr>
                <w:rFonts w:eastAsia="Times New Roman" w:cs="Calibri"/>
                <w:i/>
                <w:iCs/>
              </w:rPr>
              <w:t xml:space="preserve">Art. 77 </w:t>
            </w:r>
          </w:p>
          <w:p w14:paraId="1215696A" w14:textId="77777777" w:rsidR="00EF04F9" w:rsidRPr="0048016A" w:rsidRDefault="00EF04F9" w:rsidP="00EF04F9">
            <w:pPr>
              <w:spacing w:before="120" w:after="120"/>
              <w:jc w:val="both"/>
              <w:rPr>
                <w:i/>
                <w:iCs/>
              </w:rPr>
            </w:pPr>
            <w:r w:rsidRPr="0048016A">
              <w:rPr>
                <w:rFonts w:eastAsia="Times New Roman" w:cs="Calibri"/>
                <w:i/>
                <w:iCs/>
              </w:rPr>
              <w:t xml:space="preserve">2. </w:t>
            </w:r>
            <w:r w:rsidRPr="0048016A">
              <w:rPr>
                <w:rFonts w:eastAsia="Times New Roman" w:cs="Calibri"/>
                <w:i/>
                <w:iCs/>
                <w:strike/>
                <w:color w:val="EE0000"/>
              </w:rPr>
              <w:t xml:space="preserve">W zgłoszeniu wynalazku dotyczącym </w:t>
            </w:r>
            <w:r w:rsidRPr="0048016A">
              <w:rPr>
                <w:rFonts w:eastAsia="Times New Roman" w:cs="Calibri"/>
                <w:b/>
                <w:bCs/>
                <w:i/>
                <w:iCs/>
                <w:color w:val="EE0000"/>
              </w:rPr>
              <w:t xml:space="preserve">Zgłoszenie wynalazku dotyczącego </w:t>
            </w:r>
            <w:r w:rsidRPr="0048016A">
              <w:rPr>
                <w:rFonts w:eastAsia="Times New Roman" w:cs="Calibri"/>
                <w:i/>
                <w:iCs/>
              </w:rPr>
              <w:t xml:space="preserve">sekwencji lub częściowej sekwencji genu, w opisie wynalazku, </w:t>
            </w:r>
            <w:r w:rsidRPr="0048016A">
              <w:rPr>
                <w:rFonts w:eastAsia="Times New Roman" w:cs="Calibri"/>
                <w:i/>
                <w:iCs/>
                <w:strike/>
                <w:u w:val="single"/>
              </w:rPr>
              <w:t>u</w:t>
            </w:r>
            <w:r w:rsidRPr="0048016A">
              <w:rPr>
                <w:rFonts w:eastAsia="Times New Roman" w:cs="Calibri"/>
                <w:i/>
                <w:iCs/>
                <w:strike/>
              </w:rPr>
              <w:t>jawnia się</w:t>
            </w:r>
            <w:r w:rsidRPr="0048016A">
              <w:rPr>
                <w:rFonts w:eastAsia="Times New Roman" w:cs="Calibri"/>
                <w:i/>
                <w:iCs/>
                <w:u w:val="single"/>
              </w:rPr>
              <w:t xml:space="preserve"> </w:t>
            </w:r>
            <w:r w:rsidRPr="0048016A">
              <w:rPr>
                <w:rFonts w:eastAsia="Times New Roman" w:cs="Calibri"/>
                <w:b/>
                <w:bCs/>
                <w:i/>
                <w:iCs/>
                <w:color w:val="EE0000"/>
              </w:rPr>
              <w:t xml:space="preserve">musi ujawniać </w:t>
            </w:r>
            <w:r w:rsidRPr="0048016A">
              <w:rPr>
                <w:rFonts w:eastAsia="Times New Roman" w:cs="Calibri"/>
                <w:i/>
                <w:iCs/>
              </w:rPr>
              <w:t>funkcję takiej sekwencji i jej przemysłowe zastosowanie.</w:t>
            </w:r>
          </w:p>
          <w:p w14:paraId="115591ED" w14:textId="77777777" w:rsidR="00EF04F9" w:rsidRPr="0048016A" w:rsidRDefault="00EF04F9" w:rsidP="00EF04F9">
            <w:pPr>
              <w:spacing w:after="120"/>
              <w:jc w:val="both"/>
              <w:rPr>
                <w:rFonts w:cs="Calibri"/>
                <w:i/>
                <w:iCs/>
              </w:rPr>
            </w:pPr>
          </w:p>
        </w:tc>
      </w:tr>
      <w:tr w:rsidR="00EF04F9" w14:paraId="68F73E90" w14:textId="65637519" w:rsidTr="4B18DE5F">
        <w:trPr>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69934F" w14:textId="77777777" w:rsidR="00EF04F9" w:rsidRDefault="00EF04F9" w:rsidP="00EF04F9">
            <w:pPr>
              <w:pStyle w:val="Akapitzlist"/>
              <w:numPr>
                <w:ilvl w:val="0"/>
                <w:numId w:val="2"/>
              </w:numPr>
              <w:spacing w:before="120" w:after="0"/>
              <w:ind w:right="-534"/>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86F615" w14:textId="77777777" w:rsidR="00EF04F9" w:rsidRDefault="00EF04F9" w:rsidP="00EF04F9">
            <w:pPr>
              <w:spacing w:after="0"/>
              <w:jc w:val="both"/>
              <w:rPr>
                <w:rFonts w:eastAsia="Times New Roman" w:cs="Calibri"/>
              </w:rPr>
            </w:pPr>
            <w:r>
              <w:rPr>
                <w:rFonts w:eastAsia="Times New Roman" w:cs="Calibri"/>
              </w:rPr>
              <w:t xml:space="preserve">Art. 80 </w:t>
            </w:r>
          </w:p>
          <w:p w14:paraId="5853712B" w14:textId="20EE8A31" w:rsidR="00EF04F9" w:rsidRPr="00BF2A4C" w:rsidRDefault="00EF04F9" w:rsidP="00EF04F9">
            <w:pPr>
              <w:spacing w:after="0"/>
              <w:jc w:val="both"/>
            </w:pPr>
            <w:r>
              <w:rPr>
                <w:rFonts w:eastAsia="Times New Roman" w:cs="Calibri"/>
              </w:rPr>
              <w:t xml:space="preserve">2. Osoba, która nabyła lub w inny sposób uzyskała od uprawnionego z patentu, lub za jego zgodą, chroniony patentem materiał roślinny do wykorzystania w </w:t>
            </w:r>
            <w:r>
              <w:rPr>
                <w:rFonts w:eastAsia="Times New Roman" w:cs="Calibri"/>
              </w:rPr>
              <w:lastRenderedPageBreak/>
              <w:t>działalności rolniczej, jest upoważniona do jego wykorzystywania dla wielokrotnej reprodukcji w ramach własnego gospodarstwa rolnego, z uwzględnieniem takich samych ograniczeń, jakie są przewidziane dla korzystania, bez zgody hodowcy, z materiału siewnego odmiany rośliny chronionej na podstawie przepisów ustawy z dnia 26 czerwca 2003 r. o ochronie prawnej odmian roślin (Dz. U. z 2021 r. poz. 213, z 2025 r. poz. 1709).</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72AF9EA" w14:textId="77777777" w:rsidR="00EF04F9" w:rsidRPr="004C3B47" w:rsidRDefault="00EF04F9" w:rsidP="00EF04F9">
            <w:pPr>
              <w:spacing w:after="120"/>
              <w:jc w:val="both"/>
              <w:rPr>
                <w:rFonts w:cs="Calibri"/>
              </w:rPr>
            </w:pPr>
            <w:r w:rsidRPr="004C3B47">
              <w:rPr>
                <w:rFonts w:cs="Calibri"/>
              </w:rPr>
              <w:lastRenderedPageBreak/>
              <w:t xml:space="preserve">Zmiana ma na celu rozszerzenie przepisu na przypadki, w których chroniony patentem materiał roślinny jest wykorzystywany w ramach własnej działalności rolniczej, lecz niekoniecznie w ramach gospodarstwa rolnego. Określenie „gospodarstwo rolne” może być zbyt wąskie i nie obejmować wszystkich form </w:t>
            </w:r>
            <w:r w:rsidRPr="004C3B47">
              <w:rPr>
                <w:rFonts w:cs="Calibri"/>
              </w:rPr>
              <w:lastRenderedPageBreak/>
              <w:t>działalności związanej z produkcją rolną, w których materiał może być wykorzystywany.</w:t>
            </w:r>
          </w:p>
          <w:p w14:paraId="27CC7027" w14:textId="55DDBC67" w:rsidR="00EF04F9" w:rsidRDefault="00EF04F9" w:rsidP="00EF04F9">
            <w:pPr>
              <w:spacing w:after="120"/>
              <w:jc w:val="both"/>
              <w:rPr>
                <w:rFonts w:cs="Calibri"/>
              </w:rPr>
            </w:pPr>
            <w:r w:rsidRPr="004C3B47">
              <w:rPr>
                <w:rFonts w:cs="Calibri"/>
              </w:rPr>
              <w:t>Istotą ograniczenia powinno być natomiast to, aby materiał był wykorzystywany na potrzeby własnej działalności rolniczej uprawnionego, a nie w działalności prowadzonej na rzecz osób trzecich. Zastąpienie wyrażenia „w ramach własnego gospodarstwa rolnego” zwrotem „w ramach własnej działalności rolniczej” lepiej oddaje ten cel i zapobiega zarówno nadmiernemu zawężeniu, jak i nieuzasadnionemu rozszerzeniu wyjątku.</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9CA31" w14:textId="77777777" w:rsidR="00EF04F9" w:rsidRPr="0048016A" w:rsidRDefault="00EF04F9" w:rsidP="00EF04F9">
            <w:pPr>
              <w:spacing w:after="0"/>
              <w:jc w:val="both"/>
              <w:rPr>
                <w:rFonts w:eastAsia="Times New Roman" w:cs="Calibri"/>
                <w:i/>
                <w:iCs/>
              </w:rPr>
            </w:pPr>
            <w:r w:rsidRPr="0048016A">
              <w:rPr>
                <w:rFonts w:eastAsia="Times New Roman" w:cs="Calibri"/>
                <w:i/>
                <w:iCs/>
              </w:rPr>
              <w:lastRenderedPageBreak/>
              <w:t xml:space="preserve">Art. 80 </w:t>
            </w:r>
          </w:p>
          <w:p w14:paraId="33903D97" w14:textId="659A95DE" w:rsidR="00EF04F9" w:rsidRPr="00BF2A4C" w:rsidRDefault="00EF04F9" w:rsidP="00BF2A4C">
            <w:pPr>
              <w:spacing w:after="0"/>
              <w:jc w:val="both"/>
              <w:rPr>
                <w:i/>
                <w:iCs/>
              </w:rPr>
            </w:pPr>
            <w:r w:rsidRPr="0048016A">
              <w:rPr>
                <w:rFonts w:eastAsia="Times New Roman" w:cs="Calibri"/>
                <w:i/>
                <w:iCs/>
              </w:rPr>
              <w:t xml:space="preserve">2. Osoba, która nabyła lub w inny sposób uzyskała od uprawnionego z patentu, lub za jego zgodą, chroniony patentem materiał roślinny do wykorzystania w </w:t>
            </w:r>
            <w:r w:rsidRPr="0048016A">
              <w:rPr>
                <w:rFonts w:eastAsia="Times New Roman" w:cs="Calibri"/>
                <w:i/>
                <w:iCs/>
              </w:rPr>
              <w:lastRenderedPageBreak/>
              <w:t xml:space="preserve">działalności rolniczej, jest upoważniona do jego wykorzystywania dla wielokrotnej reprodukcji w ramach </w:t>
            </w:r>
            <w:r w:rsidRPr="0048016A">
              <w:rPr>
                <w:rFonts w:eastAsia="Times New Roman" w:cs="Calibri"/>
                <w:i/>
                <w:iCs/>
                <w:strike/>
                <w:color w:val="EE0000"/>
              </w:rPr>
              <w:t>własnego gospodarstwa rolnego</w:t>
            </w:r>
            <w:r w:rsidRPr="0048016A">
              <w:rPr>
                <w:rFonts w:eastAsia="Times New Roman" w:cs="Calibri"/>
                <w:i/>
                <w:iCs/>
              </w:rPr>
              <w:t xml:space="preserve">, </w:t>
            </w:r>
            <w:r w:rsidRPr="0048016A">
              <w:rPr>
                <w:rFonts w:eastAsia="Times New Roman" w:cs="Calibri"/>
                <w:b/>
                <w:bCs/>
                <w:i/>
                <w:iCs/>
                <w:color w:val="EE0000"/>
              </w:rPr>
              <w:t xml:space="preserve">własnej działalności rolniczej </w:t>
            </w:r>
            <w:r w:rsidRPr="0048016A">
              <w:rPr>
                <w:rFonts w:eastAsia="Times New Roman" w:cs="Calibri"/>
                <w:i/>
                <w:iCs/>
              </w:rPr>
              <w:t>z uwzględnieniem takich samych ograniczeń, jakie są przewidziane dla korzystania, bez zgody hodowcy, z materiału siewnego odmiany rośliny chronionej na podstawie przepisów ustawy z dnia 26 czerwca 2003 r. o ochronie prawnej odmian roślin (Dz. U. z 2021 r. poz. 213, z 2025 r. poz. 1709).</w:t>
            </w:r>
          </w:p>
        </w:tc>
      </w:tr>
      <w:tr w:rsidR="00EF04F9" w14:paraId="7E3F75A3" w14:textId="7BA73DB9"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281591"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D05429" w14:textId="3837FFBC" w:rsidR="00EF04F9" w:rsidRDefault="00EF04F9" w:rsidP="00EF04F9">
            <w:pPr>
              <w:spacing w:after="160"/>
              <w:jc w:val="both"/>
              <w:rPr>
                <w:rFonts w:eastAsia="Aptos" w:cs="Calibri"/>
              </w:rPr>
            </w:pPr>
            <w:r>
              <w:rPr>
                <w:rFonts w:eastAsia="Aptos" w:cs="Calibri"/>
              </w:rPr>
              <w:t>Art. 85 (patrz też komentarz do art. 365)</w:t>
            </w:r>
          </w:p>
          <w:p w14:paraId="4993999C" w14:textId="77777777" w:rsidR="00EF04F9" w:rsidRPr="00CB2DD9" w:rsidRDefault="00EF04F9" w:rsidP="00EF04F9">
            <w:pPr>
              <w:spacing w:after="160"/>
              <w:jc w:val="both"/>
              <w:rPr>
                <w:rFonts w:eastAsia="Aptos" w:cs="Calibri"/>
              </w:rPr>
            </w:pPr>
            <w:r w:rsidRPr="00CB2DD9">
              <w:rPr>
                <w:rFonts w:eastAsia="Aptos" w:cs="Calibri"/>
              </w:rPr>
              <w:t>1. Patent może zostać unieważniony w całości albo części na wniosek każdego, kto wykaże, że:</w:t>
            </w:r>
          </w:p>
          <w:p w14:paraId="3E78C685" w14:textId="4B317FBB" w:rsidR="00EF04F9" w:rsidRPr="00CB2DD9" w:rsidRDefault="00EF04F9" w:rsidP="00EF04F9">
            <w:pPr>
              <w:spacing w:after="160"/>
              <w:jc w:val="both"/>
              <w:rPr>
                <w:rFonts w:eastAsia="Aptos" w:cs="Calibri"/>
              </w:rPr>
            </w:pPr>
            <w:r w:rsidRPr="00CB2DD9">
              <w:rPr>
                <w:rFonts w:eastAsia="Aptos" w:cs="Calibri"/>
              </w:rPr>
              <w:t>1)</w:t>
            </w:r>
            <w:r>
              <w:rPr>
                <w:rFonts w:eastAsia="Aptos" w:cs="Calibri"/>
              </w:rPr>
              <w:t xml:space="preserve"> </w:t>
            </w:r>
            <w:r w:rsidRPr="00CB2DD9">
              <w:rPr>
                <w:rFonts w:eastAsia="Aptos" w:cs="Calibri"/>
              </w:rPr>
              <w:t>nie zostały spełnione warunki wymagane do jego udzielenia, o których mowa w art. 28-32;</w:t>
            </w:r>
          </w:p>
          <w:p w14:paraId="3A64B5C8" w14:textId="6315D110" w:rsidR="00EF04F9" w:rsidRPr="00CB2DD9" w:rsidRDefault="00EF04F9" w:rsidP="00EF04F9">
            <w:pPr>
              <w:spacing w:after="160"/>
              <w:jc w:val="both"/>
              <w:rPr>
                <w:rFonts w:eastAsia="Aptos" w:cs="Calibri"/>
              </w:rPr>
            </w:pPr>
            <w:r w:rsidRPr="00CB2DD9">
              <w:rPr>
                <w:rFonts w:eastAsia="Aptos" w:cs="Calibri"/>
              </w:rPr>
              <w:lastRenderedPageBreak/>
              <w:t>2)</w:t>
            </w:r>
            <w:r>
              <w:rPr>
                <w:rFonts w:eastAsia="Aptos" w:cs="Calibri"/>
              </w:rPr>
              <w:t xml:space="preserve"> </w:t>
            </w:r>
            <w:r w:rsidRPr="00CB2DD9">
              <w:rPr>
                <w:rFonts w:eastAsia="Aptos" w:cs="Calibri"/>
              </w:rPr>
              <w:t>wynalazek nie został przedstawiony na tyle jasno i wyczerpująco, aby znawca mógł ten wynalazek urzeczywistnić;</w:t>
            </w:r>
          </w:p>
          <w:p w14:paraId="449E8EDA" w14:textId="095555E5" w:rsidR="00EF04F9" w:rsidRPr="00CB2DD9" w:rsidRDefault="00EF04F9" w:rsidP="00EF04F9">
            <w:pPr>
              <w:spacing w:after="160"/>
              <w:jc w:val="both"/>
              <w:rPr>
                <w:rFonts w:eastAsia="Aptos" w:cs="Calibri"/>
              </w:rPr>
            </w:pPr>
            <w:r w:rsidRPr="00CB2DD9">
              <w:rPr>
                <w:rFonts w:eastAsia="Aptos" w:cs="Calibri"/>
              </w:rPr>
              <w:t>3)</w:t>
            </w:r>
            <w:r>
              <w:rPr>
                <w:rFonts w:eastAsia="Aptos" w:cs="Calibri"/>
              </w:rPr>
              <w:t xml:space="preserve"> </w:t>
            </w:r>
            <w:r w:rsidRPr="00CB2DD9">
              <w:rPr>
                <w:rFonts w:eastAsia="Aptos" w:cs="Calibri"/>
              </w:rPr>
              <w:t>patent został udzielony na wynalazek nieobjęty treścią zgłoszenia lub zgłoszenia pierwotnego;</w:t>
            </w:r>
          </w:p>
          <w:p w14:paraId="11DB08D4" w14:textId="362BD06E" w:rsidR="00EF04F9" w:rsidRPr="00CB2DD9" w:rsidRDefault="00EF04F9" w:rsidP="00EF04F9">
            <w:pPr>
              <w:spacing w:after="160"/>
              <w:jc w:val="both"/>
              <w:rPr>
                <w:rFonts w:eastAsia="Aptos" w:cs="Calibri"/>
              </w:rPr>
            </w:pPr>
            <w:r w:rsidRPr="00CB2DD9">
              <w:rPr>
                <w:rFonts w:eastAsia="Aptos" w:cs="Calibri"/>
              </w:rPr>
              <w:t>4)</w:t>
            </w:r>
            <w:r>
              <w:rPr>
                <w:rFonts w:eastAsia="Aptos" w:cs="Calibri"/>
              </w:rPr>
              <w:t xml:space="preserve"> </w:t>
            </w:r>
            <w:r w:rsidRPr="00CB2DD9">
              <w:rPr>
                <w:rFonts w:eastAsia="Aptos" w:cs="Calibri"/>
              </w:rPr>
              <w:t>zastrzeżenia patentowe nie określają przedmiotu żądanej ochrony w sposób jasny i zwięzły lub nie są w całości poparte opisem wynalazku.</w:t>
            </w:r>
          </w:p>
          <w:p w14:paraId="0CCC32CD" w14:textId="41241BF4" w:rsidR="00EF04F9" w:rsidRPr="00925BAD" w:rsidRDefault="00EF04F9" w:rsidP="00925BAD">
            <w:pPr>
              <w:spacing w:after="160"/>
              <w:jc w:val="both"/>
              <w:rPr>
                <w:rFonts w:eastAsia="Aptos" w:cs="Calibri"/>
              </w:rPr>
            </w:pPr>
            <w:r w:rsidRPr="00CB2DD9">
              <w:rPr>
                <w:rFonts w:eastAsia="Aptos" w:cs="Calibri"/>
              </w:rPr>
              <w:t>2.</w:t>
            </w:r>
            <w:r>
              <w:rPr>
                <w:rFonts w:eastAsia="Aptos" w:cs="Calibri"/>
              </w:rPr>
              <w:t xml:space="preserve"> </w:t>
            </w:r>
            <w:r w:rsidRPr="00CB2DD9">
              <w:rPr>
                <w:rFonts w:eastAsia="Aptos" w:cs="Calibri"/>
              </w:rPr>
              <w:t>Prokurator Generalny lub Prezes Urzędu Patentowego może w interesie publicznym wystąpić z wnioskiem o unieważnienie patentu albo przystąpić do toczącego się postępowania w sprawie.</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D1028B9" w14:textId="77777777" w:rsidR="00EF04F9" w:rsidRDefault="00EF04F9" w:rsidP="00EF04F9">
            <w:pPr>
              <w:spacing w:before="240" w:after="0"/>
              <w:jc w:val="both"/>
              <w:rPr>
                <w:rFonts w:eastAsia="Aptos" w:cs="Calibri"/>
              </w:rPr>
            </w:pPr>
            <w:r>
              <w:rPr>
                <w:rFonts w:eastAsia="Aptos" w:cs="Calibri"/>
              </w:rPr>
              <w:lastRenderedPageBreak/>
              <w:t xml:space="preserve">Ocena realizacji przesłanek do udzielenia ochrony patentowej w toku postępowania spornego powinna obejmować uprawnienie do korzystania z pierwszeństwa uprzedniego, o ile wnioskodawca podniósł stosowny zarzut. Ocena realizacji przesłanek udzielenia ochrony patentowej winna być realizowana na podstawie prawidłowo ustalonego stanu techniki, co wymaga weryfikacji, czy rozpatrywanemu wynalazkowi (zastrzeżeniu) przysługuje pierwszeństwo uprzednie albo częściowe pierwszeństwo uprzednie. </w:t>
            </w:r>
          </w:p>
          <w:p w14:paraId="787800A8" w14:textId="77777777" w:rsidR="00EF04F9" w:rsidRDefault="00EF04F9" w:rsidP="00EF04F9">
            <w:pPr>
              <w:spacing w:before="240" w:after="0"/>
              <w:jc w:val="both"/>
              <w:rPr>
                <w:rFonts w:eastAsia="Aptos" w:cs="Calibri"/>
              </w:rPr>
            </w:pPr>
          </w:p>
          <w:p w14:paraId="7FF721B6" w14:textId="77777777" w:rsidR="00EF04F9" w:rsidRDefault="00EF04F9" w:rsidP="00EF04F9">
            <w:pPr>
              <w:spacing w:after="2"/>
              <w:jc w:val="both"/>
              <w:rPr>
                <w:rFonts w:eastAsia="Aptos" w:cs="Calibri"/>
              </w:rPr>
            </w:pPr>
            <w:r>
              <w:rPr>
                <w:rFonts w:eastAsia="Aptos" w:cs="Calibri"/>
              </w:rPr>
              <w:lastRenderedPageBreak/>
              <w:t xml:space="preserve">Uprawnienie do korzystania z pierwszeństwa uprzedniego powinno być rozpatrywane przy ocenie nowości i poziomu wynalazczego każdego zestawienia cech technicznych objętego zastrzeganym wynalazkiem. W toku rozpatrywania zgłoszenia, a także po udzieleniu ochrony zakres zastrzeżeń może ulec zmianie, a więc ogólne ustalenie uprawnienia do korzystania z pierwszeństwa na wczesnym etapie postępowania (lub odmowa jego uznania) jest z gruntu niewłaściwe. </w:t>
            </w:r>
          </w:p>
          <w:p w14:paraId="523E9882" w14:textId="77777777" w:rsidR="00EF04F9" w:rsidRDefault="00EF04F9" w:rsidP="00EF04F9">
            <w:pPr>
              <w:spacing w:after="2"/>
              <w:jc w:val="both"/>
              <w:rPr>
                <w:rFonts w:eastAsia="Aptos" w:cs="Calibri"/>
              </w:rPr>
            </w:pPr>
          </w:p>
          <w:p w14:paraId="46D54185" w14:textId="77777777" w:rsidR="00EF04F9" w:rsidRDefault="00EF04F9" w:rsidP="00EF04F9">
            <w:pPr>
              <w:spacing w:after="2"/>
              <w:jc w:val="both"/>
              <w:rPr>
                <w:rFonts w:eastAsia="Aptos" w:cs="Calibri"/>
              </w:rPr>
            </w:pPr>
            <w:r>
              <w:rPr>
                <w:rFonts w:eastAsia="Aptos" w:cs="Calibri"/>
              </w:rPr>
              <w:t>Ustalenie uprawnienia do korzystania z pierwszeństwa uprzedniego albo częściowego pierwszeństwa uprzedniego powinno być realizowane dla każdego wynalazku w toku oceny jego nowości i poziomu wynalazczego na każdym etapie postępowania, w tym w postępowaniu spornym.</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7E003" w14:textId="36FC2257" w:rsidR="00EF04F9" w:rsidRPr="0048016A" w:rsidRDefault="00EF04F9" w:rsidP="00EF04F9">
            <w:pPr>
              <w:spacing w:before="240" w:after="0"/>
              <w:jc w:val="both"/>
              <w:rPr>
                <w:rFonts w:eastAsia="Aptos" w:cs="Calibri"/>
                <w:i/>
                <w:iCs/>
              </w:rPr>
            </w:pPr>
            <w:r w:rsidRPr="0048016A">
              <w:rPr>
                <w:rFonts w:eastAsia="Aptos" w:cs="Calibri"/>
                <w:i/>
                <w:iCs/>
              </w:rPr>
              <w:lastRenderedPageBreak/>
              <w:t xml:space="preserve">Dodać </w:t>
            </w:r>
            <w:r w:rsidRPr="0048016A">
              <w:rPr>
                <w:rFonts w:eastAsia="Aptos" w:cs="Calibri"/>
                <w:b/>
                <w:bCs/>
                <w:i/>
                <w:iCs/>
                <w:color w:val="EE0000"/>
              </w:rPr>
              <w:t>Art. 85. 1</w:t>
            </w:r>
            <w:r w:rsidRPr="0048016A">
              <w:rPr>
                <w:rFonts w:eastAsia="Aptos" w:cs="Calibri"/>
                <w:b/>
                <w:bCs/>
                <w:i/>
                <w:iCs/>
                <w:color w:val="EE0000"/>
                <w:vertAlign w:val="superscript"/>
              </w:rPr>
              <w:t>1</w:t>
            </w:r>
            <w:r w:rsidRPr="0048016A">
              <w:rPr>
                <w:rFonts w:eastAsia="Aptos" w:cs="Calibri"/>
                <w:b/>
                <w:bCs/>
                <w:i/>
                <w:iCs/>
                <w:color w:val="EE0000"/>
              </w:rPr>
              <w:t>. Weryfikację warunków wymaganych do udzielenia ochrony z art. 28 - 30 prowadzi się w oparciu o stan techniki ustalony z uwzględnieniem uprawnienia do korzystania z pierwszeństwa uprzedniego. Przesłanki wskazane w art. 25 ust. 1 stosuje się odpowiednio.</w:t>
            </w:r>
          </w:p>
        </w:tc>
      </w:tr>
      <w:tr w:rsidR="00EF04F9" w14:paraId="431339DF" w14:textId="4E2E130D"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90E4C0"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E5D82F" w14:textId="5B95CC87" w:rsidR="00EF04F9" w:rsidRDefault="00EF04F9" w:rsidP="00EF04F9">
            <w:pPr>
              <w:jc w:val="both"/>
              <w:rPr>
                <w:rFonts w:eastAsia="Times New Roman" w:cs="Calibri"/>
              </w:rPr>
            </w:pPr>
            <w:r>
              <w:rPr>
                <w:rFonts w:eastAsia="Times New Roman" w:cs="Calibri"/>
              </w:rPr>
              <w:t>Art. 89</w:t>
            </w:r>
          </w:p>
          <w:p w14:paraId="48A48160" w14:textId="72C81BF7" w:rsidR="00EF04F9" w:rsidRDefault="00EF04F9" w:rsidP="00EF04F9">
            <w:pPr>
              <w:jc w:val="both"/>
            </w:pPr>
            <w:r>
              <w:rPr>
                <w:rFonts w:eastAsia="Times New Roman" w:cs="Calibri"/>
              </w:rPr>
              <w:t>1. Wraz z patentem głównym tracą moc patenty dodatkowe.</w:t>
            </w:r>
          </w:p>
          <w:p w14:paraId="6A0421BB" w14:textId="77777777" w:rsidR="00EF04F9" w:rsidRDefault="00EF04F9" w:rsidP="00EF04F9">
            <w:pPr>
              <w:jc w:val="both"/>
            </w:pPr>
            <w:r>
              <w:rPr>
                <w:rFonts w:eastAsia="Times New Roman" w:cs="Calibri"/>
              </w:rPr>
              <w:lastRenderedPageBreak/>
              <w:t>2. Jeżeli patent główny traci moc z przyczyny niemającej wpływu na wynalazek będący przedmiotem patentu dodatkowego, patent dodatkowy może zostać przekształcony w patent samoistny i zachować moc przez okres, na który został udzielony patent główny.</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4001ADB" w14:textId="51ECA1F2" w:rsidR="00EF04F9" w:rsidRDefault="00EF04F9" w:rsidP="00EF04F9">
            <w:pPr>
              <w:jc w:val="both"/>
            </w:pPr>
            <w:r>
              <w:rPr>
                <w:rFonts w:eastAsia="Lato" w:cs="Calibri"/>
              </w:rPr>
              <w:lastRenderedPageBreak/>
              <w:t>W obecnym kształcie przepisy ust. 1 i 2 są niespójne. Konieczne jest więc doprecyzowanie zapisu.</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E2E50" w14:textId="5DD6EFE2" w:rsidR="00EF04F9" w:rsidRPr="0048016A" w:rsidRDefault="00EF04F9" w:rsidP="00EF04F9">
            <w:pPr>
              <w:jc w:val="both"/>
              <w:rPr>
                <w:rFonts w:eastAsia="Times New Roman" w:cs="Calibri"/>
                <w:i/>
                <w:iCs/>
              </w:rPr>
            </w:pPr>
            <w:r w:rsidRPr="0048016A">
              <w:rPr>
                <w:rFonts w:eastAsia="Times New Roman" w:cs="Calibri"/>
                <w:i/>
                <w:iCs/>
              </w:rPr>
              <w:t>Art. 89</w:t>
            </w:r>
          </w:p>
          <w:p w14:paraId="589DC9D0" w14:textId="78036A35" w:rsidR="00EF04F9" w:rsidRPr="0048016A" w:rsidRDefault="00EF04F9" w:rsidP="00EF04F9">
            <w:pPr>
              <w:jc w:val="both"/>
              <w:rPr>
                <w:rFonts w:eastAsia="Lato" w:cs="Calibri"/>
                <w:i/>
                <w:iCs/>
              </w:rPr>
            </w:pPr>
            <w:r w:rsidRPr="0048016A">
              <w:rPr>
                <w:rFonts w:eastAsia="Times New Roman" w:cs="Calibri"/>
                <w:i/>
                <w:iCs/>
              </w:rPr>
              <w:lastRenderedPageBreak/>
              <w:t xml:space="preserve">1. </w:t>
            </w:r>
            <w:r w:rsidRPr="0048016A">
              <w:rPr>
                <w:rFonts w:eastAsia="Times New Roman" w:cs="Calibri"/>
                <w:i/>
                <w:iCs/>
                <w:color w:val="EE0000"/>
              </w:rPr>
              <w:t>Z zastrzeżeniem ust. 2</w:t>
            </w:r>
            <w:r w:rsidRPr="0048016A">
              <w:rPr>
                <w:rFonts w:eastAsia="Times New Roman" w:cs="Calibri"/>
                <w:i/>
                <w:iCs/>
              </w:rPr>
              <w:t>, wraz z patentem głównym tracą moc patenty dodatkowe.</w:t>
            </w:r>
          </w:p>
        </w:tc>
      </w:tr>
      <w:tr w:rsidR="00EF04F9" w14:paraId="49C544CE" w14:textId="58C349A2"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9FF2A8"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B9271F" w14:textId="6AE2F2C0" w:rsidR="00EF04F9" w:rsidRDefault="00EF04F9" w:rsidP="00EF04F9">
            <w:pPr>
              <w:jc w:val="both"/>
              <w:rPr>
                <w:rFonts w:eastAsia="Times New Roman" w:cs="Calibri"/>
              </w:rPr>
            </w:pPr>
            <w:r>
              <w:rPr>
                <w:rFonts w:eastAsia="Times New Roman" w:cs="Calibri"/>
              </w:rPr>
              <w:t>Art. 107</w:t>
            </w:r>
          </w:p>
          <w:p w14:paraId="3A2CFE48" w14:textId="43694CEE" w:rsidR="00EF04F9" w:rsidRDefault="00EF04F9" w:rsidP="00EF04F9">
            <w:pPr>
              <w:jc w:val="both"/>
              <w:rPr>
                <w:rFonts w:eastAsia="Times New Roman" w:cs="Calibri"/>
              </w:rPr>
            </w:pPr>
            <w:r>
              <w:rPr>
                <w:rFonts w:eastAsia="Times New Roman" w:cs="Calibri"/>
              </w:rPr>
              <w:t>2. Do postępowań wszczętych na podstawie wniosku, o którym mowa w art. 102 ust. 1 i art. 103, nie stosuje się przepisu art. 98 ustawy z dnia 14 czerwca 1960 r. – Kodeks postępowania administracyjnego (Dz. U. z 2025 r. poz. 1691), jeżeli od dnia złożenia wniosku o zawieszenie postępowania do wygaśnięcia patentu podstawowego na skutek upływu terminu, o którym mowa w art. 86 ust. 1 pkt 1, zostało nie więcej niż 4 lata.</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F653C40" w14:textId="1EF53581" w:rsidR="00EF04F9" w:rsidRDefault="00EF04F9" w:rsidP="00EF04F9">
            <w:pPr>
              <w:jc w:val="both"/>
            </w:pPr>
            <w:r>
              <w:rPr>
                <w:rFonts w:eastAsia="Lato" w:cs="Calibri"/>
              </w:rPr>
              <w:t>Przepis pozwala zawiesić postępowanie zgłoszeniowe wobec DPO, o ile w momencie złożenia wniosku o zawieszenie postępowania do wygaśnięcia okresu ochrony patentu podstawowego pozostało nie więcej niż 4 lata. Okno wyłączenia to jest stanowczo zbyt krótkie, gdyż postępowanie zawieszone pod koniec dozwolonego tym przepisem okresu zostanie podjęte na około rok przed wygaśnięciem ochrony. Istnieje poważne ryzyko, że UPRP może nie zdążyć wydać decyzji w sprawie DPO do czasu wygaśnięcia patentu podstawowego, co powodować będzie niepewność osób trzecich co do pozostawania w mocy ochrony z DPO, a dodatkowo uniemożliwi prawidłowe korzystanie z instytucji SPC MW. Z</w:t>
            </w:r>
            <w:r w:rsidRPr="00A65E94">
              <w:rPr>
                <w:rFonts w:eastAsia="Lato" w:cs="Calibri"/>
              </w:rPr>
              <w:t>awieszenie postępowania w sprawie DPO</w:t>
            </w:r>
            <w:r>
              <w:rPr>
                <w:rFonts w:eastAsia="Lato" w:cs="Calibri"/>
              </w:rPr>
              <w:t xml:space="preserve"> powinno zatem</w:t>
            </w:r>
            <w:r w:rsidRPr="00A65E94">
              <w:rPr>
                <w:rFonts w:eastAsia="Lato" w:cs="Calibri"/>
              </w:rPr>
              <w:t xml:space="preserve"> albo w ogóle nie powinno być możliwe, albo okno wyłączenia powinno wynosić minimum 6 </w:t>
            </w:r>
            <w:proofErr w:type="gramStart"/>
            <w:r w:rsidRPr="00A65E94">
              <w:rPr>
                <w:rFonts w:eastAsia="Lato" w:cs="Calibri"/>
              </w:rPr>
              <w:t>lat</w:t>
            </w:r>
            <w:proofErr w:type="gramEnd"/>
            <w:r w:rsidRPr="00A65E94">
              <w:rPr>
                <w:rFonts w:eastAsia="Lato" w:cs="Calibri"/>
              </w:rPr>
              <w:t xml:space="preserve"> aby ewentualna decyzja o udzieleniu ochrony wydana była w okresie obowiązywania patentu podstawowego.</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E6779" w14:textId="2FFAAC44" w:rsidR="00EF04F9" w:rsidRPr="0048016A" w:rsidRDefault="00EF04F9" w:rsidP="00EF04F9">
            <w:pPr>
              <w:jc w:val="both"/>
              <w:rPr>
                <w:rFonts w:eastAsia="Times New Roman" w:cs="Calibri"/>
                <w:i/>
                <w:iCs/>
              </w:rPr>
            </w:pPr>
            <w:r w:rsidRPr="0048016A">
              <w:rPr>
                <w:rFonts w:eastAsia="Times New Roman" w:cs="Calibri"/>
                <w:i/>
                <w:iCs/>
              </w:rPr>
              <w:t>Art. 107</w:t>
            </w:r>
          </w:p>
          <w:p w14:paraId="56ECB3DA" w14:textId="61A44CDE" w:rsidR="00EF04F9" w:rsidRPr="0048016A" w:rsidRDefault="00EF04F9" w:rsidP="00EF04F9">
            <w:pPr>
              <w:jc w:val="both"/>
              <w:rPr>
                <w:rFonts w:eastAsia="Lato" w:cs="Calibri"/>
                <w:i/>
                <w:iCs/>
              </w:rPr>
            </w:pPr>
            <w:r w:rsidRPr="0048016A">
              <w:rPr>
                <w:rFonts w:eastAsia="Times New Roman" w:cs="Calibri"/>
                <w:i/>
                <w:iCs/>
              </w:rPr>
              <w:t xml:space="preserve">2. Do postępowań wszczętych na podstawie wniosku, o którym mowa w art. 102 ust. 1 i art. 103, nie stosuje się przepisu art. 98 ustawy z dnia 14 czerwca 1960 r. – Kodeks postępowania administracyjnego (Dz. U. z 2025 r. poz. 1691), jeżeli od dnia złożenia wniosku o zawieszenie postępowania do wygaśnięcia patentu podstawowego na skutek upływu terminu, o którym mowa w art. 86 ust. 1 pkt 1, zostało nie więcej niż </w:t>
            </w:r>
            <w:r w:rsidRPr="0048016A">
              <w:rPr>
                <w:rFonts w:eastAsia="Times New Roman" w:cs="Calibri"/>
                <w:b/>
                <w:bCs/>
                <w:i/>
                <w:iCs/>
                <w:color w:val="EE0000"/>
              </w:rPr>
              <w:t>6 lat</w:t>
            </w:r>
            <w:r w:rsidRPr="0048016A">
              <w:rPr>
                <w:rFonts w:eastAsia="Times New Roman" w:cs="Calibri"/>
                <w:i/>
                <w:iCs/>
              </w:rPr>
              <w:t>.</w:t>
            </w:r>
          </w:p>
        </w:tc>
      </w:tr>
      <w:tr w:rsidR="00EF04F9" w14:paraId="53D6FDE7" w14:textId="3678F662"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ED7FB5" w14:textId="77777777" w:rsidR="00EF04F9" w:rsidRDefault="00EF04F9" w:rsidP="00EF04F9">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4919AC" w14:textId="77777777" w:rsidR="00EF04F9" w:rsidRDefault="00EF04F9" w:rsidP="00EF04F9">
            <w:pPr>
              <w:jc w:val="both"/>
              <w:rPr>
                <w:rFonts w:eastAsia="Aptos" w:cs="Calibri"/>
              </w:rPr>
            </w:pPr>
            <w:r>
              <w:rPr>
                <w:rFonts w:eastAsia="Aptos" w:cs="Calibri"/>
              </w:rPr>
              <w:t>Art. 109 oraz Art. 121-122</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804FF67" w14:textId="77777777" w:rsidR="00EF04F9" w:rsidRDefault="00EF04F9" w:rsidP="00EF04F9">
            <w:pPr>
              <w:spacing w:after="0"/>
              <w:jc w:val="both"/>
              <w:rPr>
                <w:rFonts w:eastAsia="Aptos" w:cs="Calibri"/>
                <w:color w:val="000000"/>
              </w:rPr>
            </w:pPr>
            <w:r>
              <w:rPr>
                <w:rFonts w:eastAsia="Aptos" w:cs="Calibri"/>
                <w:color w:val="000000"/>
              </w:rPr>
              <w:t>Wprowadzenie systemu rejestrowego wzorów użytkowych oceniamy negatywnie. Wzór użytkowy, tzw. “mały patent”, ma charakteryzować się nowością, którą powinien badać Urząd Patentowy, a nie inne podmioty nieposiadające do tego odpowiednich narzędzi, środków. System rejestrowy wzorów użytkowych spowoduje przyrost w ilości niezbadanych praw ochronnych o nieustalonym statusie nowości, a w konsekwencji chaos i niepewność prawną pozostałych podmiotów rynkowych. Pozostaje również pytanie co z wzorami będącymi wynikiem konwersji ze zgłoszeń patentowych? Ich nowość może już być zbadana w momencie konwersji, a więc wystąpi brak równych praw.</w:t>
            </w:r>
          </w:p>
          <w:p w14:paraId="32C6DC60" w14:textId="4B8222B2" w:rsidR="00EF04F9" w:rsidRDefault="00EF04F9" w:rsidP="00EF04F9">
            <w:pPr>
              <w:spacing w:after="0"/>
              <w:ind w:left="2"/>
              <w:jc w:val="both"/>
              <w:rPr>
                <w:rFonts w:eastAsia="Aptos" w:cs="Calibri"/>
                <w:color w:val="000000"/>
              </w:rPr>
            </w:pPr>
            <w:r>
              <w:rPr>
                <w:rFonts w:eastAsia="Aptos" w:cs="Calibri"/>
                <w:color w:val="000000"/>
              </w:rPr>
              <w:t xml:space="preserve">Wprowadzenie systemu rejestrowego dla wzorów użytkowych doprowadzi do składania dużej liczby praw, które będą duplikowały rozwiązania ze stanu techniki – brak badania nowości. Wymagać to będzie od stron trzecich monitorowania sytuacji rejestrowanych praw, a także podejmowania unieważniana takich praw z rejestracji, co będzie się wiązało z dodatkowymi nakładami finansowymi i wprowadzi większą niepewność obrotu prawnego, przerzucając odpowiedzialność za utrzymanie praw na strony trzecie. </w:t>
            </w:r>
            <w:r w:rsidR="00510E43" w:rsidRPr="00510E43">
              <w:rPr>
                <w:rFonts w:eastAsia="Aptos" w:cs="Calibri"/>
                <w:color w:val="000000"/>
              </w:rPr>
              <w:t>Wzrost ilości spraw dot. unieważnień wadliwych praw z rejestracji wzorów użytkowych zniweluje zysk czasu i efekt odciążenia UPRP w wyniku przejścia z systemy badawczego na rejestrowy w odniesieniu do wzorów użytkowych.</w:t>
            </w:r>
            <w:r w:rsidR="009B752C">
              <w:rPr>
                <w:rFonts w:eastAsia="Aptos" w:cs="Calibri"/>
                <w:color w:val="000000"/>
              </w:rPr>
              <w:t xml:space="preserve"> </w:t>
            </w:r>
            <w:r>
              <w:rPr>
                <w:rFonts w:eastAsia="Aptos" w:cs="Calibri"/>
                <w:color w:val="000000"/>
              </w:rPr>
              <w:t xml:space="preserve">W dziedzinie produktów leczniczych system rejestrowy może się przełożyć na ochronę większej liczby np. </w:t>
            </w:r>
            <w:r>
              <w:rPr>
                <w:rFonts w:eastAsia="Aptos" w:cs="Calibri"/>
                <w:color w:val="000000"/>
              </w:rPr>
              <w:lastRenderedPageBreak/>
              <w:t>wyrobów medycznych, które w systemie badawczym nie miałyby szansy na uzyskanie ochrony.</w:t>
            </w:r>
          </w:p>
          <w:p w14:paraId="12010D12" w14:textId="77777777" w:rsidR="00EF04F9" w:rsidRDefault="00EF04F9" w:rsidP="00EF04F9">
            <w:pPr>
              <w:spacing w:after="0"/>
              <w:jc w:val="both"/>
              <w:rPr>
                <w:rFonts w:eastAsia="Aptos" w:cs="Calibri"/>
                <w:color w:val="000000"/>
              </w:rPr>
            </w:pPr>
            <w:r>
              <w:rPr>
                <w:rFonts w:eastAsia="Aptos" w:cs="Calibri"/>
                <w:color w:val="000000"/>
              </w:rPr>
              <w:t xml:space="preserve">Przejście z systemu badawczego wzorów użytkowych na system rejestrowy może doprowadzić to tego, </w:t>
            </w:r>
            <w:proofErr w:type="gramStart"/>
            <w:r>
              <w:rPr>
                <w:rFonts w:eastAsia="Aptos" w:cs="Calibri"/>
                <w:color w:val="000000"/>
              </w:rPr>
              <w:t>ze</w:t>
            </w:r>
            <w:proofErr w:type="gramEnd"/>
            <w:r>
              <w:rPr>
                <w:rFonts w:eastAsia="Aptos" w:cs="Calibri"/>
                <w:color w:val="000000"/>
              </w:rPr>
              <w:t xml:space="preserve"> prawo to będzie nadużywane przez tzw. trolle patentowe. W konsekwencji stanowi to zagrożenie chociażby dla bezpieczeństwa lekowego i dostępności leków (inhalatory, </w:t>
            </w:r>
            <w:proofErr w:type="spellStart"/>
            <w:r>
              <w:rPr>
                <w:rFonts w:eastAsia="Aptos" w:cs="Calibri"/>
                <w:color w:val="000000"/>
              </w:rPr>
              <w:t>gensupeny</w:t>
            </w:r>
            <w:proofErr w:type="spellEnd"/>
            <w:r>
              <w:rPr>
                <w:rFonts w:eastAsia="Aptos" w:cs="Calibri"/>
                <w:color w:val="000000"/>
              </w:rPr>
              <w:t xml:space="preserve"> i inne urządzenia do podawania leków). </w:t>
            </w:r>
          </w:p>
          <w:p w14:paraId="4D5F15E0" w14:textId="77777777" w:rsidR="00EF04F9" w:rsidRDefault="00EF04F9" w:rsidP="00EF04F9">
            <w:pPr>
              <w:spacing w:after="0"/>
              <w:ind w:left="2"/>
              <w:jc w:val="both"/>
              <w:rPr>
                <w:rFonts w:eastAsia="Aptos" w:cs="Calibri"/>
                <w:color w:val="000000"/>
              </w:rPr>
            </w:pPr>
            <w:r>
              <w:rPr>
                <w:rFonts w:eastAsia="Aptos" w:cs="Calibri"/>
                <w:color w:val="000000"/>
              </w:rPr>
              <w:t>Mając na uwadze powyższe, postulujemy przywrócenie obecnie obowiązujących przepisów dot. badania zdolności ochronnej.</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0CBF1" w14:textId="5B7AFA82" w:rsidR="00E808EE" w:rsidRPr="0048016A" w:rsidRDefault="00E808EE" w:rsidP="00E808EE">
            <w:pPr>
              <w:spacing w:after="0"/>
              <w:jc w:val="both"/>
              <w:rPr>
                <w:rFonts w:eastAsia="Aptos" w:cs="Calibri"/>
                <w:i/>
                <w:iCs/>
                <w:color w:val="000000"/>
              </w:rPr>
            </w:pPr>
          </w:p>
        </w:tc>
      </w:tr>
      <w:tr w:rsidR="00611BEF" w14:paraId="7E6D5C6C" w14:textId="77777777"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4A8701"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29EAFD" w14:textId="5658FB5A" w:rsidR="00611BEF" w:rsidRDefault="00611BEF" w:rsidP="00611BEF">
            <w:pPr>
              <w:jc w:val="both"/>
              <w:rPr>
                <w:rFonts w:eastAsia="Times New Roman" w:cs="Calibri"/>
              </w:rPr>
            </w:pPr>
            <w:r>
              <w:rPr>
                <w:rFonts w:eastAsia="Times New Roman" w:cs="Calibri"/>
              </w:rPr>
              <w:t>Art. 109</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828932D" w14:textId="31F3317E" w:rsidR="00611BEF" w:rsidRDefault="00611BEF" w:rsidP="00611BEF">
            <w:pPr>
              <w:jc w:val="both"/>
              <w:rPr>
                <w:rFonts w:eastAsia="Lato" w:cs="Calibri"/>
              </w:rPr>
            </w:pPr>
            <w:r>
              <w:rPr>
                <w:rFonts w:eastAsia="Lato" w:cs="Calibri"/>
              </w:rPr>
              <w:t xml:space="preserve">Obecny projekt ustawy obejmuje wprowadzenie systemu rejestracyjnego </w:t>
            </w:r>
            <w:r w:rsidR="00D32A69">
              <w:rPr>
                <w:rFonts w:eastAsia="Lato" w:cs="Calibri"/>
              </w:rPr>
              <w:t xml:space="preserve">udzielania ochrony dla wzorów użytkowych. Niezależnie od krytycznego stanowiska względem tej zmiany systemowej, zasadne jest pozostawienie w definicji wzoru </w:t>
            </w:r>
            <w:proofErr w:type="gramStart"/>
            <w:r w:rsidR="00D32A69">
              <w:rPr>
                <w:rFonts w:eastAsia="Lato" w:cs="Calibri"/>
              </w:rPr>
              <w:t>użytkowego,</w:t>
            </w:r>
            <w:proofErr w:type="gramEnd"/>
            <w:r w:rsidR="00D32A69">
              <w:rPr>
                <w:rFonts w:eastAsia="Lato" w:cs="Calibri"/>
              </w:rPr>
              <w:t xml:space="preserve"> jako chronionego </w:t>
            </w:r>
            <w:r w:rsidR="001B7FC3">
              <w:rPr>
                <w:rFonts w:eastAsia="Lato" w:cs="Calibri"/>
              </w:rPr>
              <w:t xml:space="preserve">rozwiązania technicznego, wymogów </w:t>
            </w:r>
            <w:r w:rsidR="00A050A1">
              <w:rPr>
                <w:rFonts w:eastAsia="Lato" w:cs="Calibri"/>
              </w:rPr>
              <w:t>dotyczących trwałości postaci</w:t>
            </w:r>
            <w:r w:rsidR="00267DB1">
              <w:rPr>
                <w:rFonts w:eastAsia="Lato" w:cs="Calibri"/>
              </w:rPr>
              <w:t xml:space="preserve"> oraz </w:t>
            </w:r>
            <w:r w:rsidR="00A050A1">
              <w:rPr>
                <w:rFonts w:eastAsia="Lato" w:cs="Calibri"/>
              </w:rPr>
              <w:t>zdefiniowania przestrzennego</w:t>
            </w:r>
            <w:r w:rsidR="00267DB1">
              <w:rPr>
                <w:rFonts w:eastAsia="Lato" w:cs="Calibri"/>
              </w:rPr>
              <w:t xml:space="preserve"> </w:t>
            </w:r>
            <w:r w:rsidR="000F10C9">
              <w:rPr>
                <w:rFonts w:eastAsia="Lato" w:cs="Calibri"/>
              </w:rPr>
              <w:t>uregulowanych przepisami obecnie obowiązującymi.</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00647" w14:textId="27BA3DBF" w:rsidR="00611BEF" w:rsidRDefault="00611BEF" w:rsidP="00611BEF">
            <w:pPr>
              <w:spacing w:after="0"/>
              <w:jc w:val="both"/>
              <w:rPr>
                <w:rFonts w:eastAsia="Aptos" w:cs="Calibri"/>
                <w:i/>
                <w:iCs/>
                <w:color w:val="000000"/>
              </w:rPr>
            </w:pPr>
            <w:r w:rsidRPr="00E808EE">
              <w:rPr>
                <w:rFonts w:eastAsia="Aptos" w:cs="Calibri"/>
                <w:b/>
                <w:bCs/>
                <w:i/>
                <w:iCs/>
                <w:color w:val="000000"/>
              </w:rPr>
              <w:t xml:space="preserve">Art. 109. </w:t>
            </w:r>
            <w:r>
              <w:rPr>
                <w:rFonts w:eastAsia="Aptos" w:cs="Calibri"/>
                <w:b/>
                <w:bCs/>
                <w:i/>
                <w:iCs/>
                <w:color w:val="000000"/>
              </w:rPr>
              <w:t xml:space="preserve">1. </w:t>
            </w:r>
            <w:r w:rsidRPr="00E808EE">
              <w:rPr>
                <w:rFonts w:eastAsia="Aptos" w:cs="Calibri"/>
                <w:i/>
                <w:iCs/>
                <w:color w:val="000000"/>
              </w:rPr>
              <w:t>Prawa z rejestracji na wzory użytkowe są udzielane na rozwiązania o</w:t>
            </w:r>
            <w:r w:rsidR="00FC7E39">
              <w:rPr>
                <w:rFonts w:eastAsia="Aptos" w:cs="Calibri"/>
                <w:i/>
                <w:iCs/>
                <w:color w:val="000000"/>
              </w:rPr>
              <w:t xml:space="preserve"> </w:t>
            </w:r>
            <w:r w:rsidRPr="00E808EE">
              <w:rPr>
                <w:rFonts w:eastAsia="Aptos" w:cs="Calibri"/>
                <w:i/>
                <w:iCs/>
                <w:color w:val="000000"/>
              </w:rPr>
              <w:t>charakterze technicznym, które są nowe i nadają się do przemysłowego stosowania.</w:t>
            </w:r>
          </w:p>
          <w:p w14:paraId="37A2DFB8" w14:textId="1CDC80DA" w:rsidR="00611BEF" w:rsidRPr="00634EC7" w:rsidRDefault="00611BEF" w:rsidP="00634EC7">
            <w:pPr>
              <w:spacing w:after="0"/>
              <w:jc w:val="both"/>
              <w:rPr>
                <w:rFonts w:eastAsia="Aptos" w:cs="Calibri"/>
                <w:b/>
                <w:bCs/>
                <w:i/>
                <w:iCs/>
                <w:color w:val="EE0000"/>
              </w:rPr>
            </w:pPr>
            <w:r w:rsidRPr="002D64E0">
              <w:rPr>
                <w:rFonts w:eastAsia="Aptos" w:cs="Calibri"/>
                <w:b/>
                <w:bCs/>
                <w:i/>
                <w:iCs/>
                <w:color w:val="EE0000"/>
              </w:rPr>
              <w:t>2. Wzorem użytkowym jest rozwiązanie o charakterze technicznym, dotyczące kształtu lub budowy przedmiotu o trwałej postaci albo przedmiotu składającego się ze związanych ze sobą funkcjonalnie części o trwałej postaci.</w:t>
            </w:r>
            <w:r w:rsidRPr="002D64E0">
              <w:rPr>
                <w:rFonts w:eastAsia="Aptos" w:cs="Calibri"/>
                <w:b/>
                <w:bCs/>
                <w:i/>
                <w:iCs/>
                <w:color w:val="EE0000"/>
              </w:rPr>
              <w:br/>
              <w:t xml:space="preserve">3. Wymóg postaci przedmiotu uważa się za zachowany także wówczas, gdy wytwór według wzoru użytkowego zdefiniowany </w:t>
            </w:r>
            <w:r w:rsidRPr="002D64E0">
              <w:rPr>
                <w:rFonts w:eastAsia="Aptos" w:cs="Calibri"/>
                <w:b/>
                <w:bCs/>
                <w:i/>
                <w:iCs/>
                <w:color w:val="EE0000"/>
              </w:rPr>
              <w:lastRenderedPageBreak/>
              <w:t>jest przestrzennie przez powtarzalne elementy o stałym stosunku rozmiarów.</w:t>
            </w:r>
            <w:r w:rsidRPr="002D64E0">
              <w:rPr>
                <w:rFonts w:eastAsia="Aptos" w:cs="Calibri"/>
                <w:b/>
                <w:bCs/>
                <w:i/>
                <w:iCs/>
                <w:color w:val="EE0000"/>
              </w:rPr>
              <w:br/>
            </w:r>
            <w:r w:rsidRPr="00634EC7">
              <w:rPr>
                <w:rFonts w:eastAsia="Aptos" w:cs="Calibri"/>
                <w:b/>
                <w:bCs/>
                <w:i/>
                <w:iCs/>
                <w:color w:val="EE0000"/>
              </w:rPr>
              <w:t>4. Wymóg trwałej postaci przedmiotu uważa się za zachowany także wówczas, gdy wytwór według wzoru użytkowego zmienia swoją postać w związku z korzystaniem zgodnym z przeznaczeniem.</w:t>
            </w:r>
          </w:p>
        </w:tc>
      </w:tr>
      <w:tr w:rsidR="00611BEF" w14:paraId="662F12DC" w14:textId="1E8E0E65"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D7645A"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0DE143" w14:textId="737C2682" w:rsidR="00611BEF" w:rsidRDefault="00611BEF" w:rsidP="00611BEF">
            <w:pPr>
              <w:jc w:val="both"/>
              <w:rPr>
                <w:rFonts w:eastAsia="Times New Roman" w:cs="Calibri"/>
              </w:rPr>
            </w:pPr>
            <w:r>
              <w:rPr>
                <w:rFonts w:eastAsia="Times New Roman" w:cs="Calibri"/>
              </w:rPr>
              <w:t>Art. 111</w:t>
            </w:r>
          </w:p>
          <w:p w14:paraId="5731BDF1" w14:textId="299B18A9" w:rsidR="00611BEF" w:rsidRDefault="00611BEF" w:rsidP="00611BEF">
            <w:pPr>
              <w:jc w:val="both"/>
            </w:pPr>
            <w:r>
              <w:rPr>
                <w:rFonts w:eastAsia="Times New Roman" w:cs="Calibri"/>
              </w:rPr>
              <w:t>1. Praw z rejestracji nie udziela się na:</w:t>
            </w:r>
          </w:p>
          <w:p w14:paraId="2A509A19" w14:textId="77777777" w:rsidR="00611BEF" w:rsidRDefault="00611BEF" w:rsidP="00611BEF">
            <w:pPr>
              <w:jc w:val="both"/>
            </w:pPr>
            <w:r>
              <w:rPr>
                <w:rFonts w:eastAsia="Times New Roman" w:cs="Calibri"/>
              </w:rPr>
              <w:t>1) wzory użytkowe, których wykorzystywanie byłoby sprzeczne z porządkiem publicznym lub dobrymi obyczajami;</w:t>
            </w:r>
          </w:p>
          <w:p w14:paraId="713478DC" w14:textId="77777777" w:rsidR="00611BEF" w:rsidRDefault="00611BEF" w:rsidP="00611BEF">
            <w:pPr>
              <w:jc w:val="both"/>
            </w:pPr>
            <w:r>
              <w:rPr>
                <w:rFonts w:eastAsia="Times New Roman" w:cs="Calibri"/>
              </w:rPr>
              <w:t>2) odmiany roślin lub rasy zwierząt;</w:t>
            </w:r>
          </w:p>
          <w:p w14:paraId="050D9094" w14:textId="77777777" w:rsidR="00611BEF" w:rsidRDefault="00611BEF" w:rsidP="00611BEF">
            <w:pPr>
              <w:jc w:val="both"/>
            </w:pPr>
            <w:r>
              <w:rPr>
                <w:rFonts w:eastAsia="Times New Roman" w:cs="Calibri"/>
              </w:rPr>
              <w:t>3) sposoby;</w:t>
            </w:r>
          </w:p>
          <w:p w14:paraId="74702C98" w14:textId="77777777" w:rsidR="00611BEF" w:rsidRDefault="00611BEF" w:rsidP="00611BEF">
            <w:pPr>
              <w:jc w:val="both"/>
            </w:pPr>
            <w:r>
              <w:rPr>
                <w:rFonts w:eastAsia="Times New Roman" w:cs="Calibri"/>
              </w:rPr>
              <w:t>4) zastosowania wytworów;</w:t>
            </w:r>
          </w:p>
          <w:p w14:paraId="0E6BB138" w14:textId="77777777" w:rsidR="00611BEF" w:rsidRDefault="00611BEF" w:rsidP="00611BEF">
            <w:pPr>
              <w:jc w:val="both"/>
            </w:pPr>
            <w:r>
              <w:rPr>
                <w:rFonts w:eastAsia="Times New Roman" w:cs="Calibri"/>
              </w:rPr>
              <w:t>5) wynalazki biotechnologiczne, o których mowa w art. 76;</w:t>
            </w:r>
          </w:p>
          <w:p w14:paraId="547A5755" w14:textId="77777777" w:rsidR="00611BEF" w:rsidRDefault="00611BEF" w:rsidP="00611BEF">
            <w:pPr>
              <w:jc w:val="both"/>
            </w:pPr>
            <w:r>
              <w:rPr>
                <w:rFonts w:eastAsia="Times New Roman" w:cs="Calibri"/>
              </w:rPr>
              <w:lastRenderedPageBreak/>
              <w:t>6) mieszaniny związków;</w:t>
            </w:r>
          </w:p>
          <w:p w14:paraId="7475353D" w14:textId="20C5D8F3" w:rsidR="00611BEF" w:rsidRDefault="00611BEF" w:rsidP="00611BEF">
            <w:pPr>
              <w:jc w:val="both"/>
            </w:pPr>
            <w:r>
              <w:rPr>
                <w:rFonts w:eastAsia="Times New Roman" w:cs="Calibri"/>
              </w:rPr>
              <w:t>7) substancje lub mieszaniny do zastosowania w sposobach leczenia lub diagnostyki, o których mowa w art. 29 ust. 4;</w:t>
            </w:r>
          </w:p>
          <w:p w14:paraId="4F884B70" w14:textId="77777777" w:rsidR="00611BEF" w:rsidRDefault="00611BEF" w:rsidP="00611BEF">
            <w:pPr>
              <w:jc w:val="both"/>
            </w:pPr>
            <w:r>
              <w:rPr>
                <w:rFonts w:eastAsia="Times New Roman" w:cs="Calibri"/>
              </w:rPr>
              <w:t>8) kompozycje farmaceutyczne;</w:t>
            </w:r>
          </w:p>
          <w:p w14:paraId="3AC2DF48" w14:textId="77777777" w:rsidR="00611BEF" w:rsidRDefault="00611BEF" w:rsidP="00611BEF">
            <w:pPr>
              <w:jc w:val="both"/>
            </w:pPr>
            <w:r>
              <w:rPr>
                <w:rFonts w:eastAsia="Times New Roman" w:cs="Calibri"/>
              </w:rPr>
              <w:t>9) żywność i środki spożywcze.</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CD39CC" w14:textId="6463A77E" w:rsidR="00611BEF" w:rsidRDefault="00611BEF" w:rsidP="00611BEF">
            <w:pPr>
              <w:jc w:val="both"/>
              <w:rPr>
                <w:rFonts w:eastAsia="Lato" w:cs="Calibri"/>
              </w:rPr>
            </w:pPr>
            <w:r>
              <w:rPr>
                <w:rFonts w:eastAsia="Lato" w:cs="Calibri"/>
              </w:rPr>
              <w:lastRenderedPageBreak/>
              <w:t>Szczególnie w kontekście projektowanej zmiany trybu udzielania ochrony na znaki użytkowe z badawczego na rejestracyjny konieczne jest doprecyzowanie wyłączenia, by uniknąć sytuacji, w której przedmiotem ochrony jest np. urządzenie zawierające kompozycję farmaceutyczną.</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D2E8A" w14:textId="77777777" w:rsidR="00611BEF" w:rsidRDefault="00611BEF" w:rsidP="00611BEF">
            <w:pPr>
              <w:jc w:val="both"/>
              <w:rPr>
                <w:rFonts w:eastAsia="Lato" w:cs="Calibri"/>
                <w:i/>
                <w:iCs/>
              </w:rPr>
            </w:pPr>
            <w:r w:rsidRPr="0048016A">
              <w:rPr>
                <w:rFonts w:eastAsia="Lato" w:cs="Calibri"/>
                <w:i/>
                <w:iCs/>
              </w:rPr>
              <w:t xml:space="preserve">Art. 111 </w:t>
            </w:r>
          </w:p>
          <w:p w14:paraId="02D6C0E1" w14:textId="26711CDE" w:rsidR="00611BEF" w:rsidRPr="0048016A" w:rsidRDefault="00611BEF" w:rsidP="00611BEF">
            <w:pPr>
              <w:jc w:val="both"/>
              <w:rPr>
                <w:rFonts w:eastAsia="Lato" w:cs="Calibri"/>
                <w:i/>
                <w:iCs/>
              </w:rPr>
            </w:pPr>
            <w:r w:rsidRPr="0048016A">
              <w:rPr>
                <w:rFonts w:eastAsia="Lato" w:cs="Calibri"/>
                <w:i/>
                <w:iCs/>
              </w:rPr>
              <w:t>1. Praw z rejestracji nie udziela się na:</w:t>
            </w:r>
          </w:p>
          <w:p w14:paraId="03B23782" w14:textId="77777777" w:rsidR="00611BEF" w:rsidRPr="0048016A" w:rsidRDefault="00611BEF" w:rsidP="00611BEF">
            <w:pPr>
              <w:jc w:val="both"/>
              <w:rPr>
                <w:rFonts w:eastAsia="Lato" w:cs="Calibri"/>
                <w:i/>
                <w:iCs/>
              </w:rPr>
            </w:pPr>
            <w:r w:rsidRPr="0048016A">
              <w:rPr>
                <w:rFonts w:eastAsia="Lato" w:cs="Calibri"/>
                <w:i/>
                <w:iCs/>
              </w:rPr>
              <w:t>1) wzory użytkowe, których wykorzystywanie byłoby sprzeczne z porządkiem publicznym lub dobrymi obyczajami;</w:t>
            </w:r>
          </w:p>
          <w:p w14:paraId="67081971" w14:textId="77777777" w:rsidR="00611BEF" w:rsidRPr="0048016A" w:rsidRDefault="00611BEF" w:rsidP="00611BEF">
            <w:pPr>
              <w:jc w:val="both"/>
              <w:rPr>
                <w:rFonts w:eastAsia="Lato" w:cs="Calibri"/>
                <w:i/>
                <w:iCs/>
              </w:rPr>
            </w:pPr>
            <w:r w:rsidRPr="0048016A">
              <w:rPr>
                <w:rFonts w:eastAsia="Lato" w:cs="Calibri"/>
                <w:i/>
                <w:iCs/>
              </w:rPr>
              <w:t>2) odmiany roślin lub rasy zwierząt;</w:t>
            </w:r>
          </w:p>
          <w:p w14:paraId="3CC5031F" w14:textId="77777777" w:rsidR="00611BEF" w:rsidRPr="0048016A" w:rsidRDefault="00611BEF" w:rsidP="00611BEF">
            <w:pPr>
              <w:jc w:val="both"/>
              <w:rPr>
                <w:rFonts w:eastAsia="Lato" w:cs="Calibri"/>
                <w:i/>
                <w:iCs/>
              </w:rPr>
            </w:pPr>
            <w:r w:rsidRPr="0048016A">
              <w:rPr>
                <w:rFonts w:eastAsia="Lato" w:cs="Calibri"/>
                <w:i/>
                <w:iCs/>
              </w:rPr>
              <w:t>3) sposoby;</w:t>
            </w:r>
          </w:p>
          <w:p w14:paraId="6D158936" w14:textId="77777777" w:rsidR="00611BEF" w:rsidRPr="0048016A" w:rsidRDefault="00611BEF" w:rsidP="00611BEF">
            <w:pPr>
              <w:jc w:val="both"/>
              <w:rPr>
                <w:rFonts w:eastAsia="Lato" w:cs="Calibri"/>
                <w:i/>
                <w:iCs/>
              </w:rPr>
            </w:pPr>
            <w:r w:rsidRPr="0048016A">
              <w:rPr>
                <w:rFonts w:eastAsia="Lato" w:cs="Calibri"/>
                <w:i/>
                <w:iCs/>
              </w:rPr>
              <w:t>4) zastosowania wytworów;</w:t>
            </w:r>
          </w:p>
          <w:p w14:paraId="6E3DCB5C" w14:textId="77777777" w:rsidR="00611BEF" w:rsidRPr="0048016A" w:rsidRDefault="00611BEF" w:rsidP="00611BEF">
            <w:pPr>
              <w:jc w:val="both"/>
              <w:rPr>
                <w:rFonts w:eastAsia="Lato" w:cs="Calibri"/>
                <w:i/>
                <w:iCs/>
              </w:rPr>
            </w:pPr>
            <w:r w:rsidRPr="0048016A">
              <w:rPr>
                <w:rFonts w:eastAsia="Lato" w:cs="Calibri"/>
                <w:i/>
                <w:iCs/>
              </w:rPr>
              <w:t>5) wynalazki biotechnologiczne, o których mowa w art. 76;</w:t>
            </w:r>
          </w:p>
          <w:p w14:paraId="53AF743E" w14:textId="77777777" w:rsidR="00611BEF" w:rsidRPr="0048016A" w:rsidRDefault="00611BEF" w:rsidP="00611BEF">
            <w:pPr>
              <w:jc w:val="both"/>
              <w:rPr>
                <w:rFonts w:eastAsia="Lato" w:cs="Calibri"/>
                <w:i/>
                <w:iCs/>
              </w:rPr>
            </w:pPr>
            <w:r w:rsidRPr="0048016A">
              <w:rPr>
                <w:rFonts w:eastAsia="Lato" w:cs="Calibri"/>
                <w:i/>
                <w:iCs/>
              </w:rPr>
              <w:lastRenderedPageBreak/>
              <w:t>6) mieszaniny związków;</w:t>
            </w:r>
          </w:p>
          <w:p w14:paraId="0D0B570D" w14:textId="77777777" w:rsidR="00611BEF" w:rsidRPr="0048016A" w:rsidRDefault="00611BEF" w:rsidP="00611BEF">
            <w:pPr>
              <w:jc w:val="both"/>
              <w:rPr>
                <w:rFonts w:eastAsia="Lato" w:cs="Calibri"/>
                <w:i/>
                <w:iCs/>
              </w:rPr>
            </w:pPr>
            <w:r w:rsidRPr="0048016A">
              <w:rPr>
                <w:rFonts w:eastAsia="Lato" w:cs="Calibri"/>
                <w:i/>
                <w:iCs/>
              </w:rPr>
              <w:t>7) substancje lub mieszaniny do zastosowania w sposobach leczenia lub diagnostyki, o których mowa w art. 29 ust. 4;</w:t>
            </w:r>
          </w:p>
          <w:p w14:paraId="0717501D" w14:textId="78389A51" w:rsidR="00611BEF" w:rsidRPr="0048016A" w:rsidRDefault="00611BEF" w:rsidP="00611BEF">
            <w:pPr>
              <w:jc w:val="both"/>
              <w:rPr>
                <w:rFonts w:eastAsia="Lato" w:cs="Calibri"/>
                <w:i/>
                <w:iCs/>
              </w:rPr>
            </w:pPr>
            <w:r w:rsidRPr="0048016A">
              <w:rPr>
                <w:rFonts w:eastAsia="Lato" w:cs="Calibri"/>
                <w:i/>
                <w:iCs/>
              </w:rPr>
              <w:t>8) kompozycje farmaceutyczne</w:t>
            </w:r>
            <w:r w:rsidRPr="0048016A">
              <w:rPr>
                <w:rFonts w:eastAsia="Times New Roman" w:cs="Calibri"/>
                <w:i/>
                <w:iCs/>
              </w:rPr>
              <w:t xml:space="preserve"> </w:t>
            </w:r>
            <w:r w:rsidRPr="0048016A">
              <w:rPr>
                <w:rFonts w:eastAsia="Times New Roman" w:cs="Calibri"/>
                <w:b/>
                <w:bCs/>
                <w:i/>
                <w:iCs/>
                <w:color w:val="EE0000"/>
              </w:rPr>
              <w:t>oraz rozwiązania o charakterze technicznym do ich podawania lub przechowywania</w:t>
            </w:r>
            <w:r w:rsidRPr="0048016A">
              <w:rPr>
                <w:rFonts w:eastAsia="Lato" w:cs="Calibri"/>
                <w:i/>
                <w:iCs/>
              </w:rPr>
              <w:t>;</w:t>
            </w:r>
          </w:p>
          <w:p w14:paraId="4ACAF89B" w14:textId="6CFE35F0" w:rsidR="00611BEF" w:rsidRPr="0048016A" w:rsidRDefault="00611BEF" w:rsidP="00611BEF">
            <w:pPr>
              <w:jc w:val="both"/>
              <w:rPr>
                <w:rFonts w:eastAsia="Lato" w:cs="Calibri"/>
                <w:i/>
                <w:iCs/>
              </w:rPr>
            </w:pPr>
            <w:r w:rsidRPr="0048016A">
              <w:rPr>
                <w:rFonts w:eastAsia="Lato" w:cs="Calibri"/>
                <w:i/>
                <w:iCs/>
              </w:rPr>
              <w:t>9) żywność i środki spożywcze.</w:t>
            </w:r>
          </w:p>
        </w:tc>
      </w:tr>
      <w:tr w:rsidR="00611BEF" w14:paraId="0BF5E0CD" w14:textId="2392721A"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F37443"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6A28A5" w14:textId="77777777" w:rsidR="00611BEF" w:rsidRDefault="00611BEF" w:rsidP="00611BEF">
            <w:pPr>
              <w:spacing w:after="160"/>
              <w:jc w:val="both"/>
              <w:rPr>
                <w:rFonts w:eastAsia="Aptos" w:cs="Calibri"/>
                <w:color w:val="000000"/>
              </w:rPr>
            </w:pPr>
            <w:r>
              <w:rPr>
                <w:rFonts w:eastAsia="Aptos" w:cs="Calibri"/>
                <w:color w:val="000000"/>
              </w:rPr>
              <w:t xml:space="preserve">Art. 114 </w:t>
            </w:r>
          </w:p>
          <w:p w14:paraId="34C00F39" w14:textId="58A62692" w:rsidR="00611BEF" w:rsidRDefault="00611BEF" w:rsidP="00611BEF">
            <w:pPr>
              <w:spacing w:after="160"/>
              <w:jc w:val="both"/>
              <w:rPr>
                <w:rFonts w:eastAsia="Aptos" w:cs="Calibri"/>
              </w:rPr>
            </w:pPr>
            <w:r>
              <w:rPr>
                <w:rFonts w:eastAsia="Aptos" w:cs="Calibri"/>
                <w:color w:val="000000"/>
              </w:rPr>
              <w:t xml:space="preserve">1. </w:t>
            </w:r>
            <w:r>
              <w:rPr>
                <w:rFonts w:eastAsia="Aptos" w:cs="Calibri"/>
              </w:rPr>
              <w:t>Zgłoszenie wzoru użytkowego, które obejmuje, sporządzone w języku polskim, podanie oraz opis wzoru użytkowego, zastrzeżenie albo zastrzeżenia ochronne i rysunek albo rysunki, stanowi podstawę do uznania zgłoszenia za dokonane. Dokumenty sporządzone w języku innym niż język polski uważa się za niezłożone.</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03492F0" w14:textId="6C5663F3" w:rsidR="00611BEF" w:rsidRDefault="00611BEF" w:rsidP="00611BEF">
            <w:pPr>
              <w:jc w:val="both"/>
            </w:pPr>
            <w:r>
              <w:rPr>
                <w:rFonts w:eastAsia="Aptos" w:cs="Calibri"/>
                <w:color w:val="000000"/>
              </w:rPr>
              <w:t>Analogicznie do proponowanej zmiany w art. 34 ust. 3 pro</w:t>
            </w:r>
            <w:r>
              <w:rPr>
                <w:rFonts w:eastAsia="Aptos" w:cs="Calibri"/>
              </w:rPr>
              <w:t>ponuje się pozostanie przy obecnie obowiązującym brzmieniu tego przepisu (tj. przepis Art. 31 ust. 3 PWP stosuje się odpowiednio) z dodaniem drugiego zdanie</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89F00" w14:textId="77777777" w:rsidR="00611BEF" w:rsidRPr="0048016A" w:rsidRDefault="00611BEF" w:rsidP="00611BEF">
            <w:pPr>
              <w:spacing w:after="160"/>
              <w:jc w:val="both"/>
              <w:rPr>
                <w:rFonts w:eastAsia="Aptos" w:cs="Calibri"/>
                <w:i/>
                <w:iCs/>
                <w:color w:val="000000"/>
              </w:rPr>
            </w:pPr>
            <w:r w:rsidRPr="0048016A">
              <w:rPr>
                <w:rFonts w:eastAsia="Aptos" w:cs="Calibri"/>
                <w:i/>
                <w:iCs/>
                <w:color w:val="000000"/>
              </w:rPr>
              <w:t xml:space="preserve">Art. 114 </w:t>
            </w:r>
          </w:p>
          <w:p w14:paraId="3CF8BF3B" w14:textId="7B440A1D" w:rsidR="00611BEF" w:rsidRPr="0048016A" w:rsidRDefault="00611BEF" w:rsidP="00611BEF">
            <w:pPr>
              <w:spacing w:after="160"/>
              <w:jc w:val="both"/>
              <w:rPr>
                <w:i/>
                <w:iCs/>
              </w:rPr>
            </w:pPr>
            <w:r w:rsidRPr="0048016A">
              <w:rPr>
                <w:rFonts w:eastAsia="Aptos" w:cs="Calibri"/>
                <w:i/>
                <w:iCs/>
                <w:color w:val="000000"/>
              </w:rPr>
              <w:t xml:space="preserve">1. Zgłoszenie wzoru użytkowego, które obejmuje, sporządzone w języku polskim, </w:t>
            </w:r>
            <w:r w:rsidRPr="0048016A">
              <w:rPr>
                <w:rFonts w:eastAsia="Aptos" w:cs="Calibri"/>
                <w:b/>
                <w:bCs/>
                <w:i/>
                <w:iCs/>
                <w:color w:val="EE0000"/>
              </w:rPr>
              <w:t xml:space="preserve">co najmniej </w:t>
            </w:r>
            <w:r w:rsidRPr="00F004DE">
              <w:rPr>
                <w:rFonts w:eastAsia="Aptos" w:cs="Calibri"/>
                <w:i/>
                <w:iCs/>
              </w:rPr>
              <w:t>podanie oraz</w:t>
            </w:r>
            <w:r w:rsidRPr="0048016A">
              <w:rPr>
                <w:rFonts w:eastAsia="Aptos" w:cs="Calibri"/>
                <w:b/>
                <w:bCs/>
                <w:i/>
                <w:iCs/>
                <w:color w:val="EE0000"/>
              </w:rPr>
              <w:t xml:space="preserve"> części wyglądające zewnętrznie na </w:t>
            </w:r>
            <w:r w:rsidRPr="00DC2BF2">
              <w:rPr>
                <w:rFonts w:eastAsia="Aptos" w:cs="Calibri"/>
                <w:i/>
                <w:iCs/>
              </w:rPr>
              <w:t>opis wzoru użytkowego</w:t>
            </w:r>
            <w:r w:rsidRPr="0048016A">
              <w:rPr>
                <w:rFonts w:eastAsia="Aptos" w:cs="Calibri"/>
                <w:b/>
                <w:bCs/>
                <w:i/>
                <w:iCs/>
                <w:color w:val="EE0000"/>
              </w:rPr>
              <w:t xml:space="preserve"> i na </w:t>
            </w:r>
            <w:r w:rsidRPr="00FA1C7F">
              <w:rPr>
                <w:rFonts w:eastAsia="Aptos" w:cs="Calibri"/>
                <w:i/>
                <w:iCs/>
                <w:color w:val="000000" w:themeColor="text1"/>
              </w:rPr>
              <w:t>zastrzeżenie</w:t>
            </w:r>
            <w:r w:rsidRPr="00FA1C7F">
              <w:rPr>
                <w:rFonts w:eastAsia="Aptos" w:cs="Calibri"/>
                <w:b/>
                <w:bCs/>
                <w:i/>
                <w:iCs/>
                <w:color w:val="000000" w:themeColor="text1"/>
              </w:rPr>
              <w:t xml:space="preserve"> </w:t>
            </w:r>
            <w:r w:rsidRPr="00FA1C7F">
              <w:rPr>
                <w:rFonts w:eastAsia="Aptos" w:cs="Calibri"/>
                <w:strike/>
                <w:color w:val="EE0000"/>
              </w:rPr>
              <w:t>albo</w:t>
            </w:r>
            <w:r w:rsidRPr="00FA1C7F">
              <w:rPr>
                <w:rFonts w:eastAsia="Aptos" w:cs="Calibri"/>
                <w:color w:val="EE0000"/>
              </w:rPr>
              <w:t xml:space="preserve"> </w:t>
            </w:r>
            <w:r w:rsidRPr="0048016A">
              <w:rPr>
                <w:rFonts w:eastAsia="Aptos" w:cs="Calibri"/>
                <w:b/>
                <w:bCs/>
                <w:i/>
                <w:iCs/>
                <w:color w:val="EE0000"/>
              </w:rPr>
              <w:t xml:space="preserve">lub </w:t>
            </w:r>
            <w:r w:rsidRPr="00F004DE">
              <w:rPr>
                <w:rFonts w:eastAsia="Aptos" w:cs="Calibri"/>
                <w:i/>
                <w:iCs/>
              </w:rPr>
              <w:t>zastrzeżenia ochronne</w:t>
            </w:r>
            <w:r>
              <w:rPr>
                <w:rFonts w:eastAsia="Aptos" w:cs="Calibri"/>
                <w:i/>
                <w:iCs/>
              </w:rPr>
              <w:t xml:space="preserve"> </w:t>
            </w:r>
            <w:r w:rsidRPr="00EC3F92">
              <w:rPr>
                <w:rFonts w:eastAsia="Aptos" w:cs="Calibri"/>
                <w:i/>
                <w:iCs/>
                <w:strike/>
                <w:color w:val="EE0000"/>
              </w:rPr>
              <w:t>i rysunek albo rysunki, stanowi</w:t>
            </w:r>
            <w:r w:rsidRPr="0048016A">
              <w:rPr>
                <w:rFonts w:eastAsia="Aptos" w:cs="Calibri"/>
                <w:b/>
                <w:bCs/>
                <w:i/>
                <w:iCs/>
                <w:color w:val="EE0000"/>
              </w:rPr>
              <w:t xml:space="preserve">, daje </w:t>
            </w:r>
            <w:r w:rsidRPr="00DC2BF2">
              <w:rPr>
                <w:rFonts w:eastAsia="Aptos" w:cs="Calibri"/>
                <w:i/>
                <w:iCs/>
              </w:rPr>
              <w:t>podstawę do uznania zgłoszenia za dokonane.</w:t>
            </w:r>
            <w:r w:rsidRPr="00DC2BF2">
              <w:rPr>
                <w:rFonts w:eastAsia="Aptos" w:cs="Calibri"/>
                <w:b/>
                <w:bCs/>
                <w:i/>
                <w:iCs/>
              </w:rPr>
              <w:t xml:space="preserve"> </w:t>
            </w:r>
            <w:r w:rsidRPr="0048016A">
              <w:rPr>
                <w:rFonts w:eastAsia="Aptos" w:cs="Calibri"/>
                <w:i/>
                <w:iCs/>
                <w:color w:val="000000"/>
              </w:rPr>
              <w:t>Dokumenty sporządzone w języku innym niż język polski uważa się za niezłożone.</w:t>
            </w:r>
          </w:p>
          <w:p w14:paraId="44301235" w14:textId="77777777" w:rsidR="00611BEF" w:rsidRPr="0048016A" w:rsidRDefault="00611BEF" w:rsidP="00611BEF">
            <w:pPr>
              <w:jc w:val="both"/>
              <w:rPr>
                <w:rFonts w:eastAsia="Aptos" w:cs="Calibri"/>
                <w:i/>
                <w:iCs/>
                <w:color w:val="000000"/>
              </w:rPr>
            </w:pPr>
          </w:p>
        </w:tc>
      </w:tr>
      <w:tr w:rsidR="00611BEF" w14:paraId="4A076DA8" w14:textId="46B99393"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BDD1A4"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20711E" w14:textId="59DE6BE9" w:rsidR="00611BEF" w:rsidRDefault="00611BEF" w:rsidP="00611BEF">
            <w:pPr>
              <w:jc w:val="both"/>
            </w:pPr>
            <w:r>
              <w:rPr>
                <w:rFonts w:eastAsia="Times New Roman" w:cs="Calibri"/>
              </w:rPr>
              <w:t xml:space="preserve">Art. </w:t>
            </w:r>
            <w:r w:rsidRPr="00ED50F9">
              <w:rPr>
                <w:rFonts w:eastAsia="Times New Roman" w:cs="Calibri"/>
              </w:rPr>
              <w:t>185</w:t>
            </w:r>
            <w:r>
              <w:rPr>
                <w:rFonts w:eastAsia="Times New Roman" w:cs="Calibri"/>
              </w:rPr>
              <w:t xml:space="preserve"> </w:t>
            </w:r>
          </w:p>
          <w:p w14:paraId="6CFFBBFD" w14:textId="785AF294" w:rsidR="00611BEF" w:rsidRDefault="00611BEF" w:rsidP="00611BEF">
            <w:pPr>
              <w:jc w:val="both"/>
              <w:rPr>
                <w:rFonts w:eastAsia="Times New Roman" w:cs="Calibri"/>
              </w:rPr>
            </w:pPr>
            <w:r>
              <w:rPr>
                <w:rFonts w:eastAsia="Times New Roman" w:cs="Calibri"/>
              </w:rPr>
              <w:t xml:space="preserve">1. Nie udziela się prawa ochronnego na oznaczenie, które: </w:t>
            </w:r>
          </w:p>
          <w:p w14:paraId="318422D9" w14:textId="3684913C" w:rsidR="00611BEF" w:rsidRDefault="00611BEF" w:rsidP="00611BEF">
            <w:pPr>
              <w:jc w:val="both"/>
              <w:rPr>
                <w:rFonts w:eastAsia="Times New Roman" w:cs="Calibri"/>
              </w:rPr>
            </w:pPr>
            <w:r>
              <w:rPr>
                <w:rFonts w:eastAsia="Times New Roman" w:cs="Calibri"/>
              </w:rPr>
              <w:t>(…)</w:t>
            </w:r>
          </w:p>
          <w:p w14:paraId="32A08582" w14:textId="4543702E" w:rsidR="00611BEF" w:rsidRDefault="00611BEF" w:rsidP="00611BEF">
            <w:pPr>
              <w:jc w:val="both"/>
            </w:pPr>
            <w:r>
              <w:rPr>
                <w:rFonts w:eastAsia="Times New Roman" w:cs="Calibri"/>
              </w:rPr>
              <w:t>9) zawiera symbol Rzeczypospolitej Polskiej (godło, barwy lub hymn), znak sił zbrojnych, organizacji paramilitarnej lub sił porządkowych, reprodukcję polskiego orderu, odznaczenia lub odznaki honorowej, odznaki, oznaki wojskowej lub innego oficjalnego lub powszechnie używanego odznaczenia lub odznaki, w szczególności administracji rządowej lub samorządu terytorialnego, chyba że zgłaszający wykaże się zezwoleniem właściwego organu, które uprawnia go do używania takiego oznaczenia w obrocie;</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E3D2028" w14:textId="5CCEB066" w:rsidR="00611BEF" w:rsidRPr="000166B1" w:rsidRDefault="009F1639" w:rsidP="00611BEF">
            <w:pPr>
              <w:jc w:val="both"/>
              <w:rPr>
                <w:rFonts w:eastAsia="Lato" w:cs="Calibri"/>
              </w:rPr>
            </w:pPr>
            <w:r w:rsidRPr="009F1639">
              <w:rPr>
                <w:rFonts w:eastAsia="Lato" w:cs="Calibri"/>
              </w:rPr>
              <w:t>Wątpliwość budzi użycie w tym przepisie samodzielnego słowa odznaki a praktycznie braku definicji a może spisu czyje oprócz wymienionej administracji rządowej, samorządu terytorialnego itp. mają być brane pod uwagę. Czy np. Odznaka koło gospodyń wiejskich też się zawiera w tym przepisie? - Usunięto zapis “powszechnie używanego” gdyż może to oznaczać każde oznaczenie czy odznaczenie a celem ochrony są te oznaki, odznaki administracyjnej.</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D1A6B" w14:textId="77777777" w:rsidR="00611BEF" w:rsidRPr="0048016A" w:rsidRDefault="00611BEF" w:rsidP="00611BEF">
            <w:pPr>
              <w:jc w:val="both"/>
              <w:rPr>
                <w:i/>
                <w:iCs/>
              </w:rPr>
            </w:pPr>
            <w:r w:rsidRPr="0048016A">
              <w:rPr>
                <w:rFonts w:eastAsia="Times New Roman" w:cs="Calibri"/>
                <w:i/>
                <w:iCs/>
              </w:rPr>
              <w:t xml:space="preserve">Art. 185 </w:t>
            </w:r>
          </w:p>
          <w:p w14:paraId="307B4880" w14:textId="77777777" w:rsidR="00611BEF" w:rsidRPr="0048016A" w:rsidRDefault="00611BEF" w:rsidP="00611BEF">
            <w:pPr>
              <w:jc w:val="both"/>
              <w:rPr>
                <w:rFonts w:eastAsia="Times New Roman" w:cs="Calibri"/>
                <w:i/>
                <w:iCs/>
              </w:rPr>
            </w:pPr>
            <w:r w:rsidRPr="0048016A">
              <w:rPr>
                <w:rFonts w:eastAsia="Times New Roman" w:cs="Calibri"/>
                <w:i/>
                <w:iCs/>
              </w:rPr>
              <w:t xml:space="preserve">1. Nie udziela się prawa ochronnego na oznaczenie, które: </w:t>
            </w:r>
          </w:p>
          <w:p w14:paraId="049910E0" w14:textId="77777777" w:rsidR="00611BEF" w:rsidRPr="0048016A" w:rsidRDefault="00611BEF" w:rsidP="00611BEF">
            <w:pPr>
              <w:jc w:val="both"/>
              <w:rPr>
                <w:rFonts w:eastAsia="Times New Roman" w:cs="Calibri"/>
                <w:i/>
                <w:iCs/>
              </w:rPr>
            </w:pPr>
            <w:r w:rsidRPr="0048016A">
              <w:rPr>
                <w:rFonts w:eastAsia="Times New Roman" w:cs="Calibri"/>
                <w:i/>
                <w:iCs/>
              </w:rPr>
              <w:t>(…)</w:t>
            </w:r>
          </w:p>
          <w:p w14:paraId="585F5BB9" w14:textId="18C08110" w:rsidR="00611BEF" w:rsidRPr="0048016A" w:rsidRDefault="00611BEF" w:rsidP="00611BEF">
            <w:pPr>
              <w:jc w:val="both"/>
              <w:rPr>
                <w:rFonts w:eastAsia="Lato" w:cs="Calibri"/>
                <w:i/>
                <w:iCs/>
              </w:rPr>
            </w:pPr>
            <w:r w:rsidRPr="0048016A">
              <w:rPr>
                <w:rFonts w:eastAsia="Times New Roman" w:cs="Calibri"/>
                <w:i/>
                <w:iCs/>
              </w:rPr>
              <w:t xml:space="preserve">9) </w:t>
            </w:r>
            <w:r w:rsidR="009F1639" w:rsidRPr="009F1639">
              <w:rPr>
                <w:rFonts w:eastAsia="Times New Roman" w:cs="Calibri"/>
                <w:i/>
                <w:iCs/>
              </w:rPr>
              <w:t xml:space="preserve">zawiera symbol Rzeczypospolitej Polskiej (godło, barwy lub hymn), znak sił zbrojnych, organizacji paramilitarnej lub sił porządkowych, reprodukcję polskiego orderu, odznaczenia lub odznaki honorowej, odznaki </w:t>
            </w:r>
            <w:r w:rsidR="009F1639" w:rsidRPr="009F1639">
              <w:rPr>
                <w:rFonts w:eastAsia="Times New Roman" w:cs="Calibri"/>
                <w:i/>
                <w:iCs/>
                <w:color w:val="EE0000"/>
              </w:rPr>
              <w:t>lub oznaki ustanowionej przez organ władzy publicznej</w:t>
            </w:r>
            <w:r w:rsidR="009F1639" w:rsidRPr="009F1639">
              <w:rPr>
                <w:rFonts w:eastAsia="Times New Roman" w:cs="Calibri"/>
                <w:i/>
                <w:iCs/>
              </w:rPr>
              <w:t xml:space="preserve">, </w:t>
            </w:r>
            <w:r w:rsidR="009F1639" w:rsidRPr="009F1639">
              <w:rPr>
                <w:rFonts w:eastAsia="Times New Roman" w:cs="Calibri"/>
                <w:i/>
                <w:iCs/>
                <w:color w:val="EE0000"/>
              </w:rPr>
              <w:t xml:space="preserve">formację mundurową albo inną państwową lub samorządową jednostkę organizacyjną, lub innego oficjalnego  </w:t>
            </w:r>
            <w:r w:rsidR="009F1639" w:rsidRPr="009F1639">
              <w:rPr>
                <w:rFonts w:eastAsia="Times New Roman" w:cs="Calibri"/>
                <w:i/>
                <w:iCs/>
              </w:rPr>
              <w:t>odznaczenia lub odznaki w szczególności administracji rządowej lub samorządu terytorialnego, chyba że zgłaszający wykaże się zezwoleniem właściwego organu, które uprawnia go do używania takiego oznaczenia w obrocie</w:t>
            </w:r>
            <w:r w:rsidR="009F1639">
              <w:rPr>
                <w:rFonts w:eastAsia="Times New Roman" w:cs="Calibri"/>
                <w:i/>
                <w:iCs/>
              </w:rPr>
              <w:t>;</w:t>
            </w:r>
          </w:p>
        </w:tc>
      </w:tr>
      <w:tr w:rsidR="00611BEF" w14:paraId="751EA36F" w14:textId="4D158988"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0698AE"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49E34A" w14:textId="4DB84C0D" w:rsidR="00611BEF" w:rsidRDefault="00611BEF" w:rsidP="00611BEF">
            <w:pPr>
              <w:jc w:val="both"/>
              <w:rPr>
                <w:rFonts w:eastAsia="Times New Roman" w:cs="Calibri"/>
              </w:rPr>
            </w:pPr>
            <w:r>
              <w:rPr>
                <w:rFonts w:eastAsia="Times New Roman" w:cs="Calibri"/>
              </w:rPr>
              <w:t xml:space="preserve"> Art. 208</w:t>
            </w:r>
          </w:p>
          <w:p w14:paraId="0A1C0C1A" w14:textId="706BE555" w:rsidR="00611BEF" w:rsidRDefault="00611BEF" w:rsidP="00611BEF">
            <w:pPr>
              <w:jc w:val="both"/>
            </w:pPr>
            <w:r>
              <w:rPr>
                <w:rFonts w:eastAsia="Times New Roman" w:cs="Calibri"/>
              </w:rPr>
              <w:t>1. Urząd Patentowy niezwłocznie po dokonaniu zgłoszenia znaku towarowego ujawnia informacje o znaku towarowym, dacie pierwszeństwa, dacie i numerze zgłoszenia, wykazie towarów, imieniu i nazwisku lub nazwie zgłaszającego, jego miejscu zamieszkania albo siedzibie oraz kodzie państwa.</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75130CE" w14:textId="7BD36514" w:rsidR="00611BEF" w:rsidRPr="008A73B8" w:rsidRDefault="00611BEF" w:rsidP="00611BEF">
            <w:pPr>
              <w:jc w:val="both"/>
              <w:rPr>
                <w:rFonts w:eastAsia="Lato" w:cs="Calibri"/>
              </w:rPr>
            </w:pPr>
            <w:r w:rsidRPr="008A73B8">
              <w:rPr>
                <w:rFonts w:eastAsia="Lato" w:cs="Calibri"/>
              </w:rPr>
              <w:t>Zmiana ma na celu doprecyzowanie terminu ujawnienia informacji o zgłoszeniu znaku towarowego. Obecne określenie „niezwłocznie” ma charakter niedookreślony, a jego interpretacja może wymagać odwoływania się do art. 35 § 2 i 3 Kodeksu postępowania administracyjnego, które przewidują niezwłoczne załatwianie spraw niewymagających postępowania wyjaśniającego oraz określają terminy załatwiania spraw wymagających takiego postępowania.</w:t>
            </w:r>
          </w:p>
          <w:p w14:paraId="611EC955" w14:textId="0355BFFF" w:rsidR="00611BEF" w:rsidRDefault="00611BEF" w:rsidP="00611BEF">
            <w:pPr>
              <w:jc w:val="both"/>
              <w:rPr>
                <w:rFonts w:eastAsia="Lato" w:cs="Calibri"/>
              </w:rPr>
            </w:pPr>
            <w:r w:rsidRPr="008A73B8">
              <w:rPr>
                <w:rFonts w:eastAsia="Lato" w:cs="Calibri"/>
              </w:rPr>
              <w:t>Z uwagi na to, że zakres ujawnianych informacji wynika bezpośrednio ze zgłoszenia i co do zasady nie wymaga dodatkowego postępowania wyjaśniającego, proponuje się wprowadzenie konkretnego terminu maksymalnego — 14 dni od dokonania zgłoszenia. Rozwiązanie to zapewni większą pewność i przewidywalność postępowania, pozostawiając jednocześnie możliwość ujawnienia informacji wcześniej, jeżeli będzie to możliwe.</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F021A" w14:textId="77777777" w:rsidR="00611BEF" w:rsidRPr="0048016A" w:rsidRDefault="00611BEF" w:rsidP="00611BEF">
            <w:pPr>
              <w:jc w:val="both"/>
              <w:rPr>
                <w:rFonts w:eastAsia="Times New Roman" w:cs="Calibri"/>
                <w:i/>
                <w:iCs/>
              </w:rPr>
            </w:pPr>
            <w:r w:rsidRPr="0048016A">
              <w:rPr>
                <w:rFonts w:eastAsia="Times New Roman" w:cs="Calibri"/>
                <w:i/>
                <w:iCs/>
              </w:rPr>
              <w:t>Art. 208</w:t>
            </w:r>
          </w:p>
          <w:p w14:paraId="4E49F741" w14:textId="1D709037" w:rsidR="00611BEF" w:rsidRPr="0048016A" w:rsidRDefault="00611BEF" w:rsidP="00611BEF">
            <w:pPr>
              <w:jc w:val="both"/>
              <w:rPr>
                <w:rFonts w:eastAsia="Lato" w:cs="Calibri"/>
                <w:i/>
                <w:iCs/>
              </w:rPr>
            </w:pPr>
            <w:r w:rsidRPr="0048016A">
              <w:rPr>
                <w:rFonts w:eastAsia="Times New Roman" w:cs="Calibri"/>
                <w:i/>
                <w:iCs/>
              </w:rPr>
              <w:t>1. Urząd Patentowy niezwłocznie</w:t>
            </w:r>
            <w:r w:rsidRPr="0048016A">
              <w:rPr>
                <w:rFonts w:eastAsia="Times New Roman" w:cs="Calibri"/>
                <w:i/>
                <w:iCs/>
                <w:color w:val="EE0000"/>
              </w:rPr>
              <w:t xml:space="preserve">, jednak nie później niż 14 dni </w:t>
            </w:r>
            <w:r w:rsidRPr="0048016A">
              <w:rPr>
                <w:rFonts w:eastAsia="Times New Roman" w:cs="Calibri"/>
                <w:i/>
                <w:iCs/>
              </w:rPr>
              <w:t>po dokonaniu zgłoszenia znaku towarowego ujawnia informacje o znaku towarowym, dacie pierwszeństwa, dacie i numerze zgłoszenia, wykazie towarów, imieniu i nazwisku lub nazwie zgłaszającego, jego miejscu zamieszkania albo siedzibie oraz kodzie państwa.</w:t>
            </w:r>
          </w:p>
        </w:tc>
      </w:tr>
      <w:tr w:rsidR="00611BEF" w14:paraId="594CF18C" w14:textId="49F7DC80"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70D1A9"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DB0499" w14:textId="3FF23B6A" w:rsidR="00611BEF" w:rsidRDefault="00611BEF" w:rsidP="00611BEF">
            <w:pPr>
              <w:spacing w:after="160"/>
              <w:jc w:val="both"/>
              <w:rPr>
                <w:rFonts w:eastAsia="Aptos" w:cs="Calibri"/>
              </w:rPr>
            </w:pPr>
            <w:r>
              <w:rPr>
                <w:rFonts w:eastAsia="Aptos" w:cs="Calibri"/>
              </w:rPr>
              <w:t>Art. 225</w:t>
            </w:r>
          </w:p>
          <w:p w14:paraId="0A280F73" w14:textId="7E4D26EB" w:rsidR="00611BEF" w:rsidRDefault="00611BEF" w:rsidP="00611BEF">
            <w:pPr>
              <w:spacing w:after="160"/>
              <w:jc w:val="both"/>
              <w:rPr>
                <w:rFonts w:eastAsia="Aptos" w:cs="Calibri"/>
              </w:rPr>
            </w:pPr>
            <w:r>
              <w:rPr>
                <w:rFonts w:eastAsia="Aptos" w:cs="Calibri"/>
              </w:rPr>
              <w:t xml:space="preserve">1. Urząd Patentowy niezwłocznie zawiadamia zgłaszającego znak towarowy o wniesieniu sprzeciwu i doręcza mu odpis sprzeciwu oraz informuje strony o możliwości ugodowego rozstrzygnięcia sporu </w:t>
            </w:r>
            <w:r>
              <w:rPr>
                <w:rFonts w:eastAsia="Aptos" w:cs="Calibri"/>
              </w:rPr>
              <w:lastRenderedPageBreak/>
              <w:t>w terminie 2 miesięcy od dnia doręczenia informacji.</w:t>
            </w:r>
          </w:p>
          <w:p w14:paraId="3DE55418" w14:textId="77777777" w:rsidR="00611BEF" w:rsidRDefault="00611BEF" w:rsidP="00611BEF">
            <w:pPr>
              <w:spacing w:after="160"/>
              <w:jc w:val="both"/>
              <w:rPr>
                <w:rFonts w:eastAsia="Aptos" w:cs="Calibri"/>
              </w:rPr>
            </w:pPr>
            <w:r>
              <w:rPr>
                <w:rFonts w:eastAsia="Aptos" w:cs="Calibri"/>
              </w:rPr>
              <w:t>2. Oświadczenie strony o odstąpieniu od ugodowego rozstrzygnięcia sporu jest równoznaczne z upływem terminu, o którym mowa w ust. 1.</w:t>
            </w:r>
          </w:p>
          <w:p w14:paraId="21D7E1BB" w14:textId="77777777" w:rsidR="00611BEF" w:rsidRDefault="00611BEF" w:rsidP="00611BEF">
            <w:pPr>
              <w:jc w:val="both"/>
            </w:pPr>
            <w:r>
              <w:rPr>
                <w:rFonts w:eastAsia="Aptos" w:cs="Calibri"/>
              </w:rPr>
              <w:t>3. Na zgodny wniosek stron termin, o którym mowa w ust. 1, może zostać przedłużony jednokrotnie, na okres nie dłuższy niż 2 miesiące. Wniosek o przedłużenie terminu składa się przed upływem terminu do ugodowego rozstrzygnięcia sporu. Przepis ust. 2 stosuje się odpowiednio.</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C7FD4A" w14:textId="77777777" w:rsidR="00611BEF" w:rsidRDefault="00611BEF" w:rsidP="00611BEF">
            <w:pPr>
              <w:jc w:val="both"/>
            </w:pPr>
            <w:r>
              <w:rPr>
                <w:rFonts w:eastAsia="Aptos" w:cs="Calibri"/>
                <w:color w:val="000000"/>
              </w:rPr>
              <w:lastRenderedPageBreak/>
              <w:t xml:space="preserve">Przywrócenie obecnie obowiązującego terminu maksymalnie 6 miesięcy do ugodowego rozstrzygnięcia sporu. Termin 2 miesięcy przedłużony o maksymalnie 2 miesiące może być w praktyce zdecydowanie za krótki na przeprowadzenie negocjacji i zawarcia porozumienia / ugody w sprawie. Sam fakt, że wyznaczenie tego terminu odbywa się na zgodny wniosek stron wskazuje, że strony faktycznie mają wolę prowadzenia takich rozmów. Tak radykalne skracanie terminu nie jest zasadne i </w:t>
            </w:r>
            <w:r>
              <w:rPr>
                <w:rFonts w:eastAsia="Aptos" w:cs="Calibri"/>
                <w:color w:val="000000"/>
              </w:rPr>
              <w:lastRenderedPageBreak/>
              <w:t>stanowi ograniczenie prawa stron do skorzystania z możliwości zawarcia ugody.</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94F9F" w14:textId="7C636C89" w:rsidR="00611BEF" w:rsidRPr="0048016A" w:rsidRDefault="00611BEF" w:rsidP="00611BEF">
            <w:pPr>
              <w:spacing w:after="160"/>
              <w:jc w:val="both"/>
              <w:rPr>
                <w:rFonts w:eastAsia="Aptos" w:cs="Calibri"/>
                <w:i/>
                <w:iCs/>
              </w:rPr>
            </w:pPr>
            <w:r w:rsidRPr="0048016A">
              <w:rPr>
                <w:rFonts w:eastAsia="Aptos" w:cs="Calibri"/>
                <w:i/>
                <w:iCs/>
              </w:rPr>
              <w:lastRenderedPageBreak/>
              <w:t>Art. 225</w:t>
            </w:r>
          </w:p>
          <w:p w14:paraId="37503EBC" w14:textId="77777777" w:rsidR="00611BEF" w:rsidRPr="0048016A" w:rsidRDefault="00611BEF" w:rsidP="00611BEF">
            <w:pPr>
              <w:spacing w:after="160"/>
              <w:jc w:val="both"/>
              <w:rPr>
                <w:rFonts w:eastAsia="Aptos" w:cs="Calibri"/>
                <w:i/>
                <w:iCs/>
              </w:rPr>
            </w:pPr>
            <w:r w:rsidRPr="0048016A">
              <w:rPr>
                <w:rFonts w:eastAsia="Aptos" w:cs="Calibri"/>
                <w:i/>
                <w:iCs/>
              </w:rPr>
              <w:t xml:space="preserve">1. Urząd Patentowy niezwłocznie zawiadamia zgłaszającego znak towarowy o wniesieniu sprzeciwu i doręcza mu odpis sprzeciwu oraz informuje strony o możliwości ugodowego rozstrzygnięcia sporu w </w:t>
            </w:r>
            <w:r w:rsidRPr="0048016A">
              <w:rPr>
                <w:rFonts w:eastAsia="Aptos" w:cs="Calibri"/>
                <w:i/>
                <w:iCs/>
              </w:rPr>
              <w:lastRenderedPageBreak/>
              <w:t>terminie 2 miesięcy od dnia doręczenia informacji.</w:t>
            </w:r>
          </w:p>
          <w:p w14:paraId="1C838014" w14:textId="77777777" w:rsidR="00611BEF" w:rsidRPr="0048016A" w:rsidRDefault="00611BEF" w:rsidP="00611BEF">
            <w:pPr>
              <w:spacing w:after="160"/>
              <w:jc w:val="both"/>
              <w:rPr>
                <w:rFonts w:eastAsia="Aptos" w:cs="Calibri"/>
                <w:i/>
                <w:iCs/>
              </w:rPr>
            </w:pPr>
            <w:r w:rsidRPr="0048016A">
              <w:rPr>
                <w:rFonts w:eastAsia="Aptos" w:cs="Calibri"/>
                <w:i/>
                <w:iCs/>
              </w:rPr>
              <w:t>2. Oświadczenie strony o odstąpieniu od ugodowego rozstrzygnięcia sporu jest równoznaczne z upływem terminu, o którym mowa w ust. 1.</w:t>
            </w:r>
          </w:p>
          <w:p w14:paraId="44D2E6DA" w14:textId="7BD53835" w:rsidR="00611BEF" w:rsidRPr="0048016A" w:rsidRDefault="00611BEF" w:rsidP="00611BEF">
            <w:pPr>
              <w:jc w:val="both"/>
              <w:rPr>
                <w:rFonts w:eastAsia="Aptos" w:cs="Calibri"/>
                <w:i/>
                <w:iCs/>
                <w:color w:val="000000"/>
              </w:rPr>
            </w:pPr>
            <w:r w:rsidRPr="0048016A">
              <w:rPr>
                <w:rFonts w:eastAsia="Aptos" w:cs="Calibri"/>
                <w:i/>
                <w:iCs/>
              </w:rPr>
              <w:t xml:space="preserve">3. Na zgodny wniosek stron termin, o którym mowa w ust. 1, może zostać przedłużony jednokrotnie, na okres nie dłuższy niż </w:t>
            </w:r>
            <w:r w:rsidRPr="0048016A">
              <w:rPr>
                <w:rFonts w:eastAsia="Aptos" w:cs="Calibri"/>
                <w:b/>
                <w:bCs/>
                <w:i/>
                <w:iCs/>
                <w:color w:val="EE0000"/>
              </w:rPr>
              <w:t>4</w:t>
            </w:r>
            <w:r w:rsidRPr="0048016A">
              <w:rPr>
                <w:rFonts w:eastAsia="Aptos" w:cs="Calibri"/>
                <w:i/>
                <w:iCs/>
                <w:color w:val="EE0000"/>
              </w:rPr>
              <w:t xml:space="preserve"> </w:t>
            </w:r>
            <w:r w:rsidRPr="0048016A">
              <w:rPr>
                <w:rFonts w:eastAsia="Aptos" w:cs="Calibri"/>
                <w:i/>
                <w:iCs/>
              </w:rPr>
              <w:t>miesiące. Wniosek o przedłużenie terminu składa się przed upływem terminu do ugodowego rozstrzygnięcia sporu. Przepis ust. 2 stosuje się odpowiednio.</w:t>
            </w:r>
          </w:p>
        </w:tc>
      </w:tr>
      <w:tr w:rsidR="00611BEF" w14:paraId="1A7BAE49" w14:textId="233C94CE"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DB76D3"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B08285" w14:textId="6FAFBB94" w:rsidR="00611BEF" w:rsidRDefault="00611BEF" w:rsidP="00611BEF">
            <w:pPr>
              <w:jc w:val="both"/>
              <w:rPr>
                <w:rFonts w:eastAsia="Times New Roman" w:cs="Calibri"/>
              </w:rPr>
            </w:pPr>
            <w:r>
              <w:rPr>
                <w:rFonts w:eastAsia="Times New Roman" w:cs="Calibri"/>
              </w:rPr>
              <w:t>Art. 256</w:t>
            </w:r>
          </w:p>
          <w:p w14:paraId="396A7D3B" w14:textId="6DC5C201" w:rsidR="00611BEF" w:rsidRDefault="00611BEF" w:rsidP="00611BEF">
            <w:pPr>
              <w:jc w:val="both"/>
            </w:pPr>
            <w:r>
              <w:rPr>
                <w:rFonts w:eastAsia="Times New Roman" w:cs="Calibri"/>
              </w:rPr>
              <w:t xml:space="preserve">1. Prawo ochronne na znak towarowy albo uznanie na terytorium Rzeczypospolitej Polskiej ochrony międzynarodowego znaku </w:t>
            </w:r>
            <w:r>
              <w:rPr>
                <w:rFonts w:eastAsia="Times New Roman" w:cs="Calibri"/>
              </w:rPr>
              <w:lastRenderedPageBreak/>
              <w:t>towarowego nie może być unieważnione:</w:t>
            </w:r>
          </w:p>
          <w:p w14:paraId="168C0721" w14:textId="77777777" w:rsidR="00611BEF" w:rsidRDefault="00611BEF" w:rsidP="00611BEF">
            <w:pPr>
              <w:jc w:val="both"/>
              <w:rPr>
                <w:rFonts w:eastAsia="Times New Roman" w:cs="Calibri"/>
              </w:rPr>
            </w:pPr>
            <w:r>
              <w:rPr>
                <w:rFonts w:eastAsia="Times New Roman" w:cs="Calibri"/>
              </w:rPr>
              <w:t xml:space="preserve">1) z powodu kolizji z wcześniejszym znakiem lub naruszenia praw osobistych lub majątkowych wnioskodawcy, jeżeli przez okres 5 kolejnych lat używania zarejestrowanego znaku wnioskodawca, będąc świadomym jego używania, nie sprzeciwiał się temu; </w:t>
            </w:r>
          </w:p>
          <w:p w14:paraId="45530E95" w14:textId="48F178FD" w:rsidR="00611BEF" w:rsidRDefault="00611BEF" w:rsidP="00611BEF">
            <w:pPr>
              <w:jc w:val="both"/>
            </w:pPr>
            <w:r>
              <w:t>(…)</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CC989A8" w14:textId="578F0683" w:rsidR="00611BEF" w:rsidRPr="003D54D7" w:rsidRDefault="00611BEF" w:rsidP="00611BEF">
            <w:pPr>
              <w:jc w:val="both"/>
              <w:rPr>
                <w:rFonts w:eastAsia="Times New Roman" w:cs="Calibri"/>
              </w:rPr>
            </w:pPr>
            <w:r w:rsidRPr="003D54D7">
              <w:rPr>
                <w:rFonts w:eastAsia="Times New Roman" w:cs="Calibri"/>
              </w:rPr>
              <w:lastRenderedPageBreak/>
              <w:t>Zmiana ma na celu doprecyzowanie momentu rozpoczęcia biegu pięcioletniego terminu oraz zapewnienie spójności z art. 449. Sformułowanie „będąc świadomym jego używania” może powodować trudności dowodowe, ponieważ wymaga ustalenia, kiedy uprawniony rzeczywiście uzyskał wiedzę o używaniu zarejestrowanego znaku.</w:t>
            </w:r>
          </w:p>
          <w:p w14:paraId="0A848F57" w14:textId="6AB2CAF8" w:rsidR="00611BEF" w:rsidRDefault="00611BEF" w:rsidP="00611BEF">
            <w:pPr>
              <w:jc w:val="both"/>
            </w:pPr>
            <w:r w:rsidRPr="003D54D7">
              <w:rPr>
                <w:rFonts w:eastAsia="Times New Roman" w:cs="Calibri"/>
              </w:rPr>
              <w:lastRenderedPageBreak/>
              <w:t>Proponowane brzmienie wiąże początek terminu z obiektywnie określonym zdarzeniem, tj. dniem, w którym uprawniony dowiedział się o używaniu zarejestrowanego znaku. Należy przy tym ujednolicić tę regulację z art. 449, tak aby w obu przepisach początek biegu terminu był określany w ten sam sposób</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F42CE" w14:textId="5A6DBA15" w:rsidR="00611BEF" w:rsidRDefault="00611BEF" w:rsidP="00611BEF">
            <w:pPr>
              <w:jc w:val="both"/>
              <w:rPr>
                <w:rFonts w:eastAsia="Times New Roman" w:cs="Calibri"/>
                <w:i/>
                <w:iCs/>
              </w:rPr>
            </w:pPr>
            <w:r w:rsidRPr="0048016A">
              <w:rPr>
                <w:rFonts w:eastAsia="Times New Roman" w:cs="Calibri"/>
                <w:i/>
                <w:iCs/>
              </w:rPr>
              <w:lastRenderedPageBreak/>
              <w:t>Art. 256</w:t>
            </w:r>
          </w:p>
          <w:p w14:paraId="3DDA4B41" w14:textId="2DE9780C" w:rsidR="00611BEF" w:rsidRPr="0048016A" w:rsidRDefault="00611BEF" w:rsidP="00611BEF">
            <w:pPr>
              <w:jc w:val="both"/>
              <w:rPr>
                <w:i/>
                <w:iCs/>
              </w:rPr>
            </w:pPr>
            <w:r w:rsidRPr="0048016A">
              <w:rPr>
                <w:rFonts w:eastAsia="Times New Roman" w:cs="Calibri"/>
                <w:i/>
                <w:iCs/>
              </w:rPr>
              <w:t>1. Prawo ochronne na znak towarowy albo uznanie na terytorium Rzeczypospolitej Polskiej ochrony międzynarodowego znaku towarowego nie może być unieważnione:</w:t>
            </w:r>
          </w:p>
          <w:p w14:paraId="115F6A4F" w14:textId="77777777" w:rsidR="00611BEF" w:rsidRPr="0048016A" w:rsidRDefault="00611BEF" w:rsidP="00611BEF">
            <w:pPr>
              <w:jc w:val="both"/>
              <w:rPr>
                <w:rFonts w:eastAsia="Segoe UI" w:cs="Calibri"/>
                <w:i/>
                <w:iCs/>
              </w:rPr>
            </w:pPr>
            <w:r w:rsidRPr="0048016A">
              <w:rPr>
                <w:rFonts w:eastAsia="Segoe UI" w:cs="Calibri"/>
                <w:i/>
                <w:iCs/>
              </w:rPr>
              <w:lastRenderedPageBreak/>
              <w:t xml:space="preserve">1) z powodu kolizji z wcześniejszym znakiem lub naruszenia praw osobistych, lub majątkowych wnioskodawcy, jeżeli przez okres 5 kolejnych lat </w:t>
            </w:r>
            <w:r w:rsidRPr="0048016A">
              <w:rPr>
                <w:rFonts w:eastAsia="Segoe UI" w:cs="Calibri"/>
                <w:b/>
                <w:bCs/>
                <w:i/>
                <w:iCs/>
                <w:color w:val="EE0000"/>
              </w:rPr>
              <w:t xml:space="preserve">od </w:t>
            </w:r>
            <w:proofErr w:type="gramStart"/>
            <w:r w:rsidRPr="0048016A">
              <w:rPr>
                <w:rFonts w:eastAsia="Segoe UI" w:cs="Calibri"/>
                <w:b/>
                <w:bCs/>
                <w:i/>
                <w:iCs/>
                <w:color w:val="EE0000"/>
              </w:rPr>
              <w:t>dnia</w:t>
            </w:r>
            <w:proofErr w:type="gramEnd"/>
            <w:r w:rsidRPr="0048016A">
              <w:rPr>
                <w:rFonts w:eastAsia="Segoe UI" w:cs="Calibri"/>
                <w:b/>
                <w:bCs/>
                <w:i/>
                <w:iCs/>
                <w:color w:val="EE0000"/>
              </w:rPr>
              <w:t xml:space="preserve"> w którym dowiedział się o </w:t>
            </w:r>
            <w:r w:rsidRPr="0079377B">
              <w:rPr>
                <w:rFonts w:eastAsia="Segoe UI" w:cs="Calibri"/>
                <w:i/>
                <w:iCs/>
              </w:rPr>
              <w:t>używaniu</w:t>
            </w:r>
            <w:r w:rsidRPr="0048016A">
              <w:rPr>
                <w:rFonts w:eastAsia="Segoe UI" w:cs="Calibri"/>
                <w:i/>
                <w:iCs/>
                <w:color w:val="EE0000"/>
              </w:rPr>
              <w:t xml:space="preserve"> </w:t>
            </w:r>
            <w:r w:rsidRPr="0048016A">
              <w:rPr>
                <w:rFonts w:eastAsia="Segoe UI" w:cs="Calibri"/>
                <w:i/>
                <w:iCs/>
              </w:rPr>
              <w:t>zarejestrowanego znaku, nie sprzeciwiał się temu używaniu;</w:t>
            </w:r>
          </w:p>
          <w:p w14:paraId="66255C4E" w14:textId="6EF4DE2B" w:rsidR="00611BEF" w:rsidRPr="0048016A" w:rsidRDefault="00611BEF" w:rsidP="00611BEF">
            <w:pPr>
              <w:jc w:val="both"/>
              <w:rPr>
                <w:rFonts w:eastAsia="Times New Roman" w:cs="Calibri"/>
                <w:i/>
                <w:iCs/>
              </w:rPr>
            </w:pPr>
            <w:r w:rsidRPr="0048016A">
              <w:rPr>
                <w:rFonts w:eastAsia="Times New Roman" w:cs="Calibri"/>
                <w:i/>
                <w:iCs/>
              </w:rPr>
              <w:t>(…)</w:t>
            </w:r>
          </w:p>
        </w:tc>
      </w:tr>
      <w:tr w:rsidR="00611BEF" w14:paraId="0F73E40D" w14:textId="6C1F7B62"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D9EA68"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48BE08" w14:textId="3ED77B77" w:rsidR="00611BEF" w:rsidRDefault="00611BEF" w:rsidP="00611BEF">
            <w:pPr>
              <w:spacing w:after="160"/>
              <w:jc w:val="both"/>
              <w:rPr>
                <w:rFonts w:eastAsia="Aptos" w:cs="Calibri"/>
                <w:color w:val="000000"/>
              </w:rPr>
            </w:pPr>
            <w:r>
              <w:rPr>
                <w:rFonts w:eastAsia="Aptos" w:cs="Calibri"/>
                <w:color w:val="000000"/>
              </w:rPr>
              <w:t>Art. 338</w:t>
            </w:r>
          </w:p>
          <w:p w14:paraId="2C4E56F5" w14:textId="77777777" w:rsidR="00611BEF" w:rsidRDefault="00611BEF" w:rsidP="00611BEF">
            <w:pPr>
              <w:spacing w:after="160"/>
              <w:jc w:val="both"/>
              <w:rPr>
                <w:rFonts w:eastAsia="Aptos" w:cs="Calibri"/>
                <w:color w:val="000000"/>
              </w:rPr>
            </w:pPr>
            <w:r>
              <w:rPr>
                <w:rFonts w:eastAsia="Aptos" w:cs="Calibri"/>
                <w:color w:val="000000"/>
              </w:rPr>
              <w:t xml:space="preserve">1. Pełnomocnikiem strony w postępowaniu przed Urzędem Patentowym w sprawach dotyczących dokonywania i rozpatrywania zgłoszeń wynalazków, produktów leczniczych oraz środków ochrony roślin, wzorów użytkowych lub topografii, może być rzecznik patentowy lub osoba świadcząca usługi transgraniczne w </w:t>
            </w:r>
            <w:r>
              <w:rPr>
                <w:rFonts w:eastAsia="Aptos" w:cs="Calibri"/>
                <w:color w:val="000000"/>
              </w:rPr>
              <w:lastRenderedPageBreak/>
              <w:t>rozumieniu ustawy z dnia 11 kwietnia 2001 r. o rzecznikach patentowych (Dz. U. z 2026 r. poz. 778).</w:t>
            </w:r>
          </w:p>
          <w:p w14:paraId="640260FC" w14:textId="040E7BF8" w:rsidR="002F6281" w:rsidRDefault="002F6281" w:rsidP="00611BEF">
            <w:pPr>
              <w:spacing w:after="160"/>
              <w:jc w:val="both"/>
              <w:rPr>
                <w:rFonts w:eastAsia="Aptos" w:cs="Calibri"/>
                <w:color w:val="000000"/>
              </w:rPr>
            </w:pPr>
            <w:r w:rsidRPr="002F6281">
              <w:rPr>
                <w:rFonts w:eastAsia="Aptos" w:cs="Calibri"/>
                <w:color w:val="000000"/>
              </w:rPr>
              <w:t>2. Pełnomocnikiem strony w postępowaniu przed Urzędem Patentowym w sprawach dotyczących dokonywania i rozpatrywania zgłoszeń znaków towarowych i wzorów przemysłowych oraz w sprawach związanych z rozpatrywaniem wniosków o rejestrację oznaczeń geograficznych produktów rzemieślniczych i przemysłowych, może być rzecznik patentowy, adwokat, radca prawny lub osoba świadcząca usługi transgraniczne, o której mowa w ust. 1.</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DD1EB0" w14:textId="2A0A813E" w:rsidR="00611BEF" w:rsidRDefault="00F9151C" w:rsidP="00611BEF">
            <w:pPr>
              <w:jc w:val="both"/>
            </w:pPr>
            <w:r>
              <w:rPr>
                <w:rFonts w:eastAsia="Aptos" w:cs="Calibri"/>
              </w:rPr>
              <w:lastRenderedPageBreak/>
              <w:t>P</w:t>
            </w:r>
            <w:r w:rsidRPr="00F9151C">
              <w:rPr>
                <w:rFonts w:eastAsia="Aptos" w:cs="Calibri"/>
              </w:rPr>
              <w:t>roponujemy wyraźne rozgraniczenie spraw dotyczących praw własności przemysłowej z elementem technicznym od pozostałych spraw z zakresu własności intelektualnej. O ile prowadzenie spraw dotyczących tzw. miękkiego IP zostało otwarte także dla innych zawodów prawniczych, o tyle sprawy dotyczące praw wyłącznych z elementem technicznym powinny pozostać zastrzeżone dla rzeczników patentowych, których przygotowanie łączy wiedzę prawną z kwalifikacjami technicznymi niezbędnymi do zapewnienia stronom profesjonalnej pomocy.</w:t>
            </w:r>
            <w:r>
              <w:rPr>
                <w:rFonts w:eastAsia="Aptos" w:cs="Calibri"/>
              </w:rPr>
              <w:t xml:space="preserve"> </w:t>
            </w:r>
            <w:r w:rsidR="00611BEF">
              <w:rPr>
                <w:rFonts w:eastAsia="Aptos" w:cs="Calibri"/>
              </w:rPr>
              <w:t xml:space="preserve">Niezbędna jest </w:t>
            </w:r>
            <w:r>
              <w:rPr>
                <w:rFonts w:eastAsia="Aptos" w:cs="Calibri"/>
              </w:rPr>
              <w:t xml:space="preserve">zatem </w:t>
            </w:r>
            <w:r w:rsidR="00611BEF">
              <w:rPr>
                <w:rFonts w:eastAsia="Aptos" w:cs="Calibri"/>
              </w:rPr>
              <w:t xml:space="preserve">gwarancja wyłączności ustawowej dla rzeczników patentowych do prowadzenia wszelakich spraw dotyczących praw własności przemysłowej z elementem technicznym, w tym spraw spornych </w:t>
            </w:r>
            <w:r w:rsidR="00611BEF">
              <w:rPr>
                <w:rFonts w:eastAsia="Aptos" w:cs="Calibri"/>
              </w:rPr>
              <w:lastRenderedPageBreak/>
              <w:t>prowadzonych przed Kolegiami ds. spornych w UPRP. Proponujemy by radca prawny lub adwokat mógł występować przed Kolegiami ds. spornych w UPRP jedynie w towarzystwie rzecznika patentowego jako dodatkowy pełnomocnik.</w:t>
            </w:r>
          </w:p>
          <w:p w14:paraId="6DEF4696" w14:textId="18926323" w:rsidR="00611BEF" w:rsidRDefault="00611BEF" w:rsidP="00611BEF">
            <w:pPr>
              <w:jc w:val="both"/>
            </w:pPr>
            <w:r>
              <w:rPr>
                <w:rFonts w:eastAsia="Aptos" w:cs="Calibri"/>
              </w:rPr>
              <w:t xml:space="preserve">Skoro w dotychczas obowiązującej ustawie PWP rzecznicy patentowi mieli wyłączność </w:t>
            </w:r>
            <w:r>
              <w:rPr>
                <w:rFonts w:eastAsia="Aptos" w:cs="Calibri"/>
                <w:color w:val="000000"/>
              </w:rPr>
              <w:t xml:space="preserve">w sprawach dotyczących dokonywania i rozpatrywania zgłoszeń wynalazków, produktów leczniczych oraz środków ochrony roślin, wzorów użytkowych lub topografii, czyli na etapie kształtowania prawa wyłącznego poprzez podanie jego cech technicznych w zastrzeżeniach patentowych/ochronnych, to tym bardziej zasadne wydaje się jasne skodyfikowanie w ustawie PWP wyłączności rzeczników patentowych do prowadzenia postepowań spornych przed UPRP, w których prawa wyłączne zawierające aspekty techniczne </w:t>
            </w:r>
            <w:r>
              <w:rPr>
                <w:rFonts w:eastAsia="Aptos" w:cs="Calibri"/>
              </w:rPr>
              <w:t>mogą być</w:t>
            </w:r>
            <w:r>
              <w:rPr>
                <w:rFonts w:eastAsia="Aptos" w:cs="Calibri"/>
                <w:color w:val="000000"/>
              </w:rPr>
              <w:t xml:space="preserve"> unieważniane lub ograniczane poprzez zmianę zastrzeżeń patentowych/ochronnych opisujących te rozwiązania poprzez cechy techniczne. </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67FB" w14:textId="77777777" w:rsidR="00611BEF" w:rsidRPr="0048016A" w:rsidRDefault="00611BEF" w:rsidP="00611BEF">
            <w:pPr>
              <w:jc w:val="both"/>
              <w:rPr>
                <w:rFonts w:eastAsia="Aptos" w:cs="Calibri"/>
                <w:i/>
                <w:iCs/>
              </w:rPr>
            </w:pPr>
            <w:r w:rsidRPr="0048016A">
              <w:rPr>
                <w:rFonts w:eastAsia="Aptos" w:cs="Calibri"/>
                <w:i/>
                <w:iCs/>
              </w:rPr>
              <w:lastRenderedPageBreak/>
              <w:t xml:space="preserve">Art. 338 </w:t>
            </w:r>
          </w:p>
          <w:p w14:paraId="0ECD4389" w14:textId="3969AA29" w:rsidR="002F6281" w:rsidRPr="006F09A9" w:rsidRDefault="00611BEF" w:rsidP="00611BEF">
            <w:pPr>
              <w:jc w:val="both"/>
              <w:rPr>
                <w:rFonts w:eastAsia="Aptos" w:cs="Calibri"/>
                <w:b/>
                <w:bCs/>
                <w:i/>
                <w:iCs/>
                <w:color w:val="EE0000"/>
              </w:rPr>
            </w:pPr>
            <w:r w:rsidRPr="0048016A">
              <w:rPr>
                <w:rFonts w:eastAsia="Aptos" w:cs="Calibri"/>
                <w:i/>
                <w:iCs/>
              </w:rPr>
              <w:t>1. Pełnomocnikiem strony w postępowaniu przed Urzędem Patentowym w sprawach dotyczących dokonywania i rozpatrywania zgłoszeń</w:t>
            </w:r>
            <w:r w:rsidR="002F6281">
              <w:rPr>
                <w:rFonts w:eastAsia="Aptos" w:cs="Calibri"/>
                <w:i/>
                <w:iCs/>
              </w:rPr>
              <w:t xml:space="preserve"> </w:t>
            </w:r>
            <w:r w:rsidRPr="0048016A">
              <w:rPr>
                <w:rFonts w:eastAsia="Aptos" w:cs="Calibri"/>
                <w:i/>
                <w:iCs/>
              </w:rPr>
              <w:t xml:space="preserve">wynalazków, </w:t>
            </w:r>
            <w:r w:rsidRPr="0048016A">
              <w:rPr>
                <w:rFonts w:eastAsia="Aptos" w:cs="Calibri"/>
                <w:b/>
                <w:bCs/>
                <w:i/>
                <w:iCs/>
                <w:color w:val="EE0000"/>
              </w:rPr>
              <w:t>dodatkowych praw ochronnych dla</w:t>
            </w:r>
            <w:r w:rsidRPr="0048016A">
              <w:rPr>
                <w:rFonts w:eastAsia="Aptos" w:cs="Calibri"/>
                <w:i/>
                <w:iCs/>
              </w:rPr>
              <w:t xml:space="preserve"> produktów leczniczych oraz środków ochrony roślin, wzorów użytkowych lub topografii </w:t>
            </w:r>
            <w:r w:rsidRPr="0048016A">
              <w:rPr>
                <w:rFonts w:eastAsia="Aptos" w:cs="Calibri"/>
                <w:b/>
                <w:bCs/>
                <w:i/>
                <w:iCs/>
                <w:color w:val="EE0000"/>
              </w:rPr>
              <w:t xml:space="preserve">układów scalonych oraz walidacji patentów europejskich, </w:t>
            </w:r>
            <w:r w:rsidRPr="0048016A">
              <w:rPr>
                <w:rFonts w:eastAsia="Aptos" w:cs="Calibri"/>
                <w:b/>
                <w:bCs/>
                <w:i/>
                <w:iCs/>
                <w:color w:val="EE0000"/>
              </w:rPr>
              <w:lastRenderedPageBreak/>
              <w:t>utrzymywania ochrony wyżej wymienionych praw wyłącznych oraz w postępowaniu w sprawie dokonywania wpisów w rejestrach prowadzonych przez Urząd Patentowy dla wyżej wymienionych praw wyłącznych, a także w sprawach spornych dotyczących wyżej wymienionych praw wyłącznych</w:t>
            </w:r>
            <w:r w:rsidRPr="0048016A">
              <w:rPr>
                <w:rFonts w:eastAsia="Aptos" w:cs="Calibri"/>
                <w:i/>
                <w:iCs/>
              </w:rPr>
              <w:t xml:space="preserve">, może być rzecznik patentowy lub osoba świadcząca usługi transgraniczne w rozumieniu ustawy z dnia 11 kwietnia 2001 r. o rzecznikach patentowych (Dz. U. z 2026 r. poz. 778). </w:t>
            </w:r>
            <w:r w:rsidRPr="0048016A">
              <w:rPr>
                <w:rFonts w:eastAsia="Aptos" w:cs="Calibri"/>
                <w:b/>
                <w:bCs/>
                <w:i/>
                <w:iCs/>
                <w:color w:val="EE0000"/>
              </w:rPr>
              <w:t>Radca prawny lub adwokat może występować jako pełnomocnik przed Kolegiami ds. spornych w UPRP jedynie z rzecznikiem patentowym.</w:t>
            </w:r>
          </w:p>
        </w:tc>
      </w:tr>
      <w:tr w:rsidR="00611BEF" w14:paraId="23689CE9" w14:textId="1BCF65DC"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008E6D"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AB0190" w14:textId="77777777" w:rsidR="00611BEF" w:rsidRDefault="00611BEF" w:rsidP="00611BEF">
            <w:pPr>
              <w:jc w:val="both"/>
              <w:rPr>
                <w:rFonts w:eastAsia="Times New Roman" w:cs="Calibri"/>
                <w:b/>
                <w:bCs/>
              </w:rPr>
            </w:pPr>
            <w:r>
              <w:rPr>
                <w:rFonts w:eastAsia="Times New Roman" w:cs="Calibri"/>
                <w:b/>
                <w:bCs/>
              </w:rPr>
              <w:t>Art. 338</w:t>
            </w:r>
          </w:p>
          <w:p w14:paraId="6C64E547" w14:textId="42829997" w:rsidR="00611BEF" w:rsidRDefault="00611BEF" w:rsidP="00611BEF">
            <w:pPr>
              <w:jc w:val="both"/>
            </w:pPr>
            <w:r>
              <w:rPr>
                <w:rFonts w:eastAsia="Times New Roman" w:cs="Calibri"/>
              </w:rPr>
              <w:t xml:space="preserve">3. Pełnomocnikiem strony w postępowaniu przed Urzędem Patentowym w sprawach dotyczących utrzymywania ochrony praw wyłącznych oraz w </w:t>
            </w:r>
            <w:r>
              <w:rPr>
                <w:rFonts w:eastAsia="Times New Roman" w:cs="Calibri"/>
              </w:rPr>
              <w:lastRenderedPageBreak/>
              <w:t>postępowaniu w sprawie dokonywania wpisów w rejestrach prowadzonych przez Urząd Patentowy, może być rzecznik patentowy, adwokat, radca prawny lub osoba świadcząca usługi transgraniczne, o której mowa w ust. 1.</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82D0D6A" w14:textId="65DF388F" w:rsidR="00611BEF" w:rsidRDefault="00611BEF" w:rsidP="00611BEF">
            <w:pPr>
              <w:jc w:val="both"/>
            </w:pPr>
            <w:r>
              <w:rPr>
                <w:rFonts w:eastAsia="Lato" w:cs="Calibri"/>
              </w:rPr>
              <w:lastRenderedPageBreak/>
              <w:t>Warunkowo, w przypadku braku akceptacji dla naszego postulatu zmiany projektowanego art. 338 ust. 1, opowiadamy się za następującą modyfikacją przepisu art. 338 ust. 3</w:t>
            </w:r>
            <w:r w:rsidR="00F9151C">
              <w:rPr>
                <w:rFonts w:eastAsia="Lato" w:cs="Calibri"/>
              </w:rPr>
              <w:t>.</w:t>
            </w:r>
            <w:r>
              <w:rPr>
                <w:rFonts w:eastAsia="Lato" w:cs="Calibri"/>
              </w:rPr>
              <w:t xml:space="preserve"> Uproszczenia proceduralne powinny dotyczyć wyłącznie wpisów o charakterze ewidencyjnym, natomiast wpisy dotyczące nabycia, utraty lub obciążenia praw wyłącznych wymagają zachowania podwyższonych standardów reprezentacji z uwagi </w:t>
            </w:r>
            <w:r>
              <w:rPr>
                <w:rFonts w:eastAsia="Lato" w:cs="Calibri"/>
              </w:rPr>
              <w:lastRenderedPageBreak/>
              <w:t>na ich doniosłe skutki majątkowe. W przeciwieństwie do zwykłych praw majątkowych, przedmiotem licencji patentowej nie jest rzecz ani prawo jednoznacznie identyfikowane przez np. numer księgi wieczystej czy rejestru, lecz monopol wyłączny wyznaczony treścią zastrzeżeń patentowych. Prawidłowe określenie zakresu uprawnienia licencjobiorcy wymaga zatem rozumienia języka patentowego i technicznego znaczenia poszczególnych cech rozwiązania. Z tego względu czynności dotyczące licencji patentowych nie powinny być traktowane na równi z czynnościami ewidencyjnymi dotyczącymi zmiany adresu lub nazwy uprawnionego.</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E9B17" w14:textId="77777777" w:rsidR="00611BEF" w:rsidRPr="0048016A" w:rsidRDefault="00611BEF" w:rsidP="00611BEF">
            <w:pPr>
              <w:jc w:val="both"/>
              <w:rPr>
                <w:rFonts w:eastAsia="Times New Roman" w:cs="Calibri"/>
                <w:b/>
                <w:bCs/>
                <w:i/>
                <w:iCs/>
              </w:rPr>
            </w:pPr>
            <w:r w:rsidRPr="0048016A">
              <w:rPr>
                <w:rFonts w:eastAsia="Times New Roman" w:cs="Calibri"/>
                <w:b/>
                <w:bCs/>
                <w:i/>
                <w:iCs/>
              </w:rPr>
              <w:lastRenderedPageBreak/>
              <w:t>Art. 338</w:t>
            </w:r>
          </w:p>
          <w:p w14:paraId="7E836C81" w14:textId="3DB0B319" w:rsidR="00611BEF" w:rsidRPr="0048016A" w:rsidRDefault="00611BEF" w:rsidP="00611BEF">
            <w:pPr>
              <w:jc w:val="both"/>
              <w:rPr>
                <w:rFonts w:eastAsia="Lato" w:cs="Calibri"/>
                <w:i/>
                <w:iCs/>
              </w:rPr>
            </w:pPr>
            <w:r w:rsidRPr="0048016A">
              <w:rPr>
                <w:rFonts w:eastAsia="Times New Roman" w:cs="Calibri"/>
                <w:i/>
                <w:iCs/>
              </w:rPr>
              <w:t xml:space="preserve">3. </w:t>
            </w:r>
            <w:r w:rsidRPr="0048016A">
              <w:rPr>
                <w:rFonts w:eastAsia="Lato" w:cs="Calibri"/>
                <w:i/>
                <w:iCs/>
              </w:rPr>
              <w:t xml:space="preserve">Pełnomocnikiem strony w postępowaniu przed Urzędem Patentowym w sprawach dotyczących utrzymywania ochrony praw wyłącznych oraz </w:t>
            </w:r>
            <w:r w:rsidRPr="0048016A">
              <w:rPr>
                <w:rFonts w:eastAsia="Lato" w:cs="Calibri"/>
                <w:b/>
                <w:bCs/>
                <w:i/>
                <w:iCs/>
                <w:color w:val="EE0000"/>
              </w:rPr>
              <w:t xml:space="preserve">wpisu zmiany </w:t>
            </w:r>
            <w:r w:rsidRPr="0048016A">
              <w:rPr>
                <w:rFonts w:eastAsia="Lato" w:cs="Calibri"/>
                <w:b/>
                <w:bCs/>
                <w:i/>
                <w:iCs/>
                <w:color w:val="EE0000"/>
              </w:rPr>
              <w:lastRenderedPageBreak/>
              <w:t>nazwy (firmy), adresu, siedziby lub innych danych ewidencyjnych uprawnionego</w:t>
            </w:r>
            <w:r w:rsidRPr="0048016A">
              <w:rPr>
                <w:rFonts w:eastAsia="Lato" w:cs="Calibri"/>
                <w:i/>
                <w:iCs/>
              </w:rPr>
              <w:t xml:space="preserve"> w rejestrach prowadzonych przez Urząd Patentowy może być rzecznik patentowy, adwokat, radca prawny lub osoba świadcząca usługi transgraniczne, o której mowa w ust. 1. </w:t>
            </w:r>
            <w:r w:rsidRPr="0048016A">
              <w:rPr>
                <w:rFonts w:eastAsia="Lato" w:cs="Calibri"/>
                <w:b/>
                <w:bCs/>
                <w:i/>
                <w:iCs/>
                <w:color w:val="EE0000"/>
              </w:rPr>
              <w:t>Przepis nie dotyczy postępowań dotyczących wpisu przeniesienia prawa, licencji, zastawu, użytkowania, ograniczenia prawa ani innych wpisów odnoszących się do rozporządzania prawem wyłącznym.</w:t>
            </w:r>
          </w:p>
        </w:tc>
      </w:tr>
      <w:tr w:rsidR="00611BEF" w14:paraId="57E1D5B1" w14:textId="2419F50F"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5864B7"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34428F" w14:textId="2B93CD88" w:rsidR="00611BEF" w:rsidRDefault="00611BEF" w:rsidP="00611BEF">
            <w:pPr>
              <w:jc w:val="both"/>
              <w:rPr>
                <w:rFonts w:eastAsia="Times New Roman" w:cs="Calibri"/>
              </w:rPr>
            </w:pPr>
            <w:r>
              <w:rPr>
                <w:rFonts w:eastAsia="Times New Roman" w:cs="Calibri"/>
              </w:rPr>
              <w:t xml:space="preserve">Art. 339 </w:t>
            </w:r>
          </w:p>
          <w:p w14:paraId="7D1CCB05" w14:textId="2B0530F7" w:rsidR="00611BEF" w:rsidRDefault="00611BEF" w:rsidP="00611BEF">
            <w:pPr>
              <w:jc w:val="both"/>
            </w:pPr>
            <w:r>
              <w:rPr>
                <w:rFonts w:eastAsia="Times New Roman" w:cs="Calibri"/>
              </w:rPr>
              <w:t>1. Pełnomocnikiem strony do jednej czynności może być tylko jedna osoba fizyczna.</w:t>
            </w:r>
          </w:p>
          <w:p w14:paraId="05D981DE" w14:textId="77777777" w:rsidR="00611BEF" w:rsidRDefault="00611BEF" w:rsidP="00611BEF">
            <w:pPr>
              <w:jc w:val="both"/>
              <w:rPr>
                <w:rFonts w:eastAsia="Times New Roman" w:cs="Calibri"/>
              </w:rPr>
            </w:pPr>
          </w:p>
          <w:p w14:paraId="3980D3D2" w14:textId="77777777" w:rsidR="00611BEF" w:rsidRDefault="00611BEF" w:rsidP="00611BEF">
            <w:pPr>
              <w:jc w:val="both"/>
              <w:rPr>
                <w:rFonts w:eastAsia="Times New Roman" w:cs="Calibri"/>
              </w:rPr>
            </w:pPr>
          </w:p>
          <w:p w14:paraId="3EEAC5A6" w14:textId="673B3209" w:rsidR="00611BEF" w:rsidRDefault="00611BEF" w:rsidP="00611BEF">
            <w:pPr>
              <w:jc w:val="both"/>
              <w:rPr>
                <w:rFonts w:eastAsia="Times New Roman" w:cs="Calibri"/>
              </w:rPr>
            </w:pPr>
            <w:r>
              <w:rPr>
                <w:rFonts w:eastAsia="Times New Roman" w:cs="Calibri"/>
              </w:rPr>
              <w:t>(…)</w:t>
            </w:r>
          </w:p>
          <w:p w14:paraId="73696213" w14:textId="69F59BB3" w:rsidR="00611BEF" w:rsidRDefault="00611BEF" w:rsidP="00611BEF">
            <w:pPr>
              <w:jc w:val="both"/>
              <w:rPr>
                <w:rFonts w:eastAsia="Times New Roman" w:cs="Calibri"/>
              </w:rPr>
            </w:pPr>
            <w:r>
              <w:rPr>
                <w:rFonts w:eastAsia="Times New Roman" w:cs="Calibri"/>
              </w:rPr>
              <w:lastRenderedPageBreak/>
              <w:t xml:space="preserve">Art. 340 </w:t>
            </w:r>
          </w:p>
          <w:p w14:paraId="5CF85904" w14:textId="186CBE52" w:rsidR="00611BEF" w:rsidRPr="006C4A6C" w:rsidRDefault="00611BEF" w:rsidP="00611BEF">
            <w:pPr>
              <w:jc w:val="both"/>
              <w:rPr>
                <w:rFonts w:eastAsia="Times New Roman" w:cs="Calibri"/>
              </w:rPr>
            </w:pPr>
            <w:r>
              <w:rPr>
                <w:rFonts w:eastAsia="Times New Roman" w:cs="Calibri"/>
              </w:rPr>
              <w:t>1. Jeżeli w sprawie działał pełnomocnik, a zostanie ustanowiony przez stronę inny pełnomocnik z tym samym zakresem działania, uważa się, że pierwsze pełnomocnictwo zostało odwołane.</w:t>
            </w:r>
            <w:r>
              <w:rPr>
                <w:rFonts w:eastAsia="Times New Roman" w:cs="Calibri"/>
              </w:rPr>
              <w:br/>
            </w:r>
          </w:p>
          <w:p w14:paraId="54A57979" w14:textId="061E3F11" w:rsidR="00611BEF" w:rsidRDefault="00611BEF" w:rsidP="00611BEF">
            <w:pPr>
              <w:jc w:val="both"/>
            </w:pPr>
            <w:r w:rsidRPr="006C4A6C">
              <w:t>2. Jeżeli pełnomocnictwo obejmuje kilka osób ustanowionych do tych samych czynności, za pełnomocnika uważa się tego z nich, który dokonał czynności i dołączył pełnomocnictwo do akt. Przy podjęciu czynności przez inną wymienioną w pełnomocnictwie osobę przepisy ust. 1 oraz art. 339 ust. 3 stosuje się odpowiednio.</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75498CB" w14:textId="1ECE0A63" w:rsidR="00611BEF" w:rsidRDefault="00611BEF" w:rsidP="00611BEF">
            <w:pPr>
              <w:jc w:val="both"/>
            </w:pPr>
            <w:r>
              <w:rPr>
                <w:rFonts w:eastAsia="Lato" w:cs="Calibri"/>
              </w:rPr>
              <w:lastRenderedPageBreak/>
              <w:t xml:space="preserve">W dzisiejszych realiach sprawy za zakresu tzw. twardego IP nierzadko dotyczą kilku odległych dziedzin techniki, a co za tym idzie reprezentacja przez jednego rzecznika patentowego może być niewystarczająca dla rzetelnego prowadzenia postępowania. Co więcej, istotnym aspektem wielu postępowań są również zagadnienia prawne na gruncie przepisów wspólnotowych, a niekiedy również innych krajów, co powoduje konieczność włączenie w poczet pełnomocników również prawników. W tej sytuacji wymóg ustanawiania w sprawie wyłącznie jednego </w:t>
            </w:r>
            <w:r>
              <w:rPr>
                <w:rFonts w:eastAsia="Lato" w:cs="Calibri"/>
              </w:rPr>
              <w:lastRenderedPageBreak/>
              <w:t>pełnomocnika do danej czynności jawi się jako niepotrzebny archaizm.</w:t>
            </w:r>
          </w:p>
          <w:p w14:paraId="0376A11B" w14:textId="77777777" w:rsidR="00611BEF" w:rsidRDefault="00611BEF" w:rsidP="00611BEF">
            <w:pPr>
              <w:jc w:val="both"/>
            </w:pPr>
            <w:r>
              <w:rPr>
                <w:rFonts w:eastAsia="Lato" w:cs="Calibri"/>
              </w:rPr>
              <w:t>Strona powinna mieć prawo powoływania więcej niż jednego pełnomocnika w sprawie, a powołanie kolejnego pełnomocnika do danej czynności nie może być uznawane jako odwołanie wcześniej udzielonego pełnomocnictwa - temu służy czynność odwołania pełnomocnictwa.</w:t>
            </w:r>
          </w:p>
          <w:p w14:paraId="790F37EF" w14:textId="77777777" w:rsidR="00611BEF" w:rsidRDefault="00611BEF" w:rsidP="00611BEF">
            <w:pPr>
              <w:jc w:val="both"/>
              <w:rPr>
                <w:rFonts w:eastAsia="Lato" w:cs="Calibri"/>
              </w:rPr>
            </w:pPr>
            <w:r>
              <w:rPr>
                <w:rFonts w:eastAsia="Lato" w:cs="Calibri"/>
              </w:rPr>
              <w:t xml:space="preserve">W odniesieniu do ustanowienia przez stronę więcej niż jednego pełnomocnika do danej czynności, konieczne jest wprowadzenie wymogu wskazania wspólnego adresu do doręczeń dla wszystkich ustanowionych w sprawie pełnomocników łącznie. Jeżeli w sprawie powoływany jest nowy pełnomocnik, poprzednie pełnomocnictwa nie są uznawane za odwołane i dołącza on do grona wcześniej powołanych pełnomocników a adres do doręczeń pozostaje niezmieniony, chyba, że strona wskaże nowy adres do doręczeń. </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395BB" w14:textId="4261B5E7" w:rsidR="00611BEF" w:rsidRPr="0048016A" w:rsidRDefault="00611BEF" w:rsidP="00611BEF">
            <w:pPr>
              <w:jc w:val="both"/>
              <w:rPr>
                <w:rFonts w:eastAsia="Times New Roman" w:cs="Calibri"/>
                <w:i/>
                <w:iCs/>
              </w:rPr>
            </w:pPr>
            <w:r w:rsidRPr="0048016A">
              <w:rPr>
                <w:rFonts w:eastAsia="Times New Roman" w:cs="Calibri"/>
                <w:i/>
                <w:iCs/>
              </w:rPr>
              <w:lastRenderedPageBreak/>
              <w:t xml:space="preserve">Art. 339 </w:t>
            </w:r>
          </w:p>
          <w:p w14:paraId="562403FE" w14:textId="77777777" w:rsidR="00611BEF" w:rsidRPr="0048016A" w:rsidRDefault="00611BEF" w:rsidP="00611BEF">
            <w:pPr>
              <w:jc w:val="both"/>
              <w:rPr>
                <w:i/>
                <w:iCs/>
              </w:rPr>
            </w:pPr>
            <w:r w:rsidRPr="0048016A">
              <w:rPr>
                <w:rFonts w:eastAsia="Times New Roman" w:cs="Calibri"/>
                <w:i/>
                <w:iCs/>
              </w:rPr>
              <w:t xml:space="preserve">1. Pełnomocnikiem strony do jednej czynności może być </w:t>
            </w:r>
            <w:r w:rsidRPr="0048016A">
              <w:rPr>
                <w:rFonts w:eastAsia="Times New Roman" w:cs="Calibri"/>
                <w:i/>
                <w:iCs/>
                <w:strike/>
                <w:color w:val="EE0000"/>
              </w:rPr>
              <w:t>tylko</w:t>
            </w:r>
            <w:r w:rsidRPr="0048016A">
              <w:rPr>
                <w:rFonts w:eastAsia="Times New Roman" w:cs="Calibri"/>
                <w:i/>
                <w:iCs/>
                <w:color w:val="EE0000"/>
              </w:rPr>
              <w:t xml:space="preserve"> </w:t>
            </w:r>
            <w:r w:rsidRPr="0048016A">
              <w:rPr>
                <w:rFonts w:eastAsia="Times New Roman" w:cs="Calibri"/>
                <w:i/>
                <w:iCs/>
              </w:rPr>
              <w:t xml:space="preserve">jedna osoba fizyczna </w:t>
            </w:r>
            <w:r w:rsidRPr="0048016A">
              <w:rPr>
                <w:rFonts w:eastAsia="Times New Roman" w:cs="Calibri"/>
                <w:b/>
                <w:bCs/>
                <w:i/>
                <w:iCs/>
                <w:color w:val="EE0000"/>
              </w:rPr>
              <w:t>albo kilka osób fizycznych pod warunkiem wskazania wspólnego dla wszystkich pełnomocników adresu do doręczeń.</w:t>
            </w:r>
          </w:p>
          <w:p w14:paraId="3EBA180A" w14:textId="77777777" w:rsidR="00611BEF" w:rsidRPr="0048016A" w:rsidRDefault="00611BEF" w:rsidP="00611BEF">
            <w:pPr>
              <w:jc w:val="both"/>
              <w:rPr>
                <w:rFonts w:eastAsia="Times New Roman" w:cs="Calibri"/>
                <w:i/>
                <w:iCs/>
              </w:rPr>
            </w:pPr>
            <w:r w:rsidRPr="0048016A">
              <w:rPr>
                <w:rFonts w:eastAsia="Times New Roman" w:cs="Calibri"/>
                <w:i/>
                <w:iCs/>
              </w:rPr>
              <w:lastRenderedPageBreak/>
              <w:t>(…)</w:t>
            </w:r>
          </w:p>
          <w:p w14:paraId="04391FA3" w14:textId="77777777" w:rsidR="00611BEF" w:rsidRPr="0048016A" w:rsidRDefault="00611BEF" w:rsidP="00611BEF">
            <w:pPr>
              <w:jc w:val="both"/>
              <w:rPr>
                <w:rFonts w:eastAsia="Times New Roman" w:cs="Calibri"/>
                <w:i/>
                <w:iCs/>
                <w:strike/>
                <w:color w:val="EE0000"/>
              </w:rPr>
            </w:pPr>
            <w:r w:rsidRPr="0048016A">
              <w:rPr>
                <w:rFonts w:eastAsia="Times New Roman" w:cs="Calibri"/>
                <w:i/>
                <w:iCs/>
                <w:strike/>
                <w:color w:val="EE0000"/>
              </w:rPr>
              <w:t xml:space="preserve">Art. 340. </w:t>
            </w:r>
          </w:p>
          <w:p w14:paraId="1E7F6830" w14:textId="77777777" w:rsidR="00611BEF" w:rsidRPr="0048016A" w:rsidRDefault="00611BEF" w:rsidP="00611BEF">
            <w:pPr>
              <w:jc w:val="both"/>
              <w:rPr>
                <w:rFonts w:eastAsia="Times New Roman" w:cs="Calibri"/>
                <w:i/>
                <w:iCs/>
                <w:strike/>
                <w:color w:val="EE0000"/>
              </w:rPr>
            </w:pPr>
            <w:r w:rsidRPr="0048016A">
              <w:rPr>
                <w:rFonts w:eastAsia="Times New Roman" w:cs="Calibri"/>
                <w:i/>
                <w:iCs/>
                <w:strike/>
                <w:color w:val="EE0000"/>
              </w:rPr>
              <w:t>1. Jeżeli w sprawie działał pełnomocnik, a zostanie ustanowiony przez stronę inny pełnomocnik z tym samym zakresem działania, uważa się, że pierwsze pełnomocnictwo zostało odwołane.</w:t>
            </w:r>
          </w:p>
          <w:p w14:paraId="18CCC737" w14:textId="77777777" w:rsidR="00611BEF" w:rsidRPr="0048016A" w:rsidRDefault="00611BEF" w:rsidP="00611BEF">
            <w:pPr>
              <w:jc w:val="both"/>
              <w:rPr>
                <w:rFonts w:eastAsia="Times New Roman" w:cs="Calibri"/>
                <w:i/>
                <w:iCs/>
                <w:strike/>
                <w:color w:val="EE0000"/>
              </w:rPr>
            </w:pPr>
            <w:r w:rsidRPr="0048016A">
              <w:rPr>
                <w:rFonts w:eastAsia="Times New Roman" w:cs="Calibri"/>
                <w:i/>
                <w:iCs/>
                <w:strike/>
                <w:color w:val="EE0000"/>
              </w:rPr>
              <w:t>2. Jeżeli pełnomocnictwo obejmuje kilka osób ustanowionych do tych samych czynności, za pełnomocnika uważa się tego z nich, który dokonał czynności i dołączył pełnomocnictwo do akt. Przy podjęciu czynności przez inną wymienioną w pełnomocnictwie osobę przepisy ust. 1 oraz art. 339 ust. 3 stosuje się odpowiednio.</w:t>
            </w:r>
          </w:p>
          <w:p w14:paraId="12DB1233" w14:textId="77777777" w:rsidR="00611BEF" w:rsidRPr="0048016A" w:rsidRDefault="00611BEF" w:rsidP="00611BEF">
            <w:pPr>
              <w:jc w:val="both"/>
              <w:rPr>
                <w:rFonts w:eastAsia="Lato" w:cs="Calibri"/>
                <w:i/>
                <w:iCs/>
              </w:rPr>
            </w:pPr>
          </w:p>
        </w:tc>
      </w:tr>
      <w:tr w:rsidR="00611BEF" w14:paraId="3E03E2BF" w14:textId="1FCAB939"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CFC989"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E54BF5" w14:textId="16DBA4A9" w:rsidR="00611BEF" w:rsidRDefault="00611BEF" w:rsidP="00611BEF">
            <w:pPr>
              <w:jc w:val="both"/>
              <w:rPr>
                <w:rFonts w:eastAsia="Times New Roman" w:cs="Calibri"/>
              </w:rPr>
            </w:pPr>
            <w:r>
              <w:rPr>
                <w:rFonts w:eastAsia="Times New Roman" w:cs="Calibri"/>
              </w:rPr>
              <w:t>Art. 344</w:t>
            </w:r>
          </w:p>
          <w:p w14:paraId="77734543" w14:textId="24F9B6C4" w:rsidR="00611BEF" w:rsidRDefault="00611BEF" w:rsidP="00611BEF">
            <w:pPr>
              <w:jc w:val="both"/>
            </w:pPr>
            <w:r>
              <w:rPr>
                <w:rFonts w:eastAsia="Times New Roman" w:cs="Calibri"/>
              </w:rPr>
              <w:t xml:space="preserve">1. Rzecznik patentowy, adwokat, radca prawny lub osoba świadcząca usługi transgraniczne </w:t>
            </w:r>
            <w:r>
              <w:rPr>
                <w:rFonts w:eastAsia="Times New Roman" w:cs="Calibri"/>
              </w:rPr>
              <w:lastRenderedPageBreak/>
              <w:t>w rozumieniu ustawy o rzecznikach patentowych, działający jako pełnomocnik wnosi korespondencję przez system teleinformatyczny Urzędu Patentowego albo na zasadach określonych w ustawie o doręczeniach elektronicznych.</w:t>
            </w:r>
          </w:p>
          <w:p w14:paraId="1C3519E5" w14:textId="77777777" w:rsidR="00611BEF" w:rsidRDefault="00611BEF" w:rsidP="00611BEF">
            <w:pPr>
              <w:spacing w:after="0"/>
              <w:jc w:val="both"/>
              <w:rPr>
                <w:rFonts w:eastAsia="Times New Roman" w:cs="Calibri"/>
              </w:rPr>
            </w:pPr>
            <w:r>
              <w:rPr>
                <w:rFonts w:eastAsia="Times New Roman" w:cs="Calibri"/>
              </w:rPr>
              <w:t>5. Korespondencja wniesiona w inny sposób niż wskazany w ust. 1, nie wywołuje skutków prawnych, jakie przepisy prawa wiążą z jej wniesieniem, chyba że zachodzi przypadek, o którym mowa w ust. 3 i pełnomocnik uprawdopodobni okoliczności, o których mowa w ust. 4. Urząd Patentowy zawiadamia pełnomocnika o uznaniu korespondencji za nieskutecznie wniesioną.</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A879249" w14:textId="6AF7278B" w:rsidR="00611BEF" w:rsidRDefault="00611BEF" w:rsidP="00611BEF">
            <w:pPr>
              <w:jc w:val="both"/>
            </w:pPr>
            <w:r>
              <w:rPr>
                <w:rFonts w:eastAsia="Lato" w:cs="Calibri"/>
              </w:rPr>
              <w:lastRenderedPageBreak/>
              <w:t>Przepisy ust. 1 i 5 są niespójne z regulacją art. 346 ust. 1. Zasadnym jawi się pozostawienie pełnomocnikom możliwości wnoszenia korespondencji w postaci papierowej.</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72669" w14:textId="7D3F1EAD" w:rsidR="00611BEF" w:rsidRDefault="00611BEF" w:rsidP="00611BEF">
            <w:pPr>
              <w:jc w:val="both"/>
              <w:rPr>
                <w:rFonts w:eastAsia="Lato" w:cs="Calibri"/>
                <w:i/>
                <w:iCs/>
              </w:rPr>
            </w:pPr>
            <w:r w:rsidRPr="0048016A">
              <w:rPr>
                <w:rFonts w:eastAsia="Lato" w:cs="Calibri"/>
                <w:i/>
                <w:iCs/>
              </w:rPr>
              <w:t>Art. 344</w:t>
            </w:r>
          </w:p>
          <w:p w14:paraId="0303514A" w14:textId="3235E822" w:rsidR="00611BEF" w:rsidRPr="0048016A" w:rsidRDefault="00611BEF" w:rsidP="00611BEF">
            <w:pPr>
              <w:jc w:val="both"/>
              <w:rPr>
                <w:rFonts w:eastAsia="Lato" w:cs="Calibri"/>
                <w:i/>
                <w:iCs/>
              </w:rPr>
            </w:pPr>
            <w:r w:rsidRPr="0048016A">
              <w:rPr>
                <w:rFonts w:eastAsia="Lato" w:cs="Calibri"/>
                <w:i/>
                <w:iCs/>
              </w:rPr>
              <w:t xml:space="preserve">1. Rzecznik patentowy, adwokat, radca prawny lub osoba świadcząca usługi transgraniczne w rozumieniu </w:t>
            </w:r>
            <w:r w:rsidRPr="0048016A">
              <w:rPr>
                <w:rFonts w:eastAsia="Lato" w:cs="Calibri"/>
                <w:i/>
                <w:iCs/>
              </w:rPr>
              <w:lastRenderedPageBreak/>
              <w:t xml:space="preserve">ustawy o rzecznikach patentowych, działający jako pełnomocnik wnosi korespondencję się </w:t>
            </w:r>
            <w:r w:rsidRPr="0048016A">
              <w:rPr>
                <w:rFonts w:eastAsia="Lato" w:cs="Calibri"/>
                <w:b/>
                <w:bCs/>
                <w:i/>
                <w:iCs/>
                <w:color w:val="EE0000"/>
              </w:rPr>
              <w:t>w postaci papierowej albo</w:t>
            </w:r>
            <w:r w:rsidRPr="0048016A">
              <w:rPr>
                <w:rFonts w:eastAsia="Lato" w:cs="Calibri"/>
                <w:i/>
                <w:iCs/>
                <w:color w:val="EE0000"/>
              </w:rPr>
              <w:t xml:space="preserve"> </w:t>
            </w:r>
            <w:r w:rsidRPr="0048016A">
              <w:rPr>
                <w:rFonts w:eastAsia="Lato" w:cs="Calibri"/>
                <w:i/>
                <w:iCs/>
              </w:rPr>
              <w:t>przez  system teleinformatyczny Urzędu Patentowego albo na zasadach określonych w ustawie o doręczeniach elektronicznych.</w:t>
            </w:r>
          </w:p>
          <w:p w14:paraId="3F308F35" w14:textId="31524239" w:rsidR="00611BEF" w:rsidRPr="0048016A" w:rsidRDefault="00611BEF" w:rsidP="00611BEF">
            <w:pPr>
              <w:jc w:val="both"/>
              <w:rPr>
                <w:rFonts w:eastAsia="Lato" w:cs="Calibri"/>
                <w:i/>
                <w:iCs/>
              </w:rPr>
            </w:pPr>
            <w:r w:rsidRPr="0048016A">
              <w:rPr>
                <w:rFonts w:eastAsia="Lato" w:cs="Calibri"/>
                <w:i/>
                <w:iCs/>
                <w:strike/>
                <w:color w:val="EE0000"/>
              </w:rPr>
              <w:t>5. Korespondencja wniesiona w inny sposób niż wskazany w ust. 1, nie wywołuje skutków prawnych, jakie przepisy prawa wiążą z jej wniesieniem, chyba że zachodzi przypadek, o którym mowa w ust. 3 i pełnomocnik uprawdopodobni okoliczności, o których mowa w ust. 4. Urząd Patentowy zawiadamia pełnomocnika o uznaniu korespondencji za nieskutecznie wniesioną.</w:t>
            </w:r>
          </w:p>
        </w:tc>
      </w:tr>
      <w:tr w:rsidR="00611BEF" w14:paraId="1A3DE6AD" w14:textId="61565F5A"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1E8657"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513E40" w14:textId="77777777" w:rsidR="00611BEF" w:rsidRDefault="00611BEF" w:rsidP="00611BEF">
            <w:pPr>
              <w:spacing w:after="160"/>
              <w:jc w:val="both"/>
              <w:rPr>
                <w:rFonts w:eastAsia="Aptos" w:cs="Calibri"/>
              </w:rPr>
            </w:pPr>
            <w:r>
              <w:rPr>
                <w:rFonts w:eastAsia="Aptos" w:cs="Calibri"/>
              </w:rPr>
              <w:t>Art. 365 (patrz też komentarz do art. 85)</w:t>
            </w:r>
          </w:p>
          <w:p w14:paraId="0DAE4491" w14:textId="77777777" w:rsidR="00611BEF" w:rsidRDefault="00611BEF" w:rsidP="00611BEF">
            <w:pPr>
              <w:spacing w:after="160"/>
              <w:jc w:val="both"/>
              <w:rPr>
                <w:rFonts w:eastAsia="Aptos" w:cs="Calibri"/>
              </w:rPr>
            </w:pPr>
            <w:r w:rsidRPr="00EC524C">
              <w:rPr>
                <w:rFonts w:eastAsia="Aptos" w:cs="Calibri"/>
              </w:rPr>
              <w:lastRenderedPageBreak/>
              <w:t>1.</w:t>
            </w:r>
            <w:r>
              <w:rPr>
                <w:rFonts w:eastAsia="Aptos" w:cs="Calibri"/>
              </w:rPr>
              <w:t xml:space="preserve"> </w:t>
            </w:r>
            <w:r w:rsidRPr="00EC524C">
              <w:rPr>
                <w:rFonts w:eastAsia="Aptos" w:cs="Calibri"/>
              </w:rPr>
              <w:t>Urząd Patentowy, w trybie postępowania spornego, rozstrzyga sprawy o:</w:t>
            </w:r>
          </w:p>
          <w:p w14:paraId="4688556C" w14:textId="77777777" w:rsidR="00611BEF" w:rsidRDefault="00611BEF" w:rsidP="00611BEF">
            <w:pPr>
              <w:spacing w:after="160"/>
              <w:jc w:val="both"/>
              <w:rPr>
                <w:rFonts w:eastAsia="Aptos" w:cs="Calibri"/>
              </w:rPr>
            </w:pPr>
            <w:r>
              <w:rPr>
                <w:rFonts w:eastAsia="Aptos" w:cs="Calibri"/>
              </w:rPr>
              <w:t xml:space="preserve">(…) </w:t>
            </w:r>
          </w:p>
          <w:p w14:paraId="497ED238" w14:textId="64D70FBD" w:rsidR="00611BEF" w:rsidRPr="00CE00C6" w:rsidRDefault="00611BEF" w:rsidP="00611BEF">
            <w:pPr>
              <w:spacing w:after="160"/>
              <w:jc w:val="both"/>
              <w:rPr>
                <w:rFonts w:eastAsia="Aptos" w:cs="Calibri"/>
              </w:rPr>
            </w:pPr>
            <w:r w:rsidRPr="00832A4A">
              <w:rPr>
                <w:rFonts w:eastAsia="Aptos" w:cs="Calibri"/>
              </w:rPr>
              <w:t>13)</w:t>
            </w:r>
            <w:r w:rsidRPr="00832A4A">
              <w:rPr>
                <w:rFonts w:eastAsia="Aptos" w:cs="Calibri"/>
              </w:rPr>
              <w:tab/>
              <w:t>zmianę decyzji o udzieleniu licencji przymusowej.</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58F864" w14:textId="73DD8591" w:rsidR="00611BEF" w:rsidRDefault="00611BEF" w:rsidP="00611BEF">
            <w:pPr>
              <w:jc w:val="both"/>
            </w:pPr>
            <w:r>
              <w:rPr>
                <w:rFonts w:eastAsia="Aptos" w:cs="Calibri"/>
              </w:rPr>
              <w:lastRenderedPageBreak/>
              <w:t xml:space="preserve">Do katalogu spraw, które Urząd Patentowy rozstrzyga w trakcie postepowania spornego należy dodać postępowanie o stwierdzenie braku prawa do korzystania z uprzedniego pierwszeństwa. Obecnie brak jest przepisu, który wskazywałby na taką kompetencję Urzędu Patentowego w trakcie </w:t>
            </w:r>
            <w:r>
              <w:rPr>
                <w:rFonts w:eastAsia="Aptos" w:cs="Calibri"/>
              </w:rPr>
              <w:lastRenderedPageBreak/>
              <w:t>postępowania spornego, zaś kwestia ta jest jedną z kluczowych dla prawidłowego określenia daty pierwszeństwa.</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36358" w14:textId="77777777" w:rsidR="00611BEF" w:rsidRPr="0048016A" w:rsidRDefault="00611BEF" w:rsidP="00611BEF">
            <w:pPr>
              <w:jc w:val="both"/>
              <w:rPr>
                <w:rFonts w:eastAsia="Times New Roman" w:cs="Calibri"/>
                <w:i/>
                <w:iCs/>
              </w:rPr>
            </w:pPr>
            <w:r w:rsidRPr="0048016A">
              <w:rPr>
                <w:rFonts w:eastAsia="Times New Roman" w:cs="Calibri"/>
                <w:i/>
                <w:iCs/>
              </w:rPr>
              <w:lastRenderedPageBreak/>
              <w:t>Art. 365 (patrz też komentarz do art. 85)</w:t>
            </w:r>
          </w:p>
          <w:p w14:paraId="51C70142" w14:textId="77777777" w:rsidR="00611BEF" w:rsidRPr="0048016A" w:rsidRDefault="00611BEF" w:rsidP="00611BEF">
            <w:pPr>
              <w:jc w:val="both"/>
              <w:rPr>
                <w:rFonts w:eastAsia="Times New Roman" w:cs="Calibri"/>
                <w:i/>
                <w:iCs/>
              </w:rPr>
            </w:pPr>
            <w:r w:rsidRPr="0048016A">
              <w:rPr>
                <w:rFonts w:eastAsia="Times New Roman" w:cs="Calibri"/>
                <w:i/>
                <w:iCs/>
              </w:rPr>
              <w:lastRenderedPageBreak/>
              <w:t>1. Urząd Patentowy, w trybie postępowania spornego, rozstrzyga sprawy o:</w:t>
            </w:r>
          </w:p>
          <w:p w14:paraId="5A881618" w14:textId="77777777" w:rsidR="00611BEF" w:rsidRPr="0048016A" w:rsidRDefault="00611BEF" w:rsidP="00611BEF">
            <w:pPr>
              <w:jc w:val="both"/>
              <w:rPr>
                <w:rFonts w:eastAsia="Times New Roman" w:cs="Calibri"/>
                <w:i/>
                <w:iCs/>
              </w:rPr>
            </w:pPr>
            <w:r w:rsidRPr="0048016A">
              <w:rPr>
                <w:rFonts w:eastAsia="Times New Roman" w:cs="Calibri"/>
                <w:i/>
                <w:iCs/>
              </w:rPr>
              <w:t xml:space="preserve">(…) </w:t>
            </w:r>
          </w:p>
          <w:p w14:paraId="31C47DBF" w14:textId="77777777" w:rsidR="00611BEF" w:rsidRPr="0048016A" w:rsidRDefault="00611BEF" w:rsidP="00611BEF">
            <w:pPr>
              <w:jc w:val="both"/>
              <w:rPr>
                <w:rFonts w:eastAsia="Times New Roman" w:cs="Calibri"/>
                <w:i/>
                <w:iCs/>
                <w:color w:val="EE0000"/>
              </w:rPr>
            </w:pPr>
            <w:r w:rsidRPr="0048016A">
              <w:rPr>
                <w:rFonts w:eastAsia="Times New Roman" w:cs="Calibri"/>
                <w:i/>
                <w:iCs/>
              </w:rPr>
              <w:t>13)</w:t>
            </w:r>
            <w:r w:rsidRPr="0048016A">
              <w:rPr>
                <w:rFonts w:eastAsia="Times New Roman" w:cs="Calibri"/>
                <w:i/>
                <w:iCs/>
              </w:rPr>
              <w:tab/>
              <w:t>zmianę decyzji o udzieleniu licencji przymusowej</w:t>
            </w:r>
            <w:r w:rsidRPr="0048016A">
              <w:rPr>
                <w:rFonts w:eastAsia="Times New Roman" w:cs="Calibri"/>
                <w:i/>
                <w:iCs/>
                <w:color w:val="EE0000"/>
              </w:rPr>
              <w:t>;</w:t>
            </w:r>
          </w:p>
          <w:p w14:paraId="4994E513" w14:textId="5A18D8DC" w:rsidR="00611BEF" w:rsidRPr="0048016A" w:rsidRDefault="00611BEF" w:rsidP="00611BEF">
            <w:pPr>
              <w:jc w:val="both"/>
              <w:rPr>
                <w:rFonts w:eastAsia="Aptos" w:cs="Calibri"/>
                <w:i/>
                <w:iCs/>
              </w:rPr>
            </w:pPr>
            <w:r w:rsidRPr="0048016A">
              <w:rPr>
                <w:rFonts w:eastAsia="Times New Roman" w:cs="Calibri"/>
                <w:b/>
                <w:bCs/>
                <w:i/>
                <w:iCs/>
                <w:color w:val="EE0000"/>
              </w:rPr>
              <w:t>14) stwierdzenie braku prawa do korzystania z uprzedniego pierwszeństwa.</w:t>
            </w:r>
          </w:p>
        </w:tc>
      </w:tr>
      <w:tr w:rsidR="00611BEF" w14:paraId="43E46F9F" w14:textId="43DBC294"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7463A"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FD4BCD" w14:textId="20B36C80" w:rsidR="00611BEF" w:rsidRPr="00741F5F" w:rsidRDefault="00611BEF" w:rsidP="00611BEF">
            <w:pPr>
              <w:jc w:val="both"/>
              <w:rPr>
                <w:rFonts w:eastAsia="Aptos" w:cs="Calibri"/>
              </w:rPr>
            </w:pPr>
            <w:r w:rsidRPr="00741F5F">
              <w:rPr>
                <w:rFonts w:eastAsia="Aptos" w:cs="Calibri"/>
              </w:rPr>
              <w:t>Art. 368</w:t>
            </w:r>
          </w:p>
          <w:p w14:paraId="1EDDEE92" w14:textId="2BE39567" w:rsidR="00611BEF" w:rsidRPr="00741F5F" w:rsidRDefault="00611BEF" w:rsidP="00611BEF">
            <w:pPr>
              <w:jc w:val="both"/>
              <w:rPr>
                <w:rFonts w:eastAsia="Aptos" w:cs="Calibri"/>
              </w:rPr>
            </w:pPr>
            <w:r w:rsidRPr="00741F5F">
              <w:rPr>
                <w:rFonts w:eastAsia="Aptos" w:cs="Calibri"/>
              </w:rPr>
              <w:t>3. Urząd Patentowy doręcza uprawnionemu odpis odpowiedzi wnioskodawcy oraz wyznacza termin na odniesienie się do stanowiska i dowodów, o których mowa w ust. 2.</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7AEEA1F" w14:textId="77777777" w:rsidR="00611BEF" w:rsidRDefault="0027533C" w:rsidP="00611BEF">
            <w:pPr>
              <w:spacing w:after="160"/>
              <w:jc w:val="both"/>
              <w:rPr>
                <w:rFonts w:eastAsia="Aptos" w:cs="Calibri"/>
                <w:color w:val="000000"/>
              </w:rPr>
            </w:pPr>
            <w:r w:rsidRPr="0027533C">
              <w:rPr>
                <w:rFonts w:eastAsia="Aptos" w:cs="Calibri"/>
                <w:color w:val="000000"/>
              </w:rPr>
              <w:t>Proponowana zmiana ma usprawnić postępowania sporne przed UPRP i zwiększyć przewidywalność ich przebiegu. Decyzja wraz z jej zasadniczymi motywami powinna być co do zasady ogłaszana bezpośrednio po zamknięciu rozprawy. Jedynie w sprawach zawiłych dopuszczalne byłoby odroczenie jej ogłoszenia, nie dłużej jednak niż o 30 dni i ze wskazaniem terminu ogłoszenia już przy zamknięciu rozprawy. Wprowadzenie wiążącego 30-dniowego terminu na sporządzenie i doręczenie pisemnego uzasadnienia wyeliminuje wielomiesięczne oczekiwanie na uzasadnienie i umożliwi stronom sprawne podjęcie dalszych czynności procesowych.</w:t>
            </w:r>
          </w:p>
          <w:p w14:paraId="799E2AFF" w14:textId="12860745" w:rsidR="00292AF2" w:rsidRPr="00741F5F" w:rsidRDefault="00292AF2" w:rsidP="00611BEF">
            <w:pPr>
              <w:spacing w:after="160"/>
              <w:jc w:val="both"/>
              <w:rPr>
                <w:rFonts w:eastAsia="Aptos" w:cs="Calibri"/>
                <w:color w:val="000000"/>
              </w:rPr>
            </w:pPr>
            <w:r>
              <w:rPr>
                <w:rFonts w:eastAsia="Aptos" w:cs="Calibri"/>
                <w:color w:val="000000"/>
              </w:rPr>
              <w:t xml:space="preserve">Celem proponowanych zmian do art. </w:t>
            </w:r>
            <w:r w:rsidR="00235422">
              <w:rPr>
                <w:rFonts w:eastAsia="Aptos" w:cs="Calibri"/>
                <w:color w:val="000000"/>
              </w:rPr>
              <w:t>368 oraz 37</w:t>
            </w:r>
            <w:r w:rsidR="00B20DB5">
              <w:rPr>
                <w:rFonts w:eastAsia="Aptos" w:cs="Calibri"/>
                <w:color w:val="000000"/>
              </w:rPr>
              <w:t>3</w:t>
            </w:r>
            <w:r w:rsidR="00AA7146">
              <w:rPr>
                <w:rFonts w:eastAsia="Aptos" w:cs="Calibri"/>
                <w:color w:val="000000"/>
              </w:rPr>
              <w:t xml:space="preserve"> (wst</w:t>
            </w:r>
            <w:r w:rsidR="00B31941">
              <w:rPr>
                <w:rFonts w:eastAsia="Aptos" w:cs="Calibri"/>
                <w:color w:val="000000"/>
              </w:rPr>
              <w:t>ę</w:t>
            </w:r>
            <w:r w:rsidR="00AA7146">
              <w:rPr>
                <w:rFonts w:eastAsia="Aptos" w:cs="Calibri"/>
                <w:color w:val="000000"/>
              </w:rPr>
              <w:t xml:space="preserve">pna, </w:t>
            </w:r>
            <w:r w:rsidR="00B31941">
              <w:rPr>
                <w:rFonts w:eastAsia="Aptos" w:cs="Calibri"/>
                <w:color w:val="000000"/>
              </w:rPr>
              <w:t>niewiążąca</w:t>
            </w:r>
            <w:r w:rsidR="00AA7146">
              <w:rPr>
                <w:rFonts w:eastAsia="Aptos" w:cs="Calibri"/>
                <w:color w:val="000000"/>
              </w:rPr>
              <w:t xml:space="preserve"> opinia UPRP sporządzana</w:t>
            </w:r>
            <w:r w:rsidR="001849BE">
              <w:rPr>
                <w:rFonts w:eastAsia="Aptos" w:cs="Calibri"/>
                <w:color w:val="000000"/>
              </w:rPr>
              <w:t xml:space="preserve"> i doręczona stronom</w:t>
            </w:r>
            <w:r w:rsidR="00AA7146">
              <w:rPr>
                <w:rFonts w:eastAsia="Aptos" w:cs="Calibri"/>
                <w:color w:val="000000"/>
              </w:rPr>
              <w:t xml:space="preserve"> przed rozpraw</w:t>
            </w:r>
            <w:r w:rsidR="001849BE">
              <w:rPr>
                <w:rFonts w:eastAsia="Aptos" w:cs="Calibri"/>
                <w:color w:val="000000"/>
              </w:rPr>
              <w:t>ą</w:t>
            </w:r>
            <w:r w:rsidR="00B31941">
              <w:rPr>
                <w:rFonts w:eastAsia="Aptos" w:cs="Calibri"/>
                <w:color w:val="000000"/>
              </w:rPr>
              <w:t xml:space="preserve">, </w:t>
            </w:r>
            <w:r w:rsidR="00AA7146">
              <w:rPr>
                <w:rFonts w:eastAsia="Aptos" w:cs="Calibri"/>
                <w:color w:val="000000"/>
              </w:rPr>
              <w:t xml:space="preserve">rozprawa na jednym </w:t>
            </w:r>
            <w:r w:rsidR="00B31941">
              <w:rPr>
                <w:rFonts w:eastAsia="Aptos" w:cs="Calibri"/>
                <w:color w:val="000000"/>
              </w:rPr>
              <w:t>posiedzeniu</w:t>
            </w:r>
            <w:r w:rsidR="00AA7146">
              <w:rPr>
                <w:rFonts w:eastAsia="Aptos" w:cs="Calibri"/>
                <w:color w:val="000000"/>
              </w:rPr>
              <w:t xml:space="preserve"> zakończona ustną decyzją)</w:t>
            </w:r>
            <w:r w:rsidR="00F103C7">
              <w:rPr>
                <w:rFonts w:eastAsia="Aptos" w:cs="Calibri"/>
                <w:color w:val="000000"/>
              </w:rPr>
              <w:t xml:space="preserve"> jest przyspieszenie postępowań spornych przed</w:t>
            </w:r>
            <w:r w:rsidR="00A751D9">
              <w:rPr>
                <w:rFonts w:eastAsia="Aptos" w:cs="Calibri"/>
                <w:color w:val="000000"/>
              </w:rPr>
              <w:t xml:space="preserve"> </w:t>
            </w:r>
            <w:r w:rsidR="00A751D9" w:rsidRPr="00741F5F">
              <w:rPr>
                <w:rFonts w:eastAsia="Aptos" w:cs="Calibri"/>
                <w:color w:val="000000"/>
              </w:rPr>
              <w:lastRenderedPageBreak/>
              <w:t>Kolegiami ds. Spornych przed UPRP</w:t>
            </w:r>
            <w:r w:rsidR="00A751D9">
              <w:rPr>
                <w:rFonts w:eastAsia="Aptos" w:cs="Calibri"/>
                <w:color w:val="000000"/>
              </w:rPr>
              <w:t xml:space="preserve"> poprzez zaimplementowani</w:t>
            </w:r>
            <w:r w:rsidR="0008086E">
              <w:rPr>
                <w:rFonts w:eastAsia="Aptos" w:cs="Calibri"/>
                <w:color w:val="000000"/>
              </w:rPr>
              <w:t>e</w:t>
            </w:r>
            <w:r w:rsidR="00A751D9">
              <w:rPr>
                <w:rFonts w:eastAsia="Aptos" w:cs="Calibri"/>
                <w:color w:val="000000"/>
              </w:rPr>
              <w:t xml:space="preserve"> sprawdzonych i skutecznych rozwiązań znanych z </w:t>
            </w:r>
            <w:r w:rsidR="00D00134" w:rsidRPr="00741F5F">
              <w:rPr>
                <w:rFonts w:eastAsia="Aptos" w:cs="Calibri"/>
                <w:color w:val="000000"/>
              </w:rPr>
              <w:t>postepowań sprzeciwowych przed EPO</w:t>
            </w:r>
            <w:r w:rsidR="00D00134">
              <w:rPr>
                <w:rFonts w:eastAsia="Aptos" w:cs="Calibri"/>
                <w:color w:val="000000"/>
              </w:rPr>
              <w:t xml:space="preserve">. </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44CE9" w14:textId="77777777" w:rsidR="00611BEF" w:rsidRPr="00741F5F" w:rsidRDefault="00611BEF" w:rsidP="00611BEF">
            <w:pPr>
              <w:spacing w:after="160"/>
              <w:jc w:val="both"/>
              <w:rPr>
                <w:rFonts w:eastAsia="Aptos" w:cs="Calibri"/>
                <w:i/>
                <w:iCs/>
              </w:rPr>
            </w:pPr>
            <w:r w:rsidRPr="00741F5F">
              <w:rPr>
                <w:rFonts w:eastAsia="Aptos" w:cs="Calibri"/>
                <w:i/>
                <w:iCs/>
              </w:rPr>
              <w:lastRenderedPageBreak/>
              <w:t>Dodać:</w:t>
            </w:r>
          </w:p>
          <w:p w14:paraId="05474A15" w14:textId="77777777" w:rsidR="00611BEF" w:rsidRPr="00741F5F" w:rsidRDefault="00611BEF" w:rsidP="00611BEF">
            <w:pPr>
              <w:spacing w:after="160"/>
              <w:jc w:val="both"/>
              <w:rPr>
                <w:rFonts w:eastAsia="Aptos" w:cs="Calibri"/>
                <w:b/>
                <w:bCs/>
                <w:i/>
                <w:iCs/>
                <w:color w:val="EE0000"/>
              </w:rPr>
            </w:pPr>
            <w:r w:rsidRPr="00741F5F">
              <w:rPr>
                <w:rFonts w:eastAsia="Aptos" w:cs="Calibri"/>
                <w:b/>
                <w:bCs/>
                <w:i/>
                <w:iCs/>
                <w:color w:val="EE0000"/>
              </w:rPr>
              <w:t>Art. 368 ust. 3</w:t>
            </w:r>
            <w:r w:rsidRPr="00741F5F">
              <w:rPr>
                <w:rFonts w:eastAsia="Aptos" w:cs="Calibri"/>
                <w:b/>
                <w:bCs/>
                <w:i/>
                <w:iCs/>
                <w:color w:val="EE0000"/>
                <w:vertAlign w:val="superscript"/>
              </w:rPr>
              <w:t xml:space="preserve">1 </w:t>
            </w:r>
          </w:p>
          <w:p w14:paraId="4A78AC04" w14:textId="0E86D005" w:rsidR="002D64E0" w:rsidRDefault="002D64E0" w:rsidP="002D64E0">
            <w:pPr>
              <w:spacing w:after="160"/>
              <w:jc w:val="both"/>
              <w:rPr>
                <w:rFonts w:eastAsia="Aptos" w:cs="Calibri"/>
                <w:b/>
                <w:bCs/>
                <w:i/>
                <w:iCs/>
                <w:color w:val="EE0000"/>
              </w:rPr>
            </w:pPr>
            <w:r w:rsidRPr="002D64E0">
              <w:rPr>
                <w:rFonts w:eastAsia="Aptos" w:cs="Calibri"/>
                <w:b/>
                <w:bCs/>
                <w:i/>
                <w:iCs/>
                <w:color w:val="EE0000"/>
              </w:rPr>
              <w:t xml:space="preserve">1. Ogłoszenie decyzji </w:t>
            </w:r>
            <w:r>
              <w:rPr>
                <w:rFonts w:eastAsia="Aptos" w:cs="Calibri"/>
                <w:b/>
                <w:bCs/>
                <w:i/>
                <w:iCs/>
                <w:color w:val="EE0000"/>
              </w:rPr>
              <w:t xml:space="preserve">powinno nastąpić na posiedzeniu, na którym zamknięto rozprawę. Jednakże </w:t>
            </w:r>
            <w:r w:rsidRPr="002D64E0">
              <w:rPr>
                <w:rFonts w:eastAsia="Aptos" w:cs="Calibri"/>
                <w:b/>
                <w:bCs/>
                <w:i/>
                <w:iCs/>
                <w:color w:val="EE0000"/>
              </w:rPr>
              <w:t xml:space="preserve">w sprawie zawiłej </w:t>
            </w:r>
            <w:r>
              <w:rPr>
                <w:rFonts w:eastAsia="Aptos" w:cs="Calibri"/>
                <w:b/>
                <w:bCs/>
                <w:i/>
                <w:iCs/>
                <w:color w:val="EE0000"/>
              </w:rPr>
              <w:t>Kolegium</w:t>
            </w:r>
            <w:r w:rsidRPr="002D64E0">
              <w:rPr>
                <w:rFonts w:eastAsia="Aptos" w:cs="Calibri"/>
                <w:b/>
                <w:bCs/>
                <w:i/>
                <w:iCs/>
                <w:color w:val="EE0000"/>
              </w:rPr>
              <w:t xml:space="preserve"> może odroczyć ogłoszenie </w:t>
            </w:r>
            <w:r>
              <w:rPr>
                <w:rFonts w:eastAsia="Aptos" w:cs="Calibri"/>
                <w:b/>
                <w:bCs/>
                <w:i/>
                <w:iCs/>
                <w:color w:val="EE0000"/>
              </w:rPr>
              <w:t>decyzji</w:t>
            </w:r>
            <w:r w:rsidRPr="002D64E0">
              <w:rPr>
                <w:rFonts w:eastAsia="Aptos" w:cs="Calibri"/>
                <w:b/>
                <w:bCs/>
                <w:i/>
                <w:iCs/>
                <w:color w:val="EE0000"/>
              </w:rPr>
              <w:t xml:space="preserve"> na czas do </w:t>
            </w:r>
            <w:r>
              <w:rPr>
                <w:rFonts w:eastAsia="Aptos" w:cs="Calibri"/>
                <w:b/>
                <w:bCs/>
                <w:i/>
                <w:iCs/>
                <w:color w:val="EE0000"/>
              </w:rPr>
              <w:t>trzydziestu</w:t>
            </w:r>
            <w:r w:rsidRPr="002D64E0">
              <w:rPr>
                <w:rFonts w:eastAsia="Aptos" w:cs="Calibri"/>
                <w:b/>
                <w:bCs/>
                <w:i/>
                <w:iCs/>
                <w:color w:val="EE0000"/>
              </w:rPr>
              <w:t xml:space="preserve"> dni.</w:t>
            </w:r>
            <w:r>
              <w:rPr>
                <w:rFonts w:eastAsia="Aptos" w:cs="Calibri"/>
                <w:b/>
                <w:bCs/>
                <w:i/>
                <w:iCs/>
                <w:color w:val="EE0000"/>
              </w:rPr>
              <w:t xml:space="preserve"> </w:t>
            </w:r>
            <w:r w:rsidRPr="002D64E0">
              <w:rPr>
                <w:rFonts w:eastAsia="Aptos" w:cs="Calibri"/>
                <w:b/>
                <w:bCs/>
                <w:i/>
                <w:iCs/>
                <w:color w:val="EE0000"/>
              </w:rPr>
              <w:t xml:space="preserve">W postanowieniu o odroczeniu </w:t>
            </w:r>
            <w:r>
              <w:rPr>
                <w:rFonts w:eastAsia="Aptos" w:cs="Calibri"/>
                <w:b/>
                <w:bCs/>
                <w:i/>
                <w:iCs/>
                <w:color w:val="EE0000"/>
              </w:rPr>
              <w:t>Kolegium</w:t>
            </w:r>
            <w:r w:rsidRPr="002D64E0">
              <w:rPr>
                <w:rFonts w:eastAsia="Aptos" w:cs="Calibri"/>
                <w:b/>
                <w:bCs/>
                <w:i/>
                <w:iCs/>
                <w:color w:val="EE0000"/>
              </w:rPr>
              <w:t xml:space="preserve"> powinien wyznaczyć termin ogłoszenia </w:t>
            </w:r>
            <w:r>
              <w:rPr>
                <w:rFonts w:eastAsia="Aptos" w:cs="Calibri"/>
                <w:b/>
                <w:bCs/>
                <w:i/>
                <w:iCs/>
                <w:color w:val="EE0000"/>
              </w:rPr>
              <w:t>decyzji</w:t>
            </w:r>
            <w:r w:rsidRPr="002D64E0">
              <w:rPr>
                <w:rFonts w:eastAsia="Aptos" w:cs="Calibri"/>
                <w:b/>
                <w:bCs/>
                <w:i/>
                <w:iCs/>
                <w:color w:val="EE0000"/>
              </w:rPr>
              <w:t xml:space="preserve"> i ogłosić go niezwłocznie po zamknięciu rozprawy. </w:t>
            </w:r>
          </w:p>
          <w:p w14:paraId="50A76042" w14:textId="77777777" w:rsidR="006F09A9" w:rsidRDefault="002D64E0" w:rsidP="002D64E0">
            <w:pPr>
              <w:spacing w:after="160"/>
              <w:jc w:val="both"/>
              <w:rPr>
                <w:rFonts w:eastAsia="Aptos" w:cs="Calibri"/>
                <w:b/>
                <w:bCs/>
                <w:i/>
                <w:iCs/>
                <w:color w:val="EE0000"/>
              </w:rPr>
            </w:pPr>
            <w:r>
              <w:rPr>
                <w:rFonts w:eastAsia="Aptos" w:cs="Calibri"/>
                <w:b/>
                <w:bCs/>
                <w:i/>
                <w:iCs/>
                <w:color w:val="EE0000"/>
              </w:rPr>
              <w:lastRenderedPageBreak/>
              <w:t xml:space="preserve">2. </w:t>
            </w:r>
            <w:r w:rsidRPr="002D64E0">
              <w:rPr>
                <w:rFonts w:eastAsia="Aptos" w:cs="Calibri"/>
                <w:b/>
                <w:bCs/>
                <w:i/>
                <w:iCs/>
                <w:color w:val="EE0000"/>
              </w:rPr>
              <w:t xml:space="preserve">Ogłoszenia </w:t>
            </w:r>
            <w:r>
              <w:rPr>
                <w:rFonts w:eastAsia="Aptos" w:cs="Calibri"/>
                <w:b/>
                <w:bCs/>
                <w:i/>
                <w:iCs/>
                <w:color w:val="EE0000"/>
              </w:rPr>
              <w:t>decyzji</w:t>
            </w:r>
            <w:r w:rsidRPr="002D64E0">
              <w:rPr>
                <w:rFonts w:eastAsia="Aptos" w:cs="Calibri"/>
                <w:b/>
                <w:bCs/>
                <w:i/>
                <w:iCs/>
                <w:color w:val="EE0000"/>
              </w:rPr>
              <w:t xml:space="preserve"> dokonuje się przez odczytanie </w:t>
            </w:r>
            <w:r>
              <w:rPr>
                <w:rFonts w:eastAsia="Aptos" w:cs="Calibri"/>
                <w:b/>
                <w:bCs/>
                <w:i/>
                <w:iCs/>
                <w:color w:val="EE0000"/>
              </w:rPr>
              <w:t>rozstrzygnięcia</w:t>
            </w:r>
            <w:r w:rsidRPr="002D64E0">
              <w:rPr>
                <w:rFonts w:eastAsia="Aptos" w:cs="Calibri"/>
                <w:b/>
                <w:bCs/>
                <w:i/>
                <w:iCs/>
                <w:color w:val="EE0000"/>
              </w:rPr>
              <w:t xml:space="preserve">. Po ogłoszeniu </w:t>
            </w:r>
            <w:r>
              <w:rPr>
                <w:rFonts w:eastAsia="Aptos" w:cs="Calibri"/>
                <w:b/>
                <w:bCs/>
                <w:i/>
                <w:iCs/>
                <w:color w:val="EE0000"/>
              </w:rPr>
              <w:t>rozstrzygnięcia</w:t>
            </w:r>
            <w:r w:rsidRPr="002D64E0">
              <w:rPr>
                <w:rFonts w:eastAsia="Aptos" w:cs="Calibri"/>
                <w:b/>
                <w:bCs/>
                <w:i/>
                <w:iCs/>
                <w:color w:val="EE0000"/>
              </w:rPr>
              <w:t xml:space="preserve"> </w:t>
            </w:r>
            <w:r>
              <w:rPr>
                <w:rFonts w:eastAsia="Aptos" w:cs="Calibri"/>
                <w:b/>
                <w:bCs/>
                <w:i/>
                <w:iCs/>
                <w:color w:val="EE0000"/>
              </w:rPr>
              <w:t>przewodniczący Kolegium</w:t>
            </w:r>
            <w:r w:rsidRPr="002D64E0">
              <w:rPr>
                <w:rFonts w:eastAsia="Aptos" w:cs="Calibri"/>
                <w:b/>
                <w:bCs/>
                <w:i/>
                <w:iCs/>
                <w:color w:val="EE0000"/>
              </w:rPr>
              <w:t xml:space="preserve"> podaje ustnie zasadnicze powody rozstrzygnięcia, może jednak tego zaniechać.</w:t>
            </w:r>
          </w:p>
          <w:p w14:paraId="60C4753D" w14:textId="31979E2A" w:rsidR="002D64E0" w:rsidRPr="006F09A9" w:rsidRDefault="002D64E0" w:rsidP="002D64E0">
            <w:pPr>
              <w:spacing w:after="160"/>
              <w:jc w:val="both"/>
              <w:rPr>
                <w:rFonts w:eastAsia="Aptos" w:cs="Calibri"/>
                <w:b/>
                <w:bCs/>
                <w:i/>
                <w:iCs/>
                <w:color w:val="EE0000"/>
              </w:rPr>
            </w:pPr>
            <w:r w:rsidRPr="002D64E0">
              <w:rPr>
                <w:rFonts w:eastAsia="Aptos" w:cs="Calibri"/>
                <w:b/>
                <w:bCs/>
                <w:i/>
                <w:iCs/>
                <w:color w:val="EE0000"/>
              </w:rPr>
              <w:t>3. Pisemne uzasadnienie decyzji sporządza się i doręcza stronom w terminie 30 dni od dnia jej ogłoszenia.</w:t>
            </w:r>
          </w:p>
        </w:tc>
      </w:tr>
      <w:tr w:rsidR="00611BEF" w14:paraId="04E15AAA" w14:textId="35D62A2C"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9B11B0"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26BDB0" w14:textId="3D7C28E8" w:rsidR="00611BEF" w:rsidRDefault="00611BEF" w:rsidP="00611BEF">
            <w:pPr>
              <w:jc w:val="both"/>
              <w:rPr>
                <w:rFonts w:eastAsia="Times New Roman" w:cs="Calibri"/>
              </w:rPr>
            </w:pPr>
            <w:r>
              <w:rPr>
                <w:rFonts w:eastAsia="Times New Roman" w:cs="Calibri"/>
              </w:rPr>
              <w:t>Art. 371</w:t>
            </w:r>
          </w:p>
          <w:p w14:paraId="3F9606DC" w14:textId="77777777" w:rsidR="00611BEF" w:rsidRDefault="00611BEF" w:rsidP="00611BEF">
            <w:pPr>
              <w:jc w:val="both"/>
              <w:rPr>
                <w:rFonts w:eastAsia="Times New Roman" w:cs="Calibri"/>
              </w:rPr>
            </w:pPr>
            <w:r>
              <w:rPr>
                <w:rFonts w:eastAsia="Times New Roman" w:cs="Calibri"/>
              </w:rPr>
              <w:t xml:space="preserve">2. W przypadku, o którym mowa w ust. 1, uprawniony z patentu albo prawa z rejestracji wzoru użytkowego wraz ze zmienionymi zastrzeżeniami składa dostosowane do wprowadzonych zmian opis wynalazku albo wzoru użytkowego </w:t>
            </w:r>
            <w:proofErr w:type="gramStart"/>
            <w:r>
              <w:rPr>
                <w:rFonts w:eastAsia="Times New Roman" w:cs="Calibri"/>
              </w:rPr>
              <w:t>oraz,</w:t>
            </w:r>
            <w:proofErr w:type="gramEnd"/>
            <w:r>
              <w:rPr>
                <w:rFonts w:eastAsia="Times New Roman" w:cs="Calibri"/>
              </w:rPr>
              <w:t xml:space="preserve"> o ile są wymagane, rysunki. Przepisy art. 34 ust. 1 pkt 2 i 3 oraz ust. 2, art. 35, art. 113 ust. 1 pkt 2 –4 oraz art. 115 stosuje się odpowiednio.</w:t>
            </w:r>
          </w:p>
          <w:p w14:paraId="35997B8F" w14:textId="3B2975A2" w:rsidR="00F9151C" w:rsidRDefault="00F9151C" w:rsidP="00611BEF">
            <w:pPr>
              <w:jc w:val="both"/>
            </w:pPr>
            <w:r w:rsidRPr="00F9151C">
              <w:lastRenderedPageBreak/>
              <w:t>3. W toku postępowania dopuszczalne jest złożenie kolejnej wersji zmienionych zastrzeżeń. W takim przypadku poprzednią wersję uznaje się za wycofaną.</w:t>
            </w:r>
          </w:p>
          <w:p w14:paraId="7991FCD6" w14:textId="5B5BD8AD" w:rsidR="00611BEF" w:rsidRDefault="00611BEF" w:rsidP="00611BEF">
            <w:pPr>
              <w:jc w:val="both"/>
            </w:pPr>
            <w:r>
              <w:rPr>
                <w:rFonts w:eastAsia="Times New Roman" w:cs="Calibri"/>
              </w:rPr>
              <w:t>(...)</w:t>
            </w:r>
          </w:p>
          <w:p w14:paraId="7699E79B" w14:textId="77777777" w:rsidR="00611BEF" w:rsidRDefault="00611BEF" w:rsidP="00611BEF">
            <w:pPr>
              <w:spacing w:after="0"/>
              <w:jc w:val="both"/>
              <w:rPr>
                <w:rFonts w:eastAsia="Times New Roman" w:cs="Calibri"/>
              </w:rPr>
            </w:pPr>
          </w:p>
          <w:p w14:paraId="709D928E" w14:textId="0957255D" w:rsidR="00611BEF" w:rsidRDefault="00611BEF" w:rsidP="00611BEF">
            <w:pPr>
              <w:spacing w:after="0"/>
              <w:jc w:val="both"/>
              <w:rPr>
                <w:rFonts w:eastAsia="Times New Roman" w:cs="Calibri"/>
              </w:rPr>
            </w:pPr>
            <w:r>
              <w:rPr>
                <w:rFonts w:eastAsia="Times New Roman" w:cs="Calibri"/>
              </w:rPr>
              <w:t>6. Jeżeli toczy się postępowanie o ograniczenie patentu albo prawa z rejestracji wzoru użytkowego odpowiednio w trybie art. 84 ust 1 albo art. 129 ust. 1, postępowanie w sprawie unieważnienia patentu albo prawa z rejestracji wzoru użytkowego zawiesza się do czasu prawomocnego zakończenia postępowania o ograniczenie patentu albo prawa z rejestracji wzoru użytkowego.</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CFB17AD" w14:textId="608273FE" w:rsidR="00611BEF" w:rsidRDefault="00611BEF" w:rsidP="00611BEF">
            <w:pPr>
              <w:jc w:val="both"/>
            </w:pPr>
            <w:r>
              <w:rPr>
                <w:rFonts w:eastAsia="Lato" w:cs="Calibri"/>
              </w:rPr>
              <w:lastRenderedPageBreak/>
              <w:t xml:space="preserve">Przygotowanie opisu w </w:t>
            </w:r>
            <w:proofErr w:type="gramStart"/>
            <w:r>
              <w:rPr>
                <w:rFonts w:eastAsia="Lato" w:cs="Calibri"/>
              </w:rPr>
              <w:t>momencie</w:t>
            </w:r>
            <w:proofErr w:type="gramEnd"/>
            <w:r>
              <w:rPr>
                <w:rFonts w:eastAsia="Lato" w:cs="Calibri"/>
              </w:rPr>
              <w:t xml:space="preserve"> kiedy zastrzeżenia mogą się jeszcze zmienić wydaje </w:t>
            </w:r>
            <w:proofErr w:type="gramStart"/>
            <w:r>
              <w:rPr>
                <w:rFonts w:eastAsia="Lato" w:cs="Calibri"/>
              </w:rPr>
              <w:t>się być</w:t>
            </w:r>
            <w:proofErr w:type="gramEnd"/>
            <w:r>
              <w:rPr>
                <w:rFonts w:eastAsia="Lato" w:cs="Calibri"/>
              </w:rPr>
              <w:t xml:space="preserve"> nadmiernym obciążeniem dla zgłaszającego. Właściwym rozwiązaniem byłoby wyznaczenie terminu na dostarczenie zmodyfikowanego opisu.</w:t>
            </w:r>
            <w:r>
              <w:rPr>
                <w:rFonts w:eastAsia="Times New Roman" w:cs="Calibri"/>
              </w:rPr>
              <w:t xml:space="preserve"> </w:t>
            </w:r>
          </w:p>
          <w:p w14:paraId="32A76511" w14:textId="77777777" w:rsidR="00611BEF" w:rsidRDefault="00611BEF" w:rsidP="00611BEF">
            <w:pPr>
              <w:jc w:val="both"/>
              <w:rPr>
                <w:rFonts w:eastAsia="Lato" w:cs="Calibri"/>
              </w:rPr>
            </w:pPr>
          </w:p>
          <w:p w14:paraId="6CEB9B97" w14:textId="77777777" w:rsidR="00611BEF" w:rsidRDefault="00611BEF" w:rsidP="00611BEF">
            <w:pPr>
              <w:jc w:val="both"/>
              <w:rPr>
                <w:rFonts w:eastAsia="Lato" w:cs="Calibri"/>
              </w:rPr>
            </w:pPr>
          </w:p>
          <w:p w14:paraId="5B49CD18" w14:textId="77777777" w:rsidR="00611BEF" w:rsidRDefault="00611BEF" w:rsidP="00611BEF">
            <w:pPr>
              <w:jc w:val="both"/>
              <w:rPr>
                <w:rFonts w:eastAsia="Lato" w:cs="Calibri"/>
              </w:rPr>
            </w:pPr>
          </w:p>
          <w:p w14:paraId="7DA03B20" w14:textId="77777777" w:rsidR="00611BEF" w:rsidRDefault="00611BEF" w:rsidP="00611BEF">
            <w:pPr>
              <w:jc w:val="both"/>
              <w:rPr>
                <w:rFonts w:eastAsia="Lato" w:cs="Calibri"/>
              </w:rPr>
            </w:pPr>
          </w:p>
          <w:p w14:paraId="08A402DF" w14:textId="77777777" w:rsidR="00611BEF" w:rsidRDefault="00611BEF" w:rsidP="00611BEF">
            <w:pPr>
              <w:jc w:val="both"/>
              <w:rPr>
                <w:rFonts w:eastAsia="Lato" w:cs="Calibri"/>
              </w:rPr>
            </w:pPr>
          </w:p>
          <w:p w14:paraId="10D618A6" w14:textId="77777777" w:rsidR="00611BEF" w:rsidRDefault="00611BEF" w:rsidP="00611BEF">
            <w:pPr>
              <w:jc w:val="both"/>
              <w:rPr>
                <w:rFonts w:eastAsia="Lato" w:cs="Calibri"/>
              </w:rPr>
            </w:pPr>
          </w:p>
          <w:p w14:paraId="65A1A26F" w14:textId="15313A58" w:rsidR="00611BEF" w:rsidRPr="009A78B9" w:rsidRDefault="00F9151C" w:rsidP="00611BEF">
            <w:pPr>
              <w:jc w:val="both"/>
            </w:pPr>
            <w:r w:rsidRPr="00F9151C">
              <w:rPr>
                <w:rFonts w:eastAsia="Lato" w:cs="Calibri"/>
              </w:rPr>
              <w:lastRenderedPageBreak/>
              <w:t xml:space="preserve">Wskazane jest, aby doprecyzować, iż możliwość złożenia kolejnej wersji zmienionych zastrzeżeń jest tylko jednorazowa, co rozwieje wszelkie wątpliwości interpretacyjne tego przepisu oraz uniemożliwi jego nadużycie przez składnie więcej niż jednej kolejnej wersji zmienionych zastrzeżeń. Należy też doprecyzować, iż przepisy ust. 2 stosuje się odpowiednio, co zapewni, iż </w:t>
            </w:r>
            <w:r w:rsidR="00362E5B">
              <w:rPr>
                <w:rFonts w:eastAsia="Lato" w:cs="Calibri"/>
              </w:rPr>
              <w:t>po</w:t>
            </w:r>
            <w:r w:rsidR="003C262A">
              <w:rPr>
                <w:rFonts w:eastAsia="Lato" w:cs="Calibri"/>
              </w:rPr>
              <w:t xml:space="preserve"> </w:t>
            </w:r>
            <w:r w:rsidR="00362E5B">
              <w:rPr>
                <w:rFonts w:eastAsia="Lato" w:cs="Calibri"/>
              </w:rPr>
              <w:t>zaakceptowaniu</w:t>
            </w:r>
            <w:r w:rsidRPr="00F9151C">
              <w:rPr>
                <w:rFonts w:eastAsia="Lato" w:cs="Calibri"/>
              </w:rPr>
              <w:t xml:space="preserve"> </w:t>
            </w:r>
            <w:r w:rsidR="003C262A" w:rsidRPr="00F9151C">
              <w:rPr>
                <w:rFonts w:eastAsia="Lato" w:cs="Calibri"/>
              </w:rPr>
              <w:t>zmienion</w:t>
            </w:r>
            <w:r w:rsidR="003C262A">
              <w:rPr>
                <w:rFonts w:eastAsia="Lato" w:cs="Calibri"/>
              </w:rPr>
              <w:t>ej</w:t>
            </w:r>
            <w:r w:rsidR="003C262A" w:rsidRPr="00F9151C">
              <w:rPr>
                <w:rFonts w:eastAsia="Lato" w:cs="Calibri"/>
              </w:rPr>
              <w:t xml:space="preserve"> wersj</w:t>
            </w:r>
            <w:r w:rsidR="003C262A">
              <w:rPr>
                <w:rFonts w:eastAsia="Lato" w:cs="Calibri"/>
              </w:rPr>
              <w:t>i</w:t>
            </w:r>
            <w:r w:rsidR="003C262A" w:rsidRPr="00F9151C">
              <w:rPr>
                <w:rFonts w:eastAsia="Lato" w:cs="Calibri"/>
              </w:rPr>
              <w:t xml:space="preserve"> </w:t>
            </w:r>
            <w:r w:rsidRPr="00F9151C">
              <w:rPr>
                <w:rFonts w:eastAsia="Lato" w:cs="Calibri"/>
              </w:rPr>
              <w:t>zastrzeżeń</w:t>
            </w:r>
            <w:r w:rsidR="003C262A">
              <w:rPr>
                <w:rFonts w:eastAsia="Lato" w:cs="Calibri"/>
              </w:rPr>
              <w:t xml:space="preserve"> w terminie wyznaczonym przez UPRP</w:t>
            </w:r>
            <w:r w:rsidRPr="00F9151C">
              <w:rPr>
                <w:rFonts w:eastAsia="Lato" w:cs="Calibri"/>
              </w:rPr>
              <w:t xml:space="preserve"> zostanie również złożony zmieniony odpowiednio opis wynalazku lub wzoru użytkowego oraz w razie potrzeby także rysunki.</w:t>
            </w:r>
            <w:r>
              <w:rPr>
                <w:rFonts w:eastAsia="Lato" w:cs="Calibri"/>
              </w:rPr>
              <w:br/>
            </w:r>
            <w:r>
              <w:rPr>
                <w:rFonts w:eastAsia="Lato" w:cs="Calibri"/>
              </w:rPr>
              <w:br/>
            </w:r>
            <w:r w:rsidR="00611BEF">
              <w:rPr>
                <w:rFonts w:eastAsia="Lato" w:cs="Calibri"/>
              </w:rPr>
              <w:t>Ustęp 6 wprowadza prymat postępowania o ograniczenie patentu nad postępowaniem o jego unieważnienie. Taka sytuacja jest niedopuszczalna, gdyż stanowi dodatkową barierę dla usunięcia z obrotu prawnego potencjalnie nieważnego prawa. Uprawniony był jedyną stroną w trakcie postępowania zgłoszeniowego i na tym etapie mógł dowolnie kształtować swoje prawo. Z chwilą udzielenia prawa wyłącznego prymat powinno mieć postępowanie sporne. Postępowanie o unieważnienie oraz z wniosku o ograniczenie prawa powinny być połączone do wspólnego rozpoznania w toku postępowania spornego.</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12CED" w14:textId="57451372" w:rsidR="00611BEF" w:rsidRPr="0048016A" w:rsidRDefault="00611BEF" w:rsidP="00611BEF">
            <w:pPr>
              <w:jc w:val="both"/>
              <w:rPr>
                <w:rFonts w:eastAsia="Times New Roman" w:cs="Calibri"/>
                <w:i/>
                <w:iCs/>
              </w:rPr>
            </w:pPr>
            <w:r w:rsidRPr="0048016A">
              <w:rPr>
                <w:rFonts w:eastAsia="Times New Roman" w:cs="Calibri"/>
                <w:i/>
                <w:iCs/>
              </w:rPr>
              <w:lastRenderedPageBreak/>
              <w:t>Art. 371</w:t>
            </w:r>
          </w:p>
          <w:p w14:paraId="30055165" w14:textId="77777777" w:rsidR="00611BEF" w:rsidRDefault="00611BEF" w:rsidP="00611BEF">
            <w:pPr>
              <w:jc w:val="both"/>
              <w:rPr>
                <w:rFonts w:eastAsia="Times New Roman" w:cs="Calibri"/>
                <w:i/>
                <w:iCs/>
              </w:rPr>
            </w:pPr>
            <w:r w:rsidRPr="0048016A">
              <w:rPr>
                <w:rFonts w:eastAsia="Times New Roman" w:cs="Calibri"/>
                <w:i/>
                <w:iCs/>
              </w:rPr>
              <w:t xml:space="preserve">2. W przypadku, o którym mowa w ust. 1, uprawniony z patentu albo prawa z rejestracji wzoru użytkowego </w:t>
            </w:r>
            <w:r w:rsidRPr="0048016A">
              <w:rPr>
                <w:rFonts w:eastAsia="Times New Roman" w:cs="Calibri"/>
                <w:b/>
                <w:bCs/>
                <w:i/>
                <w:iCs/>
              </w:rPr>
              <w:t xml:space="preserve">w </w:t>
            </w:r>
            <w:r w:rsidRPr="0048016A">
              <w:rPr>
                <w:rFonts w:eastAsia="Times New Roman" w:cs="Calibri"/>
                <w:b/>
                <w:bCs/>
                <w:i/>
                <w:iCs/>
                <w:color w:val="EE0000"/>
              </w:rPr>
              <w:t xml:space="preserve">wyznaczonym przez Urząd terminie </w:t>
            </w:r>
            <w:r w:rsidRPr="0048016A">
              <w:rPr>
                <w:rFonts w:eastAsia="Times New Roman" w:cs="Calibri"/>
                <w:i/>
                <w:iCs/>
                <w:strike/>
                <w:color w:val="EE0000"/>
              </w:rPr>
              <w:t xml:space="preserve">wraz ze zmienionymi zastrzeżeniami </w:t>
            </w:r>
            <w:r w:rsidRPr="0048016A">
              <w:rPr>
                <w:rFonts w:eastAsia="Times New Roman" w:cs="Calibri"/>
                <w:i/>
                <w:iCs/>
              </w:rPr>
              <w:t xml:space="preserve">składa dostosowane do wprowadzonych zmian opis wynalazku albo wzoru użytkowego </w:t>
            </w:r>
            <w:proofErr w:type="gramStart"/>
            <w:r w:rsidRPr="0048016A">
              <w:rPr>
                <w:rFonts w:eastAsia="Times New Roman" w:cs="Calibri"/>
                <w:i/>
                <w:iCs/>
              </w:rPr>
              <w:t>oraz,</w:t>
            </w:r>
            <w:proofErr w:type="gramEnd"/>
            <w:r w:rsidRPr="0048016A">
              <w:rPr>
                <w:rFonts w:eastAsia="Times New Roman" w:cs="Calibri"/>
                <w:i/>
                <w:iCs/>
              </w:rPr>
              <w:t xml:space="preserve"> o ile są wymagane, rysunki. Przepisy art. 34 ust. 1 pkt 2 i 3 oraz ust. 2, art. 35, art. 113 ust. 1 pkt 2 –</w:t>
            </w:r>
            <w:r w:rsidRPr="0048016A">
              <w:rPr>
                <w:rFonts w:eastAsia="Times New Roman" w:cs="Calibri"/>
                <w:i/>
                <w:iCs/>
              </w:rPr>
              <w:lastRenderedPageBreak/>
              <w:t>4 oraz art. 115 stosuje się odpowiednio.</w:t>
            </w:r>
          </w:p>
          <w:p w14:paraId="01927359" w14:textId="5D121D9E" w:rsidR="00F9151C" w:rsidRPr="00F9151C" w:rsidRDefault="00F9151C" w:rsidP="00F9151C">
            <w:pPr>
              <w:spacing w:after="160"/>
              <w:jc w:val="both"/>
              <w:rPr>
                <w:i/>
                <w:iCs/>
                <w:color w:val="EE0000"/>
              </w:rPr>
            </w:pPr>
            <w:r w:rsidRPr="0048016A">
              <w:rPr>
                <w:rFonts w:eastAsia="Aptos" w:cs="Calibri"/>
                <w:i/>
                <w:iCs/>
                <w:color w:val="000000"/>
              </w:rPr>
              <w:t xml:space="preserve">3. W toku postępowania dopuszczalne jest </w:t>
            </w:r>
            <w:r w:rsidRPr="0048016A">
              <w:rPr>
                <w:rFonts w:eastAsia="Aptos" w:cs="Calibri"/>
                <w:b/>
                <w:bCs/>
                <w:i/>
                <w:iCs/>
                <w:color w:val="EE0000"/>
              </w:rPr>
              <w:t>jednorazowe</w:t>
            </w:r>
            <w:r w:rsidRPr="0048016A">
              <w:rPr>
                <w:rFonts w:eastAsia="Aptos" w:cs="Calibri"/>
                <w:i/>
                <w:iCs/>
                <w:color w:val="EE0000"/>
              </w:rPr>
              <w:t xml:space="preserve"> </w:t>
            </w:r>
            <w:r w:rsidRPr="0048016A">
              <w:rPr>
                <w:rFonts w:eastAsia="Aptos" w:cs="Calibri"/>
                <w:i/>
                <w:iCs/>
                <w:color w:val="000000"/>
              </w:rPr>
              <w:t>złożenie kolejnej wersji zmienionych zastrzeżeń. W takim przypadku poprzednią wersję uznaje się za wycofaną</w:t>
            </w:r>
            <w:r w:rsidRPr="0048016A">
              <w:rPr>
                <w:rFonts w:eastAsia="Aptos" w:cs="Calibri"/>
                <w:b/>
                <w:bCs/>
                <w:i/>
                <w:iCs/>
                <w:color w:val="000000"/>
              </w:rPr>
              <w:t xml:space="preserve">, </w:t>
            </w:r>
            <w:r w:rsidRPr="0048016A">
              <w:rPr>
                <w:rFonts w:eastAsia="Aptos" w:cs="Calibri"/>
                <w:b/>
                <w:bCs/>
                <w:i/>
                <w:iCs/>
                <w:color w:val="EE0000"/>
              </w:rPr>
              <w:t>a przepis ust. 2 stosuje się odpowiednio.</w:t>
            </w:r>
          </w:p>
          <w:p w14:paraId="57106C9A" w14:textId="77777777" w:rsidR="00611BEF" w:rsidRPr="0048016A" w:rsidRDefault="00611BEF" w:rsidP="00611BEF">
            <w:pPr>
              <w:jc w:val="both"/>
              <w:rPr>
                <w:i/>
                <w:iCs/>
              </w:rPr>
            </w:pPr>
            <w:r w:rsidRPr="0048016A">
              <w:rPr>
                <w:rFonts w:eastAsia="Times New Roman" w:cs="Calibri"/>
                <w:i/>
                <w:iCs/>
              </w:rPr>
              <w:t>(...)</w:t>
            </w:r>
          </w:p>
          <w:p w14:paraId="741CAB5B" w14:textId="145A0C7B" w:rsidR="00611BEF" w:rsidRPr="0048016A" w:rsidRDefault="00611BEF" w:rsidP="00611BEF">
            <w:pPr>
              <w:jc w:val="both"/>
              <w:rPr>
                <w:rFonts w:eastAsia="Lato" w:cs="Calibri"/>
                <w:i/>
                <w:iCs/>
              </w:rPr>
            </w:pPr>
            <w:r w:rsidRPr="0048016A">
              <w:rPr>
                <w:rFonts w:eastAsia="Times New Roman" w:cs="Calibri"/>
                <w:i/>
                <w:iCs/>
              </w:rPr>
              <w:t xml:space="preserve">6. Jeżeli toczy się postępowanie </w:t>
            </w:r>
            <w:r w:rsidRPr="0048016A">
              <w:rPr>
                <w:rFonts w:eastAsia="Times New Roman" w:cs="Calibri"/>
                <w:b/>
                <w:bCs/>
                <w:i/>
                <w:iCs/>
                <w:color w:val="EE0000"/>
              </w:rPr>
              <w:t xml:space="preserve">z wniosku </w:t>
            </w:r>
            <w:r w:rsidRPr="0048016A">
              <w:rPr>
                <w:rFonts w:eastAsia="Times New Roman" w:cs="Calibri"/>
                <w:i/>
                <w:iCs/>
              </w:rPr>
              <w:t xml:space="preserve">o ograniczenie patentu albo prawa z rejestracji wzoru użytkowego odpowiednio w trybie art. 84 ust 1 albo art. 129 ust. 1, </w:t>
            </w:r>
            <w:r w:rsidRPr="0048016A">
              <w:rPr>
                <w:rFonts w:eastAsia="Times New Roman" w:cs="Calibri"/>
                <w:b/>
                <w:bCs/>
                <w:i/>
                <w:iCs/>
              </w:rPr>
              <w:t xml:space="preserve">i </w:t>
            </w:r>
            <w:r w:rsidRPr="0048016A">
              <w:rPr>
                <w:rFonts w:eastAsia="Times New Roman" w:cs="Calibri"/>
                <w:b/>
                <w:bCs/>
                <w:i/>
                <w:iCs/>
                <w:color w:val="EE0000"/>
              </w:rPr>
              <w:t xml:space="preserve">wszczęte zostało </w:t>
            </w:r>
            <w:r w:rsidRPr="0048016A">
              <w:rPr>
                <w:rFonts w:eastAsia="Times New Roman" w:cs="Calibri"/>
                <w:i/>
                <w:iCs/>
              </w:rPr>
              <w:t xml:space="preserve">postępowanie </w:t>
            </w:r>
            <w:r w:rsidRPr="0048016A">
              <w:rPr>
                <w:rFonts w:eastAsia="Times New Roman" w:cs="Calibri"/>
                <w:i/>
                <w:iCs/>
                <w:strike/>
                <w:color w:val="EE0000"/>
              </w:rPr>
              <w:t>w sprawie</w:t>
            </w:r>
            <w:r w:rsidRPr="0048016A">
              <w:rPr>
                <w:rFonts w:eastAsia="Times New Roman" w:cs="Calibri"/>
                <w:i/>
                <w:iCs/>
                <w:color w:val="EE0000"/>
              </w:rPr>
              <w:t xml:space="preserve"> </w:t>
            </w:r>
            <w:r w:rsidRPr="0048016A">
              <w:rPr>
                <w:rFonts w:eastAsia="Times New Roman" w:cs="Calibri"/>
                <w:b/>
                <w:bCs/>
                <w:i/>
                <w:iCs/>
                <w:color w:val="EE0000"/>
              </w:rPr>
              <w:t xml:space="preserve">z wniosku o </w:t>
            </w:r>
            <w:r w:rsidRPr="0048016A">
              <w:rPr>
                <w:rFonts w:eastAsia="Times New Roman" w:cs="Calibri"/>
                <w:i/>
                <w:iCs/>
              </w:rPr>
              <w:t>unieważnienia patentu albo prawa z rejestracji wzoru użytkowego</w:t>
            </w:r>
            <w:r w:rsidRPr="0048016A">
              <w:rPr>
                <w:rFonts w:eastAsia="Times New Roman" w:cs="Calibri"/>
                <w:i/>
                <w:iCs/>
                <w:color w:val="EE0000"/>
              </w:rPr>
              <w:t xml:space="preserve">, </w:t>
            </w:r>
            <w:r w:rsidRPr="0048016A">
              <w:rPr>
                <w:rFonts w:eastAsia="Times New Roman" w:cs="Calibri"/>
                <w:i/>
                <w:iCs/>
                <w:strike/>
                <w:color w:val="EE0000"/>
              </w:rPr>
              <w:t>zawiesza się do czasu prawomocnego zakończenia postępowania</w:t>
            </w:r>
            <w:r w:rsidRPr="0048016A">
              <w:rPr>
                <w:rFonts w:eastAsia="Times New Roman" w:cs="Calibri"/>
                <w:i/>
                <w:iCs/>
                <w:color w:val="EE0000"/>
              </w:rPr>
              <w:t xml:space="preserve"> </w:t>
            </w:r>
            <w:r w:rsidRPr="0048016A">
              <w:rPr>
                <w:rFonts w:eastAsia="Times New Roman" w:cs="Calibri"/>
                <w:b/>
                <w:bCs/>
                <w:i/>
                <w:iCs/>
                <w:color w:val="EE0000"/>
              </w:rPr>
              <w:t>oba wnioski podlegają wspólnemu rozpoznaniu w toku postępowania spornego.</w:t>
            </w:r>
          </w:p>
        </w:tc>
      </w:tr>
      <w:tr w:rsidR="00611BEF" w14:paraId="484E544F" w14:textId="16C3F950"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2043B5"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AF8AB1" w14:textId="77777777" w:rsidR="00611BEF" w:rsidRDefault="00611BEF" w:rsidP="00611BEF">
            <w:pPr>
              <w:jc w:val="both"/>
              <w:rPr>
                <w:rFonts w:eastAsia="Times New Roman" w:cs="Calibri"/>
              </w:rPr>
            </w:pPr>
            <w:r>
              <w:rPr>
                <w:rFonts w:eastAsia="Times New Roman" w:cs="Calibri"/>
              </w:rPr>
              <w:t>Art. 372</w:t>
            </w:r>
          </w:p>
          <w:p w14:paraId="20D25C6F" w14:textId="5C43736A" w:rsidR="00611BEF" w:rsidRDefault="00611BEF" w:rsidP="00611BEF">
            <w:pPr>
              <w:jc w:val="both"/>
            </w:pPr>
            <w:r>
              <w:rPr>
                <w:rFonts w:eastAsia="Times New Roman" w:cs="Calibri"/>
              </w:rPr>
              <w:lastRenderedPageBreak/>
              <w:t>1. O ile ustawa nie stanowi inaczej, w toku postępowania spornego Urząd Patentowy wyznacza stronie termin miesiąca dla dokonania określonych czynności.</w:t>
            </w:r>
          </w:p>
          <w:p w14:paraId="4130D488" w14:textId="77777777" w:rsidR="00611BEF" w:rsidRDefault="00611BEF" w:rsidP="00611BEF">
            <w:pPr>
              <w:jc w:val="both"/>
            </w:pPr>
            <w:r>
              <w:rPr>
                <w:rFonts w:eastAsia="Times New Roman" w:cs="Calibri"/>
              </w:rPr>
              <w:t>2. Czynność może być dokonana w terminie miesiąca po upływie terminu wyznaczonego zgodnie z ust. 1, jeżeli przed jego upływem, strona zawiadomi Urząd Patentowy na piśmie o braku możliwości dotrzymania wyznaczonego terminu.</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F3566F0" w14:textId="560A4421" w:rsidR="00F9151C" w:rsidRDefault="00F9151C" w:rsidP="00611BEF">
            <w:pPr>
              <w:jc w:val="both"/>
              <w:rPr>
                <w:rFonts w:eastAsia="Lato" w:cs="Calibri"/>
              </w:rPr>
            </w:pPr>
          </w:p>
          <w:p w14:paraId="26106440" w14:textId="6C036EE9" w:rsidR="00F9151C" w:rsidRDefault="007F3F60" w:rsidP="00611BEF">
            <w:pPr>
              <w:jc w:val="both"/>
              <w:rPr>
                <w:rFonts w:eastAsia="Lato" w:cs="Calibri"/>
              </w:rPr>
            </w:pPr>
            <w:r>
              <w:rPr>
                <w:rFonts w:eastAsia="Lato" w:cs="Calibri"/>
              </w:rPr>
              <w:lastRenderedPageBreak/>
              <w:br/>
            </w:r>
            <w:r>
              <w:rPr>
                <w:rFonts w:eastAsia="Lato" w:cs="Calibri"/>
              </w:rPr>
              <w:br/>
            </w:r>
            <w:r>
              <w:rPr>
                <w:rFonts w:eastAsia="Lato" w:cs="Calibri"/>
              </w:rPr>
              <w:br/>
            </w:r>
            <w:r>
              <w:rPr>
                <w:rFonts w:eastAsia="Lato" w:cs="Calibri"/>
              </w:rPr>
              <w:br/>
            </w:r>
            <w:r>
              <w:rPr>
                <w:rFonts w:eastAsia="Lato" w:cs="Calibri"/>
              </w:rPr>
              <w:br/>
            </w:r>
            <w:r>
              <w:rPr>
                <w:rFonts w:eastAsia="Lato" w:cs="Calibri"/>
              </w:rPr>
              <w:br/>
            </w:r>
            <w:r w:rsidR="00F9151C" w:rsidRPr="00F9151C">
              <w:rPr>
                <w:rFonts w:eastAsia="Lato" w:cs="Calibri"/>
              </w:rPr>
              <w:t>Usunięcie wątpliwości interpretacyjnych. Wprowadzenie dyscypliny czasowej i możliwość przedłużenia terminu o 1 miesiąc, nie zaś o 2 miesiące, jak w art. 352 ust. 2 wpłynie na zdyscyplinowanie stron i przyspieszenie postępowania spornego.</w:t>
            </w:r>
          </w:p>
          <w:p w14:paraId="062230AA" w14:textId="77777777" w:rsidR="00F9151C" w:rsidRDefault="00F9151C" w:rsidP="00611BEF">
            <w:pPr>
              <w:jc w:val="both"/>
              <w:rPr>
                <w:rFonts w:eastAsia="Lato" w:cs="Calibri"/>
              </w:rPr>
            </w:pPr>
          </w:p>
          <w:p w14:paraId="516167D0" w14:textId="77777777" w:rsidR="00F9151C" w:rsidRDefault="00F9151C" w:rsidP="00611BEF">
            <w:pPr>
              <w:jc w:val="both"/>
              <w:rPr>
                <w:rFonts w:eastAsia="Lato" w:cs="Calibri"/>
              </w:rPr>
            </w:pPr>
          </w:p>
          <w:p w14:paraId="44067F4C" w14:textId="5EF4F53D" w:rsidR="00611BEF" w:rsidRPr="007F3F60" w:rsidRDefault="007F3F60" w:rsidP="00611BEF">
            <w:pPr>
              <w:jc w:val="both"/>
              <w:rPr>
                <w:rFonts w:eastAsia="Lato" w:cs="Calibri"/>
              </w:rPr>
            </w:pPr>
            <w:r>
              <w:rPr>
                <w:rFonts w:eastAsia="Lato" w:cs="Calibri"/>
              </w:rPr>
              <w:br/>
            </w:r>
            <w:r w:rsidR="00F9151C">
              <w:rPr>
                <w:rFonts w:eastAsia="Lato" w:cs="Calibri"/>
              </w:rPr>
              <w:t>P</w:t>
            </w:r>
            <w:r w:rsidR="00611BEF">
              <w:rPr>
                <w:rFonts w:eastAsia="Lato" w:cs="Calibri"/>
              </w:rPr>
              <w:t>rzepis w zaproponowanym kształcie nie eliminuje powszechnie stosowanej (nadużywanej) w toku postępowań spornych praktyki przedłużania postępowań poprzez wnoszenie o wyznaczenie terminu do zajęcia stanowiska na piśmie, a następnie przedłużaniu terminu na złożenie pisma, składanie pisma z brakami oraz przedłużanie terminu na uzupełnienie braków.</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4723A" w14:textId="77777777" w:rsidR="00611BEF" w:rsidRDefault="00611BEF" w:rsidP="00611BEF">
            <w:pPr>
              <w:jc w:val="both"/>
              <w:rPr>
                <w:rFonts w:eastAsia="Times New Roman" w:cs="Calibri"/>
                <w:i/>
                <w:iCs/>
              </w:rPr>
            </w:pPr>
            <w:r w:rsidRPr="0048016A">
              <w:rPr>
                <w:rFonts w:eastAsia="Times New Roman" w:cs="Calibri"/>
                <w:i/>
                <w:iCs/>
              </w:rPr>
              <w:lastRenderedPageBreak/>
              <w:t>Art. 372</w:t>
            </w:r>
          </w:p>
          <w:p w14:paraId="13F2ACDC" w14:textId="75925143" w:rsidR="00611BEF" w:rsidRPr="0048016A" w:rsidRDefault="00611BEF" w:rsidP="00611BEF">
            <w:pPr>
              <w:jc w:val="both"/>
              <w:rPr>
                <w:i/>
                <w:iCs/>
              </w:rPr>
            </w:pPr>
            <w:r w:rsidRPr="0048016A">
              <w:rPr>
                <w:rFonts w:eastAsia="Times New Roman" w:cs="Calibri"/>
                <w:i/>
                <w:iCs/>
              </w:rPr>
              <w:lastRenderedPageBreak/>
              <w:t>1. O ile ustawa nie stanowi inaczej, w toku postępowania spornego Urząd Patentowy wyznacza stronie termin miesiąca dla dokonania określonych czynności.</w:t>
            </w:r>
          </w:p>
          <w:p w14:paraId="5FDE3F13" w14:textId="49D01A9F" w:rsidR="00611BEF" w:rsidRPr="0048016A" w:rsidRDefault="00611BEF" w:rsidP="00611BEF">
            <w:pPr>
              <w:jc w:val="both"/>
              <w:rPr>
                <w:rFonts w:eastAsia="Times New Roman" w:cs="Calibri"/>
                <w:i/>
                <w:iCs/>
              </w:rPr>
            </w:pPr>
            <w:r w:rsidRPr="0048016A">
              <w:rPr>
                <w:rFonts w:eastAsia="Times New Roman" w:cs="Calibri"/>
                <w:i/>
                <w:iCs/>
              </w:rPr>
              <w:t>2. Czynność może być dokonana w terminie miesiąca po upływie terminu wyznaczonego zgodnie z ust. 1, jeżeli przed jego upływem, strona zawiadomi Urząd Patentowy na piśmie o braku możliwości dotrzymania wyznaczonego terminu.</w:t>
            </w:r>
            <w:r w:rsidR="00F9151C" w:rsidRPr="0048016A">
              <w:rPr>
                <w:rFonts w:eastAsia="Aptos" w:cs="Calibri"/>
                <w:b/>
                <w:bCs/>
                <w:i/>
                <w:iCs/>
                <w:color w:val="EE0000"/>
              </w:rPr>
              <w:t xml:space="preserve"> Przepisu art. 352 ust. 3 nie stosuje się.</w:t>
            </w:r>
          </w:p>
          <w:p w14:paraId="7740351F" w14:textId="6C269CDB" w:rsidR="00611BEF" w:rsidRPr="0048016A" w:rsidRDefault="00611BEF" w:rsidP="00611BEF">
            <w:pPr>
              <w:jc w:val="both"/>
              <w:rPr>
                <w:rFonts w:eastAsia="Lato" w:cs="Calibri"/>
                <w:i/>
                <w:iCs/>
              </w:rPr>
            </w:pPr>
            <w:r w:rsidRPr="0048016A">
              <w:rPr>
                <w:rFonts w:eastAsia="Times New Roman" w:cs="Calibri"/>
                <w:b/>
                <w:bCs/>
                <w:i/>
                <w:iCs/>
                <w:color w:val="EE0000"/>
              </w:rPr>
              <w:t>3. Czynność dokonana po upływie terminu, o którym mowa w ust. 1 albo ust. 2, uważana jest za niedokonaną.</w:t>
            </w:r>
          </w:p>
        </w:tc>
      </w:tr>
      <w:tr w:rsidR="00611BEF" w14:paraId="77850A7D" w14:textId="60F594C8"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23ACD7"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1F560D" w14:textId="5F4C18B1" w:rsidR="00611BEF" w:rsidRDefault="00611BEF" w:rsidP="00611BEF">
            <w:pPr>
              <w:jc w:val="both"/>
              <w:rPr>
                <w:rFonts w:eastAsia="Times New Roman" w:cs="Calibri"/>
              </w:rPr>
            </w:pPr>
            <w:r>
              <w:rPr>
                <w:rFonts w:eastAsia="Times New Roman" w:cs="Calibri"/>
              </w:rPr>
              <w:t>Art. 373</w:t>
            </w:r>
          </w:p>
          <w:p w14:paraId="3CAA8973" w14:textId="1D843CDB" w:rsidR="00611BEF" w:rsidRDefault="00611BEF" w:rsidP="00611BEF">
            <w:pPr>
              <w:jc w:val="both"/>
            </w:pPr>
            <w:r>
              <w:rPr>
                <w:rFonts w:eastAsia="Times New Roman" w:cs="Calibri"/>
              </w:rPr>
              <w:lastRenderedPageBreak/>
              <w:t>1. Sprawy w postępowaniu spornym są rozpoznawane na posiedzeniach niejawnych.</w:t>
            </w:r>
          </w:p>
          <w:p w14:paraId="7567D658" w14:textId="77777777" w:rsidR="00611BEF" w:rsidRDefault="00611BEF" w:rsidP="00611BEF">
            <w:pPr>
              <w:jc w:val="both"/>
            </w:pPr>
            <w:r>
              <w:rPr>
                <w:rFonts w:eastAsia="Times New Roman" w:cs="Calibri"/>
              </w:rPr>
              <w:t>2. Urząd Patentowy przeprowadza w toku postępowania rozprawę, z urzędu albo na wniosek strony, gdy uzna to za celowe, zwłaszcza gdy przeprowadzenie rozprawy przyczyni się do przyspieszenia postępowania lub wyjaśnienia istotnych okoliczności sprawy.</w:t>
            </w:r>
          </w:p>
          <w:p w14:paraId="3278C7E9" w14:textId="77777777" w:rsidR="00611BEF" w:rsidRPr="00C64D9C" w:rsidRDefault="00611BEF" w:rsidP="00611BEF">
            <w:pPr>
              <w:jc w:val="both"/>
            </w:pPr>
            <w:r w:rsidRPr="00C64D9C">
              <w:t>3. Strona wnosząc o przeprowadzenie rozprawy wskazuje okoliczności uzasadniające jej przeprowadzenie. </w:t>
            </w:r>
          </w:p>
          <w:p w14:paraId="5E9A07EA" w14:textId="77777777" w:rsidR="00611BEF" w:rsidRPr="00C64D9C" w:rsidRDefault="00611BEF" w:rsidP="00611BEF">
            <w:pPr>
              <w:jc w:val="both"/>
            </w:pPr>
            <w:r w:rsidRPr="00C64D9C">
              <w:t>4. W sprawie przeprowadzenia rozprawy Urząd Patentowy wydaje postanowienie. </w:t>
            </w:r>
          </w:p>
          <w:p w14:paraId="6CF8CBD0" w14:textId="41757627" w:rsidR="00611BEF" w:rsidRDefault="00611BEF" w:rsidP="00611BEF">
            <w:pPr>
              <w:jc w:val="both"/>
            </w:pPr>
            <w:r>
              <w:t>(…)</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2517389" w14:textId="41D60972" w:rsidR="00611BEF" w:rsidRDefault="00611BEF" w:rsidP="00611BEF">
            <w:pPr>
              <w:jc w:val="both"/>
            </w:pPr>
            <w:r>
              <w:rPr>
                <w:rFonts w:eastAsia="Lato" w:cs="Calibri"/>
              </w:rPr>
              <w:lastRenderedPageBreak/>
              <w:t xml:space="preserve">Przepis jest niejednoznaczny. Zgodnie z ust. 1, sprawy sporne rozstrzygane są na posiedzeniu niejawnym, co jest niespójne z ust. 2 - Urząd przeprowadza w toku postępowania rozprawę, z urzędu albo na wniosek strony. Zgodnie z ust. 5 rozprawa ma być </w:t>
            </w:r>
            <w:r>
              <w:rPr>
                <w:rFonts w:eastAsia="Lato" w:cs="Calibri"/>
              </w:rPr>
              <w:lastRenderedPageBreak/>
              <w:t>z założenia jawna, chyba że postępowanie dotyczy wynalazku lub wzoru tajnego.</w:t>
            </w:r>
          </w:p>
          <w:p w14:paraId="39CA544B" w14:textId="77777777" w:rsidR="00611BEF" w:rsidRDefault="00611BEF" w:rsidP="00611BEF">
            <w:pPr>
              <w:jc w:val="both"/>
              <w:rPr>
                <w:rFonts w:eastAsia="Aptos" w:cs="Calibri"/>
              </w:rPr>
            </w:pPr>
            <w:r>
              <w:rPr>
                <w:rFonts w:eastAsia="Aptos" w:cs="Calibri"/>
              </w:rPr>
              <w:t>Zniesienie jawności rozpraw bądź ograniczenie ich do przypadków uznanych za niezbędne przez Kolegia ds. Spornych, ogranicza prawa stron do bycia wysłuchanym. Możliwość wymiany argumentów między stronami jest istotą sporu, zaś Projekt pozbawia strony możliwości wypowiedzenia, kształtowania i modyfikowania swoich racji. Nie wydaje się, by zniesienie rozpraw sprzyjało łatwiejszemu i szybszemu rozpatrzeniu sprawy. Dodatkowo znosząc jawność rozpraw przed Kolegium ds. Spornych, projekt ogranicza w istotny sposób dostęp osób trzecich do informacji i zmniejsza transparentność działania organu. Dlatego uzasadnione jest wprowadzenie obowiązku wyznaczenia rozprawy na wniosek co najmniej jednej ze stron.</w:t>
            </w:r>
          </w:p>
          <w:p w14:paraId="451952AA" w14:textId="79829BF0" w:rsidR="00611BEF" w:rsidRDefault="00611BEF" w:rsidP="00611BEF">
            <w:pPr>
              <w:jc w:val="both"/>
            </w:pPr>
            <w:r>
              <w:rPr>
                <w:rFonts w:eastAsia="Lato" w:cs="Calibri"/>
              </w:rPr>
              <w:t xml:space="preserve">Wydawanie postanowień w przedmiocie przeprowadzenia rozprawy będzie nieuchronnie prowadziło do przedłużania postępowania z uwagi na możliwość ich zaskarżania. </w:t>
            </w:r>
            <w:r>
              <w:rPr>
                <w:rFonts w:eastAsia="Lato" w:cs="Calibri"/>
                <w:b/>
                <w:bCs/>
              </w:rPr>
              <w:t xml:space="preserve">Postanowienia te nie powinny być więc wydawane w ogóle </w:t>
            </w:r>
            <w:proofErr w:type="gramStart"/>
            <w:r>
              <w:rPr>
                <w:rFonts w:eastAsia="Lato" w:cs="Calibri"/>
                <w:b/>
                <w:bCs/>
              </w:rPr>
              <w:t>albo,</w:t>
            </w:r>
            <w:proofErr w:type="gramEnd"/>
            <w:r>
              <w:rPr>
                <w:rFonts w:eastAsia="Lato" w:cs="Calibri"/>
                <w:b/>
                <w:bCs/>
              </w:rPr>
              <w:t xml:space="preserve"> jeżeli miałyby być wydawane, powinny być niezaskarżalne.</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93B72" w14:textId="6C1E947C" w:rsidR="00611BEF" w:rsidRPr="0048016A" w:rsidRDefault="00611BEF" w:rsidP="00611BEF">
            <w:pPr>
              <w:jc w:val="both"/>
              <w:rPr>
                <w:rFonts w:eastAsia="Times New Roman" w:cs="Calibri"/>
                <w:i/>
                <w:iCs/>
              </w:rPr>
            </w:pPr>
            <w:r w:rsidRPr="0048016A">
              <w:rPr>
                <w:rFonts w:eastAsia="Times New Roman" w:cs="Calibri"/>
                <w:i/>
                <w:iCs/>
              </w:rPr>
              <w:lastRenderedPageBreak/>
              <w:t>Art. 373</w:t>
            </w:r>
          </w:p>
          <w:p w14:paraId="3CCA56C3" w14:textId="77777777" w:rsidR="00611BEF" w:rsidRPr="002D64E0" w:rsidRDefault="00611BEF" w:rsidP="00611BEF">
            <w:pPr>
              <w:jc w:val="both"/>
              <w:rPr>
                <w:rFonts w:eastAsia="Times New Roman" w:cs="Calibri"/>
                <w:i/>
                <w:iCs/>
              </w:rPr>
            </w:pPr>
            <w:r w:rsidRPr="0048016A">
              <w:rPr>
                <w:rFonts w:eastAsia="Times New Roman" w:cs="Calibri"/>
                <w:i/>
                <w:iCs/>
              </w:rPr>
              <w:lastRenderedPageBreak/>
              <w:t>1. Sprawy w postępowaniu spornym są rozpoznawane na posiedzeniach niejawnych</w:t>
            </w:r>
            <w:r w:rsidRPr="002D64E0">
              <w:rPr>
                <w:rFonts w:eastAsia="Times New Roman" w:cs="Calibri"/>
                <w:i/>
                <w:iCs/>
              </w:rPr>
              <w:t>, z zastrzeżeniem ust. 2</w:t>
            </w:r>
            <w:r w:rsidRPr="0048016A">
              <w:rPr>
                <w:rFonts w:eastAsia="Times New Roman" w:cs="Calibri"/>
                <w:i/>
                <w:iCs/>
              </w:rPr>
              <w:t>.</w:t>
            </w:r>
          </w:p>
          <w:p w14:paraId="1F8DA30C" w14:textId="77777777" w:rsidR="00611BEF" w:rsidRDefault="00611BEF" w:rsidP="00611BEF">
            <w:pPr>
              <w:jc w:val="both"/>
              <w:rPr>
                <w:rFonts w:eastAsia="Times New Roman" w:cs="Calibri"/>
                <w:i/>
                <w:iCs/>
              </w:rPr>
            </w:pPr>
            <w:r w:rsidRPr="0048016A">
              <w:rPr>
                <w:rFonts w:eastAsia="Times New Roman" w:cs="Calibri"/>
                <w:i/>
                <w:iCs/>
              </w:rPr>
              <w:t xml:space="preserve">2. Urząd Patentowy przeprowadza w toku postępowania rozprawę, z urzędu </w:t>
            </w:r>
            <w:r w:rsidRPr="002D64E0">
              <w:rPr>
                <w:rFonts w:eastAsia="Times New Roman" w:cs="Calibri"/>
                <w:i/>
                <w:iCs/>
              </w:rPr>
              <w:t>albo na wniosek strony</w:t>
            </w:r>
            <w:r w:rsidRPr="0048016A">
              <w:rPr>
                <w:rFonts w:eastAsia="Times New Roman" w:cs="Calibri"/>
                <w:i/>
                <w:iCs/>
              </w:rPr>
              <w:t xml:space="preserve">, gdy uzna to za celowe, zwłaszcza gdy przeprowadzenie rozprawy przyczyni się do przyspieszenia postępowania lub wyjaśnienia istotnych okoliczności sprawy, </w:t>
            </w:r>
            <w:r w:rsidRPr="002D64E0">
              <w:rPr>
                <w:rFonts w:eastAsia="Times New Roman" w:cs="Calibri"/>
                <w:i/>
                <w:iCs/>
              </w:rPr>
              <w:t>albo na wniosek strony</w:t>
            </w:r>
            <w:r>
              <w:rPr>
                <w:rFonts w:eastAsia="Times New Roman" w:cs="Calibri"/>
                <w:i/>
                <w:iCs/>
              </w:rPr>
              <w:t>.</w:t>
            </w:r>
          </w:p>
          <w:p w14:paraId="30BBF471" w14:textId="0DA8CB58" w:rsidR="00611BEF" w:rsidRPr="002D64E0" w:rsidRDefault="00611BEF" w:rsidP="00611BEF">
            <w:pPr>
              <w:jc w:val="both"/>
              <w:rPr>
                <w:rFonts w:eastAsia="Times New Roman" w:cs="Calibri"/>
                <w:i/>
                <w:iCs/>
              </w:rPr>
            </w:pPr>
            <w:r>
              <w:rPr>
                <w:rFonts w:eastAsia="Times New Roman" w:cs="Calibri"/>
                <w:i/>
                <w:iCs/>
              </w:rPr>
              <w:t>(…)</w:t>
            </w:r>
          </w:p>
          <w:p w14:paraId="5E3A10C4" w14:textId="77777777" w:rsidR="00611BEF" w:rsidRPr="002D64E0" w:rsidRDefault="00611BEF" w:rsidP="00611BEF">
            <w:pPr>
              <w:jc w:val="both"/>
              <w:rPr>
                <w:rFonts w:eastAsia="Times New Roman" w:cs="Calibri"/>
                <w:i/>
                <w:iCs/>
                <w:strike/>
                <w:color w:val="EE0000"/>
              </w:rPr>
            </w:pPr>
            <w:r w:rsidRPr="002D64E0">
              <w:rPr>
                <w:rFonts w:eastAsia="Times New Roman" w:cs="Calibri"/>
                <w:i/>
                <w:iCs/>
                <w:strike/>
                <w:color w:val="EE0000"/>
              </w:rPr>
              <w:t>4. W sprawie przeprowadzenia rozprawy Urząd Patentowy wydaje postanowienie. </w:t>
            </w:r>
          </w:p>
          <w:p w14:paraId="4859B344" w14:textId="74E8A89F" w:rsidR="00611BEF" w:rsidRPr="002D64E0" w:rsidRDefault="00611BEF" w:rsidP="00611BEF">
            <w:pPr>
              <w:jc w:val="both"/>
              <w:rPr>
                <w:rFonts w:eastAsia="Times New Roman" w:cs="Calibri"/>
                <w:i/>
                <w:iCs/>
              </w:rPr>
            </w:pPr>
            <w:r>
              <w:rPr>
                <w:rFonts w:eastAsia="Times New Roman" w:cs="Calibri"/>
                <w:i/>
                <w:iCs/>
              </w:rPr>
              <w:t>(…)</w:t>
            </w:r>
          </w:p>
        </w:tc>
      </w:tr>
      <w:tr w:rsidR="00611BEF" w14:paraId="0A6DE0F9" w14:textId="2EA5B1F2"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F0493B"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58A346" w14:textId="65EAE012" w:rsidR="00611BEF" w:rsidRPr="00C31E34" w:rsidRDefault="00611BEF" w:rsidP="00611BEF">
            <w:pPr>
              <w:jc w:val="both"/>
              <w:rPr>
                <w:rFonts w:eastAsia="Aptos" w:cs="Calibri"/>
                <w:color w:val="000000"/>
              </w:rPr>
            </w:pPr>
            <w:r w:rsidRPr="00C31E34">
              <w:rPr>
                <w:rFonts w:eastAsia="Aptos" w:cs="Calibri"/>
                <w:color w:val="000000"/>
              </w:rPr>
              <w:t>Art. 373</w:t>
            </w:r>
          </w:p>
          <w:p w14:paraId="4C0BA1BD" w14:textId="2801DC51" w:rsidR="00611BEF" w:rsidRPr="00C31E34" w:rsidRDefault="00611BEF" w:rsidP="00611BEF">
            <w:pPr>
              <w:jc w:val="both"/>
              <w:rPr>
                <w:rFonts w:eastAsia="Aptos" w:cs="Calibri"/>
                <w:color w:val="000000"/>
              </w:rPr>
            </w:pPr>
            <w:r>
              <w:rPr>
                <w:rFonts w:eastAsia="Aptos" w:cs="Calibri"/>
                <w:color w:val="000000"/>
              </w:rPr>
              <w:t>(…)</w:t>
            </w:r>
          </w:p>
          <w:p w14:paraId="2E3644F6" w14:textId="022507F3" w:rsidR="00611BEF" w:rsidRDefault="00611BEF" w:rsidP="00611BEF">
            <w:pPr>
              <w:jc w:val="both"/>
              <w:rPr>
                <w:rFonts w:eastAsia="Aptos" w:cs="Calibri"/>
                <w:color w:val="000000"/>
              </w:rPr>
            </w:pPr>
            <w:r w:rsidRPr="00C31E34">
              <w:rPr>
                <w:rFonts w:eastAsia="Aptos" w:cs="Calibri"/>
                <w:color w:val="000000"/>
              </w:rPr>
              <w:lastRenderedPageBreak/>
              <w:t>6. Jawność rozprawy może być wyłączona w drodze postanowienia w całości albo części, jeżeli rozpatrzenie sprawy wymaga powołania się przez strony na informacje prawnie chronione. Wyłączenie nie może obejmować obecności stron na rozprawie.</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30B0D72" w14:textId="77777777" w:rsidR="00611BEF" w:rsidRDefault="00611BEF" w:rsidP="00611BEF">
            <w:pPr>
              <w:spacing w:after="0"/>
              <w:ind w:left="2"/>
              <w:jc w:val="both"/>
              <w:rPr>
                <w:rFonts w:eastAsia="Aptos" w:cs="Calibri"/>
              </w:rPr>
            </w:pPr>
            <w:r>
              <w:rPr>
                <w:rFonts w:eastAsia="Aptos" w:cs="Calibri"/>
              </w:rPr>
              <w:lastRenderedPageBreak/>
              <w:t xml:space="preserve">W zakresie rozstrzygania sprawy na pierwszym posiedzeniu niejawnym lub na pierwszym terminie rozprawy, proponujemy rozwiązanie analogiczne do rozwiązania stosowanego w postępowaniach przed Europejskim Urzędem Patentowym, </w:t>
            </w:r>
            <w:r>
              <w:rPr>
                <w:rFonts w:eastAsia="Aptos" w:cs="Calibri"/>
              </w:rPr>
              <w:lastRenderedPageBreak/>
              <w:t>gdzie po fazie pisemnej postępowania, w której strony w określonych terminach mają możliwość składania wszelkich dowodów i twierdzeń, rozstrzygnięcie w danej instancji uzyskiwane jest na jednym posiedzeniu (Kolegium do Spraw Sprzeciwów oraz analogicznie apelacja na jednym posiedzeniu Kolegium Odwoławczego).</w:t>
            </w:r>
          </w:p>
          <w:p w14:paraId="7C37F206" w14:textId="77777777" w:rsidR="00611BEF" w:rsidRDefault="00611BEF" w:rsidP="00611BEF">
            <w:pPr>
              <w:spacing w:after="0"/>
              <w:ind w:left="2"/>
              <w:jc w:val="both"/>
              <w:rPr>
                <w:rFonts w:eastAsia="Aptos" w:cs="Calibri"/>
              </w:rPr>
            </w:pPr>
          </w:p>
          <w:p w14:paraId="7E657D67" w14:textId="77777777" w:rsidR="00611BEF" w:rsidRDefault="00611BEF" w:rsidP="00611BEF">
            <w:pPr>
              <w:jc w:val="both"/>
              <w:rPr>
                <w:rFonts w:eastAsia="Aptos" w:cs="Calibri"/>
              </w:rPr>
            </w:pPr>
            <w:r>
              <w:rPr>
                <w:rFonts w:eastAsia="Aptos" w:cs="Calibri"/>
              </w:rPr>
              <w:t>Sporządzanie przez Urząd Patentowy wstępnej opinii, wzorem Wydziału ds. Sprzeciwów i Izb Odwoławczych EUP, służyłoby usprawnieniu postępowania.</w:t>
            </w:r>
          </w:p>
          <w:p w14:paraId="3A0FC7B9" w14:textId="11DE0794" w:rsidR="00611BEF" w:rsidRDefault="00611BEF" w:rsidP="00611BEF">
            <w:pPr>
              <w:jc w:val="both"/>
              <w:rPr>
                <w:rFonts w:eastAsia="Aptos" w:cs="Calibri"/>
              </w:rPr>
            </w:pPr>
            <w:r>
              <w:rPr>
                <w:rFonts w:eastAsia="Aptos" w:cs="Calibri"/>
              </w:rPr>
              <w:t>Postulowana zmiana w zakresie przygotowywania wstępnej opinii Kolegium będzie miała pozytywny wpływ na pewność prawną konkurentów uprawnionych w kontekście ważności spornych praw wyłącznych, a przede wszystkim stron postępowań spornych prowadzonych przed sądami cywilnymi.</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C2DD7" w14:textId="3B4DB91A" w:rsidR="00611BEF" w:rsidRPr="0048016A" w:rsidRDefault="00611BEF" w:rsidP="00611BEF">
            <w:pPr>
              <w:spacing w:after="160"/>
              <w:jc w:val="both"/>
              <w:rPr>
                <w:rFonts w:eastAsia="Aptos" w:cs="Calibri"/>
                <w:i/>
                <w:iCs/>
              </w:rPr>
            </w:pPr>
            <w:r w:rsidRPr="0048016A">
              <w:rPr>
                <w:rFonts w:eastAsia="Aptos" w:cs="Calibri"/>
                <w:i/>
                <w:iCs/>
              </w:rPr>
              <w:lastRenderedPageBreak/>
              <w:t>Art. 373</w:t>
            </w:r>
          </w:p>
          <w:p w14:paraId="11878699" w14:textId="77777777" w:rsidR="00611BEF" w:rsidRPr="0048016A" w:rsidRDefault="00611BEF" w:rsidP="00611BEF">
            <w:pPr>
              <w:spacing w:after="160"/>
              <w:jc w:val="both"/>
              <w:rPr>
                <w:rFonts w:eastAsia="Aptos" w:cs="Calibri"/>
                <w:i/>
                <w:iCs/>
              </w:rPr>
            </w:pPr>
            <w:r w:rsidRPr="0048016A">
              <w:rPr>
                <w:rFonts w:eastAsia="Aptos" w:cs="Calibri"/>
                <w:i/>
                <w:iCs/>
              </w:rPr>
              <w:t xml:space="preserve">(…) </w:t>
            </w:r>
          </w:p>
          <w:p w14:paraId="174347DE" w14:textId="77777777" w:rsidR="00611BEF" w:rsidRPr="0048016A" w:rsidRDefault="00611BEF" w:rsidP="00611BEF">
            <w:pPr>
              <w:spacing w:after="160"/>
              <w:jc w:val="both"/>
              <w:rPr>
                <w:rFonts w:eastAsia="Aptos" w:cs="Calibri"/>
                <w:i/>
                <w:iCs/>
                <w:color w:val="000000"/>
              </w:rPr>
            </w:pPr>
            <w:r w:rsidRPr="0048016A">
              <w:rPr>
                <w:rFonts w:eastAsia="Aptos" w:cs="Calibri"/>
                <w:i/>
                <w:iCs/>
                <w:color w:val="000000"/>
              </w:rPr>
              <w:lastRenderedPageBreak/>
              <w:t>6. Jawność rozprawy może być wyłączona w drodze postanowienia w całości albo części, jeżeli rozpatrzenie sprawy wymaga powołania się przez strony na informacje prawnie chronione. Wyłączenie nie może obejmować obecności stron na rozprawie.</w:t>
            </w:r>
          </w:p>
          <w:p w14:paraId="0B28D08A" w14:textId="77777777" w:rsidR="00611BEF" w:rsidRPr="0079377B" w:rsidRDefault="00611BEF" w:rsidP="00611BEF">
            <w:pPr>
              <w:spacing w:after="160"/>
              <w:jc w:val="both"/>
              <w:rPr>
                <w:rFonts w:eastAsia="Aptos" w:cs="Calibri"/>
                <w:b/>
                <w:i/>
                <w:iCs/>
                <w:color w:val="EE0000"/>
              </w:rPr>
            </w:pPr>
            <w:r w:rsidRPr="0079377B">
              <w:rPr>
                <w:rFonts w:eastAsia="Aptos" w:cs="Calibri"/>
                <w:b/>
                <w:i/>
                <w:iCs/>
                <w:color w:val="EE0000"/>
              </w:rPr>
              <w:t>7. Urząd Patentowy dąży do tego, aby sprawa została rozpoznana na pierwszym posiedzeniu niejawnym, a w razie wyznaczenia rozprawy – na pierwszym terminie rozprawy.</w:t>
            </w:r>
          </w:p>
          <w:p w14:paraId="25A85314" w14:textId="269C72A6" w:rsidR="00611BEF" w:rsidRPr="007F3F60" w:rsidRDefault="00611BEF" w:rsidP="007F3F60">
            <w:pPr>
              <w:spacing w:after="160"/>
              <w:jc w:val="both"/>
              <w:rPr>
                <w:rFonts w:eastAsia="Aptos" w:cs="Calibri"/>
                <w:b/>
                <w:i/>
                <w:iCs/>
                <w:color w:val="EE0000"/>
              </w:rPr>
            </w:pPr>
            <w:r w:rsidRPr="0079377B">
              <w:rPr>
                <w:rFonts w:eastAsia="Aptos" w:cs="Calibri"/>
                <w:b/>
                <w:i/>
                <w:iCs/>
                <w:color w:val="EE0000"/>
              </w:rPr>
              <w:t>8. Przed pierwszym posiedzeniem niejawnym, o którym mowa w ust. 1, albo przed pierwszym terminem rozprawy, o której mowa w ust. 2, Urząd Patentowy wydaje i doręcza stronom wstępną, niewiążącą opinię w sprawie oraz wyznacza stronom termin do zajęcia stanowiska.</w:t>
            </w:r>
          </w:p>
        </w:tc>
      </w:tr>
      <w:tr w:rsidR="00611BEF" w14:paraId="312F8E5F" w14:textId="1CBE194C"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5C5EFD"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065F00" w14:textId="77777777" w:rsidR="00611BEF" w:rsidRDefault="00611BEF" w:rsidP="00611BEF">
            <w:pPr>
              <w:jc w:val="both"/>
              <w:rPr>
                <w:rFonts w:eastAsia="Times New Roman" w:cs="Calibri"/>
              </w:rPr>
            </w:pPr>
            <w:r>
              <w:rPr>
                <w:rFonts w:eastAsia="Times New Roman" w:cs="Calibri"/>
              </w:rPr>
              <w:t>Art. 374</w:t>
            </w:r>
          </w:p>
          <w:p w14:paraId="56B4E208" w14:textId="3DED2C87" w:rsidR="00611BEF" w:rsidRDefault="00611BEF" w:rsidP="00611BEF">
            <w:pPr>
              <w:jc w:val="both"/>
            </w:pPr>
            <w:r>
              <w:rPr>
                <w:rFonts w:eastAsia="Times New Roman" w:cs="Calibri"/>
              </w:rPr>
              <w:lastRenderedPageBreak/>
              <w:t>1. Termin rozprawy wyznacza Urząd Patentowy.</w:t>
            </w:r>
          </w:p>
          <w:p w14:paraId="745029BD" w14:textId="77777777" w:rsidR="00611BEF" w:rsidRDefault="00611BEF" w:rsidP="00611BEF">
            <w:pPr>
              <w:jc w:val="both"/>
            </w:pPr>
            <w:r>
              <w:rPr>
                <w:rFonts w:eastAsia="Times New Roman" w:cs="Calibri"/>
              </w:rPr>
              <w:t xml:space="preserve">2. O terminie, miejscu i przedmiocie rozprawy Urząd Patentowy zawiadamia strony oraz wzywa inne osoby, w szczególności świadków. Zawiadomienie oraz wezwanie </w:t>
            </w:r>
            <w:proofErr w:type="gramStart"/>
            <w:r>
              <w:rPr>
                <w:rFonts w:eastAsia="Times New Roman" w:cs="Calibri"/>
              </w:rPr>
              <w:t>doręcza</w:t>
            </w:r>
            <w:proofErr w:type="gramEnd"/>
            <w:r>
              <w:rPr>
                <w:rFonts w:eastAsia="Times New Roman" w:cs="Calibri"/>
              </w:rPr>
              <w:t xml:space="preserve"> się co najmniej na 7 dni przed rozprawą.</w:t>
            </w:r>
          </w:p>
          <w:p w14:paraId="425E39E3" w14:textId="77777777" w:rsidR="00611BEF" w:rsidRDefault="00611BEF" w:rsidP="00611BEF">
            <w:pPr>
              <w:jc w:val="both"/>
              <w:rPr>
                <w:rFonts w:eastAsia="Times New Roman" w:cs="Calibri"/>
              </w:rPr>
            </w:pPr>
            <w:r>
              <w:rPr>
                <w:rFonts w:eastAsia="Times New Roman" w:cs="Calibri"/>
              </w:rPr>
              <w:t>8. W przypadku rozprawy zdalnej udział publiczności możliwy jest po uprzednim zgłoszeniu do Urzędu Patentowego.</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D995FC2" w14:textId="43E965B8" w:rsidR="00611BEF" w:rsidRPr="009F5D12" w:rsidRDefault="00611BEF" w:rsidP="00611BEF">
            <w:pPr>
              <w:jc w:val="both"/>
              <w:rPr>
                <w:rFonts w:eastAsia="Lato" w:cs="Calibri"/>
              </w:rPr>
            </w:pPr>
            <w:r w:rsidRPr="009F5D12">
              <w:rPr>
                <w:rFonts w:eastAsia="Lato" w:cs="Calibri"/>
              </w:rPr>
              <w:lastRenderedPageBreak/>
              <w:t xml:space="preserve">Zmiana ust. 2 ma na celu wydłużenie terminu doręczenia zawiadomienia o rozprawie z 7 do 30 dni. Termin 7-dniowy jest w praktyce niewystarczający na przygotowanie się do rozprawy, </w:t>
            </w:r>
            <w:r w:rsidRPr="009F5D12">
              <w:rPr>
                <w:rFonts w:eastAsia="Lato" w:cs="Calibri"/>
              </w:rPr>
              <w:lastRenderedPageBreak/>
              <w:t>zaplanowanie dojazdu oraz zapewnienie udziału uprawnionych mających siedzibę poza Polską i pełnomocników wykonujących działalność poza Warszawą. Dodatkowo, jeżeli zawiadomienie zostanie doręczone w najkrótszym możliwym terminie, tj. 7 dni przed rozprawą, termin ten może pokrywać się z terminem złożenia wniosku o zdalne przeprowadzenie rozprawy, o którym mowa w art. 374 ust. 4.</w:t>
            </w:r>
          </w:p>
          <w:p w14:paraId="14A8F79A" w14:textId="7FFB92E7" w:rsidR="00611BEF" w:rsidRDefault="00611BEF" w:rsidP="00611BEF">
            <w:pPr>
              <w:jc w:val="both"/>
            </w:pPr>
            <w:r w:rsidRPr="009F5D12">
              <w:rPr>
                <w:rFonts w:eastAsia="Lato" w:cs="Calibri"/>
              </w:rPr>
              <w:t>Zmiana ust. 8 ma na celu zapewnienie rzeczywistej możliwości udziału publiczności w rozprawach zdalnych. Wymóg uprzedniego zgłoszenia udziału powinien być połączony z obowiązkiem publikowania przez Urząd Patentowy informacji o planowanych rozprawach w witrynie e-wokanda, wraz z numerem prawa wyłącznego, którego rozprawa dotyczy. Bez publicznego i odpowiednio wczesnego udostępniania tych informacji udział osób trzecich może być w praktyce niemożliwy, zwłaszcza przy ograniczonym dostępie do informacji o sprawach prowadzonych przez Urząd. Dotyczy to również rozpraw stacjonarnych odbywających się w siedzibie Urzędu.</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FB2DB" w14:textId="77777777" w:rsidR="00611BEF" w:rsidRDefault="00611BEF" w:rsidP="00611BEF">
            <w:pPr>
              <w:jc w:val="both"/>
              <w:rPr>
                <w:rFonts w:eastAsia="Times New Roman" w:cs="Calibri"/>
                <w:i/>
                <w:iCs/>
              </w:rPr>
            </w:pPr>
            <w:r w:rsidRPr="0048016A">
              <w:rPr>
                <w:rFonts w:eastAsia="Times New Roman" w:cs="Calibri"/>
                <w:i/>
                <w:iCs/>
              </w:rPr>
              <w:lastRenderedPageBreak/>
              <w:t>Art. 374</w:t>
            </w:r>
          </w:p>
          <w:p w14:paraId="01006B6F" w14:textId="65E9EE15" w:rsidR="00611BEF" w:rsidRPr="0048016A" w:rsidRDefault="00611BEF" w:rsidP="00611BEF">
            <w:pPr>
              <w:jc w:val="both"/>
              <w:rPr>
                <w:i/>
                <w:iCs/>
              </w:rPr>
            </w:pPr>
            <w:r w:rsidRPr="0048016A">
              <w:rPr>
                <w:rFonts w:eastAsia="Times New Roman" w:cs="Calibri"/>
                <w:i/>
                <w:iCs/>
              </w:rPr>
              <w:lastRenderedPageBreak/>
              <w:t>1. Termin rozprawy wyznacza Urząd Patentowy.</w:t>
            </w:r>
          </w:p>
          <w:p w14:paraId="08261F86" w14:textId="77777777" w:rsidR="00611BEF" w:rsidRPr="0048016A" w:rsidRDefault="00611BEF" w:rsidP="00611BEF">
            <w:pPr>
              <w:jc w:val="both"/>
              <w:rPr>
                <w:i/>
                <w:iCs/>
              </w:rPr>
            </w:pPr>
            <w:r w:rsidRPr="0048016A">
              <w:rPr>
                <w:rFonts w:eastAsia="Times New Roman" w:cs="Calibri"/>
                <w:i/>
                <w:iCs/>
              </w:rPr>
              <w:t xml:space="preserve">2. O terminie, miejscu i przedmiocie rozprawy Urząd Patentowy zawiadamia strony oraz wzywa inne osoby, w szczególności świadków. Zawiadomienie oraz wezwanie </w:t>
            </w:r>
            <w:proofErr w:type="gramStart"/>
            <w:r w:rsidRPr="0048016A">
              <w:rPr>
                <w:rFonts w:eastAsia="Times New Roman" w:cs="Calibri"/>
                <w:i/>
                <w:iCs/>
              </w:rPr>
              <w:t>doręcza</w:t>
            </w:r>
            <w:proofErr w:type="gramEnd"/>
            <w:r w:rsidRPr="0048016A">
              <w:rPr>
                <w:rFonts w:eastAsia="Times New Roman" w:cs="Calibri"/>
                <w:i/>
                <w:iCs/>
              </w:rPr>
              <w:t xml:space="preserve"> się co najmniej na </w:t>
            </w:r>
            <w:r w:rsidRPr="0048016A">
              <w:rPr>
                <w:rFonts w:eastAsia="Times New Roman" w:cs="Calibri"/>
                <w:b/>
                <w:bCs/>
                <w:i/>
                <w:iCs/>
                <w:color w:val="EE0000"/>
              </w:rPr>
              <w:t xml:space="preserve">30 dni </w:t>
            </w:r>
            <w:r w:rsidRPr="0048016A">
              <w:rPr>
                <w:rFonts w:eastAsia="Times New Roman" w:cs="Calibri"/>
                <w:i/>
                <w:iCs/>
                <w:strike/>
                <w:color w:val="EE0000"/>
              </w:rPr>
              <w:t>7 dni</w:t>
            </w:r>
            <w:r w:rsidRPr="0048016A">
              <w:rPr>
                <w:rFonts w:eastAsia="Times New Roman" w:cs="Calibri"/>
                <w:i/>
                <w:iCs/>
                <w:color w:val="EE0000"/>
                <w:u w:val="single"/>
              </w:rPr>
              <w:t xml:space="preserve"> </w:t>
            </w:r>
            <w:r w:rsidRPr="0048016A">
              <w:rPr>
                <w:rFonts w:eastAsia="Times New Roman" w:cs="Calibri"/>
                <w:i/>
                <w:iCs/>
              </w:rPr>
              <w:t xml:space="preserve">przed rozprawą. </w:t>
            </w:r>
          </w:p>
          <w:p w14:paraId="399412E0" w14:textId="77777777" w:rsidR="00611BEF" w:rsidRPr="0048016A" w:rsidRDefault="00611BEF" w:rsidP="00611BEF">
            <w:pPr>
              <w:jc w:val="both"/>
              <w:rPr>
                <w:rFonts w:eastAsia="Times New Roman" w:cs="Calibri"/>
                <w:b/>
                <w:bCs/>
                <w:i/>
                <w:iCs/>
                <w:color w:val="EE0000"/>
              </w:rPr>
            </w:pPr>
            <w:r w:rsidRPr="0048016A">
              <w:rPr>
                <w:rFonts w:eastAsia="Times New Roman" w:cs="Calibri"/>
                <w:i/>
                <w:iCs/>
              </w:rPr>
              <w:t xml:space="preserve">8. W przypadku rozprawy zdalnej udział publiczności możliwy jest po uprzednim zgłoszeniu do Urzędu Patentowego, nie później niż 3 dni przed rozprawą. </w:t>
            </w:r>
            <w:r w:rsidRPr="0048016A">
              <w:rPr>
                <w:rFonts w:eastAsia="Times New Roman" w:cs="Calibri"/>
                <w:b/>
                <w:bCs/>
                <w:i/>
                <w:iCs/>
                <w:color w:val="EE0000"/>
              </w:rPr>
              <w:t xml:space="preserve">Urząd Patentowy zapewni osobom trzecim dostęp do informacji o planowanych rozprawach w witrynie e-wokanda, z podaniem numeru prawa wyłącznego, którego rozprawa dotyczy. </w:t>
            </w:r>
          </w:p>
          <w:p w14:paraId="43DD44A9" w14:textId="77777777" w:rsidR="00611BEF" w:rsidRPr="0048016A" w:rsidRDefault="00611BEF" w:rsidP="00611BEF">
            <w:pPr>
              <w:jc w:val="both"/>
              <w:rPr>
                <w:rFonts w:eastAsia="Lato" w:cs="Calibri"/>
                <w:i/>
                <w:iCs/>
              </w:rPr>
            </w:pPr>
          </w:p>
        </w:tc>
      </w:tr>
      <w:tr w:rsidR="00611BEF" w14:paraId="1834ED6F" w14:textId="0BD90A8A"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159D69"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CC49A8" w14:textId="77777777" w:rsidR="00611BEF" w:rsidRDefault="00611BEF" w:rsidP="00611BEF">
            <w:pPr>
              <w:jc w:val="both"/>
              <w:rPr>
                <w:rFonts w:eastAsia="Times New Roman" w:cs="Calibri"/>
              </w:rPr>
            </w:pPr>
            <w:r>
              <w:rPr>
                <w:rFonts w:eastAsia="Times New Roman" w:cs="Calibri"/>
              </w:rPr>
              <w:t xml:space="preserve">Art. 410 </w:t>
            </w:r>
          </w:p>
          <w:p w14:paraId="35447759" w14:textId="3B08B9CA" w:rsidR="00611BEF" w:rsidRDefault="00611BEF" w:rsidP="00611BEF">
            <w:pPr>
              <w:jc w:val="both"/>
              <w:rPr>
                <w:rFonts w:eastAsia="Times New Roman" w:cs="Calibri"/>
              </w:rPr>
            </w:pPr>
            <w:r>
              <w:rPr>
                <w:rFonts w:eastAsia="Times New Roman" w:cs="Calibri"/>
              </w:rPr>
              <w:t xml:space="preserve">1. Dla patentów, patentów europejskich walidowanych na </w:t>
            </w:r>
            <w:r>
              <w:rPr>
                <w:rFonts w:eastAsia="Times New Roman" w:cs="Calibri"/>
              </w:rPr>
              <w:lastRenderedPageBreak/>
              <w:t>terytorium Rzeczypospolitej Polskiej, dodatkowych praw ochronnych, praw ochronnych i praw z rejestracji Urząd Patentowy prowadzi:</w:t>
            </w:r>
          </w:p>
          <w:p w14:paraId="1EA35FA3" w14:textId="77777777" w:rsidR="00611BEF" w:rsidRDefault="00611BEF" w:rsidP="00611BEF">
            <w:pPr>
              <w:jc w:val="both"/>
              <w:rPr>
                <w:rFonts w:eastAsia="Times New Roman" w:cs="Calibri"/>
              </w:rPr>
            </w:pPr>
            <w:r>
              <w:rPr>
                <w:rFonts w:eastAsia="Times New Roman" w:cs="Calibri"/>
              </w:rPr>
              <w:t>1) rejestr patentów;</w:t>
            </w:r>
          </w:p>
          <w:p w14:paraId="7C98A812" w14:textId="77777777" w:rsidR="00611BEF" w:rsidRDefault="00611BEF" w:rsidP="00611BEF">
            <w:pPr>
              <w:jc w:val="both"/>
              <w:rPr>
                <w:rFonts w:eastAsia="Times New Roman" w:cs="Calibri"/>
              </w:rPr>
            </w:pPr>
            <w:r>
              <w:rPr>
                <w:rFonts w:eastAsia="Times New Roman" w:cs="Calibri"/>
              </w:rPr>
              <w:t>2) rejestr patentów europejskich;</w:t>
            </w:r>
          </w:p>
          <w:p w14:paraId="0774B769" w14:textId="77777777" w:rsidR="00611BEF" w:rsidRDefault="00611BEF" w:rsidP="00611BEF">
            <w:pPr>
              <w:jc w:val="both"/>
              <w:rPr>
                <w:rFonts w:eastAsia="Times New Roman" w:cs="Calibri"/>
              </w:rPr>
            </w:pPr>
            <w:r>
              <w:rPr>
                <w:rFonts w:eastAsia="Times New Roman" w:cs="Calibri"/>
              </w:rPr>
              <w:t>3) rejestr dodatkowych praw ochronnych;</w:t>
            </w:r>
          </w:p>
          <w:p w14:paraId="23ACF291" w14:textId="77777777" w:rsidR="00611BEF" w:rsidRDefault="00611BEF" w:rsidP="00611BEF">
            <w:pPr>
              <w:jc w:val="both"/>
              <w:rPr>
                <w:rFonts w:eastAsia="Times New Roman" w:cs="Calibri"/>
              </w:rPr>
            </w:pPr>
            <w:r>
              <w:rPr>
                <w:rFonts w:eastAsia="Times New Roman" w:cs="Calibri"/>
              </w:rPr>
              <w:t>4) rejestr wzorów użytkowych;</w:t>
            </w:r>
          </w:p>
          <w:p w14:paraId="3CE259BA" w14:textId="77777777" w:rsidR="00611BEF" w:rsidRDefault="00611BEF" w:rsidP="00611BEF">
            <w:pPr>
              <w:jc w:val="both"/>
              <w:rPr>
                <w:rFonts w:eastAsia="Times New Roman" w:cs="Calibri"/>
              </w:rPr>
            </w:pPr>
            <w:r>
              <w:rPr>
                <w:rFonts w:eastAsia="Times New Roman" w:cs="Calibri"/>
              </w:rPr>
              <w:t>5) rejestr wzorów przemysłowych;</w:t>
            </w:r>
          </w:p>
          <w:p w14:paraId="5298FF20" w14:textId="77777777" w:rsidR="00611BEF" w:rsidRDefault="00611BEF" w:rsidP="00611BEF">
            <w:pPr>
              <w:jc w:val="both"/>
              <w:rPr>
                <w:rFonts w:eastAsia="Times New Roman" w:cs="Calibri"/>
              </w:rPr>
            </w:pPr>
            <w:r>
              <w:rPr>
                <w:rFonts w:eastAsia="Times New Roman" w:cs="Calibri"/>
              </w:rPr>
              <w:t>6) rejestr znaków towarowych;</w:t>
            </w:r>
          </w:p>
          <w:p w14:paraId="099A773D" w14:textId="7106D5B9" w:rsidR="00611BEF" w:rsidRDefault="00611BEF" w:rsidP="00611BEF">
            <w:pPr>
              <w:jc w:val="both"/>
              <w:rPr>
                <w:rFonts w:eastAsia="Times New Roman" w:cs="Calibri"/>
              </w:rPr>
            </w:pPr>
            <w:r>
              <w:rPr>
                <w:rFonts w:eastAsia="Times New Roman" w:cs="Calibri"/>
              </w:rPr>
              <w:t>7) rejestr topografii układów scalonych.</w:t>
            </w:r>
          </w:p>
          <w:p w14:paraId="1CDF009F" w14:textId="5A4AFB60" w:rsidR="00611BEF" w:rsidRDefault="00611BEF" w:rsidP="00611BEF">
            <w:pPr>
              <w:jc w:val="both"/>
              <w:rPr>
                <w:rFonts w:eastAsia="Times New Roman" w:cs="Calibri"/>
              </w:rPr>
            </w:pPr>
            <w:r>
              <w:rPr>
                <w:rFonts w:eastAsia="Times New Roman" w:cs="Calibri"/>
              </w:rPr>
              <w:t>2. Rejestry, o których mowa w ust. 1, są rejestrami publicznymi.</w:t>
            </w:r>
          </w:p>
          <w:p w14:paraId="3227A24A" w14:textId="77777777" w:rsidR="00611BEF" w:rsidRDefault="00611BEF" w:rsidP="00611BEF">
            <w:pPr>
              <w:jc w:val="both"/>
              <w:rPr>
                <w:rFonts w:eastAsia="Times New Roman" w:cs="Calibri"/>
              </w:rPr>
            </w:pPr>
            <w:r>
              <w:rPr>
                <w:rFonts w:eastAsia="Times New Roman" w:cs="Calibri"/>
              </w:rPr>
              <w:t>3. Rejestry, o których mowa w ust. 1, są jawne.</w:t>
            </w:r>
          </w:p>
          <w:p w14:paraId="3589B225" w14:textId="77777777" w:rsidR="00611BEF" w:rsidRDefault="00611BEF" w:rsidP="00611BEF">
            <w:pPr>
              <w:jc w:val="both"/>
              <w:rPr>
                <w:rFonts w:eastAsia="Times New Roman" w:cs="Calibri"/>
              </w:rPr>
            </w:pPr>
            <w:r>
              <w:rPr>
                <w:rFonts w:eastAsia="Times New Roman" w:cs="Calibri"/>
              </w:rPr>
              <w:lastRenderedPageBreak/>
              <w:t>4. Domniemywa się, że wpisy w rejestrach są prawdziwe i każdemu znana jest ich treść.</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A972CB0" w14:textId="77777777" w:rsidR="00611BEF" w:rsidRDefault="00611BEF" w:rsidP="00611BEF">
            <w:pPr>
              <w:jc w:val="both"/>
            </w:pPr>
            <w:r>
              <w:rPr>
                <w:rFonts w:eastAsia="Lato" w:cs="Calibri"/>
              </w:rPr>
              <w:lastRenderedPageBreak/>
              <w:t xml:space="preserve">Podstawą dla monitorowania i interweniowania w sprawie praw, które mogą zostać udzielone wbrew obowiązującym przepisom – jest jawność całości postępowania. Tylko wówczas </w:t>
            </w:r>
            <w:r>
              <w:rPr>
                <w:rFonts w:eastAsia="Lato" w:cs="Calibri"/>
              </w:rPr>
              <w:t xml:space="preserve">społeczeństwo może aktywnie reagować i wpływać na kierunek postępowania, nie dopuszczając do udzielenia wadliwego prawa. Opcja dostępu do dokumentacji zgłoszeniowej i postępowania po udzieleniu prawa jest niezadowalająca ze względu na brak pewności prawnej w czasie do ew. unieważnienia prawa. </w:t>
            </w:r>
          </w:p>
          <w:p w14:paraId="0C31524F" w14:textId="77777777" w:rsidR="00611BEF" w:rsidRDefault="00611BEF" w:rsidP="00611BEF">
            <w:pPr>
              <w:jc w:val="both"/>
              <w:rPr>
                <w:rFonts w:eastAsia="Lato" w:cs="Calibri"/>
              </w:rPr>
            </w:pPr>
          </w:p>
          <w:p w14:paraId="43F07AAC" w14:textId="77777777" w:rsidR="00611BEF" w:rsidRDefault="00611BEF" w:rsidP="00611BEF">
            <w:pPr>
              <w:jc w:val="both"/>
              <w:rPr>
                <w:rFonts w:eastAsia="Lato" w:cs="Calibri"/>
              </w:rPr>
            </w:pPr>
          </w:p>
          <w:p w14:paraId="1B617039" w14:textId="77777777" w:rsidR="00611BEF" w:rsidRDefault="00611BEF" w:rsidP="00611BEF">
            <w:pPr>
              <w:jc w:val="both"/>
              <w:rPr>
                <w:rFonts w:eastAsia="Lato" w:cs="Calibri"/>
              </w:rPr>
            </w:pPr>
          </w:p>
          <w:p w14:paraId="1BDF2854" w14:textId="77777777" w:rsidR="00611BEF" w:rsidRDefault="00611BEF" w:rsidP="00611BEF">
            <w:pPr>
              <w:jc w:val="both"/>
              <w:rPr>
                <w:rFonts w:eastAsia="Lato" w:cs="Calibri"/>
              </w:rPr>
            </w:pPr>
          </w:p>
          <w:p w14:paraId="334C5D07" w14:textId="77777777" w:rsidR="00611BEF" w:rsidRDefault="00611BEF" w:rsidP="00611BEF">
            <w:pPr>
              <w:jc w:val="both"/>
              <w:rPr>
                <w:rFonts w:eastAsia="Lato" w:cs="Calibri"/>
              </w:rPr>
            </w:pPr>
          </w:p>
          <w:p w14:paraId="072CB3D5" w14:textId="77777777" w:rsidR="00611BEF" w:rsidRDefault="00611BEF" w:rsidP="00611BEF">
            <w:pPr>
              <w:jc w:val="both"/>
              <w:rPr>
                <w:rFonts w:eastAsia="Lato" w:cs="Calibri"/>
              </w:rPr>
            </w:pPr>
          </w:p>
          <w:p w14:paraId="4A3BC70A" w14:textId="77777777" w:rsidR="00611BEF" w:rsidRDefault="00611BEF" w:rsidP="00611BEF">
            <w:pPr>
              <w:jc w:val="both"/>
              <w:rPr>
                <w:rFonts w:eastAsia="Lato" w:cs="Calibri"/>
              </w:rPr>
            </w:pPr>
          </w:p>
          <w:p w14:paraId="7493858F" w14:textId="77777777" w:rsidR="00611BEF" w:rsidRDefault="00611BEF" w:rsidP="00611BEF">
            <w:pPr>
              <w:jc w:val="both"/>
              <w:rPr>
                <w:rFonts w:eastAsia="Lato" w:cs="Calibri"/>
              </w:rPr>
            </w:pPr>
          </w:p>
          <w:p w14:paraId="3ABFBD06" w14:textId="77777777" w:rsidR="00611BEF" w:rsidRDefault="00611BEF" w:rsidP="00611BEF">
            <w:pPr>
              <w:jc w:val="both"/>
              <w:rPr>
                <w:rFonts w:eastAsia="Lato" w:cs="Calibri"/>
              </w:rPr>
            </w:pPr>
          </w:p>
          <w:p w14:paraId="2C614DD3" w14:textId="77777777" w:rsidR="00611BEF" w:rsidRDefault="00611BEF" w:rsidP="00611BEF">
            <w:pPr>
              <w:jc w:val="both"/>
              <w:rPr>
                <w:rFonts w:eastAsia="Lato" w:cs="Calibri"/>
              </w:rPr>
            </w:pPr>
          </w:p>
          <w:p w14:paraId="34222E49" w14:textId="77777777" w:rsidR="00611BEF" w:rsidRDefault="00611BEF" w:rsidP="00611BEF">
            <w:pPr>
              <w:jc w:val="both"/>
              <w:rPr>
                <w:rFonts w:eastAsia="Lato" w:cs="Calibri"/>
              </w:rPr>
            </w:pPr>
          </w:p>
          <w:p w14:paraId="748D5D5D" w14:textId="77777777" w:rsidR="00611BEF" w:rsidRDefault="00611BEF" w:rsidP="00611BEF">
            <w:pPr>
              <w:jc w:val="both"/>
              <w:rPr>
                <w:rFonts w:eastAsia="Lato" w:cs="Calibri"/>
              </w:rPr>
            </w:pPr>
          </w:p>
          <w:p w14:paraId="33FA97AA" w14:textId="77777777" w:rsidR="00611BEF" w:rsidRDefault="00611BEF" w:rsidP="00611BEF">
            <w:pPr>
              <w:jc w:val="both"/>
              <w:rPr>
                <w:rFonts w:eastAsia="Lato" w:cs="Calibri"/>
              </w:rPr>
            </w:pPr>
          </w:p>
          <w:p w14:paraId="1295CF0D" w14:textId="7442329F" w:rsidR="00611BEF" w:rsidRPr="00107035" w:rsidRDefault="00611BEF" w:rsidP="00611BEF">
            <w:pPr>
              <w:jc w:val="both"/>
            </w:pPr>
            <w:r>
              <w:rPr>
                <w:rFonts w:eastAsia="Lato" w:cs="Calibri"/>
              </w:rPr>
              <w:lastRenderedPageBreak/>
              <w:t xml:space="preserve">Obligatoryjne publikowanie przez UPRP pełnych danych adresowych Uprawnionego z DPO w e-rejestrze online jest niezbędne dla pewności notyfikacji SPC MW zgodnie z </w:t>
            </w:r>
            <w:r>
              <w:rPr>
                <w:rFonts w:eastAsia="Lato" w:cs="Calibri"/>
                <w:color w:val="000000"/>
              </w:rPr>
              <w:t xml:space="preserve">Rozporządzeniem Parlamentu Europejskiego i Rady (UE) 2019/933 z dnia 20 maja 2019 r. zmieniającego rozporządzenie (WE) nr 469/2009 dotyczące dodatkowego świadectwa ochronnego dla produktów leczniczych. </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AC8A6" w14:textId="77777777" w:rsidR="00611BEF" w:rsidRDefault="00611BEF" w:rsidP="00611BEF">
            <w:pPr>
              <w:jc w:val="both"/>
              <w:rPr>
                <w:rFonts w:eastAsia="Lato" w:cs="Calibri"/>
                <w:i/>
                <w:iCs/>
              </w:rPr>
            </w:pPr>
            <w:r w:rsidRPr="0048016A">
              <w:rPr>
                <w:rFonts w:eastAsia="Lato" w:cs="Calibri"/>
                <w:i/>
                <w:iCs/>
              </w:rPr>
              <w:lastRenderedPageBreak/>
              <w:t xml:space="preserve">Art. 410 </w:t>
            </w:r>
          </w:p>
          <w:p w14:paraId="00A4ED63" w14:textId="0398B0F3" w:rsidR="00611BEF" w:rsidRPr="0048016A" w:rsidRDefault="00611BEF" w:rsidP="00611BEF">
            <w:pPr>
              <w:jc w:val="both"/>
              <w:rPr>
                <w:i/>
                <w:iCs/>
              </w:rPr>
            </w:pPr>
            <w:r w:rsidRPr="0048016A">
              <w:rPr>
                <w:rFonts w:eastAsia="Lato" w:cs="Calibri"/>
                <w:i/>
                <w:iCs/>
              </w:rPr>
              <w:t xml:space="preserve">1. Dla patentów, patentów europejskich walidowanych na </w:t>
            </w:r>
            <w:r w:rsidRPr="0048016A">
              <w:rPr>
                <w:rFonts w:eastAsia="Lato" w:cs="Calibri"/>
                <w:i/>
                <w:iCs/>
              </w:rPr>
              <w:t>terytorium Rzeczypospolitej Polskiej, dodatkowych praw ochronnych, praw ochronnych i praw z rejestracji Urząd Patentowy prowadzi</w:t>
            </w:r>
            <w:r w:rsidRPr="00DB4E80">
              <w:rPr>
                <w:rFonts w:eastAsia="Lato" w:cs="Calibri"/>
                <w:b/>
                <w:bCs/>
                <w:i/>
                <w:iCs/>
                <w:color w:val="FF0000"/>
              </w:rPr>
              <w:t xml:space="preserve">, </w:t>
            </w:r>
            <w:r w:rsidR="007F3F60" w:rsidRPr="00DB4E80">
              <w:rPr>
                <w:rFonts w:eastAsia="Lato" w:cs="Calibri"/>
                <w:b/>
                <w:bCs/>
                <w:i/>
                <w:iCs/>
                <w:color w:val="FF0000"/>
              </w:rPr>
              <w:t>udostępniony w systemie</w:t>
            </w:r>
            <w:r w:rsidRPr="00DB4E80">
              <w:rPr>
                <w:rFonts w:eastAsia="Lato" w:cs="Calibri"/>
                <w:b/>
                <w:bCs/>
                <w:i/>
                <w:iCs/>
                <w:color w:val="FF0000"/>
              </w:rPr>
              <w:t xml:space="preserve"> teleinformatyczny</w:t>
            </w:r>
            <w:r w:rsidR="007F3F60" w:rsidRPr="00DB4E80">
              <w:rPr>
                <w:rFonts w:eastAsia="Lato" w:cs="Calibri"/>
                <w:b/>
                <w:bCs/>
                <w:i/>
                <w:iCs/>
                <w:color w:val="FF0000"/>
              </w:rPr>
              <w:t>m</w:t>
            </w:r>
            <w:r w:rsidRPr="0048016A">
              <w:rPr>
                <w:rFonts w:eastAsia="Lato" w:cs="Calibri"/>
                <w:i/>
                <w:iCs/>
              </w:rPr>
              <w:t>:</w:t>
            </w:r>
          </w:p>
          <w:p w14:paraId="5233AE34" w14:textId="77777777" w:rsidR="00611BEF" w:rsidRPr="0048016A" w:rsidRDefault="00611BEF" w:rsidP="00611BEF">
            <w:pPr>
              <w:jc w:val="both"/>
              <w:rPr>
                <w:i/>
                <w:iCs/>
              </w:rPr>
            </w:pPr>
            <w:r w:rsidRPr="0048016A">
              <w:rPr>
                <w:rFonts w:eastAsia="Lato" w:cs="Calibri"/>
                <w:i/>
                <w:iCs/>
              </w:rPr>
              <w:t>1) rejestr patentów;</w:t>
            </w:r>
          </w:p>
          <w:p w14:paraId="23AEE66C" w14:textId="77777777" w:rsidR="00611BEF" w:rsidRPr="0048016A" w:rsidRDefault="00611BEF" w:rsidP="00611BEF">
            <w:pPr>
              <w:jc w:val="both"/>
              <w:rPr>
                <w:i/>
                <w:iCs/>
              </w:rPr>
            </w:pPr>
            <w:r w:rsidRPr="0048016A">
              <w:rPr>
                <w:rFonts w:eastAsia="Lato" w:cs="Calibri"/>
                <w:i/>
                <w:iCs/>
              </w:rPr>
              <w:t>2) rejestr patentów europejskich;</w:t>
            </w:r>
          </w:p>
          <w:p w14:paraId="07CA80E6" w14:textId="77777777" w:rsidR="00611BEF" w:rsidRPr="0048016A" w:rsidRDefault="00611BEF" w:rsidP="00611BEF">
            <w:pPr>
              <w:jc w:val="both"/>
              <w:rPr>
                <w:i/>
                <w:iCs/>
              </w:rPr>
            </w:pPr>
            <w:r w:rsidRPr="0048016A">
              <w:rPr>
                <w:rFonts w:eastAsia="Lato" w:cs="Calibri"/>
                <w:i/>
                <w:iCs/>
              </w:rPr>
              <w:t>3) rejestr dodatkowych praw ochronnych;</w:t>
            </w:r>
          </w:p>
          <w:p w14:paraId="7EBFABDA" w14:textId="77777777" w:rsidR="00611BEF" w:rsidRPr="0048016A" w:rsidRDefault="00611BEF" w:rsidP="00611BEF">
            <w:pPr>
              <w:jc w:val="both"/>
              <w:rPr>
                <w:i/>
                <w:iCs/>
              </w:rPr>
            </w:pPr>
            <w:r w:rsidRPr="0048016A">
              <w:rPr>
                <w:rFonts w:eastAsia="Lato" w:cs="Calibri"/>
                <w:i/>
                <w:iCs/>
              </w:rPr>
              <w:t>4) rejestr wzorów użytkowych;</w:t>
            </w:r>
          </w:p>
          <w:p w14:paraId="1A30C228" w14:textId="77777777" w:rsidR="00611BEF" w:rsidRPr="0048016A" w:rsidRDefault="00611BEF" w:rsidP="00611BEF">
            <w:pPr>
              <w:jc w:val="both"/>
              <w:rPr>
                <w:i/>
                <w:iCs/>
              </w:rPr>
            </w:pPr>
            <w:r w:rsidRPr="0048016A">
              <w:rPr>
                <w:rFonts w:eastAsia="Lato" w:cs="Calibri"/>
                <w:i/>
                <w:iCs/>
              </w:rPr>
              <w:t>5) rejestr wzorów przemysłowych;</w:t>
            </w:r>
          </w:p>
          <w:p w14:paraId="5B954B07" w14:textId="77777777" w:rsidR="00611BEF" w:rsidRPr="0048016A" w:rsidRDefault="00611BEF" w:rsidP="00611BEF">
            <w:pPr>
              <w:jc w:val="both"/>
              <w:rPr>
                <w:i/>
                <w:iCs/>
              </w:rPr>
            </w:pPr>
            <w:r w:rsidRPr="0048016A">
              <w:rPr>
                <w:rFonts w:eastAsia="Lato" w:cs="Calibri"/>
                <w:i/>
                <w:iCs/>
              </w:rPr>
              <w:t>6) rejestr znaków towarowych;</w:t>
            </w:r>
          </w:p>
          <w:p w14:paraId="096C24DC" w14:textId="77777777" w:rsidR="00611BEF" w:rsidRPr="0048016A" w:rsidRDefault="00611BEF" w:rsidP="00611BEF">
            <w:pPr>
              <w:jc w:val="both"/>
              <w:rPr>
                <w:i/>
                <w:iCs/>
              </w:rPr>
            </w:pPr>
            <w:r w:rsidRPr="0048016A">
              <w:rPr>
                <w:rFonts w:eastAsia="Lato" w:cs="Calibri"/>
                <w:i/>
                <w:iCs/>
              </w:rPr>
              <w:t>7) rejestr topografii układów scalonych.</w:t>
            </w:r>
          </w:p>
          <w:p w14:paraId="45466D33" w14:textId="77777777" w:rsidR="00611BEF" w:rsidRDefault="00611BEF" w:rsidP="00611BEF">
            <w:pPr>
              <w:jc w:val="both"/>
              <w:rPr>
                <w:rFonts w:eastAsia="Lato" w:cs="Calibri"/>
                <w:i/>
                <w:iCs/>
              </w:rPr>
            </w:pPr>
          </w:p>
          <w:p w14:paraId="14CED32F" w14:textId="3929F109" w:rsidR="00611BEF" w:rsidRPr="0048016A" w:rsidRDefault="00611BEF" w:rsidP="00611BEF">
            <w:pPr>
              <w:jc w:val="both"/>
              <w:rPr>
                <w:i/>
                <w:iCs/>
              </w:rPr>
            </w:pPr>
            <w:r w:rsidRPr="0048016A">
              <w:rPr>
                <w:rFonts w:eastAsia="Lato" w:cs="Calibri"/>
                <w:i/>
                <w:iCs/>
              </w:rPr>
              <w:t>2. Rejestry, o których mowa w ust. 1, są rejestrami publicznymi.</w:t>
            </w:r>
          </w:p>
          <w:p w14:paraId="5D885B95" w14:textId="77777777" w:rsidR="00611BEF" w:rsidRPr="0048016A" w:rsidRDefault="00611BEF" w:rsidP="00611BEF">
            <w:pPr>
              <w:jc w:val="both"/>
              <w:rPr>
                <w:i/>
                <w:iCs/>
                <w:color w:val="EE0000"/>
              </w:rPr>
            </w:pPr>
            <w:r w:rsidRPr="0048016A">
              <w:rPr>
                <w:rFonts w:eastAsia="Lato" w:cs="Calibri"/>
                <w:i/>
                <w:iCs/>
              </w:rPr>
              <w:t xml:space="preserve">3. Rejestry, o których mowa w ust. 1, są jawne </w:t>
            </w:r>
            <w:r w:rsidRPr="0048016A">
              <w:rPr>
                <w:rFonts w:eastAsia="Lato" w:cs="Calibri"/>
                <w:b/>
                <w:bCs/>
                <w:i/>
                <w:iCs/>
                <w:color w:val="EE0000"/>
              </w:rPr>
              <w:t xml:space="preserve">i zawierają całość </w:t>
            </w:r>
            <w:r w:rsidRPr="0048016A">
              <w:rPr>
                <w:rFonts w:eastAsia="Lato" w:cs="Calibri"/>
                <w:b/>
                <w:bCs/>
                <w:i/>
                <w:iCs/>
                <w:color w:val="EE0000"/>
              </w:rPr>
              <w:lastRenderedPageBreak/>
              <w:t xml:space="preserve">dokumentacji dotyczącej postępowania przed Urzędem. </w:t>
            </w:r>
          </w:p>
          <w:p w14:paraId="532E5518" w14:textId="77777777" w:rsidR="00611BEF" w:rsidRPr="0048016A" w:rsidRDefault="00611BEF" w:rsidP="00611BEF">
            <w:pPr>
              <w:jc w:val="both"/>
              <w:rPr>
                <w:i/>
                <w:iCs/>
              </w:rPr>
            </w:pPr>
            <w:r w:rsidRPr="0048016A">
              <w:rPr>
                <w:rFonts w:eastAsia="Lato" w:cs="Calibri"/>
                <w:i/>
                <w:iCs/>
              </w:rPr>
              <w:t>4. Domniemywa się, że wpisy w rejestrach są prawdziwe i każdemu znana jest ich treść.</w:t>
            </w:r>
          </w:p>
          <w:p w14:paraId="207617B1" w14:textId="33835E20" w:rsidR="00611BEF" w:rsidRPr="0048016A" w:rsidRDefault="00611BEF" w:rsidP="00611BEF">
            <w:pPr>
              <w:jc w:val="both"/>
              <w:rPr>
                <w:rFonts w:eastAsia="Lato" w:cs="Calibri"/>
                <w:i/>
                <w:iCs/>
              </w:rPr>
            </w:pPr>
            <w:r w:rsidRPr="0048016A">
              <w:rPr>
                <w:rFonts w:eastAsia="Lato" w:cs="Calibri"/>
                <w:b/>
                <w:bCs/>
                <w:i/>
                <w:iCs/>
                <w:color w:val="EE0000"/>
              </w:rPr>
              <w:t xml:space="preserve">5. Dla dodatkowych praw ochronnych Urząd Patentowy obligatoryjnie publikuje w e-rejestrze online pełne dane adresowe Uprawnionego. </w:t>
            </w:r>
          </w:p>
        </w:tc>
      </w:tr>
      <w:tr w:rsidR="00611BEF" w14:paraId="238C131E" w14:textId="68C52410"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856848" w14:textId="77777777" w:rsidR="00611BEF" w:rsidRDefault="00611BEF" w:rsidP="00611BEF">
            <w:pPr>
              <w:pStyle w:val="Akapitzlist"/>
              <w:numPr>
                <w:ilvl w:val="0"/>
                <w:numId w:val="2"/>
              </w:numPr>
              <w:contextualSpacing w:val="0"/>
              <w:jc w:val="both"/>
              <w:rPr>
                <w:rFonts w:cs="Calibri"/>
                <w:b/>
                <w:bCs/>
              </w:rPr>
            </w:pPr>
          </w:p>
          <w:p w14:paraId="35FE6B66" w14:textId="77777777" w:rsidR="00611BEF" w:rsidRDefault="00611BEF" w:rsidP="00611BEF">
            <w:pPr>
              <w:pStyle w:val="Akapitzlist"/>
              <w:ind w:left="108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74B92C" w14:textId="2D975E0C" w:rsidR="00611BEF" w:rsidRPr="00107035" w:rsidRDefault="00611BEF" w:rsidP="00611BEF">
            <w:pPr>
              <w:jc w:val="both"/>
              <w:rPr>
                <w:rFonts w:eastAsia="Times New Roman" w:cs="Calibri"/>
              </w:rPr>
            </w:pPr>
            <w:r w:rsidRPr="00107035">
              <w:rPr>
                <w:rFonts w:eastAsia="Times New Roman" w:cs="Calibri"/>
              </w:rPr>
              <w:t>Art. 417</w:t>
            </w:r>
          </w:p>
          <w:p w14:paraId="7C6AE857" w14:textId="55F0AF70" w:rsidR="00611BEF" w:rsidRDefault="00611BEF" w:rsidP="00611BEF">
            <w:pPr>
              <w:jc w:val="both"/>
            </w:pPr>
            <w:r>
              <w:rPr>
                <w:rFonts w:eastAsia="Times New Roman" w:cs="Calibri"/>
              </w:rPr>
              <w:t xml:space="preserve">4. Urząd Patentowy może odmówić udostępnienia dokumentów, innych niż urzędowe, w rozumieniu ustawy z dnia 6 września 2001 r. o dostępie do informacji publicznej (Dz. U. z 2022 r. poz. 902), w </w:t>
            </w:r>
            <w:proofErr w:type="gramStart"/>
            <w:r>
              <w:rPr>
                <w:rFonts w:eastAsia="Times New Roman" w:cs="Calibri"/>
              </w:rPr>
              <w:t>przypadku</w:t>
            </w:r>
            <w:proofErr w:type="gramEnd"/>
            <w:r>
              <w:rPr>
                <w:rFonts w:eastAsia="Times New Roman" w:cs="Calibri"/>
              </w:rPr>
              <w:t xml:space="preserve"> gdy mogłoby to zagrozić uzasadnionym interesom strony, w szczególności naruszyć tajemnicę przedsiębiorstwa.</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4DA37CD" w14:textId="77777777" w:rsidR="00611BEF" w:rsidRDefault="00611BEF" w:rsidP="00611BEF">
            <w:pPr>
              <w:jc w:val="both"/>
              <w:rPr>
                <w:rFonts w:cs="Calibri"/>
              </w:rPr>
            </w:pPr>
            <w:r>
              <w:rPr>
                <w:rFonts w:cs="Calibri"/>
              </w:rPr>
              <w:t xml:space="preserve">Skoro projekt przyjmuje już zasadę jawności rejestrów (art. 410) oraz obowiązek udostępniania akt po upływie okresów niejawności (art. 417), to utrzymywanie dodatkowych ograniczeń dostępu byłoby niespójne z patentem jako prawem wyłącznym skutecznym erga </w:t>
            </w:r>
            <w:proofErr w:type="spellStart"/>
            <w:r>
              <w:rPr>
                <w:rFonts w:cs="Calibri"/>
              </w:rPr>
              <w:t>omnes</w:t>
            </w:r>
            <w:proofErr w:type="spellEnd"/>
            <w:r>
              <w:rPr>
                <w:rFonts w:cs="Calibri"/>
              </w:rPr>
              <w:t>.</w:t>
            </w:r>
          </w:p>
          <w:p w14:paraId="029B86B9" w14:textId="77777777" w:rsidR="00611BEF" w:rsidRDefault="00611BEF" w:rsidP="00611BEF">
            <w:pPr>
              <w:jc w:val="both"/>
              <w:rPr>
                <w:rFonts w:cs="Calibri"/>
              </w:rPr>
            </w:pPr>
            <w:r>
              <w:rPr>
                <w:rFonts w:cs="Calibri"/>
              </w:rPr>
              <w:t xml:space="preserve">Projekt słusznie odchodzi od wymogu wykazywania interesu prawnego oraz od uznaniowego modelu udostępniania akt. Cel ten może jednak zostać osłabiony przez pozostawienie otwartej przesłanki odmowy udostępnienia dokumentów z uwagi na „uzasadnione interesy strony”. Zapis ten jest nieprecyzyjny i prowadzący do rozszerzającej wykładni wyjątków od zasady jawności. W przypadku praw wyłącznych o skutku erga </w:t>
            </w:r>
            <w:proofErr w:type="spellStart"/>
            <w:r>
              <w:rPr>
                <w:rFonts w:cs="Calibri"/>
              </w:rPr>
              <w:t>omnes</w:t>
            </w:r>
            <w:proofErr w:type="spellEnd"/>
            <w:r>
              <w:rPr>
                <w:rFonts w:cs="Calibri"/>
              </w:rPr>
              <w:t xml:space="preserve"> wyjątki od jawności powinny być interpretowane ściśle i ograniczone do ochrony tajemnicy przedsiębiorstwa, informacji </w:t>
            </w:r>
            <w:r>
              <w:rPr>
                <w:rFonts w:cs="Calibri"/>
              </w:rPr>
              <w:lastRenderedPageBreak/>
              <w:t>niejawnych oraz danych podlegających ochronie na podstawie odrębnych przepisów, takich jak dane osobowe twórców. Uczestnicy rynku powinni mieć możliwość pełnej weryfikacji podstaw przyznania monopolu patentowego, gdyż patent ingeruje w wolność działalności gospodarczej wszystkich podmiotów działających w danej dziedzinie techniki. Ponadto patent jest prawem wzruszalnym, dlatego dostęp do akt sprawy jest istotny z punku widzenia każdego podmiotu trzeciego. Ponadto, patent jest monopolem przyznawanym warunkowo w zamian za ujawnienie wynalazku i wykazania jego m.in. przemysłowej stosowalności. Ustawodawca sam przyjął zasadę jawności po publikacji zgłoszenia, dlatego proponowane doprecyzowania jedynie zapewnia pełną realizację tej zasady zgodnie ze standardem europejskim EPC, w świetle których dostęp do danych postępowania jest w pełni jawne.</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EB463" w14:textId="63D539A4" w:rsidR="00611BEF" w:rsidRPr="0048016A" w:rsidRDefault="00611BEF" w:rsidP="00611BEF">
            <w:pPr>
              <w:jc w:val="both"/>
              <w:rPr>
                <w:rFonts w:eastAsia="Times New Roman" w:cs="Calibri"/>
                <w:i/>
                <w:iCs/>
              </w:rPr>
            </w:pPr>
            <w:r w:rsidRPr="0048016A">
              <w:rPr>
                <w:rFonts w:eastAsia="Times New Roman" w:cs="Calibri"/>
                <w:i/>
                <w:iCs/>
              </w:rPr>
              <w:lastRenderedPageBreak/>
              <w:t>Art. 417</w:t>
            </w:r>
          </w:p>
          <w:p w14:paraId="6E055BD1" w14:textId="1C1B0DBD" w:rsidR="00611BEF" w:rsidRPr="0048016A" w:rsidRDefault="00611BEF" w:rsidP="00611BEF">
            <w:pPr>
              <w:jc w:val="both"/>
              <w:rPr>
                <w:rFonts w:cs="Calibri"/>
                <w:i/>
                <w:iCs/>
              </w:rPr>
            </w:pPr>
            <w:r w:rsidRPr="0048016A">
              <w:rPr>
                <w:rFonts w:eastAsia="Times New Roman" w:cs="Calibri"/>
                <w:i/>
                <w:iCs/>
              </w:rPr>
              <w:t xml:space="preserve">4. </w:t>
            </w:r>
            <w:r w:rsidRPr="0048016A">
              <w:rPr>
                <w:rFonts w:cs="Calibri"/>
                <w:i/>
                <w:iCs/>
              </w:rPr>
              <w:t>Urząd Patentowy może odmówić udostępnienia dokumentów</w:t>
            </w:r>
            <w:r w:rsidRPr="0048016A">
              <w:rPr>
                <w:rFonts w:eastAsia="Times New Roman" w:cs="Calibri"/>
                <w:i/>
                <w:iCs/>
              </w:rPr>
              <w:t>, innych niż urzędowe, w rozumieniu ustawy z dnia 6 września 2001 r. o dostępie do informacji publicznej (Dz. U. z 2022 r. poz. 902)</w:t>
            </w:r>
            <w:r w:rsidRPr="0048016A">
              <w:rPr>
                <w:rFonts w:cs="Calibri"/>
                <w:i/>
                <w:iCs/>
              </w:rPr>
              <w:t xml:space="preserve"> </w:t>
            </w:r>
            <w:r w:rsidRPr="0048016A">
              <w:rPr>
                <w:rFonts w:cs="Calibri"/>
                <w:b/>
                <w:bCs/>
                <w:i/>
                <w:iCs/>
                <w:color w:val="EE0000"/>
              </w:rPr>
              <w:t>wyłącznie w zakresie, w jakim zawierają one informacje stanowiące tajemnicę przedsiębiorstwa, informacje niejawne lub danych osobowych niezwiązanych z identyfikacją prawa wyłącznego.</w:t>
            </w:r>
          </w:p>
        </w:tc>
      </w:tr>
      <w:tr w:rsidR="00611BEF" w14:paraId="6F28ACD5" w14:textId="53C85BD5"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C62A4F"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0AFC17" w14:textId="225502A7" w:rsidR="00611BEF" w:rsidRDefault="00611BEF" w:rsidP="00611BEF">
            <w:pPr>
              <w:jc w:val="both"/>
              <w:rPr>
                <w:rFonts w:eastAsia="Times New Roman" w:cs="Calibri"/>
                <w:b/>
                <w:bCs/>
              </w:rPr>
            </w:pPr>
            <w:r>
              <w:rPr>
                <w:rFonts w:eastAsia="Times New Roman" w:cs="Calibri"/>
                <w:b/>
                <w:bCs/>
              </w:rPr>
              <w:t>Art. 447</w:t>
            </w:r>
          </w:p>
          <w:p w14:paraId="00520354" w14:textId="67BAEC60" w:rsidR="00611BEF" w:rsidRDefault="00611BEF" w:rsidP="00611BEF">
            <w:pPr>
              <w:jc w:val="both"/>
            </w:pPr>
            <w:r>
              <w:rPr>
                <w:rFonts w:eastAsia="Times New Roman" w:cs="Calibri"/>
              </w:rPr>
              <w:t>1. Uprawniony z patentu, którego patent został naruszony lub osoba, której ustawa na to zezwala, może żądać od naruszającego patent:</w:t>
            </w:r>
          </w:p>
          <w:p w14:paraId="65564CD5" w14:textId="77777777" w:rsidR="00611BEF" w:rsidRDefault="00611BEF" w:rsidP="00611BEF">
            <w:pPr>
              <w:jc w:val="both"/>
              <w:rPr>
                <w:rFonts w:eastAsia="Times New Roman" w:cs="Calibri"/>
              </w:rPr>
            </w:pPr>
            <w:r>
              <w:rPr>
                <w:rFonts w:eastAsia="Times New Roman" w:cs="Calibri"/>
              </w:rPr>
              <w:t>1) zaniechania naruszania;</w:t>
            </w:r>
          </w:p>
          <w:p w14:paraId="3ACE84BC" w14:textId="77777777" w:rsidR="00611BEF" w:rsidRDefault="00611BEF" w:rsidP="00611BEF">
            <w:pPr>
              <w:jc w:val="both"/>
              <w:rPr>
                <w:rFonts w:eastAsia="Times New Roman" w:cs="Calibri"/>
              </w:rPr>
            </w:pPr>
            <w:r>
              <w:rPr>
                <w:rFonts w:eastAsia="Times New Roman" w:cs="Calibri"/>
              </w:rPr>
              <w:t>2) usunięcia skutków naruszenia;</w:t>
            </w:r>
          </w:p>
          <w:p w14:paraId="1FC7041B" w14:textId="25B2C912" w:rsidR="00611BEF" w:rsidRDefault="00611BEF" w:rsidP="00611BEF">
            <w:pPr>
              <w:jc w:val="both"/>
              <w:rPr>
                <w:rFonts w:eastAsia="Times New Roman" w:cs="Calibri"/>
              </w:rPr>
            </w:pPr>
            <w:r>
              <w:rPr>
                <w:rFonts w:eastAsia="Times New Roman" w:cs="Calibri"/>
              </w:rPr>
              <w:lastRenderedPageBreak/>
              <w:br/>
              <w:t>3) naprawienia wyrządzonej szkody:</w:t>
            </w:r>
          </w:p>
          <w:p w14:paraId="30F53130" w14:textId="77777777" w:rsidR="00611BEF" w:rsidRDefault="00611BEF" w:rsidP="00611BEF">
            <w:pPr>
              <w:jc w:val="both"/>
              <w:rPr>
                <w:rFonts w:eastAsia="Times New Roman" w:cs="Calibri"/>
              </w:rPr>
            </w:pPr>
            <w:r>
              <w:rPr>
                <w:rFonts w:eastAsia="Times New Roman" w:cs="Calibri"/>
              </w:rPr>
              <w:t>a) na zasadach ogólnych albo</w:t>
            </w:r>
          </w:p>
          <w:p w14:paraId="496CCCD0" w14:textId="635AD4D5" w:rsidR="00611BEF" w:rsidRDefault="00611BEF" w:rsidP="00611BEF">
            <w:pPr>
              <w:jc w:val="both"/>
              <w:rPr>
                <w:rFonts w:eastAsia="Times New Roman" w:cs="Calibri"/>
              </w:rPr>
            </w:pPr>
            <w:r>
              <w:rPr>
                <w:rFonts w:eastAsia="Times New Roman" w:cs="Calibri"/>
              </w:rPr>
              <w:br/>
            </w:r>
            <w:r>
              <w:rPr>
                <w:rFonts w:eastAsia="Times New Roman" w:cs="Calibri"/>
              </w:rPr>
              <w:br/>
              <w:t>b) w przypadku zawinionego naruszenia, przez zapłatę sumy pieniężnej w wysokości odpowiadającej opłacie licencyjnej albo innego stosownego wynagrodzenia, które w chwili dochodzenia roszczenia byłyby należne tytułem udzielenia przez uprawnionego zgody na korzystanie z wynalazku;</w:t>
            </w:r>
          </w:p>
          <w:p w14:paraId="6DFA2140" w14:textId="77777777" w:rsidR="00611BEF" w:rsidRDefault="00611BEF" w:rsidP="00611BEF">
            <w:pPr>
              <w:jc w:val="both"/>
            </w:pPr>
            <w:r>
              <w:rPr>
                <w:rFonts w:eastAsia="Times New Roman" w:cs="Calibri"/>
              </w:rPr>
              <w:t>4) wydania bezpodstawnie uzyskanych korzyści.</w:t>
            </w:r>
          </w:p>
          <w:p w14:paraId="2FDA7E5A" w14:textId="77777777" w:rsidR="00611BEF" w:rsidRDefault="00611BEF" w:rsidP="00611BEF">
            <w:pPr>
              <w:spacing w:after="0"/>
              <w:jc w:val="both"/>
            </w:pPr>
            <w:r>
              <w:rPr>
                <w:rFonts w:eastAsia="Times New Roman" w:cs="Calibri"/>
              </w:rPr>
              <w:t>2. Niezależnie od roszczeń, o których mowa w ust. 1, uprawniony z patentu, którego patent został naruszony, lub osoba, której ustawa na to zezwala, może domagać się:</w:t>
            </w:r>
          </w:p>
          <w:p w14:paraId="6C2DFDF6" w14:textId="77777777" w:rsidR="00611BEF" w:rsidRDefault="00611BEF" w:rsidP="00611BEF">
            <w:pPr>
              <w:spacing w:after="0"/>
              <w:jc w:val="both"/>
              <w:rPr>
                <w:rFonts w:eastAsia="Times New Roman" w:cs="Calibri"/>
              </w:rPr>
            </w:pPr>
          </w:p>
          <w:p w14:paraId="3B74BA35" w14:textId="77777777" w:rsidR="00611BEF" w:rsidRDefault="00611BEF" w:rsidP="00611BEF">
            <w:pPr>
              <w:spacing w:after="0"/>
              <w:jc w:val="both"/>
            </w:pPr>
            <w:r>
              <w:rPr>
                <w:rFonts w:eastAsia="Times New Roman" w:cs="Calibri"/>
              </w:rPr>
              <w:t>1. jednokrotnego albo wielokrotnego ogłoszenia oświadczenia o odpowiedniej treści i formie lub</w:t>
            </w:r>
          </w:p>
          <w:p w14:paraId="08185634" w14:textId="77777777" w:rsidR="00611BEF" w:rsidRDefault="00611BEF" w:rsidP="00611BEF">
            <w:pPr>
              <w:spacing w:after="0"/>
              <w:jc w:val="both"/>
              <w:rPr>
                <w:rFonts w:eastAsia="Times New Roman" w:cs="Calibri"/>
              </w:rPr>
            </w:pPr>
          </w:p>
          <w:p w14:paraId="28AFBF4A" w14:textId="77777777" w:rsidR="00611BEF" w:rsidRDefault="00611BEF" w:rsidP="00611BEF">
            <w:pPr>
              <w:spacing w:after="0"/>
              <w:jc w:val="both"/>
              <w:rPr>
                <w:rFonts w:eastAsia="Times New Roman" w:cs="Calibri"/>
              </w:rPr>
            </w:pPr>
            <w:r>
              <w:rPr>
                <w:rFonts w:eastAsia="Times New Roman" w:cs="Calibri"/>
              </w:rPr>
              <w:t>2. podania do publicznej wiadomości części albo całości orzeczenia lub informacji o orzeczeniu, w sposób i w zakresie określonym przez sąd.</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B7537D" w14:textId="3CF2284D" w:rsidR="00611BEF" w:rsidRDefault="00611BEF" w:rsidP="00611BEF">
            <w:pPr>
              <w:jc w:val="both"/>
              <w:rPr>
                <w:rFonts w:cs="Calibri"/>
              </w:rPr>
            </w:pPr>
            <w:r>
              <w:rPr>
                <w:rFonts w:cs="Calibri"/>
              </w:rPr>
              <w:lastRenderedPageBreak/>
              <w:t>Ustawa nie wyjaśnia pojęcia “usunięcia skutków naruszenia”. Katalog żądań, które mogłyby wchodzić w tę kategorię, jest potencjalnie bardzo szeroki i wymaga doprecyzowania. Obowiązek publikacyjny uregulowany niezależnie w ust. 2 tego przepisu stanowi w istocie działanie mające na celu usunięcie skutków naruszenia, co powoduje dodatkową niejasność regulacji w obecnej formie.</w:t>
            </w:r>
          </w:p>
          <w:p w14:paraId="5A0AE60F" w14:textId="77777777" w:rsidR="00611BEF" w:rsidRDefault="00611BEF" w:rsidP="00611BEF">
            <w:pPr>
              <w:jc w:val="both"/>
              <w:rPr>
                <w:rFonts w:cs="Calibri"/>
              </w:rPr>
            </w:pPr>
            <w:r>
              <w:rPr>
                <w:rFonts w:cs="Calibri"/>
              </w:rPr>
              <w:t xml:space="preserve">Na mocy art. 287 obowiązującej ustawy zarówno naprawienie szkody na zasadach ogólnych, jak i poprzez zapłatę sumy pieniężnej odpowiadającej opłacie licencyjnej, przysługują w </w:t>
            </w:r>
            <w:r>
              <w:rPr>
                <w:rFonts w:cs="Calibri"/>
              </w:rPr>
              <w:lastRenderedPageBreak/>
              <w:t>odniesieniu do zawinionego naruszenia. W braku omówienia niniejszej zmiany w uzasadnieniu projektu, wnosimy o pozostawienie w przepisie regulacji zgodnie z którą naprawienie szkody na zasadach ogólny, podobnie jak zapłata opłaty licencyjnej, przysługuje w odniesieniu do zawinionych naruszeń.</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AC1FB" w14:textId="49A12D98" w:rsidR="00611BEF" w:rsidRPr="0048016A" w:rsidRDefault="00611BEF" w:rsidP="00611BEF">
            <w:pPr>
              <w:jc w:val="both"/>
              <w:rPr>
                <w:rFonts w:eastAsia="Times New Roman" w:cs="Calibri"/>
                <w:b/>
                <w:bCs/>
                <w:i/>
                <w:iCs/>
              </w:rPr>
            </w:pPr>
            <w:r w:rsidRPr="0048016A">
              <w:rPr>
                <w:rFonts w:eastAsia="Times New Roman" w:cs="Calibri"/>
                <w:b/>
                <w:bCs/>
                <w:i/>
                <w:iCs/>
              </w:rPr>
              <w:lastRenderedPageBreak/>
              <w:t>Art. 447</w:t>
            </w:r>
          </w:p>
          <w:p w14:paraId="4D20AE79" w14:textId="77777777" w:rsidR="00611BEF" w:rsidRPr="0048016A" w:rsidRDefault="00611BEF" w:rsidP="00611BEF">
            <w:pPr>
              <w:jc w:val="both"/>
              <w:rPr>
                <w:i/>
                <w:iCs/>
              </w:rPr>
            </w:pPr>
            <w:r w:rsidRPr="0048016A">
              <w:rPr>
                <w:rFonts w:eastAsia="Times New Roman" w:cs="Calibri"/>
                <w:i/>
                <w:iCs/>
              </w:rPr>
              <w:t>1. Uprawniony z patentu, którego patent został naruszony lub osoba, której ustawa na to zezwala, może żądać od naruszającego patent:</w:t>
            </w:r>
          </w:p>
          <w:p w14:paraId="79D22E32" w14:textId="77777777" w:rsidR="00611BEF" w:rsidRPr="0048016A" w:rsidRDefault="00611BEF" w:rsidP="00611BEF">
            <w:pPr>
              <w:jc w:val="both"/>
              <w:rPr>
                <w:rFonts w:eastAsia="Times New Roman" w:cs="Calibri"/>
                <w:i/>
                <w:iCs/>
              </w:rPr>
            </w:pPr>
            <w:r w:rsidRPr="0048016A">
              <w:rPr>
                <w:rFonts w:eastAsia="Times New Roman" w:cs="Calibri"/>
                <w:i/>
                <w:iCs/>
              </w:rPr>
              <w:t>1) zaniechania naruszania;</w:t>
            </w:r>
          </w:p>
          <w:p w14:paraId="0F4336FE" w14:textId="77777777" w:rsidR="00611BEF" w:rsidRPr="0048016A" w:rsidRDefault="00611BEF" w:rsidP="00611BEF">
            <w:pPr>
              <w:jc w:val="both"/>
              <w:rPr>
                <w:rFonts w:eastAsia="Times New Roman" w:cs="Calibri"/>
                <w:i/>
                <w:iCs/>
              </w:rPr>
            </w:pPr>
            <w:r w:rsidRPr="0048016A">
              <w:rPr>
                <w:rFonts w:eastAsia="Times New Roman" w:cs="Calibri"/>
                <w:i/>
                <w:iCs/>
              </w:rPr>
              <w:t>2) usunięcia skutków naruszenia;</w:t>
            </w:r>
          </w:p>
          <w:p w14:paraId="20A16772" w14:textId="77777777" w:rsidR="00611BEF" w:rsidRPr="0048016A" w:rsidRDefault="00611BEF" w:rsidP="00611BEF">
            <w:pPr>
              <w:jc w:val="both"/>
              <w:rPr>
                <w:rFonts w:eastAsia="Times New Roman" w:cs="Calibri"/>
                <w:i/>
                <w:iCs/>
              </w:rPr>
            </w:pPr>
          </w:p>
          <w:p w14:paraId="6B0A4A97" w14:textId="77777777" w:rsidR="00611BEF" w:rsidRPr="0048016A" w:rsidRDefault="00611BEF" w:rsidP="00611BEF">
            <w:pPr>
              <w:jc w:val="both"/>
              <w:rPr>
                <w:i/>
                <w:iCs/>
              </w:rPr>
            </w:pPr>
            <w:r w:rsidRPr="0048016A">
              <w:rPr>
                <w:rFonts w:eastAsia="Times New Roman" w:cs="Calibri"/>
                <w:i/>
                <w:iCs/>
              </w:rPr>
              <w:lastRenderedPageBreak/>
              <w:t>3)</w:t>
            </w:r>
            <w:r w:rsidRPr="0048016A">
              <w:rPr>
                <w:rFonts w:eastAsia="Times New Roman" w:cs="Calibri"/>
                <w:b/>
                <w:bCs/>
                <w:i/>
                <w:iCs/>
              </w:rPr>
              <w:t xml:space="preserve"> </w:t>
            </w:r>
            <w:r w:rsidRPr="0048016A">
              <w:rPr>
                <w:rFonts w:eastAsia="Times New Roman" w:cs="Calibri"/>
                <w:b/>
                <w:bCs/>
                <w:i/>
                <w:iCs/>
                <w:color w:val="EE0000"/>
              </w:rPr>
              <w:t>w przypadku zawinionego naruszenia,</w:t>
            </w:r>
            <w:r w:rsidRPr="0048016A">
              <w:rPr>
                <w:rFonts w:eastAsia="Times New Roman" w:cs="Calibri"/>
                <w:i/>
                <w:iCs/>
                <w:color w:val="EE0000"/>
              </w:rPr>
              <w:t xml:space="preserve"> </w:t>
            </w:r>
            <w:r w:rsidRPr="0048016A">
              <w:rPr>
                <w:rFonts w:eastAsia="Times New Roman" w:cs="Calibri"/>
                <w:i/>
                <w:iCs/>
              </w:rPr>
              <w:t>naprawienia wyrządzonej szkody:</w:t>
            </w:r>
          </w:p>
          <w:p w14:paraId="04DC7C51" w14:textId="77777777" w:rsidR="00611BEF" w:rsidRPr="0048016A" w:rsidRDefault="00611BEF" w:rsidP="00611BEF">
            <w:pPr>
              <w:jc w:val="both"/>
              <w:rPr>
                <w:rFonts w:eastAsia="Times New Roman" w:cs="Calibri"/>
                <w:i/>
                <w:iCs/>
              </w:rPr>
            </w:pPr>
            <w:r w:rsidRPr="0048016A">
              <w:rPr>
                <w:rFonts w:eastAsia="Times New Roman" w:cs="Calibri"/>
                <w:i/>
                <w:iCs/>
              </w:rPr>
              <w:t>a) na zasadach ogólnych albo</w:t>
            </w:r>
          </w:p>
          <w:p w14:paraId="1999F3D7" w14:textId="77777777" w:rsidR="00611BEF" w:rsidRPr="0048016A" w:rsidRDefault="00611BEF" w:rsidP="00611BEF">
            <w:pPr>
              <w:jc w:val="both"/>
              <w:rPr>
                <w:i/>
                <w:iCs/>
              </w:rPr>
            </w:pPr>
            <w:r w:rsidRPr="0048016A">
              <w:rPr>
                <w:rFonts w:eastAsia="Times New Roman" w:cs="Calibri"/>
                <w:i/>
                <w:iCs/>
              </w:rPr>
              <w:t xml:space="preserve">b) </w:t>
            </w:r>
            <w:r w:rsidRPr="0048016A">
              <w:rPr>
                <w:rFonts w:eastAsia="Times New Roman" w:cs="Calibri"/>
                <w:i/>
                <w:iCs/>
                <w:strike/>
                <w:color w:val="EE0000"/>
              </w:rPr>
              <w:t>w przypadku zawinionego naruszenia,</w:t>
            </w:r>
            <w:r w:rsidRPr="0048016A">
              <w:rPr>
                <w:rFonts w:eastAsia="Times New Roman" w:cs="Calibri"/>
                <w:i/>
                <w:iCs/>
                <w:color w:val="EE0000"/>
              </w:rPr>
              <w:t xml:space="preserve"> </w:t>
            </w:r>
            <w:r w:rsidRPr="0048016A">
              <w:rPr>
                <w:rFonts w:eastAsia="Times New Roman" w:cs="Calibri"/>
                <w:i/>
                <w:iCs/>
              </w:rPr>
              <w:t>przez zapłatę sumy pieniężnej w wysokości odpowiadającej opłacie licencyjnej albo innego stosownego wynagrodzenia, które w chwili dochodzenia roszczenia byłyby należne tytułem udzielenia przez uprawnionego zgody na korzystanie z wynalazku;</w:t>
            </w:r>
          </w:p>
          <w:p w14:paraId="422C2C5D" w14:textId="77777777" w:rsidR="00611BEF" w:rsidRPr="0048016A" w:rsidRDefault="00611BEF" w:rsidP="00611BEF">
            <w:pPr>
              <w:jc w:val="both"/>
              <w:rPr>
                <w:i/>
                <w:iCs/>
              </w:rPr>
            </w:pPr>
            <w:r w:rsidRPr="0048016A">
              <w:rPr>
                <w:rFonts w:eastAsia="Times New Roman" w:cs="Calibri"/>
                <w:i/>
                <w:iCs/>
              </w:rPr>
              <w:t>4) wydania bezpodstawnie uzyskanych korzyści.</w:t>
            </w:r>
          </w:p>
          <w:p w14:paraId="33AEBA89" w14:textId="77777777" w:rsidR="00611BEF" w:rsidRPr="0048016A" w:rsidRDefault="00611BEF" w:rsidP="00611BEF">
            <w:pPr>
              <w:spacing w:after="0"/>
              <w:jc w:val="both"/>
              <w:rPr>
                <w:i/>
                <w:iCs/>
              </w:rPr>
            </w:pPr>
            <w:r w:rsidRPr="0048016A">
              <w:rPr>
                <w:rFonts w:eastAsia="Times New Roman" w:cs="Calibri"/>
                <w:i/>
                <w:iCs/>
              </w:rPr>
              <w:t>2. Niezależnie od roszczeń, o których mowa w ust. 1, uprawniony z patentu, którego patent został naruszony, lub osoba, której ustawa na to zezwala, może domagać się:</w:t>
            </w:r>
          </w:p>
          <w:p w14:paraId="5136EFF0" w14:textId="77777777" w:rsidR="00611BEF" w:rsidRPr="0048016A" w:rsidRDefault="00611BEF" w:rsidP="00611BEF">
            <w:pPr>
              <w:spacing w:after="0"/>
              <w:jc w:val="both"/>
              <w:rPr>
                <w:rFonts w:eastAsia="Times New Roman" w:cs="Calibri"/>
                <w:i/>
                <w:iCs/>
              </w:rPr>
            </w:pPr>
          </w:p>
          <w:p w14:paraId="439F9FAE" w14:textId="77777777" w:rsidR="00611BEF" w:rsidRPr="0048016A" w:rsidRDefault="00611BEF" w:rsidP="00611BEF">
            <w:pPr>
              <w:spacing w:after="0"/>
              <w:jc w:val="both"/>
              <w:rPr>
                <w:i/>
                <w:iCs/>
              </w:rPr>
            </w:pPr>
            <w:r w:rsidRPr="0048016A">
              <w:rPr>
                <w:rFonts w:eastAsia="Times New Roman" w:cs="Calibri"/>
                <w:i/>
                <w:iCs/>
              </w:rPr>
              <w:t xml:space="preserve">1. jednokrotnego albo wielokrotnego ogłoszenia </w:t>
            </w:r>
            <w:r w:rsidRPr="0048016A">
              <w:rPr>
                <w:rFonts w:eastAsia="Times New Roman" w:cs="Calibri"/>
                <w:i/>
                <w:iCs/>
              </w:rPr>
              <w:lastRenderedPageBreak/>
              <w:t>oświadczenia o odpowiedniej treści i formie lub</w:t>
            </w:r>
          </w:p>
          <w:p w14:paraId="5DBDB9B7" w14:textId="77777777" w:rsidR="00611BEF" w:rsidRPr="0048016A" w:rsidRDefault="00611BEF" w:rsidP="00611BEF">
            <w:pPr>
              <w:spacing w:after="0"/>
              <w:jc w:val="both"/>
              <w:rPr>
                <w:rFonts w:eastAsia="Times New Roman" w:cs="Calibri"/>
                <w:i/>
                <w:iCs/>
              </w:rPr>
            </w:pPr>
          </w:p>
          <w:p w14:paraId="4877E826" w14:textId="528A83B6" w:rsidR="00611BEF" w:rsidRPr="0048016A" w:rsidRDefault="00611BEF" w:rsidP="00611BEF">
            <w:pPr>
              <w:jc w:val="both"/>
              <w:rPr>
                <w:rFonts w:cs="Calibri"/>
                <w:i/>
                <w:iCs/>
              </w:rPr>
            </w:pPr>
            <w:r w:rsidRPr="0048016A">
              <w:rPr>
                <w:rFonts w:eastAsia="Times New Roman" w:cs="Calibri"/>
                <w:i/>
                <w:iCs/>
              </w:rPr>
              <w:t>2. podania do publicznej wiadomości części albo całości orzeczenia lub informacji o  orzeczeniu, w sposób i w zakresie określonym przez sąd.</w:t>
            </w:r>
          </w:p>
        </w:tc>
      </w:tr>
      <w:tr w:rsidR="00611BEF" w14:paraId="042909E8" w14:textId="55C376A1" w:rsidTr="4B18DE5F">
        <w:trPr>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7B49FD"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8723AE" w14:textId="43609181" w:rsidR="00611BEF" w:rsidRPr="004D12A3" w:rsidRDefault="00611BEF" w:rsidP="00611BEF">
            <w:pPr>
              <w:spacing w:after="0"/>
              <w:jc w:val="both"/>
              <w:rPr>
                <w:rFonts w:eastAsia="Times New Roman" w:cs="Calibri"/>
              </w:rPr>
            </w:pPr>
            <w:r w:rsidRPr="004D12A3">
              <w:rPr>
                <w:rFonts w:eastAsia="Times New Roman" w:cs="Calibri"/>
              </w:rPr>
              <w:t>Art. 448</w:t>
            </w:r>
          </w:p>
          <w:p w14:paraId="12B77F0E" w14:textId="3898392A" w:rsidR="00611BEF" w:rsidRPr="00925BAD" w:rsidRDefault="00611BEF" w:rsidP="00611BEF">
            <w:pPr>
              <w:spacing w:after="0"/>
              <w:jc w:val="both"/>
            </w:pPr>
            <w:r>
              <w:rPr>
                <w:rFonts w:eastAsia="Times New Roman" w:cs="Calibri"/>
              </w:rPr>
              <w:t>2. Roszczenia z tytułu naruszenia patentu, jeżeli sprawca działał w dobrej wierze, mogą być dochodzone za okres rozpoczynający się po dniu, w którym Urząd Patentowy dokonał ogłoszenia o zgłoszeniu wynalazku, a w przypadku wcześniejszego powiadomienia przez uprawnionego osoby naruszającej prawo o dokonanym zgłoszeniu – od daty tego powiadomienia.</w:t>
            </w:r>
            <w:r>
              <w:br/>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B48398" w14:textId="777DDD97" w:rsidR="00611BEF" w:rsidRDefault="00611BEF" w:rsidP="00611BEF">
            <w:pPr>
              <w:spacing w:after="120"/>
              <w:jc w:val="both"/>
              <w:rPr>
                <w:rFonts w:cs="Calibri"/>
              </w:rPr>
            </w:pPr>
            <w:r w:rsidRPr="00416FAD">
              <w:rPr>
                <w:rFonts w:cs="Calibri"/>
              </w:rPr>
              <w:t>Zmiana ma na celu określenie okresu, za jaki można dochodzić roszczeń z tytułu naruszenia patentu. Obecne brzmienie reguluje wyłącznie sytuację sprawcy działającego w dobrej wierze i nie wskazuje zasad dotyczących złej wiary ani maksymalnego okresu objętego roszczeniami. Proponowane brzmienie różnicuje sytuację sprawcy działającego w dobrej i złej wierze oraz usuwa wątpliwości co do okresu, za jaki uprawniony może dochodzić roszczeń.</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BBBFA" w14:textId="5463A8BF" w:rsidR="00611BEF" w:rsidRPr="0048016A" w:rsidRDefault="00611BEF" w:rsidP="00611BEF">
            <w:pPr>
              <w:spacing w:after="0"/>
              <w:jc w:val="both"/>
              <w:rPr>
                <w:rFonts w:eastAsia="Times New Roman" w:cs="Calibri"/>
                <w:i/>
                <w:iCs/>
              </w:rPr>
            </w:pPr>
            <w:r w:rsidRPr="0048016A">
              <w:rPr>
                <w:rFonts w:eastAsia="Times New Roman" w:cs="Calibri"/>
                <w:i/>
                <w:iCs/>
              </w:rPr>
              <w:t>Art. 448</w:t>
            </w:r>
          </w:p>
          <w:p w14:paraId="46AAE092" w14:textId="3C973E03" w:rsidR="00611BEF" w:rsidRPr="0048016A" w:rsidRDefault="00611BEF" w:rsidP="00611BEF">
            <w:pPr>
              <w:spacing w:after="120"/>
              <w:jc w:val="both"/>
              <w:rPr>
                <w:rFonts w:cs="Calibri"/>
                <w:i/>
                <w:iCs/>
              </w:rPr>
            </w:pPr>
            <w:r w:rsidRPr="0048016A">
              <w:rPr>
                <w:rFonts w:eastAsia="Times New Roman" w:cs="Calibri"/>
                <w:i/>
                <w:iCs/>
              </w:rPr>
              <w:t>2. Roszczenia z tytułu naruszenia patentu, jeżeli sprawca działał</w:t>
            </w:r>
            <w:r w:rsidRPr="0048016A">
              <w:rPr>
                <w:rFonts w:eastAsia="Times New Roman" w:cs="Calibri"/>
                <w:b/>
                <w:bCs/>
                <w:i/>
                <w:iCs/>
              </w:rPr>
              <w:t xml:space="preserve"> </w:t>
            </w:r>
            <w:r w:rsidRPr="0048016A">
              <w:rPr>
                <w:rFonts w:eastAsia="Times New Roman" w:cs="Calibri"/>
                <w:b/>
                <w:bCs/>
                <w:i/>
                <w:iCs/>
                <w:color w:val="EE0000"/>
              </w:rPr>
              <w:t>w złej wierze</w:t>
            </w:r>
            <w:r w:rsidRPr="0048016A">
              <w:rPr>
                <w:rFonts w:eastAsia="Times New Roman" w:cs="Calibri"/>
                <w:b/>
                <w:bCs/>
                <w:i/>
                <w:iCs/>
              </w:rPr>
              <w:t xml:space="preserve">, </w:t>
            </w:r>
            <w:r w:rsidRPr="0048016A">
              <w:rPr>
                <w:rFonts w:eastAsia="Times New Roman" w:cs="Calibri"/>
                <w:i/>
                <w:iCs/>
              </w:rPr>
              <w:t>mogą być dochodzone za okres</w:t>
            </w:r>
            <w:r w:rsidRPr="0048016A">
              <w:rPr>
                <w:rFonts w:eastAsia="Times New Roman" w:cs="Calibri"/>
                <w:b/>
                <w:bCs/>
                <w:i/>
                <w:iCs/>
              </w:rPr>
              <w:t xml:space="preserve"> </w:t>
            </w:r>
            <w:r w:rsidRPr="0048016A">
              <w:rPr>
                <w:rFonts w:eastAsia="Times New Roman" w:cs="Calibri"/>
                <w:b/>
                <w:bCs/>
                <w:i/>
                <w:iCs/>
                <w:color w:val="EE0000"/>
              </w:rPr>
              <w:t>od daty zgłoszenia wynalazku, natomiast jeżeli</w:t>
            </w:r>
            <w:r w:rsidRPr="0048016A">
              <w:rPr>
                <w:rFonts w:eastAsia="Times New Roman" w:cs="Calibri"/>
                <w:i/>
                <w:iCs/>
                <w:color w:val="EE0000"/>
              </w:rPr>
              <w:t xml:space="preserve"> </w:t>
            </w:r>
            <w:r w:rsidRPr="0048016A">
              <w:rPr>
                <w:rFonts w:eastAsia="Times New Roman" w:cs="Calibri"/>
                <w:i/>
                <w:iCs/>
              </w:rPr>
              <w:t>sprawca działał w dobrej wierze,</w:t>
            </w:r>
            <w:r w:rsidRPr="0048016A">
              <w:rPr>
                <w:rFonts w:cs="Calibri"/>
                <w:i/>
                <w:iCs/>
              </w:rPr>
              <w:t xml:space="preserve"> </w:t>
            </w:r>
            <w:r w:rsidRPr="0048016A">
              <w:rPr>
                <w:rFonts w:cs="Calibri"/>
                <w:b/>
                <w:bCs/>
                <w:i/>
                <w:iCs/>
                <w:color w:val="EE0000"/>
              </w:rPr>
              <w:t>za okres maksymalnie od daty zgłoszenia</w:t>
            </w:r>
            <w:r w:rsidRPr="0048016A">
              <w:rPr>
                <w:rFonts w:cs="Calibri"/>
                <w:i/>
                <w:iCs/>
              </w:rPr>
              <w:t>.</w:t>
            </w:r>
          </w:p>
        </w:tc>
      </w:tr>
      <w:tr w:rsidR="00611BEF" w14:paraId="7B425290" w14:textId="588B8B8B"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DB8C9"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C4E522" w14:textId="05340EBB" w:rsidR="00611BEF" w:rsidRDefault="00611BEF" w:rsidP="00611BEF">
            <w:pPr>
              <w:jc w:val="both"/>
              <w:rPr>
                <w:rFonts w:eastAsia="Aptos" w:cs="Calibri"/>
              </w:rPr>
            </w:pPr>
            <w:r>
              <w:rPr>
                <w:rFonts w:eastAsia="Aptos" w:cs="Calibri"/>
              </w:rPr>
              <w:t>Art. 449</w:t>
            </w:r>
          </w:p>
          <w:p w14:paraId="4D56D701" w14:textId="6F56032E" w:rsidR="00611BEF" w:rsidRDefault="00611BEF" w:rsidP="00611BEF">
            <w:pPr>
              <w:jc w:val="both"/>
            </w:pPr>
            <w:r>
              <w:rPr>
                <w:rFonts w:eastAsia="Aptos" w:cs="Calibri"/>
              </w:rPr>
              <w:lastRenderedPageBreak/>
              <w:t>1. Roszczenia z tytułu naruszenia patentu ulegają przedawnieniu z upływem 3 lat. Bieg przedawnienia rozpoczyna się od dnia, w którym uprawniony dowiedział się o naruszeniu swego prawa i o osobie, która naruszyła patent, oddzielnie co do każdego naruszenia. W przypadku naruszenia patentu o charakterze powtarzalnym oraz ciągłym bieg przedawnienia rozpoczyna się od każdego dnia, w którym naruszenie nastąpiło. Jednakże w każdym przypadku roszczenie przedawnia się z upływem 5 lat od dnia, w którym nastąpiło naruszenie patentu.</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FD0E086" w14:textId="77777777" w:rsidR="00611BEF" w:rsidRDefault="00611BEF" w:rsidP="00611BEF">
            <w:pPr>
              <w:jc w:val="both"/>
            </w:pPr>
            <w:r>
              <w:rPr>
                <w:rFonts w:eastAsia="Aptos" w:cs="Calibri"/>
              </w:rPr>
              <w:lastRenderedPageBreak/>
              <w:t>Usunięcie wątpliwości interpretacyjnych.</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2CAEA" w14:textId="1D7FFDA8" w:rsidR="00611BEF" w:rsidRPr="0048016A" w:rsidRDefault="00611BEF" w:rsidP="00611BEF">
            <w:pPr>
              <w:jc w:val="both"/>
              <w:rPr>
                <w:rFonts w:eastAsia="Aptos" w:cs="Calibri"/>
                <w:i/>
                <w:iCs/>
              </w:rPr>
            </w:pPr>
            <w:r w:rsidRPr="0048016A">
              <w:rPr>
                <w:rFonts w:eastAsia="Aptos" w:cs="Calibri"/>
                <w:i/>
                <w:iCs/>
              </w:rPr>
              <w:t>Art. 449</w:t>
            </w:r>
          </w:p>
          <w:p w14:paraId="7C7541DD" w14:textId="649F33F8" w:rsidR="00611BEF" w:rsidRPr="0048016A" w:rsidRDefault="00611BEF" w:rsidP="00611BEF">
            <w:pPr>
              <w:jc w:val="both"/>
              <w:rPr>
                <w:rFonts w:eastAsia="Aptos" w:cs="Calibri"/>
                <w:i/>
                <w:iCs/>
              </w:rPr>
            </w:pPr>
            <w:r w:rsidRPr="0048016A">
              <w:rPr>
                <w:rFonts w:eastAsia="Aptos" w:cs="Calibri"/>
                <w:i/>
                <w:iCs/>
              </w:rPr>
              <w:lastRenderedPageBreak/>
              <w:t>1. Roszczenia z tytułu naruszenia patentu ulegają przedawnieniu z upływem 3 lat. Bieg przedawnienia rozpoczyna się od dnia, w którym uprawniony dowiedział się o naruszeniu swego prawa i o osobie, która naruszyła patent, oddzielnie co do każdego naruszenia. W przypadku naruszenia patentu o charakterze powtarzalnym oraz ciągłym bieg przedawnienia rozpoczyna się od każdego dnia, w którym naruszenie nastąpiło. Jednakże w każdym przypadku roszczenie przedawnia się z upływem 5 lat od dnia, w którym nastąpiło naruszenie patentu</w:t>
            </w:r>
            <w:r w:rsidRPr="0048016A">
              <w:rPr>
                <w:rFonts w:eastAsia="Aptos" w:cs="Calibri"/>
                <w:i/>
                <w:iCs/>
                <w:color w:val="EE0000"/>
              </w:rPr>
              <w:t xml:space="preserve">, </w:t>
            </w:r>
            <w:r w:rsidRPr="0048016A">
              <w:rPr>
                <w:rFonts w:eastAsia="Aptos" w:cs="Calibri"/>
                <w:b/>
                <w:bCs/>
                <w:i/>
                <w:iCs/>
                <w:color w:val="EE0000"/>
              </w:rPr>
              <w:t>o którym mowa w zdaniu poprzedzającym</w:t>
            </w:r>
            <w:r w:rsidRPr="0048016A">
              <w:rPr>
                <w:rFonts w:eastAsia="Aptos" w:cs="Calibri"/>
                <w:b/>
                <w:bCs/>
                <w:i/>
                <w:iCs/>
              </w:rPr>
              <w:t>.</w:t>
            </w:r>
          </w:p>
        </w:tc>
      </w:tr>
      <w:tr w:rsidR="00611BEF" w14:paraId="1FD40B93" w14:textId="3D7225D7" w:rsidTr="4B18DE5F">
        <w:trPr>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664F01"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DE8675" w14:textId="77777777" w:rsidR="00611BEF" w:rsidRDefault="00611BEF" w:rsidP="00611BEF">
            <w:pPr>
              <w:spacing w:before="120"/>
              <w:jc w:val="both"/>
              <w:rPr>
                <w:rFonts w:cs="Calibri"/>
              </w:rPr>
            </w:pPr>
            <w:r>
              <w:rPr>
                <w:rFonts w:cs="Calibri"/>
              </w:rPr>
              <w:t>Art. 451</w:t>
            </w:r>
          </w:p>
          <w:p w14:paraId="01F1BA66" w14:textId="1BC06B3B" w:rsidR="00611BEF" w:rsidRDefault="00611BEF" w:rsidP="00611BEF">
            <w:pPr>
              <w:spacing w:before="120"/>
              <w:jc w:val="both"/>
              <w:rPr>
                <w:rFonts w:cs="Calibri"/>
              </w:rPr>
            </w:pPr>
            <w:r>
              <w:rPr>
                <w:rFonts w:cs="Calibri"/>
              </w:rPr>
              <w:t xml:space="preserve">1. Jeżeli strony nie postanowiły inaczej, nabywca, licencjobiorca lub inna osoba, na rzecz której uprawniony dokonał odpłatnego rozporządzenia, może żądać </w:t>
            </w:r>
            <w:r>
              <w:rPr>
                <w:rFonts w:cs="Calibri"/>
              </w:rPr>
              <w:lastRenderedPageBreak/>
              <w:t>zwrotu wniesionej zapłaty oraz naprawienia szkody na zasadach ogólnych.</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B608FDD" w14:textId="6B543123" w:rsidR="00611BEF" w:rsidRDefault="00611BEF" w:rsidP="00611BEF">
            <w:pPr>
              <w:spacing w:after="120"/>
              <w:jc w:val="both"/>
              <w:rPr>
                <w:rFonts w:cs="Calibri"/>
              </w:rPr>
            </w:pPr>
          </w:p>
          <w:p w14:paraId="64580566" w14:textId="5AD33B3B" w:rsidR="00611BEF" w:rsidRDefault="00611BEF" w:rsidP="00611BEF">
            <w:pPr>
              <w:spacing w:after="120"/>
              <w:jc w:val="both"/>
              <w:rPr>
                <w:rFonts w:cs="Calibri"/>
              </w:rPr>
            </w:pPr>
            <w:r>
              <w:rPr>
                <w:rFonts w:cs="Calibri"/>
              </w:rPr>
              <w:t>Usunięcie wątpliwości interpretacyjnych</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EB4BA" w14:textId="77777777" w:rsidR="00611BEF" w:rsidRDefault="00611BEF" w:rsidP="00611BEF">
            <w:pPr>
              <w:spacing w:before="120" w:after="120"/>
              <w:jc w:val="both"/>
              <w:rPr>
                <w:rFonts w:cs="Calibri"/>
                <w:i/>
                <w:iCs/>
              </w:rPr>
            </w:pPr>
            <w:r w:rsidRPr="0048016A">
              <w:rPr>
                <w:rFonts w:cs="Calibri"/>
                <w:i/>
                <w:iCs/>
              </w:rPr>
              <w:t>Art. 451</w:t>
            </w:r>
          </w:p>
          <w:p w14:paraId="4A999D71" w14:textId="64DC1DB2" w:rsidR="00611BEF" w:rsidRPr="0048016A" w:rsidRDefault="00611BEF" w:rsidP="00611BEF">
            <w:pPr>
              <w:spacing w:before="120" w:after="120"/>
              <w:jc w:val="both"/>
              <w:rPr>
                <w:rFonts w:cs="Calibri"/>
                <w:i/>
                <w:iCs/>
              </w:rPr>
            </w:pPr>
            <w:r w:rsidRPr="0048016A">
              <w:rPr>
                <w:rFonts w:cs="Calibri"/>
                <w:i/>
                <w:iCs/>
              </w:rPr>
              <w:t xml:space="preserve">1. Jeżeli strony nie postanowiły inaczej, nabywca, licencjobiorca lub inna osoba, na rzecz której </w:t>
            </w:r>
            <w:r w:rsidRPr="0048016A">
              <w:rPr>
                <w:rFonts w:cs="Calibri"/>
                <w:i/>
                <w:iCs/>
                <w:strike/>
                <w:color w:val="EE0000"/>
              </w:rPr>
              <w:t>uprawniony dokonał</w:t>
            </w:r>
            <w:r w:rsidRPr="0048016A">
              <w:rPr>
                <w:rFonts w:cs="Calibri"/>
                <w:i/>
                <w:iCs/>
              </w:rPr>
              <w:t xml:space="preserve"> </w:t>
            </w:r>
            <w:r w:rsidRPr="0048016A">
              <w:rPr>
                <w:rFonts w:cs="Calibri"/>
                <w:b/>
                <w:bCs/>
                <w:i/>
                <w:iCs/>
                <w:color w:val="EE0000"/>
              </w:rPr>
              <w:t xml:space="preserve">osoba nieuprawniona, o której mowa w </w:t>
            </w:r>
            <w:r w:rsidRPr="0048016A">
              <w:rPr>
                <w:rFonts w:cs="Calibri"/>
                <w:b/>
                <w:bCs/>
                <w:i/>
                <w:iCs/>
                <w:color w:val="EE0000"/>
              </w:rPr>
              <w:lastRenderedPageBreak/>
              <w:t>art. 73 dokonała</w:t>
            </w:r>
            <w:r w:rsidRPr="0048016A">
              <w:rPr>
                <w:rFonts w:cs="Calibri"/>
                <w:i/>
                <w:iCs/>
                <w:color w:val="EE0000"/>
              </w:rPr>
              <w:t xml:space="preserve"> </w:t>
            </w:r>
            <w:r w:rsidRPr="0048016A">
              <w:rPr>
                <w:rFonts w:cs="Calibri"/>
                <w:i/>
                <w:iCs/>
              </w:rPr>
              <w:t>odpłatnego rozporządzenia, może żądać zwrotu wniesionej zapłaty oraz naprawienia szkody na zasadach ogólnych.</w:t>
            </w:r>
          </w:p>
          <w:p w14:paraId="5F226F03" w14:textId="77777777" w:rsidR="00611BEF" w:rsidRPr="0048016A" w:rsidRDefault="00611BEF" w:rsidP="00611BEF">
            <w:pPr>
              <w:spacing w:after="120"/>
              <w:jc w:val="both"/>
              <w:rPr>
                <w:rFonts w:cs="Calibri"/>
                <w:i/>
                <w:iCs/>
                <w:highlight w:val="yellow"/>
              </w:rPr>
            </w:pPr>
          </w:p>
        </w:tc>
      </w:tr>
      <w:tr w:rsidR="00611BEF" w14:paraId="25760DA3" w14:textId="00518465" w:rsidTr="4B18DE5F">
        <w:trPr>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CCC100"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E16490" w14:textId="20F08252" w:rsidR="00611BEF" w:rsidRDefault="00611BEF" w:rsidP="00611BEF">
            <w:pPr>
              <w:spacing w:after="0"/>
              <w:jc w:val="both"/>
              <w:rPr>
                <w:rFonts w:eastAsia="Times New Roman" w:cs="Calibri"/>
              </w:rPr>
            </w:pPr>
            <w:r w:rsidRPr="00167F8A">
              <w:rPr>
                <w:rFonts w:eastAsia="Times New Roman" w:cs="Calibri"/>
              </w:rPr>
              <w:t>Art. 451</w:t>
            </w:r>
          </w:p>
          <w:p w14:paraId="5E14D21F" w14:textId="4DB7FFE9" w:rsidR="00611BEF" w:rsidRDefault="00611BEF" w:rsidP="00611BEF">
            <w:pPr>
              <w:spacing w:after="0"/>
              <w:jc w:val="both"/>
            </w:pPr>
            <w:r>
              <w:rPr>
                <w:rFonts w:eastAsia="Times New Roman" w:cs="Calibri"/>
              </w:rPr>
              <w:t>2. W przypadku, o którym mowa w ust. 1, zbywca może potrącić sobie korzyści, jakie nabywca, licencjobiorca lub inna osoba, na rzecz której uprawniony dokonał odpłatnego rozporządzenia, uzyskała przez korzystanie z wynalazku przed unieważnieniem patentu.</w:t>
            </w:r>
          </w:p>
          <w:p w14:paraId="5FCDE725" w14:textId="77777777" w:rsidR="00611BEF" w:rsidRDefault="00611BEF" w:rsidP="00611BEF">
            <w:pPr>
              <w:spacing w:before="120"/>
              <w:jc w:val="both"/>
              <w:rPr>
                <w:rFonts w:cs="Calibri"/>
              </w:rPr>
            </w:pP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777F840" w14:textId="3C754178" w:rsidR="00611BEF" w:rsidRDefault="00611BEF" w:rsidP="00611BEF">
            <w:pPr>
              <w:spacing w:after="120"/>
              <w:jc w:val="both"/>
              <w:rPr>
                <w:rFonts w:cs="Calibri"/>
              </w:rPr>
            </w:pPr>
          </w:p>
          <w:p w14:paraId="1D461A92" w14:textId="72F40BDC" w:rsidR="00611BEF" w:rsidRDefault="00611BEF" w:rsidP="00611BEF">
            <w:pPr>
              <w:spacing w:after="120"/>
              <w:jc w:val="both"/>
              <w:rPr>
                <w:rFonts w:cs="Calibri"/>
              </w:rPr>
            </w:pPr>
            <w:r>
              <w:rPr>
                <w:rFonts w:cs="Calibri"/>
              </w:rPr>
              <w:t>Usunięcie wątpliwości interpretacyjnych</w:t>
            </w: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9C48F" w14:textId="123CEE54" w:rsidR="00611BEF" w:rsidRPr="0048016A" w:rsidRDefault="00611BEF" w:rsidP="00611BEF">
            <w:pPr>
              <w:spacing w:after="0"/>
              <w:jc w:val="both"/>
              <w:rPr>
                <w:rFonts w:eastAsia="Times New Roman" w:cs="Calibri"/>
                <w:i/>
                <w:iCs/>
              </w:rPr>
            </w:pPr>
            <w:r w:rsidRPr="0048016A">
              <w:rPr>
                <w:rFonts w:eastAsia="Times New Roman" w:cs="Calibri"/>
                <w:i/>
                <w:iCs/>
              </w:rPr>
              <w:t xml:space="preserve">Art. 451 </w:t>
            </w:r>
          </w:p>
          <w:p w14:paraId="7D364084" w14:textId="77777777" w:rsidR="00611BEF" w:rsidRPr="0048016A" w:rsidRDefault="00611BEF" w:rsidP="00611BEF">
            <w:pPr>
              <w:spacing w:after="0"/>
              <w:jc w:val="both"/>
              <w:rPr>
                <w:i/>
                <w:iCs/>
              </w:rPr>
            </w:pPr>
            <w:r w:rsidRPr="0048016A">
              <w:rPr>
                <w:rFonts w:eastAsia="Times New Roman" w:cs="Calibri"/>
                <w:i/>
                <w:iCs/>
              </w:rPr>
              <w:t xml:space="preserve">2. W przypadku, o którym mowa w ust. 1, zbywca może potrącić sobie korzyści, jakie nabywca, licencjobiorca lub inna osoba, na rzecz której </w:t>
            </w:r>
            <w:r w:rsidRPr="0048016A">
              <w:rPr>
                <w:rFonts w:eastAsia="Times New Roman" w:cs="Calibri"/>
                <w:i/>
                <w:iCs/>
                <w:strike/>
                <w:color w:val="EE0000"/>
              </w:rPr>
              <w:t>uprawniony dokonał</w:t>
            </w:r>
            <w:r w:rsidRPr="0048016A">
              <w:rPr>
                <w:rFonts w:eastAsia="Times New Roman" w:cs="Calibri"/>
                <w:i/>
                <w:iCs/>
                <w:color w:val="EE0000"/>
              </w:rPr>
              <w:t xml:space="preserve"> </w:t>
            </w:r>
            <w:r w:rsidRPr="0048016A">
              <w:rPr>
                <w:rFonts w:eastAsia="Times New Roman" w:cs="Calibri"/>
                <w:b/>
                <w:bCs/>
                <w:i/>
                <w:iCs/>
                <w:color w:val="EE0000"/>
              </w:rPr>
              <w:t>osoba nieuprawniona</w:t>
            </w:r>
            <w:r w:rsidRPr="0048016A">
              <w:rPr>
                <w:rFonts w:cs="Calibri"/>
                <w:b/>
                <w:bCs/>
                <w:i/>
                <w:iCs/>
                <w:color w:val="EE0000"/>
              </w:rPr>
              <w:t>, o której mowa w art. 73</w:t>
            </w:r>
            <w:r w:rsidRPr="0048016A">
              <w:rPr>
                <w:rFonts w:eastAsia="Times New Roman" w:cs="Calibri"/>
                <w:b/>
                <w:bCs/>
                <w:i/>
                <w:iCs/>
                <w:color w:val="EE0000"/>
              </w:rPr>
              <w:t xml:space="preserve"> dokonała</w:t>
            </w:r>
            <w:r w:rsidRPr="0048016A">
              <w:rPr>
                <w:rFonts w:eastAsia="Times New Roman" w:cs="Calibri"/>
                <w:i/>
                <w:iCs/>
                <w:color w:val="EE0000"/>
              </w:rPr>
              <w:t xml:space="preserve"> </w:t>
            </w:r>
            <w:r w:rsidRPr="0048016A">
              <w:rPr>
                <w:rFonts w:eastAsia="Times New Roman" w:cs="Calibri"/>
                <w:i/>
                <w:iCs/>
              </w:rPr>
              <w:t>odpłatnego rozporządzenia, uzyskała przez korzystanie z wynalazku przed unieważnieniem patentu.</w:t>
            </w:r>
          </w:p>
          <w:p w14:paraId="5250CC1D" w14:textId="77777777" w:rsidR="00611BEF" w:rsidRPr="0048016A" w:rsidRDefault="00611BEF" w:rsidP="00611BEF">
            <w:pPr>
              <w:spacing w:after="120"/>
              <w:jc w:val="both"/>
              <w:rPr>
                <w:rFonts w:cs="Calibri"/>
                <w:i/>
                <w:iCs/>
                <w:highlight w:val="yellow"/>
              </w:rPr>
            </w:pPr>
          </w:p>
        </w:tc>
      </w:tr>
      <w:tr w:rsidR="00611BEF" w14:paraId="78EC39CE" w14:textId="0D0BD2E3" w:rsidTr="4B18DE5F">
        <w:trPr>
          <w:trHeight w:val="300"/>
          <w:jc w:val="center"/>
        </w:trPr>
        <w:tc>
          <w:tcPr>
            <w:tcW w:w="9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F5DB57" w14:textId="77777777" w:rsidR="00611BEF" w:rsidRDefault="00611BEF" w:rsidP="00611BEF">
            <w:pPr>
              <w:pStyle w:val="Akapitzlist"/>
              <w:numPr>
                <w:ilvl w:val="0"/>
                <w:numId w:val="2"/>
              </w:numPr>
              <w:contextualSpacing w:val="0"/>
              <w:jc w:val="both"/>
              <w:rPr>
                <w:rFonts w:cs="Calibri"/>
                <w:b/>
                <w:bCs/>
              </w:rPr>
            </w:pPr>
          </w:p>
        </w:tc>
        <w:tc>
          <w:tcPr>
            <w:tcW w:w="3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197720" w14:textId="69C94C2D" w:rsidR="00611BEF" w:rsidRDefault="00611BEF" w:rsidP="00611BEF">
            <w:pPr>
              <w:jc w:val="both"/>
              <w:rPr>
                <w:rFonts w:eastAsia="Aptos" w:cs="Calibri"/>
              </w:rPr>
            </w:pPr>
            <w:r>
              <w:rPr>
                <w:rFonts w:eastAsia="Aptos" w:cs="Calibri"/>
              </w:rPr>
              <w:t>Art. 479[95a] ustawy</w:t>
            </w:r>
            <w:r w:rsidRPr="003C1BDF">
              <w:rPr>
                <w:rFonts w:eastAsia="Aptos" w:cs="Calibri"/>
              </w:rPr>
              <w:t xml:space="preserve"> z dnia 17 listopada 1964 r. – Kodeks postępowania cywilnego </w:t>
            </w:r>
            <w:r>
              <w:rPr>
                <w:rFonts w:eastAsia="Aptos" w:cs="Calibri"/>
              </w:rPr>
              <w:t>§ 1.</w:t>
            </w:r>
          </w:p>
          <w:p w14:paraId="3EEC6A21" w14:textId="545A4A52" w:rsidR="00611BEF" w:rsidRDefault="00611BEF" w:rsidP="00611BEF">
            <w:pPr>
              <w:jc w:val="both"/>
            </w:pPr>
            <w:r>
              <w:rPr>
                <w:rFonts w:eastAsia="Aptos" w:cs="Calibri"/>
              </w:rPr>
              <w:t xml:space="preserve">§ 1. W sprawach własności intelektualnej każdy, kto spodziewa się złożenia wniosku o udzielenie zabezpieczenia </w:t>
            </w:r>
            <w:r>
              <w:rPr>
                <w:rFonts w:eastAsia="Aptos" w:cs="Calibri"/>
              </w:rPr>
              <w:lastRenderedPageBreak/>
              <w:t>(wnioskodawca), może złożyć do sądu pismo zawierające jego stanowisko w sprawie (list ochronny).</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52F24B" w14:textId="525E04E3" w:rsidR="00611BEF" w:rsidRDefault="00611BEF" w:rsidP="00611BEF">
            <w:pPr>
              <w:jc w:val="both"/>
            </w:pPr>
            <w:r>
              <w:lastRenderedPageBreak/>
              <w:t>Usunięcie wątpliwości interpretacyjnych.</w:t>
            </w:r>
          </w:p>
          <w:p w14:paraId="4FDA6F22" w14:textId="77777777" w:rsidR="00611BEF" w:rsidRDefault="00611BEF" w:rsidP="00611BEF">
            <w:pPr>
              <w:jc w:val="both"/>
            </w:pPr>
            <w:r>
              <w:t>List ochronny nie może być uznany za substytut wysłuchania obowiązanego postępowania zabezpieczającego z uwagi na to, że tworzony jest zanim pozyska on wiedzę na temat wniosku o udzielenie zabezpieczenia, a zatem nie gwarantuje możliwości odniesienia się do wszystkich podniesionych w nim argumentów.</w:t>
            </w:r>
          </w:p>
          <w:p w14:paraId="3270A5DC" w14:textId="271AEE5E" w:rsidR="00611BEF" w:rsidRPr="00280E1E" w:rsidRDefault="00611BEF" w:rsidP="00611BEF">
            <w:pPr>
              <w:jc w:val="both"/>
            </w:pPr>
            <w:r w:rsidRPr="00280E1E">
              <w:lastRenderedPageBreak/>
              <w:t>W przypadku spełnienia warunków kwalifikujących wniosek o zabezpieczenie do rozpatrzenia z wysłuchaniem strony, wprowadzona propozycja ma służyć zagwarantowaniu obowiązanemu możliwości ustosunkowania się do wszelkich twierdzeń podniesionych przez powoda, zwłaszcza w sytuacji, gdy argumentacja podniesiona w liście ochronnym okazała się nie w pełni przekonująca dla Sądu.</w:t>
            </w:r>
          </w:p>
          <w:p w14:paraId="0813C153" w14:textId="12B5555B" w:rsidR="00611BEF" w:rsidRDefault="00611BEF" w:rsidP="00611BEF">
            <w:pPr>
              <w:jc w:val="both"/>
            </w:pPr>
          </w:p>
        </w:tc>
        <w:tc>
          <w:tcPr>
            <w:tcW w:w="3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F6EE7" w14:textId="77777777" w:rsidR="00611BEF" w:rsidRDefault="00611BEF" w:rsidP="00611BEF">
            <w:pPr>
              <w:jc w:val="both"/>
              <w:rPr>
                <w:rFonts w:eastAsia="Aptos" w:cs="Calibri"/>
              </w:rPr>
            </w:pPr>
            <w:r>
              <w:rPr>
                <w:rFonts w:eastAsia="Aptos" w:cs="Calibri"/>
              </w:rPr>
              <w:lastRenderedPageBreak/>
              <w:t>Art. 479[95a] ustawy</w:t>
            </w:r>
            <w:r w:rsidRPr="003C1BDF">
              <w:rPr>
                <w:rFonts w:eastAsia="Aptos" w:cs="Calibri"/>
              </w:rPr>
              <w:t xml:space="preserve"> z dnia 17 listopada 1964 r. – Kodeks postępowania cywilnego </w:t>
            </w:r>
            <w:r>
              <w:rPr>
                <w:rFonts w:eastAsia="Aptos" w:cs="Calibri"/>
              </w:rPr>
              <w:t>§ 1.</w:t>
            </w:r>
          </w:p>
          <w:p w14:paraId="19A5FEF2" w14:textId="7124C7F6" w:rsidR="00611BEF" w:rsidRPr="0048016A" w:rsidRDefault="00611BEF" w:rsidP="00611BEF">
            <w:pPr>
              <w:jc w:val="both"/>
              <w:rPr>
                <w:i/>
                <w:iCs/>
                <w:highlight w:val="yellow"/>
              </w:rPr>
            </w:pPr>
            <w:r w:rsidRPr="0048016A">
              <w:rPr>
                <w:rFonts w:eastAsia="Aptos" w:cs="Calibri"/>
                <w:i/>
                <w:iCs/>
              </w:rPr>
              <w:t xml:space="preserve">§ 1. W sprawach własności intelektualnej każdy, kto spodziewa się złożenia wniosku o udzielenie zabezpieczenia (wnioskodawca), </w:t>
            </w:r>
            <w:r w:rsidRPr="0048016A">
              <w:rPr>
                <w:rFonts w:eastAsia="Aptos" w:cs="Calibri"/>
                <w:i/>
                <w:iCs/>
              </w:rPr>
              <w:lastRenderedPageBreak/>
              <w:t xml:space="preserve">może złożyć do sądu pismo zawierające jego stanowisko w sprawie (list ochronny). </w:t>
            </w:r>
            <w:r w:rsidRPr="0048016A">
              <w:rPr>
                <w:rFonts w:eastAsia="Aptos" w:cs="Calibri"/>
                <w:b/>
                <w:bCs/>
                <w:i/>
                <w:iCs/>
                <w:color w:val="EE0000"/>
              </w:rPr>
              <w:t>List ochronny nie zastępuje wysłuchania strony w postępowaniu o zabezpieczenie.</w:t>
            </w:r>
          </w:p>
        </w:tc>
      </w:tr>
    </w:tbl>
    <w:p w14:paraId="19729DEE" w14:textId="77777777" w:rsidR="00503031" w:rsidRDefault="00503031" w:rsidP="00503031">
      <w:pPr>
        <w:jc w:val="both"/>
        <w:rPr>
          <w:rFonts w:cs="Calibri"/>
        </w:rPr>
      </w:pPr>
    </w:p>
    <w:p w14:paraId="1A2F523C" w14:textId="77777777" w:rsidR="00503031" w:rsidRDefault="00503031" w:rsidP="00503031">
      <w:pPr>
        <w:jc w:val="both"/>
      </w:pPr>
    </w:p>
    <w:p w14:paraId="303F1CD9" w14:textId="77777777" w:rsidR="00E9494F" w:rsidRDefault="00E9494F"/>
    <w:sectPr w:rsidR="00E9494F" w:rsidSect="00503031">
      <w:headerReference w:type="default" r:id="rId10"/>
      <w:footerReference w:type="even" r:id="rId11"/>
      <w:footerReference w:type="default" r:id="rId12"/>
      <w:footerReference w:type="first" r:id="rId13"/>
      <w:pgSz w:w="16838" w:h="11906" w:orient="landscape"/>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CEF4A" w14:textId="77777777" w:rsidR="00EC25F5" w:rsidRDefault="00EC25F5">
      <w:pPr>
        <w:spacing w:after="0" w:line="240" w:lineRule="auto"/>
      </w:pPr>
      <w:r>
        <w:separator/>
      </w:r>
    </w:p>
  </w:endnote>
  <w:endnote w:type="continuationSeparator" w:id="0">
    <w:p w14:paraId="7A123D71" w14:textId="77777777" w:rsidR="00EC25F5" w:rsidRDefault="00EC2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DD01B" w14:textId="32028BB9" w:rsidR="00805EFF" w:rsidRDefault="00805EFF">
    <w:pPr>
      <w:pStyle w:val="Stopka"/>
    </w:pPr>
    <w:r>
      <w:rPr>
        <w:noProof/>
        <w14:ligatures w14:val="standardContextual"/>
      </w:rPr>
      <mc:AlternateContent>
        <mc:Choice Requires="wps">
          <w:drawing>
            <wp:anchor distT="0" distB="0" distL="0" distR="0" simplePos="0" relativeHeight="251659264" behindDoc="0" locked="0" layoutInCell="1" allowOverlap="1" wp14:anchorId="26B7168B" wp14:editId="7096AC38">
              <wp:simplePos x="635" y="635"/>
              <wp:positionH relativeFrom="page">
                <wp:align>left</wp:align>
              </wp:positionH>
              <wp:positionV relativeFrom="page">
                <wp:align>bottom</wp:align>
              </wp:positionV>
              <wp:extent cx="3121660" cy="333375"/>
              <wp:effectExtent l="0" t="0" r="2540" b="0"/>
              <wp:wrapNone/>
              <wp:docPr id="469620363" name="Pole tekstowe 2" descr="Wewnętrzne / Internal Zakłady Farmaceutyczne POLPHARMA S.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21660" cy="333375"/>
                      </a:xfrm>
                      <a:prstGeom prst="rect">
                        <a:avLst/>
                      </a:prstGeom>
                      <a:noFill/>
                      <a:ln>
                        <a:noFill/>
                      </a:ln>
                    </wps:spPr>
                    <wps:txbx>
                      <w:txbxContent>
                        <w:p w14:paraId="53A0C200" w14:textId="593F58A2" w:rsidR="00805EFF" w:rsidRPr="00805EFF" w:rsidRDefault="00805EFF" w:rsidP="00805EFF">
                          <w:pPr>
                            <w:spacing w:after="0"/>
                            <w:rPr>
                              <w:rFonts w:ascii="Aptos" w:eastAsia="Aptos" w:hAnsi="Aptos" w:cs="Aptos"/>
                              <w:noProof/>
                              <w:color w:val="000000"/>
                              <w:sz w:val="16"/>
                              <w:szCs w:val="16"/>
                            </w:rPr>
                          </w:pPr>
                          <w:r w:rsidRPr="00805EFF">
                            <w:rPr>
                              <w:rFonts w:ascii="Aptos" w:eastAsia="Aptos" w:hAnsi="Aptos" w:cs="Aptos"/>
                              <w:noProof/>
                              <w:color w:val="000000"/>
                              <w:sz w:val="16"/>
                              <w:szCs w:val="16"/>
                            </w:rPr>
                            <w:t>Wewnętrzne / Internal Zakłady Farmaceutyczne POLPHARMA S.A.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B7168B" id="_x0000_t202" coordsize="21600,21600" o:spt="202" path="m,l,21600r21600,l21600,xe">
              <v:stroke joinstyle="miter"/>
              <v:path gradientshapeok="t" o:connecttype="rect"/>
            </v:shapetype>
            <v:shape id="Pole tekstowe 2" o:spid="_x0000_s1026" type="#_x0000_t202" alt="Wewnętrzne / Internal Zakłady Farmaceutyczne POLPHARMA S.A." style="position:absolute;margin-left:0;margin-top:0;width:245.8pt;height:26.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" filled="f" stroked="f">
              <v:fill o:detectmouseclick="t"/>
              <v:textbox style="mso-fit-shape-to-text:t" inset="20pt,0,0,15pt">
                <w:txbxContent>
                  <w:p w14:paraId="53A0C200" w14:textId="593F58A2" w:rsidR="00805EFF" w:rsidRPr="00805EFF" w:rsidRDefault="00805EFF" w:rsidP="00805EFF">
                    <w:pPr>
                      <w:spacing w:after="0"/>
                      <w:rPr>
                        <w:rFonts w:ascii="Aptos" w:eastAsia="Aptos" w:hAnsi="Aptos" w:cs="Aptos"/>
                        <w:noProof/>
                        <w:color w:val="000000"/>
                        <w:sz w:val="16"/>
                        <w:szCs w:val="16"/>
                      </w:rPr>
                    </w:pPr>
                    <w:r w:rsidRPr="00805EFF">
                      <w:rPr>
                        <w:rFonts w:ascii="Aptos" w:eastAsia="Aptos" w:hAnsi="Aptos" w:cs="Aptos"/>
                        <w:noProof/>
                        <w:color w:val="000000"/>
                        <w:sz w:val="16"/>
                        <w:szCs w:val="16"/>
                      </w:rPr>
                      <w:t>Wewnętrzne / Internal Zakłady Farmaceutyczne POLPHARMA S.A.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4AB6" w14:textId="129B7421" w:rsidR="00D201CD" w:rsidRDefault="00805EFF">
    <w:pPr>
      <w:jc w:val="center"/>
    </w:pPr>
    <w:r>
      <w:rPr>
        <w:noProof/>
        <w14:ligatures w14:val="standardContextual"/>
      </w:rPr>
      <mc:AlternateContent>
        <mc:Choice Requires="wps">
          <w:drawing>
            <wp:anchor distT="0" distB="0" distL="0" distR="0" simplePos="0" relativeHeight="251660288" behindDoc="0" locked="0" layoutInCell="1" allowOverlap="1" wp14:anchorId="70C2CDE2" wp14:editId="1DADF7BB">
              <wp:simplePos x="635" y="635"/>
              <wp:positionH relativeFrom="page">
                <wp:align>left</wp:align>
              </wp:positionH>
              <wp:positionV relativeFrom="page">
                <wp:align>bottom</wp:align>
              </wp:positionV>
              <wp:extent cx="3121660" cy="333375"/>
              <wp:effectExtent l="0" t="0" r="2540" b="0"/>
              <wp:wrapNone/>
              <wp:docPr id="1878760488" name="Pole tekstowe 3" descr="Wewnętrzne / Internal Zakłady Farmaceutyczne POLPHARMA S.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21660" cy="333375"/>
                      </a:xfrm>
                      <a:prstGeom prst="rect">
                        <a:avLst/>
                      </a:prstGeom>
                      <a:noFill/>
                      <a:ln>
                        <a:noFill/>
                      </a:ln>
                    </wps:spPr>
                    <wps:txbx>
                      <w:txbxContent>
                        <w:p w14:paraId="1B0E7ED6" w14:textId="1B959A4C" w:rsidR="00805EFF" w:rsidRPr="00805EFF" w:rsidRDefault="00805EFF" w:rsidP="00805EFF">
                          <w:pPr>
                            <w:spacing w:after="0"/>
                            <w:rPr>
                              <w:rFonts w:ascii="Aptos" w:eastAsia="Aptos" w:hAnsi="Aptos" w:cs="Aptos"/>
                              <w:noProof/>
                              <w:color w:val="000000"/>
                              <w:sz w:val="16"/>
                              <w:szCs w:val="16"/>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C2CDE2" id="_x0000_t202" coordsize="21600,21600" o:spt="202" path="m,l,21600r21600,l21600,xe">
              <v:stroke joinstyle="miter"/>
              <v:path gradientshapeok="t" o:connecttype="rect"/>
            </v:shapetype>
            <v:shape id="Pole tekstowe 3" o:spid="_x0000_s1027" type="#_x0000_t202" alt="Wewnętrzne / Internal Zakłady Farmaceutyczne POLPHARMA S.A." style="position:absolute;left:0;text-align:left;margin-left:0;margin-top:0;width:245.8pt;height:26.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" filled="f" stroked="f">
              <v:textbox style="mso-fit-shape-to-text:t" inset="20pt,0,0,15pt">
                <w:txbxContent>
                  <w:p w14:paraId="1B0E7ED6" w14:textId="1B959A4C" w:rsidR="00805EFF" w:rsidRPr="00805EFF" w:rsidRDefault="00805EFF" w:rsidP="00805EFF">
                    <w:pPr>
                      <w:spacing w:after="0"/>
                      <w:rPr>
                        <w:rFonts w:ascii="Aptos" w:eastAsia="Aptos" w:hAnsi="Aptos" w:cs="Aptos"/>
                        <w:noProof/>
                        <w:color w:val="000000"/>
                        <w:sz w:val="16"/>
                        <w:szCs w:val="16"/>
                      </w:rPr>
                    </w:pPr>
                  </w:p>
                </w:txbxContent>
              </v:textbox>
              <w10:wrap anchorx="page" anchory="page"/>
            </v:shape>
          </w:pict>
        </mc:Fallback>
      </mc:AlternateContent>
    </w:r>
    <w:r w:rsidR="00D201CD">
      <w:fldChar w:fldCharType="begin"/>
    </w:r>
    <w:r w:rsidR="00D201CD">
      <w:instrText xml:space="preserve"> PAGE </w:instrText>
    </w:r>
    <w:r w:rsidR="00D201CD">
      <w:fldChar w:fldCharType="separate"/>
    </w:r>
    <w:r w:rsidR="00D201CD">
      <w:t>1</w:t>
    </w:r>
    <w:r w:rsidR="00D201CD">
      <w:fldChar w:fldCharType="end"/>
    </w:r>
  </w:p>
  <w:p w14:paraId="3162F9CA" w14:textId="77777777" w:rsidR="00D201CD" w:rsidRDefault="00D201C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30D4" w14:textId="17884FF2" w:rsidR="00805EFF" w:rsidRDefault="00805EFF">
    <w:pPr>
      <w:pStyle w:val="Stopka"/>
    </w:pPr>
    <w:r>
      <w:rPr>
        <w:noProof/>
        <w14:ligatures w14:val="standardContextual"/>
      </w:rPr>
      <mc:AlternateContent>
        <mc:Choice Requires="wps">
          <w:drawing>
            <wp:anchor distT="0" distB="0" distL="0" distR="0" simplePos="0" relativeHeight="251658240" behindDoc="0" locked="0" layoutInCell="1" allowOverlap="1" wp14:anchorId="636FB447" wp14:editId="05534EDF">
              <wp:simplePos x="635" y="635"/>
              <wp:positionH relativeFrom="page">
                <wp:align>left</wp:align>
              </wp:positionH>
              <wp:positionV relativeFrom="page">
                <wp:align>bottom</wp:align>
              </wp:positionV>
              <wp:extent cx="3121660" cy="333375"/>
              <wp:effectExtent l="0" t="0" r="2540" b="0"/>
              <wp:wrapNone/>
              <wp:docPr id="693348472" name="Pole tekstowe 1" descr="Wewnętrzne / Internal Zakłady Farmaceutyczne POLPHARMA S.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21660" cy="333375"/>
                      </a:xfrm>
                      <a:prstGeom prst="rect">
                        <a:avLst/>
                      </a:prstGeom>
                      <a:noFill/>
                      <a:ln>
                        <a:noFill/>
                      </a:ln>
                    </wps:spPr>
                    <wps:txbx>
                      <w:txbxContent>
                        <w:p w14:paraId="583F0A51" w14:textId="057BB30D" w:rsidR="00805EFF" w:rsidRPr="00805EFF" w:rsidRDefault="00805EFF" w:rsidP="00805EFF">
                          <w:pPr>
                            <w:spacing w:after="0"/>
                            <w:rPr>
                              <w:rFonts w:ascii="Aptos" w:eastAsia="Aptos" w:hAnsi="Aptos" w:cs="Aptos"/>
                              <w:noProof/>
                              <w:color w:val="000000"/>
                              <w:sz w:val="16"/>
                              <w:szCs w:val="16"/>
                            </w:rPr>
                          </w:pPr>
                          <w:r w:rsidRPr="00805EFF">
                            <w:rPr>
                              <w:rFonts w:ascii="Aptos" w:eastAsia="Aptos" w:hAnsi="Aptos" w:cs="Aptos"/>
                              <w:noProof/>
                              <w:color w:val="000000"/>
                              <w:sz w:val="16"/>
                              <w:szCs w:val="16"/>
                            </w:rPr>
                            <w:t>Wewnętrzne / Internal Zakłady Farmaceutyczne POLPHARMA S.A.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6FB447" id="_x0000_t202" coordsize="21600,21600" o:spt="202" path="m,l,21600r21600,l21600,xe">
              <v:stroke joinstyle="miter"/>
              <v:path gradientshapeok="t" o:connecttype="rect"/>
            </v:shapetype>
            <v:shape id="Pole tekstowe 1" o:spid="_x0000_s1028" type="#_x0000_t202" alt="Wewnętrzne / Internal Zakłady Farmaceutyczne POLPHARMA S.A." style="position:absolute;margin-left:0;margin-top:0;width:245.8pt;height:26.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" filled="f" stroked="f">
              <v:fill o:detectmouseclick="t"/>
              <v:textbox style="mso-fit-shape-to-text:t" inset="20pt,0,0,15pt">
                <w:txbxContent>
                  <w:p w14:paraId="583F0A51" w14:textId="057BB30D" w:rsidR="00805EFF" w:rsidRPr="00805EFF" w:rsidRDefault="00805EFF" w:rsidP="00805EFF">
                    <w:pPr>
                      <w:spacing w:after="0"/>
                      <w:rPr>
                        <w:rFonts w:ascii="Aptos" w:eastAsia="Aptos" w:hAnsi="Aptos" w:cs="Aptos"/>
                        <w:noProof/>
                        <w:color w:val="000000"/>
                        <w:sz w:val="16"/>
                        <w:szCs w:val="16"/>
                      </w:rPr>
                    </w:pPr>
                    <w:r w:rsidRPr="00805EFF">
                      <w:rPr>
                        <w:rFonts w:ascii="Aptos" w:eastAsia="Aptos" w:hAnsi="Aptos" w:cs="Aptos"/>
                        <w:noProof/>
                        <w:color w:val="000000"/>
                        <w:sz w:val="16"/>
                        <w:szCs w:val="16"/>
                      </w:rPr>
                      <w:t>Wewnętrzne / Internal Zakłady Farmaceutyczne POLPHARMA S.A.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F1301" w14:textId="77777777" w:rsidR="00EC25F5" w:rsidRDefault="00EC25F5">
      <w:pPr>
        <w:spacing w:after="0" w:line="240" w:lineRule="auto"/>
      </w:pPr>
      <w:r>
        <w:separator/>
      </w:r>
    </w:p>
  </w:footnote>
  <w:footnote w:type="continuationSeparator" w:id="0">
    <w:p w14:paraId="0C07A7B2" w14:textId="77777777" w:rsidR="00EC25F5" w:rsidRDefault="00EC2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1"/>
      <w:tblW w:w="13995" w:type="dxa"/>
      <w:tblCellMar>
        <w:left w:w="10" w:type="dxa"/>
        <w:right w:w="10" w:type="dxa"/>
      </w:tblCellMar>
      <w:tblLook w:val="0000" w:firstRow="0" w:lastRow="0" w:firstColumn="0" w:lastColumn="0" w:noHBand="0" w:noVBand="0"/>
    </w:tblPr>
    <w:tblGrid>
      <w:gridCol w:w="4665"/>
      <w:gridCol w:w="4665"/>
      <w:gridCol w:w="4665"/>
    </w:tblGrid>
    <w:tr w:rsidR="00D201CD" w14:paraId="5E10AF49" w14:textId="77777777">
      <w:trPr>
        <w:trHeight w:val="300"/>
      </w:trPr>
      <w:tc>
        <w:tcPr>
          <w:tcW w:w="4665" w:type="dxa"/>
          <w:tcMar>
            <w:top w:w="0" w:type="dxa"/>
            <w:left w:w="108" w:type="dxa"/>
            <w:bottom w:w="0" w:type="dxa"/>
            <w:right w:w="108" w:type="dxa"/>
          </w:tcMar>
        </w:tcPr>
        <w:p w14:paraId="791442A7" w14:textId="77777777" w:rsidR="00D201CD" w:rsidRDefault="00D201CD">
          <w:pPr>
            <w:ind w:left="-115"/>
          </w:pPr>
        </w:p>
      </w:tc>
      <w:tc>
        <w:tcPr>
          <w:tcW w:w="4665" w:type="dxa"/>
          <w:tcMar>
            <w:top w:w="0" w:type="dxa"/>
            <w:left w:w="108" w:type="dxa"/>
            <w:bottom w:w="0" w:type="dxa"/>
            <w:right w:w="108" w:type="dxa"/>
          </w:tcMar>
        </w:tcPr>
        <w:p w14:paraId="194DF70F" w14:textId="77777777" w:rsidR="00D201CD" w:rsidRDefault="00D201CD">
          <w:pPr>
            <w:jc w:val="center"/>
          </w:pPr>
        </w:p>
      </w:tc>
      <w:tc>
        <w:tcPr>
          <w:tcW w:w="4665" w:type="dxa"/>
          <w:tcMar>
            <w:top w:w="0" w:type="dxa"/>
            <w:left w:w="108" w:type="dxa"/>
            <w:bottom w:w="0" w:type="dxa"/>
            <w:right w:w="108" w:type="dxa"/>
          </w:tcMar>
        </w:tcPr>
        <w:p w14:paraId="5F0BADA0" w14:textId="77777777" w:rsidR="00D201CD" w:rsidRDefault="00D201CD">
          <w:pPr>
            <w:ind w:right="-115"/>
            <w:jc w:val="right"/>
          </w:pPr>
        </w:p>
      </w:tc>
    </w:tr>
  </w:tbl>
  <w:p w14:paraId="41216D65" w14:textId="77777777" w:rsidR="00D201CD" w:rsidRDefault="00D201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C64"/>
    <w:multiLevelType w:val="multilevel"/>
    <w:tmpl w:val="DBA87B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8714E33"/>
    <w:multiLevelType w:val="multilevel"/>
    <w:tmpl w:val="98A8F0D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2B2B53EA"/>
    <w:multiLevelType w:val="multilevel"/>
    <w:tmpl w:val="E0F6F6AC"/>
    <w:lvl w:ilvl="0">
      <w:numFmt w:val="bullet"/>
      <w:lvlText w:val=""/>
      <w:lvlJc w:val="left"/>
      <w:pPr>
        <w:ind w:left="720" w:hanging="360"/>
      </w:pPr>
      <w:rPr>
        <w:rFonts w:ascii="Symbol" w:hAnsi="Symbol"/>
      </w:rPr>
    </w:lvl>
    <w:lvl w:ilvl="1">
      <w:numFmt w:val="bullet"/>
      <w:lvlText w:val="-"/>
      <w:lvlJc w:val="left"/>
      <w:pPr>
        <w:ind w:left="1440" w:hanging="360"/>
      </w:pPr>
      <w:rPr>
        <w:rFonts w:ascii="Aptos" w:hAnsi="Apto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541479512">
    <w:abstractNumId w:val="2"/>
  </w:num>
  <w:num w:numId="2" w16cid:durableId="770129918">
    <w:abstractNumId w:val="1"/>
  </w:num>
  <w:num w:numId="3" w16cid:durableId="882064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031"/>
    <w:rsid w:val="00002D6D"/>
    <w:rsid w:val="000166B1"/>
    <w:rsid w:val="00047D10"/>
    <w:rsid w:val="00055D59"/>
    <w:rsid w:val="00077F1D"/>
    <w:rsid w:val="0008086E"/>
    <w:rsid w:val="0008158F"/>
    <w:rsid w:val="000A558D"/>
    <w:rsid w:val="000A5F60"/>
    <w:rsid w:val="000B7013"/>
    <w:rsid w:val="000B7DB4"/>
    <w:rsid w:val="000C6042"/>
    <w:rsid w:val="000C6060"/>
    <w:rsid w:val="000D2FA9"/>
    <w:rsid w:val="000F10C9"/>
    <w:rsid w:val="00100ECC"/>
    <w:rsid w:val="00107035"/>
    <w:rsid w:val="001205B6"/>
    <w:rsid w:val="0015199D"/>
    <w:rsid w:val="00161E09"/>
    <w:rsid w:val="00167F8A"/>
    <w:rsid w:val="00176946"/>
    <w:rsid w:val="00177672"/>
    <w:rsid w:val="001802A7"/>
    <w:rsid w:val="001849BE"/>
    <w:rsid w:val="001940A1"/>
    <w:rsid w:val="001A169F"/>
    <w:rsid w:val="001B7FC3"/>
    <w:rsid w:val="001D0849"/>
    <w:rsid w:val="001E3E6B"/>
    <w:rsid w:val="00235422"/>
    <w:rsid w:val="00240E10"/>
    <w:rsid w:val="00251B73"/>
    <w:rsid w:val="00252963"/>
    <w:rsid w:val="00260095"/>
    <w:rsid w:val="0026139C"/>
    <w:rsid w:val="00261D38"/>
    <w:rsid w:val="00267DB1"/>
    <w:rsid w:val="0027533C"/>
    <w:rsid w:val="00275D1C"/>
    <w:rsid w:val="00280E1E"/>
    <w:rsid w:val="00292AF2"/>
    <w:rsid w:val="002D64E0"/>
    <w:rsid w:val="002E5508"/>
    <w:rsid w:val="002F51B8"/>
    <w:rsid w:val="002F6281"/>
    <w:rsid w:val="0034720F"/>
    <w:rsid w:val="00350977"/>
    <w:rsid w:val="0035555A"/>
    <w:rsid w:val="00360F5E"/>
    <w:rsid w:val="00362E5B"/>
    <w:rsid w:val="00372D4B"/>
    <w:rsid w:val="00373E9C"/>
    <w:rsid w:val="00375932"/>
    <w:rsid w:val="003774D9"/>
    <w:rsid w:val="00384D0E"/>
    <w:rsid w:val="003B659A"/>
    <w:rsid w:val="003C1612"/>
    <w:rsid w:val="003C1BDF"/>
    <w:rsid w:val="003C262A"/>
    <w:rsid w:val="003D2F84"/>
    <w:rsid w:val="003D54D7"/>
    <w:rsid w:val="003E5898"/>
    <w:rsid w:val="0041086A"/>
    <w:rsid w:val="00411DA5"/>
    <w:rsid w:val="00416FAD"/>
    <w:rsid w:val="00416FF9"/>
    <w:rsid w:val="00421A84"/>
    <w:rsid w:val="00423CCF"/>
    <w:rsid w:val="00426EE9"/>
    <w:rsid w:val="0043596A"/>
    <w:rsid w:val="0048016A"/>
    <w:rsid w:val="00495994"/>
    <w:rsid w:val="004A2493"/>
    <w:rsid w:val="004C27B6"/>
    <w:rsid w:val="004C3B47"/>
    <w:rsid w:val="004D12A3"/>
    <w:rsid w:val="004D3E34"/>
    <w:rsid w:val="004D70A1"/>
    <w:rsid w:val="00503031"/>
    <w:rsid w:val="00504342"/>
    <w:rsid w:val="00507D49"/>
    <w:rsid w:val="00510E43"/>
    <w:rsid w:val="005234C6"/>
    <w:rsid w:val="00561547"/>
    <w:rsid w:val="00574B74"/>
    <w:rsid w:val="00583E8C"/>
    <w:rsid w:val="00590703"/>
    <w:rsid w:val="005A23C2"/>
    <w:rsid w:val="005D2392"/>
    <w:rsid w:val="005F211B"/>
    <w:rsid w:val="0060320F"/>
    <w:rsid w:val="0060328E"/>
    <w:rsid w:val="00605594"/>
    <w:rsid w:val="00611BEF"/>
    <w:rsid w:val="0062432A"/>
    <w:rsid w:val="00634EC7"/>
    <w:rsid w:val="00640B63"/>
    <w:rsid w:val="00651910"/>
    <w:rsid w:val="00651BEA"/>
    <w:rsid w:val="00653D33"/>
    <w:rsid w:val="00655906"/>
    <w:rsid w:val="00665201"/>
    <w:rsid w:val="00665EC2"/>
    <w:rsid w:val="0067121B"/>
    <w:rsid w:val="00672605"/>
    <w:rsid w:val="00693AC7"/>
    <w:rsid w:val="00696DB7"/>
    <w:rsid w:val="006B1ED7"/>
    <w:rsid w:val="006B6525"/>
    <w:rsid w:val="006C4A6C"/>
    <w:rsid w:val="006C531A"/>
    <w:rsid w:val="006C6AB2"/>
    <w:rsid w:val="006D5A50"/>
    <w:rsid w:val="006E16B4"/>
    <w:rsid w:val="006F09A9"/>
    <w:rsid w:val="006F78A2"/>
    <w:rsid w:val="00730BD3"/>
    <w:rsid w:val="007351DB"/>
    <w:rsid w:val="0073539C"/>
    <w:rsid w:val="00737AFA"/>
    <w:rsid w:val="00741F5F"/>
    <w:rsid w:val="00752131"/>
    <w:rsid w:val="0075293F"/>
    <w:rsid w:val="00777776"/>
    <w:rsid w:val="0079377B"/>
    <w:rsid w:val="007F3999"/>
    <w:rsid w:val="007F3F60"/>
    <w:rsid w:val="0080355A"/>
    <w:rsid w:val="00805EFF"/>
    <w:rsid w:val="0082412F"/>
    <w:rsid w:val="0082413B"/>
    <w:rsid w:val="00824B37"/>
    <w:rsid w:val="00832A4A"/>
    <w:rsid w:val="00837682"/>
    <w:rsid w:val="008542D3"/>
    <w:rsid w:val="00857DCB"/>
    <w:rsid w:val="00863F5D"/>
    <w:rsid w:val="00876887"/>
    <w:rsid w:val="00886D3C"/>
    <w:rsid w:val="008A73B8"/>
    <w:rsid w:val="008A7590"/>
    <w:rsid w:val="008C3EB9"/>
    <w:rsid w:val="008D18DE"/>
    <w:rsid w:val="008D1B99"/>
    <w:rsid w:val="008F499E"/>
    <w:rsid w:val="0091313B"/>
    <w:rsid w:val="00914689"/>
    <w:rsid w:val="00917646"/>
    <w:rsid w:val="00925BAD"/>
    <w:rsid w:val="00927AAA"/>
    <w:rsid w:val="009424FE"/>
    <w:rsid w:val="00946670"/>
    <w:rsid w:val="009543E4"/>
    <w:rsid w:val="00964B30"/>
    <w:rsid w:val="00965D54"/>
    <w:rsid w:val="00965EF4"/>
    <w:rsid w:val="00967EA7"/>
    <w:rsid w:val="009A78B9"/>
    <w:rsid w:val="009B401F"/>
    <w:rsid w:val="009B752C"/>
    <w:rsid w:val="009C2378"/>
    <w:rsid w:val="009D0D2F"/>
    <w:rsid w:val="009D7B56"/>
    <w:rsid w:val="009E0C74"/>
    <w:rsid w:val="009E4E4C"/>
    <w:rsid w:val="009F1639"/>
    <w:rsid w:val="009F5D12"/>
    <w:rsid w:val="00A050A1"/>
    <w:rsid w:val="00A13EEF"/>
    <w:rsid w:val="00A26907"/>
    <w:rsid w:val="00A31D8D"/>
    <w:rsid w:val="00A42454"/>
    <w:rsid w:val="00A4249E"/>
    <w:rsid w:val="00A544AC"/>
    <w:rsid w:val="00A608CB"/>
    <w:rsid w:val="00A65A3E"/>
    <w:rsid w:val="00A65E94"/>
    <w:rsid w:val="00A73133"/>
    <w:rsid w:val="00A751D9"/>
    <w:rsid w:val="00A80ABE"/>
    <w:rsid w:val="00A943BF"/>
    <w:rsid w:val="00AA7146"/>
    <w:rsid w:val="00AC01B7"/>
    <w:rsid w:val="00AC434F"/>
    <w:rsid w:val="00AC68FD"/>
    <w:rsid w:val="00AE4A67"/>
    <w:rsid w:val="00AF3FCA"/>
    <w:rsid w:val="00B14F7E"/>
    <w:rsid w:val="00B20DB5"/>
    <w:rsid w:val="00B31941"/>
    <w:rsid w:val="00B33E18"/>
    <w:rsid w:val="00B53617"/>
    <w:rsid w:val="00BB761E"/>
    <w:rsid w:val="00BF2A4C"/>
    <w:rsid w:val="00C06339"/>
    <w:rsid w:val="00C31E34"/>
    <w:rsid w:val="00C32B59"/>
    <w:rsid w:val="00C53E96"/>
    <w:rsid w:val="00C64D9C"/>
    <w:rsid w:val="00C658EE"/>
    <w:rsid w:val="00C675A6"/>
    <w:rsid w:val="00C93D17"/>
    <w:rsid w:val="00CA020F"/>
    <w:rsid w:val="00CA5EC3"/>
    <w:rsid w:val="00CB2DD9"/>
    <w:rsid w:val="00CB75A5"/>
    <w:rsid w:val="00CC12EF"/>
    <w:rsid w:val="00CC2CA1"/>
    <w:rsid w:val="00CD2443"/>
    <w:rsid w:val="00CD5FC3"/>
    <w:rsid w:val="00CE00C6"/>
    <w:rsid w:val="00CF732A"/>
    <w:rsid w:val="00D00134"/>
    <w:rsid w:val="00D05091"/>
    <w:rsid w:val="00D079B7"/>
    <w:rsid w:val="00D14702"/>
    <w:rsid w:val="00D201CD"/>
    <w:rsid w:val="00D32A69"/>
    <w:rsid w:val="00D345DF"/>
    <w:rsid w:val="00D66CEB"/>
    <w:rsid w:val="00D900BC"/>
    <w:rsid w:val="00D959DA"/>
    <w:rsid w:val="00DA3A1A"/>
    <w:rsid w:val="00DA5D09"/>
    <w:rsid w:val="00DB3236"/>
    <w:rsid w:val="00DB45ED"/>
    <w:rsid w:val="00DB4E80"/>
    <w:rsid w:val="00DC2BF2"/>
    <w:rsid w:val="00DD1128"/>
    <w:rsid w:val="00DF51BA"/>
    <w:rsid w:val="00E00CBC"/>
    <w:rsid w:val="00E16465"/>
    <w:rsid w:val="00E339CB"/>
    <w:rsid w:val="00E34116"/>
    <w:rsid w:val="00E46080"/>
    <w:rsid w:val="00E808EE"/>
    <w:rsid w:val="00E837C7"/>
    <w:rsid w:val="00E859AA"/>
    <w:rsid w:val="00E91980"/>
    <w:rsid w:val="00E9494F"/>
    <w:rsid w:val="00EA5BBA"/>
    <w:rsid w:val="00EC25F5"/>
    <w:rsid w:val="00EC3F92"/>
    <w:rsid w:val="00EC524C"/>
    <w:rsid w:val="00ED50F9"/>
    <w:rsid w:val="00EE38B5"/>
    <w:rsid w:val="00EF04F9"/>
    <w:rsid w:val="00EF093B"/>
    <w:rsid w:val="00EF1C2A"/>
    <w:rsid w:val="00F004DE"/>
    <w:rsid w:val="00F04CBE"/>
    <w:rsid w:val="00F103C7"/>
    <w:rsid w:val="00F123AF"/>
    <w:rsid w:val="00F84214"/>
    <w:rsid w:val="00F85469"/>
    <w:rsid w:val="00F9151C"/>
    <w:rsid w:val="00F962BA"/>
    <w:rsid w:val="00F9774B"/>
    <w:rsid w:val="00FA1C7F"/>
    <w:rsid w:val="00FC7E39"/>
    <w:rsid w:val="00FD0C3E"/>
    <w:rsid w:val="00FD3CAD"/>
    <w:rsid w:val="4B18DE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8630"/>
  <w15:chartTrackingRefBased/>
  <w15:docId w15:val="{61B13380-B796-48A0-B930-8E2D36CA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03031"/>
    <w:pPr>
      <w:suppressAutoHyphens/>
      <w:autoSpaceDN w:val="0"/>
      <w:spacing w:after="200" w:line="276" w:lineRule="auto"/>
      <w:textAlignment w:val="baseline"/>
    </w:pPr>
    <w:rPr>
      <w:rFonts w:ascii="Calibri" w:eastAsia="Calibri" w:hAnsi="Calibri" w:cs="Mangal"/>
      <w:kern w:val="0"/>
      <w:sz w:val="22"/>
      <w:szCs w:val="22"/>
      <w14:ligatures w14:val="none"/>
    </w:rPr>
  </w:style>
  <w:style w:type="paragraph" w:styleId="Nagwek1">
    <w:name w:val="heading 1"/>
    <w:basedOn w:val="Normalny"/>
    <w:next w:val="Normalny"/>
    <w:uiPriority w:val="9"/>
    <w:qFormat/>
    <w:rsid w:val="005030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uiPriority w:val="9"/>
    <w:semiHidden/>
    <w:unhideWhenUsed/>
    <w:qFormat/>
    <w:rsid w:val="005030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uiPriority w:val="9"/>
    <w:semiHidden/>
    <w:unhideWhenUsed/>
    <w:qFormat/>
    <w:rsid w:val="0050303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uiPriority w:val="9"/>
    <w:semiHidden/>
    <w:unhideWhenUsed/>
    <w:qFormat/>
    <w:rsid w:val="0050303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uiPriority w:val="9"/>
    <w:semiHidden/>
    <w:unhideWhenUsed/>
    <w:qFormat/>
    <w:rsid w:val="0050303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uiPriority w:val="9"/>
    <w:semiHidden/>
    <w:unhideWhenUsed/>
    <w:qFormat/>
    <w:rsid w:val="0050303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uiPriority w:val="9"/>
    <w:semiHidden/>
    <w:unhideWhenUsed/>
    <w:qFormat/>
    <w:rsid w:val="0050303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uiPriority w:val="9"/>
    <w:semiHidden/>
    <w:unhideWhenUsed/>
    <w:qFormat/>
    <w:rsid w:val="0050303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uiPriority w:val="9"/>
    <w:semiHidden/>
    <w:unhideWhenUsed/>
    <w:qFormat/>
    <w:rsid w:val="0050303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503031"/>
    <w:pPr>
      <w:ind w:left="720"/>
      <w:contextualSpacing/>
    </w:pPr>
  </w:style>
  <w:style w:type="character" w:styleId="Wyrnienieintensywne">
    <w:name w:val="Intense Emphasis"/>
    <w:basedOn w:val="Domylnaczcionkaakapitu"/>
    <w:uiPriority w:val="21"/>
    <w:qFormat/>
    <w:rsid w:val="00503031"/>
    <w:rPr>
      <w:i/>
      <w:iCs/>
      <w:color w:val="0F4761" w:themeColor="accent1" w:themeShade="BF"/>
    </w:rPr>
  </w:style>
  <w:style w:type="character" w:styleId="Odwoanieintensywne">
    <w:name w:val="Intense Reference"/>
    <w:basedOn w:val="Domylnaczcionkaakapitu"/>
    <w:uiPriority w:val="32"/>
    <w:qFormat/>
    <w:rsid w:val="00503031"/>
    <w:rPr>
      <w:b/>
      <w:bCs/>
      <w:smallCaps/>
      <w:color w:val="0F4761" w:themeColor="accent1" w:themeShade="BF"/>
      <w:spacing w:val="5"/>
    </w:rPr>
  </w:style>
  <w:style w:type="character" w:customStyle="1" w:styleId="TekstkomentarzaZnak">
    <w:name w:val="Tekst komentarza Znak"/>
    <w:basedOn w:val="Domylnaczcionkaakapitu"/>
    <w:uiPriority w:val="99"/>
    <w:semiHidden/>
    <w:rsid w:val="00503031"/>
    <w:rPr>
      <w:rFonts w:ascii="Calibri" w:eastAsia="Calibri" w:hAnsi="Calibri" w:cs="Mangal"/>
      <w:kern w:val="0"/>
      <w:sz w:val="20"/>
      <w:szCs w:val="20"/>
      <w14:ligatures w14:val="none"/>
    </w:rPr>
  </w:style>
  <w:style w:type="character" w:customStyle="1" w:styleId="Nagwek1Znak">
    <w:name w:val="Nagłówek 1 Znak"/>
    <w:basedOn w:val="Domylnaczcionkaakapitu"/>
    <w:uiPriority w:val="9"/>
    <w:rsid w:val="0091313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uiPriority w:val="9"/>
    <w:semiHidden/>
    <w:rsid w:val="0091313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uiPriority w:val="9"/>
    <w:semiHidden/>
    <w:rsid w:val="0091313B"/>
    <w:rPr>
      <w:rFonts w:eastAsiaTheme="majorEastAsia" w:cstheme="majorBidi"/>
      <w:color w:val="0F4761" w:themeColor="accent1" w:themeShade="BF"/>
      <w:sz w:val="28"/>
      <w:szCs w:val="28"/>
    </w:rPr>
  </w:style>
  <w:style w:type="character" w:customStyle="1" w:styleId="Nagwek4Znak">
    <w:name w:val="Nagłówek 4 Znak"/>
    <w:basedOn w:val="Domylnaczcionkaakapitu"/>
    <w:uiPriority w:val="9"/>
    <w:semiHidden/>
    <w:rsid w:val="0091313B"/>
    <w:rPr>
      <w:rFonts w:eastAsiaTheme="majorEastAsia" w:cstheme="majorBidi"/>
      <w:i/>
      <w:iCs/>
      <w:color w:val="0F4761" w:themeColor="accent1" w:themeShade="BF"/>
    </w:rPr>
  </w:style>
  <w:style w:type="character" w:customStyle="1" w:styleId="Nagwek5Znak">
    <w:name w:val="Nagłówek 5 Znak"/>
    <w:basedOn w:val="Domylnaczcionkaakapitu"/>
    <w:uiPriority w:val="9"/>
    <w:semiHidden/>
    <w:rsid w:val="0091313B"/>
    <w:rPr>
      <w:rFonts w:eastAsiaTheme="majorEastAsia" w:cstheme="majorBidi"/>
      <w:color w:val="0F4761" w:themeColor="accent1" w:themeShade="BF"/>
    </w:rPr>
  </w:style>
  <w:style w:type="character" w:customStyle="1" w:styleId="Nagwek6Znak">
    <w:name w:val="Nagłówek 6 Znak"/>
    <w:basedOn w:val="Domylnaczcionkaakapitu"/>
    <w:uiPriority w:val="9"/>
    <w:semiHidden/>
    <w:rsid w:val="0091313B"/>
    <w:rPr>
      <w:rFonts w:eastAsiaTheme="majorEastAsia" w:cstheme="majorBidi"/>
      <w:i/>
      <w:iCs/>
      <w:color w:val="595959" w:themeColor="text1" w:themeTint="A6"/>
    </w:rPr>
  </w:style>
  <w:style w:type="character" w:customStyle="1" w:styleId="Nagwek7Znak">
    <w:name w:val="Nagłówek 7 Znak"/>
    <w:basedOn w:val="Domylnaczcionkaakapitu"/>
    <w:uiPriority w:val="9"/>
    <w:semiHidden/>
    <w:rsid w:val="0091313B"/>
    <w:rPr>
      <w:rFonts w:eastAsiaTheme="majorEastAsia" w:cstheme="majorBidi"/>
      <w:color w:val="595959" w:themeColor="text1" w:themeTint="A6"/>
    </w:rPr>
  </w:style>
  <w:style w:type="character" w:customStyle="1" w:styleId="Nagwek8Znak">
    <w:name w:val="Nagłówek 8 Znak"/>
    <w:basedOn w:val="Domylnaczcionkaakapitu"/>
    <w:uiPriority w:val="9"/>
    <w:semiHidden/>
    <w:rsid w:val="0091313B"/>
    <w:rPr>
      <w:rFonts w:eastAsiaTheme="majorEastAsia" w:cstheme="majorBidi"/>
      <w:i/>
      <w:iCs/>
      <w:color w:val="272727" w:themeColor="text1" w:themeTint="D8"/>
    </w:rPr>
  </w:style>
  <w:style w:type="character" w:customStyle="1" w:styleId="Nagwek9Znak">
    <w:name w:val="Nagłówek 9 Znak"/>
    <w:basedOn w:val="Domylnaczcionkaakapitu"/>
    <w:uiPriority w:val="9"/>
    <w:semiHidden/>
    <w:rsid w:val="0091313B"/>
    <w:rPr>
      <w:rFonts w:eastAsiaTheme="majorEastAsia" w:cstheme="majorBidi"/>
      <w:color w:val="272727" w:themeColor="text1" w:themeTint="D8"/>
    </w:rPr>
  </w:style>
  <w:style w:type="character" w:customStyle="1" w:styleId="TytuZnak">
    <w:name w:val="Tytuł Znak"/>
    <w:basedOn w:val="Domylnaczcionkaakapitu"/>
    <w:uiPriority w:val="10"/>
    <w:rsid w:val="0091313B"/>
    <w:rPr>
      <w:rFonts w:asciiTheme="majorHAnsi" w:eastAsiaTheme="majorEastAsia" w:hAnsiTheme="majorHAnsi" w:cstheme="majorBidi"/>
      <w:spacing w:val="-10"/>
      <w:kern w:val="28"/>
      <w:sz w:val="56"/>
      <w:szCs w:val="56"/>
    </w:rPr>
  </w:style>
  <w:style w:type="character" w:customStyle="1" w:styleId="PodtytuZnak">
    <w:name w:val="Podtytuł Znak"/>
    <w:basedOn w:val="Domylnaczcionkaakapitu"/>
    <w:uiPriority w:val="11"/>
    <w:rsid w:val="0091313B"/>
    <w:rPr>
      <w:rFonts w:eastAsiaTheme="majorEastAsia" w:cstheme="majorBidi"/>
      <w:color w:val="595959" w:themeColor="text1" w:themeTint="A6"/>
      <w:spacing w:val="15"/>
      <w:sz w:val="28"/>
      <w:szCs w:val="28"/>
    </w:rPr>
  </w:style>
  <w:style w:type="character" w:customStyle="1" w:styleId="CytatZnak">
    <w:name w:val="Cytat Znak"/>
    <w:basedOn w:val="Domylnaczcionkaakapitu"/>
    <w:uiPriority w:val="29"/>
    <w:rsid w:val="0091313B"/>
    <w:rPr>
      <w:i/>
      <w:iCs/>
      <w:color w:val="404040" w:themeColor="text1" w:themeTint="BF"/>
    </w:rPr>
  </w:style>
  <w:style w:type="character" w:customStyle="1" w:styleId="CytatintensywnyZnak">
    <w:name w:val="Cytat intensywny Znak"/>
    <w:basedOn w:val="Domylnaczcionkaakapitu"/>
    <w:uiPriority w:val="30"/>
    <w:rsid w:val="0091313B"/>
    <w:rPr>
      <w:i/>
      <w:iCs/>
      <w:color w:val="0F4761" w:themeColor="accent1" w:themeShade="BF"/>
    </w:rPr>
  </w:style>
  <w:style w:type="character" w:customStyle="1" w:styleId="NagwekZnak">
    <w:name w:val="Nagłówek Znak"/>
    <w:basedOn w:val="Domylnaczcionkaakapitu"/>
    <w:rsid w:val="0091313B"/>
    <w:rPr>
      <w:rFonts w:ascii="Calibri" w:eastAsia="Calibri" w:hAnsi="Calibri" w:cs="Mangal"/>
      <w:kern w:val="0"/>
      <w:sz w:val="22"/>
      <w:szCs w:val="22"/>
      <w14:ligatures w14:val="none"/>
    </w:rPr>
  </w:style>
  <w:style w:type="character" w:customStyle="1" w:styleId="StopkaZnak">
    <w:name w:val="Stopka Znak"/>
    <w:basedOn w:val="Domylnaczcionkaakapitu"/>
    <w:rsid w:val="0091313B"/>
    <w:rPr>
      <w:rFonts w:ascii="Calibri" w:eastAsia="Calibri" w:hAnsi="Calibri" w:cs="Mangal"/>
      <w:kern w:val="0"/>
      <w:sz w:val="22"/>
      <w:szCs w:val="22"/>
      <w14:ligatures w14:val="none"/>
    </w:rPr>
  </w:style>
  <w:style w:type="character" w:customStyle="1" w:styleId="TekstkomentarzaZnak1">
    <w:name w:val="Tekst komentarza Znak1"/>
    <w:basedOn w:val="Domylnaczcionkaakapitu"/>
    <w:rsid w:val="0091313B"/>
    <w:rPr>
      <w:rFonts w:ascii="Calibri" w:eastAsia="Calibri" w:hAnsi="Calibri" w:cs="Mangal"/>
      <w:kern w:val="0"/>
      <w:sz w:val="20"/>
      <w:szCs w:val="20"/>
      <w14:ligatures w14:val="none"/>
    </w:rPr>
  </w:style>
  <w:style w:type="paragraph" w:styleId="Poprawka">
    <w:name w:val="Revision"/>
    <w:hidden/>
    <w:uiPriority w:val="99"/>
    <w:semiHidden/>
    <w:rsid w:val="0091313B"/>
    <w:pPr>
      <w:spacing w:after="0" w:line="240" w:lineRule="auto"/>
    </w:pPr>
    <w:rPr>
      <w:rFonts w:ascii="Calibri" w:eastAsia="Calibri" w:hAnsi="Calibri" w:cs="Mangal"/>
      <w:kern w:val="0"/>
      <w:sz w:val="22"/>
      <w:szCs w:val="22"/>
      <w14:ligatures w14:val="none"/>
    </w:rPr>
  </w:style>
  <w:style w:type="paragraph" w:styleId="Tekstkomentarza">
    <w:name w:val="annotation text"/>
    <w:basedOn w:val="Normalny"/>
    <w:link w:val="TekstkomentarzaZnak2"/>
    <w:unhideWhenUsed/>
    <w:pPr>
      <w:spacing w:line="240" w:lineRule="auto"/>
    </w:pPr>
    <w:rPr>
      <w:sz w:val="20"/>
      <w:szCs w:val="20"/>
    </w:rPr>
  </w:style>
  <w:style w:type="character" w:customStyle="1" w:styleId="TekstkomentarzaZnak2">
    <w:name w:val="Tekst komentarza Znak2"/>
    <w:basedOn w:val="Domylnaczcionkaakapitu"/>
    <w:link w:val="Tekstkomentarza"/>
    <w:rPr>
      <w:rFonts w:ascii="Calibri" w:eastAsia="Calibri" w:hAnsi="Calibri" w:cs="Mangal"/>
      <w:kern w:val="0"/>
      <w:sz w:val="20"/>
      <w:szCs w:val="20"/>
      <w14:ligatures w14:val="none"/>
    </w:rPr>
  </w:style>
  <w:style w:type="character" w:styleId="Odwoaniedokomentarza">
    <w:name w:val="annotation reference"/>
    <w:basedOn w:val="Domylnaczcionkaakapitu"/>
    <w:semiHidden/>
    <w:unhideWhenUsed/>
    <w:rPr>
      <w:sz w:val="16"/>
      <w:szCs w:val="16"/>
    </w:rPr>
  </w:style>
  <w:style w:type="paragraph" w:styleId="Nagwek">
    <w:name w:val="header"/>
    <w:basedOn w:val="Normalny"/>
    <w:link w:val="NagwekZnak1"/>
    <w:unhideWhenUsed/>
    <w:rsid w:val="003B659A"/>
    <w:pPr>
      <w:tabs>
        <w:tab w:val="center" w:pos="4536"/>
        <w:tab w:val="right" w:pos="9072"/>
      </w:tabs>
      <w:spacing w:after="0" w:line="240" w:lineRule="auto"/>
    </w:pPr>
  </w:style>
  <w:style w:type="character" w:customStyle="1" w:styleId="NagwekZnak1">
    <w:name w:val="Nagłówek Znak1"/>
    <w:basedOn w:val="Domylnaczcionkaakapitu"/>
    <w:link w:val="Nagwek"/>
    <w:rsid w:val="003B659A"/>
    <w:rPr>
      <w:rFonts w:ascii="Calibri" w:eastAsia="Calibri" w:hAnsi="Calibri" w:cs="Mangal"/>
      <w:kern w:val="0"/>
      <w:sz w:val="22"/>
      <w:szCs w:val="22"/>
      <w14:ligatures w14:val="none"/>
    </w:rPr>
  </w:style>
  <w:style w:type="paragraph" w:styleId="Stopka">
    <w:name w:val="footer"/>
    <w:basedOn w:val="Normalny"/>
    <w:link w:val="StopkaZnak1"/>
    <w:unhideWhenUsed/>
    <w:rsid w:val="003B659A"/>
    <w:pPr>
      <w:tabs>
        <w:tab w:val="center" w:pos="4536"/>
        <w:tab w:val="right" w:pos="9072"/>
      </w:tabs>
      <w:spacing w:after="0" w:line="240" w:lineRule="auto"/>
    </w:pPr>
  </w:style>
  <w:style w:type="character" w:customStyle="1" w:styleId="StopkaZnak1">
    <w:name w:val="Stopka Znak1"/>
    <w:basedOn w:val="Domylnaczcionkaakapitu"/>
    <w:link w:val="Stopka"/>
    <w:rsid w:val="003B659A"/>
    <w:rPr>
      <w:rFonts w:ascii="Calibri" w:eastAsia="Calibri" w:hAnsi="Calibri" w:cs="Mangal"/>
      <w:kern w:val="0"/>
      <w:sz w:val="22"/>
      <w:szCs w:val="22"/>
      <w14:ligatures w14:val="none"/>
    </w:rPr>
  </w:style>
  <w:style w:type="paragraph" w:styleId="Tematkomentarza">
    <w:name w:val="annotation subject"/>
    <w:basedOn w:val="Tekstkomentarza"/>
    <w:next w:val="Tekstkomentarza"/>
    <w:link w:val="TematkomentarzaZnak"/>
    <w:uiPriority w:val="99"/>
    <w:semiHidden/>
    <w:unhideWhenUsed/>
    <w:rsid w:val="003B659A"/>
    <w:rPr>
      <w:b/>
      <w:bCs/>
    </w:rPr>
  </w:style>
  <w:style w:type="character" w:customStyle="1" w:styleId="TematkomentarzaZnak">
    <w:name w:val="Temat komentarza Znak"/>
    <w:basedOn w:val="TekstkomentarzaZnak2"/>
    <w:link w:val="Tematkomentarza"/>
    <w:uiPriority w:val="99"/>
    <w:semiHidden/>
    <w:rsid w:val="003B659A"/>
    <w:rPr>
      <w:rFonts w:ascii="Calibri" w:eastAsia="Calibri" w:hAnsi="Calibri" w:cs="Mangal"/>
      <w:b/>
      <w:bCs/>
      <w:kern w:val="0"/>
      <w:sz w:val="20"/>
      <w:szCs w:val="20"/>
      <w14:ligatures w14:val="none"/>
    </w:rPr>
  </w:style>
  <w:style w:type="paragraph" w:styleId="NormalnyWeb">
    <w:name w:val="Normal (Web)"/>
    <w:basedOn w:val="Normalny"/>
    <w:uiPriority w:val="99"/>
    <w:semiHidden/>
    <w:unhideWhenUsed/>
    <w:rsid w:val="00510E43"/>
    <w:rPr>
      <w:rFonts w:ascii="Times New Roman" w:hAnsi="Times New Roman" w:cs="Times New Roman"/>
      <w:sz w:val="24"/>
      <w:szCs w:val="24"/>
    </w:rPr>
  </w:style>
  <w:style w:type="table" w:customStyle="1" w:styleId="TableNormal1">
    <w:name w:val="Table Normal1"/>
    <w:uiPriority w:val="99"/>
    <w:semiHidden/>
    <w:unhideWhenUsed/>
    <w:rsid w:val="0060328E"/>
    <w:tblPr>
      <w:tblInd w:w="0" w:type="dxa"/>
      <w:tblCellMar>
        <w:top w:w="0" w:type="dxa"/>
        <w:left w:w="108" w:type="dxa"/>
        <w:bottom w:w="0" w:type="dxa"/>
        <w:right w:w="108" w:type="dxa"/>
      </w:tblCellMar>
    </w:tblPr>
  </w:style>
  <w:style w:type="character" w:customStyle="1" w:styleId="CommentReference1">
    <w:name w:val="Comment Reference1"/>
    <w:basedOn w:val="Domylnaczcionkaakapitu"/>
    <w:rsid w:val="0060328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092AA3822BFF64A9FC7831000DCD7C0" ma:contentTypeVersion="20" ma:contentTypeDescription="Utwórz nowy dokument." ma:contentTypeScope="" ma:versionID="564b675e0f53a48f58a6373f7c2d6614">
  <xsd:schema xmlns:xsd="http://www.w3.org/2001/XMLSchema" xmlns:xs="http://www.w3.org/2001/XMLSchema" xmlns:p="http://schemas.microsoft.com/office/2006/metadata/properties" xmlns:ns2="7921d80b-6845-43fe-86bc-70c2a436c47c" xmlns:ns3="92d0cd56-9fb2-40fb-adff-295502bd06f2" targetNamespace="http://schemas.microsoft.com/office/2006/metadata/properties" ma:root="true" ma:fieldsID="0e58f0f6a8c09e226beb292bec8ae4c5" ns2:_="" ns3:_="">
    <xsd:import namespace="7921d80b-6845-43fe-86bc-70c2a436c47c"/>
    <xsd:import namespace="92d0cd56-9fb2-40fb-adff-295502bd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d80b-6845-43fe-86bc-70c2a436c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4e961f49-3ab5-4c11-af55-f672319aa4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0cd56-9fb2-40fb-adff-295502bd06f2"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52294487-002a-422f-bcf4-ba668835a8eb}" ma:internalName="TaxCatchAll" ma:showField="CatchAllData" ma:web="92d0cd56-9fb2-40fb-adff-295502bd06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d0cd56-9fb2-40fb-adff-295502bd06f2" xsi:nil="true"/>
    <lcf76f155ced4ddcb4097134ff3c332f xmlns="7921d80b-6845-43fe-86bc-70c2a436c47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BEFDB0-ACA0-4915-A28E-229D80470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d80b-6845-43fe-86bc-70c2a436c47c"/>
    <ds:schemaRef ds:uri="92d0cd56-9fb2-40fb-adff-295502bd0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FF6157-C4CC-40BB-9DD0-F9E715A08071}">
  <ds:schemaRefs>
    <ds:schemaRef ds:uri="http://schemas.microsoft.com/sharepoint/v3/contenttype/forms"/>
  </ds:schemaRefs>
</ds:datastoreItem>
</file>

<file path=customXml/itemProps3.xml><?xml version="1.0" encoding="utf-8"?>
<ds:datastoreItem xmlns:ds="http://schemas.openxmlformats.org/officeDocument/2006/customXml" ds:itemID="{6D0D2E9E-75C6-401D-B175-FBA0C93EDC4D}">
  <ds:schemaRefs>
    <ds:schemaRef ds:uri="http://schemas.microsoft.com/office/2006/metadata/properties"/>
    <ds:schemaRef ds:uri="http://schemas.microsoft.com/office/infopath/2007/PartnerControls"/>
    <ds:schemaRef ds:uri="92d0cd56-9fb2-40fb-adff-295502bd06f2"/>
    <ds:schemaRef ds:uri="7921d80b-6845-43fe-86bc-70c2a436c47c"/>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47</Pages>
  <Words>3839</Words>
  <Characters>76861</Characters>
  <Application>Microsoft Office Word</Application>
  <DocSecurity>0</DocSecurity>
  <Lines>1182</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Krystian Piecychna</dc:creator>
  <cp:keywords/>
  <dc:description/>
  <cp:lastModifiedBy>Eliza Turkiewicz</cp:lastModifiedBy>
  <cp:revision>26</cp:revision>
  <dcterms:created xsi:type="dcterms:W3CDTF">2026-08-12T15:38:00Z</dcterms:created>
  <dcterms:modified xsi:type="dcterms:W3CDTF">2026-08-13T11:36:00Z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0x010100B092AA3822BFF64A9FC7831000DCD7C0</vt:lpwstr>
  </property>
  <property fmtid="{D5CDD505-2E9C-101B-9397-08002B2CF9AE}" pid="3" name="MediaServiceImageTags">
    <vt:lpwstr/>
  </property>
  <property fmtid="{D5CDD505-2E9C-101B-9397-08002B2CF9AE}" pid="4" name="docLang">
    <vt:lpwstr>pl</vt:lpwstr>
  </property>
  <property fmtid="{D5CDD505-2E9C-101B-9397-08002B2CF9AE}" pid="5" name="MSIP_Label_5a7f7de2-39e1-4ccd-ab60-f1ccab350988_Enabled">
    <vt:lpwstr>true</vt:lpwstr>
  </property>
  <property fmtid="{D5CDD505-2E9C-101B-9397-08002B2CF9AE}" pid="6" name="MSIP_Label_5a7f7de2-39e1-4ccd-ab60-f1ccab350988_SetDate">
    <vt:lpwstr>2026-08-12T07:16:29Z</vt:lpwstr>
  </property>
  <property fmtid="{D5CDD505-2E9C-101B-9397-08002B2CF9AE}" pid="7" name="MSIP_Label_5a7f7de2-39e1-4ccd-ab60-f1ccab350988_Method">
    <vt:lpwstr>Privileged</vt:lpwstr>
  </property>
  <property fmtid="{D5CDD505-2E9C-101B-9397-08002B2CF9AE}" pid="8" name="MSIP_Label_5a7f7de2-39e1-4ccd-ab60-f1ccab350988_Name">
    <vt:lpwstr>5a7f7de2-39e1-4ccd-ab60-f1ccab350988</vt:lpwstr>
  </property>
  <property fmtid="{D5CDD505-2E9C-101B-9397-08002B2CF9AE}" pid="9" name="MSIP_Label_5a7f7de2-39e1-4ccd-ab60-f1ccab350988_SiteId">
    <vt:lpwstr>282d28bf-15d4-4dc3-a2fe-58e7aced48e7</vt:lpwstr>
  </property>
  <property fmtid="{D5CDD505-2E9C-101B-9397-08002B2CF9AE}" pid="10" name="MSIP_Label_5a7f7de2-39e1-4ccd-ab60-f1ccab350988_ActionId">
    <vt:lpwstr>a5e1f6f3-2a2e-4bcf-9092-d25fb0e763f7</vt:lpwstr>
  </property>
  <property fmtid="{D5CDD505-2E9C-101B-9397-08002B2CF9AE}" pid="11" name="MSIP_Label_5a7f7de2-39e1-4ccd-ab60-f1ccab350988_ContentBits">
    <vt:lpwstr>0</vt:lpwstr>
  </property>
  <property fmtid="{D5CDD505-2E9C-101B-9397-08002B2CF9AE}" pid="12" name="MSIP_Label_5a7f7de2-39e1-4ccd-ab60-f1ccab350988_Tag">
    <vt:lpwstr>10, 0, 1, 1</vt:lpwstr>
  </property>
  <property fmtid="{D5CDD505-2E9C-101B-9397-08002B2CF9AE}" pid="13" name="ClassificationContentMarkingFooterShapeIds">
    <vt:lpwstr>2953a878,1bfdd68b,6ffb9c28</vt:lpwstr>
  </property>
  <property fmtid="{D5CDD505-2E9C-101B-9397-08002B2CF9AE}" pid="14" name="ClassificationContentMarkingFooterFontProps">
    <vt:lpwstr>#000000,8,Aptos</vt:lpwstr>
  </property>
  <property fmtid="{D5CDD505-2E9C-101B-9397-08002B2CF9AE}" pid="15" name="ClassificationContentMarkingFooterText">
    <vt:lpwstr>Wewnętrzne / Internal Zakłady Farmaceutyczne POLPHARMA S.A.</vt:lpwstr>
  </property>
  <property fmtid="{D5CDD505-2E9C-101B-9397-08002B2CF9AE}" pid="16" name="MSIP_Label_8fbf575c-36da-44f7-a26b-6804f2bce3ff_Enabled">
    <vt:lpwstr>true</vt:lpwstr>
  </property>
  <property fmtid="{D5CDD505-2E9C-101B-9397-08002B2CF9AE}" pid="17" name="MSIP_Label_8fbf575c-36da-44f7-a26b-6804f2bce3ff_SetDate">
    <vt:lpwstr>2026-08-13T07:46:58Z</vt:lpwstr>
  </property>
  <property fmtid="{D5CDD505-2E9C-101B-9397-08002B2CF9AE}" pid="18" name="MSIP_Label_8fbf575c-36da-44f7-a26b-6804f2bce3ff_Method">
    <vt:lpwstr>Standard</vt:lpwstr>
  </property>
  <property fmtid="{D5CDD505-2E9C-101B-9397-08002B2CF9AE}" pid="19" name="MSIP_Label_8fbf575c-36da-44f7-a26b-6804f2bce3ff_Name">
    <vt:lpwstr>8fbf575c-36da-44f7-a26b-6804f2bce3ff</vt:lpwstr>
  </property>
  <property fmtid="{D5CDD505-2E9C-101B-9397-08002B2CF9AE}" pid="20" name="MSIP_Label_8fbf575c-36da-44f7-a26b-6804f2bce3ff_SiteId">
    <vt:lpwstr>edf3cfc4-ee60-4b92-a2cb-da2c123fc895</vt:lpwstr>
  </property>
  <property fmtid="{D5CDD505-2E9C-101B-9397-08002B2CF9AE}" pid="21" name="MSIP_Label_8fbf575c-36da-44f7-a26b-6804f2bce3ff_ActionId">
    <vt:lpwstr>03ade4d4-4fc4-40f6-ae41-86781b66facd</vt:lpwstr>
  </property>
  <property fmtid="{D5CDD505-2E9C-101B-9397-08002B2CF9AE}" pid="22" name="MSIP_Label_8fbf575c-36da-44f7-a26b-6804f2bce3ff_ContentBits">
    <vt:lpwstr>2</vt:lpwstr>
  </property>
  <property fmtid="{D5CDD505-2E9C-101B-9397-08002B2CF9AE}" pid="23" name="MSIP_Label_8fbf575c-36da-44f7-a26b-6804f2bce3ff_Tag">
    <vt:lpwstr>10, 3, 0, 1</vt:lpwstr>
  </property>
</Properties>
</file>