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DF85" w14:textId="2689E982" w:rsidR="004A61B7" w:rsidRPr="00907498" w:rsidRDefault="004A61B7" w:rsidP="004A61B7">
      <w:pPr>
        <w:jc w:val="center"/>
        <w:rPr>
          <w:rFonts w:ascii="Calibri" w:hAnsi="Calibri" w:cs="Calibri"/>
          <w:b/>
          <w:bCs/>
          <w:sz w:val="20"/>
          <w:szCs w:val="20"/>
        </w:rPr>
      </w:pPr>
      <w:r w:rsidRPr="00907498">
        <w:rPr>
          <w:rFonts w:ascii="Calibri" w:hAnsi="Calibri" w:cs="Calibri"/>
          <w:b/>
          <w:bCs/>
          <w:sz w:val="20"/>
          <w:szCs w:val="20"/>
        </w:rPr>
        <w:t xml:space="preserve">Tabela uwag z konsultacji </w:t>
      </w:r>
      <w:bookmarkStart w:id="0" w:name="_Hlk163464623"/>
      <w:r w:rsidRPr="00907498">
        <w:rPr>
          <w:rFonts w:ascii="Calibri" w:hAnsi="Calibri" w:cs="Calibri"/>
          <w:b/>
          <w:bCs/>
          <w:color w:val="000000"/>
          <w:sz w:val="20"/>
          <w:szCs w:val="20"/>
        </w:rPr>
        <w:t xml:space="preserve">projektu ustawy o zmianie ustawy – Prawo energetyczne oraz ustawy o zmianie </w:t>
      </w:r>
      <w:r w:rsidRPr="00907498">
        <w:rPr>
          <w:rFonts w:ascii="Calibri" w:eastAsia="Times New Roman" w:hAnsi="Calibri" w:cs="Calibri"/>
          <w:b/>
          <w:bCs/>
          <w:color w:val="000000"/>
          <w:sz w:val="20"/>
          <w:szCs w:val="20"/>
          <w:lang w:eastAsia="pl-PL"/>
        </w:rPr>
        <w:t xml:space="preserve">ustawy </w:t>
      </w:r>
      <w:r w:rsidRPr="00907498">
        <w:rPr>
          <w:rFonts w:ascii="Calibri" w:eastAsia="Times New Roman" w:hAnsi="Calibri" w:cs="Calibri"/>
          <w:b/>
          <w:bCs/>
          <w:sz w:val="20"/>
          <w:szCs w:val="20"/>
        </w:rPr>
        <w:t>–</w:t>
      </w:r>
      <w:r w:rsidRPr="00907498">
        <w:rPr>
          <w:rFonts w:ascii="Calibri" w:eastAsia="Times New Roman" w:hAnsi="Calibri" w:cs="Calibri"/>
          <w:b/>
          <w:bCs/>
          <w:color w:val="000000"/>
          <w:sz w:val="20"/>
          <w:szCs w:val="20"/>
          <w:lang w:eastAsia="pl-PL"/>
        </w:rPr>
        <w:t xml:space="preserve"> Prawo energetyczne oraz niektórych innych ustaw</w:t>
      </w:r>
    </w:p>
    <w:bookmarkEnd w:id="0"/>
    <w:p w14:paraId="6453B149" w14:textId="2C6D8CC5" w:rsidR="004A61B7" w:rsidRPr="00907498" w:rsidRDefault="004A61B7" w:rsidP="006B2CF1">
      <w:pPr>
        <w:jc w:val="center"/>
        <w:rPr>
          <w:rFonts w:ascii="Calibri" w:hAnsi="Calibri" w:cs="Calibri"/>
          <w:b/>
          <w:bCs/>
          <w:sz w:val="20"/>
          <w:szCs w:val="20"/>
        </w:rPr>
      </w:pPr>
      <w:r w:rsidRPr="00907498">
        <w:rPr>
          <w:rFonts w:ascii="Calibri" w:hAnsi="Calibri" w:cs="Calibri"/>
          <w:b/>
          <w:bCs/>
          <w:sz w:val="20"/>
          <w:szCs w:val="20"/>
        </w:rPr>
        <w:t>(nr UD446 w Wykazie prac legislacyjnych i programowych Rady Ministrów)</w:t>
      </w:r>
    </w:p>
    <w:tbl>
      <w:tblPr>
        <w:tblStyle w:val="Tabela-Siatka"/>
        <w:tblpPr w:leftFromText="142" w:rightFromText="142" w:vertAnchor="text" w:horzAnchor="margin" w:tblpXSpec="center" w:tblpY="58"/>
        <w:tblW w:w="13036" w:type="dxa"/>
        <w:tblLayout w:type="fixed"/>
        <w:tblLook w:val="04A0" w:firstRow="1" w:lastRow="0" w:firstColumn="1" w:lastColumn="0" w:noHBand="0" w:noVBand="1"/>
      </w:tblPr>
      <w:tblGrid>
        <w:gridCol w:w="567"/>
        <w:gridCol w:w="1701"/>
        <w:gridCol w:w="1838"/>
        <w:gridCol w:w="5387"/>
        <w:gridCol w:w="3543"/>
      </w:tblGrid>
      <w:tr w:rsidR="004A61B7" w:rsidRPr="00907498" w14:paraId="21F65430" w14:textId="77777777" w:rsidTr="006B2CF1">
        <w:trPr>
          <w:trHeight w:val="551"/>
          <w:tblHeader/>
        </w:trPr>
        <w:tc>
          <w:tcPr>
            <w:tcW w:w="567" w:type="dxa"/>
          </w:tcPr>
          <w:p w14:paraId="79C53926" w14:textId="77777777" w:rsidR="004A61B7" w:rsidRPr="00907498" w:rsidRDefault="004A61B7" w:rsidP="006B2CF1">
            <w:pPr>
              <w:tabs>
                <w:tab w:val="left" w:pos="350"/>
              </w:tabs>
              <w:rPr>
                <w:rFonts w:ascii="Calibri" w:hAnsi="Calibri" w:cs="Calibri"/>
                <w:b/>
                <w:bCs/>
                <w:sz w:val="20"/>
                <w:szCs w:val="20"/>
              </w:rPr>
            </w:pPr>
            <w:r w:rsidRPr="00907498">
              <w:rPr>
                <w:rFonts w:ascii="Calibri" w:hAnsi="Calibri" w:cs="Calibri"/>
                <w:b/>
                <w:bCs/>
                <w:sz w:val="20"/>
                <w:szCs w:val="20"/>
              </w:rPr>
              <w:t>Lp.</w:t>
            </w:r>
          </w:p>
        </w:tc>
        <w:tc>
          <w:tcPr>
            <w:tcW w:w="1701" w:type="dxa"/>
          </w:tcPr>
          <w:p w14:paraId="1E2E5BC5" w14:textId="77777777" w:rsidR="004A61B7" w:rsidRPr="00907498" w:rsidRDefault="004A61B7" w:rsidP="00ED29C3">
            <w:pPr>
              <w:spacing w:line="278" w:lineRule="auto"/>
              <w:rPr>
                <w:rFonts w:ascii="Calibri" w:hAnsi="Calibri" w:cs="Calibri"/>
                <w:b/>
                <w:bCs/>
                <w:sz w:val="20"/>
                <w:szCs w:val="20"/>
              </w:rPr>
            </w:pPr>
            <w:r w:rsidRPr="00907498">
              <w:rPr>
                <w:rFonts w:ascii="Calibri" w:hAnsi="Calibri" w:cs="Calibri"/>
                <w:b/>
                <w:bCs/>
                <w:sz w:val="20"/>
                <w:szCs w:val="20"/>
              </w:rPr>
              <w:t>Podmiot wnoszący uwagę</w:t>
            </w:r>
          </w:p>
        </w:tc>
        <w:tc>
          <w:tcPr>
            <w:tcW w:w="1838" w:type="dxa"/>
          </w:tcPr>
          <w:p w14:paraId="73835CDF" w14:textId="0BE8A3A6" w:rsidR="004A61B7" w:rsidRPr="00907498" w:rsidRDefault="004A61B7" w:rsidP="00ED29C3">
            <w:pPr>
              <w:spacing w:line="278" w:lineRule="auto"/>
              <w:rPr>
                <w:rFonts w:ascii="Calibri" w:hAnsi="Calibri" w:cs="Calibri"/>
                <w:b/>
                <w:bCs/>
                <w:sz w:val="20"/>
                <w:szCs w:val="20"/>
              </w:rPr>
            </w:pPr>
            <w:r w:rsidRPr="00907498">
              <w:rPr>
                <w:rFonts w:ascii="Calibri" w:hAnsi="Calibri" w:cs="Calibri"/>
                <w:b/>
                <w:bCs/>
                <w:sz w:val="20"/>
                <w:szCs w:val="20"/>
              </w:rPr>
              <w:t>Jednostka redakcyjna, do której wnoszona jest uwaga</w:t>
            </w:r>
            <w:r w:rsidRPr="00907498">
              <w:rPr>
                <w:rFonts w:ascii="Calibri" w:hAnsi="Calibri" w:cs="Calibri"/>
                <w:b/>
                <w:bCs/>
                <w:sz w:val="20"/>
                <w:szCs w:val="20"/>
                <w:vertAlign w:val="superscript"/>
              </w:rPr>
              <w:footnoteReference w:customMarkFollows="1" w:id="1"/>
              <w:t>1)</w:t>
            </w:r>
          </w:p>
        </w:tc>
        <w:tc>
          <w:tcPr>
            <w:tcW w:w="5387" w:type="dxa"/>
          </w:tcPr>
          <w:p w14:paraId="118EBBB8" w14:textId="77777777" w:rsidR="004A61B7" w:rsidRPr="00907498" w:rsidRDefault="004A61B7" w:rsidP="00184994">
            <w:pPr>
              <w:spacing w:line="278" w:lineRule="auto"/>
              <w:jc w:val="both"/>
              <w:rPr>
                <w:rFonts w:ascii="Calibri" w:hAnsi="Calibri" w:cs="Calibri"/>
                <w:b/>
                <w:bCs/>
                <w:sz w:val="20"/>
                <w:szCs w:val="20"/>
              </w:rPr>
            </w:pPr>
            <w:r w:rsidRPr="00907498">
              <w:rPr>
                <w:rFonts w:ascii="Calibri" w:hAnsi="Calibri" w:cs="Calibri"/>
                <w:b/>
                <w:bCs/>
                <w:sz w:val="20"/>
                <w:szCs w:val="20"/>
              </w:rPr>
              <w:t>Treść uwagi</w:t>
            </w:r>
          </w:p>
        </w:tc>
        <w:tc>
          <w:tcPr>
            <w:tcW w:w="3543" w:type="dxa"/>
          </w:tcPr>
          <w:p w14:paraId="2BC43A1E" w14:textId="77777777" w:rsidR="004A61B7" w:rsidRPr="00907498" w:rsidRDefault="004A61B7" w:rsidP="00ED29C3">
            <w:pPr>
              <w:spacing w:line="278" w:lineRule="auto"/>
              <w:rPr>
                <w:rFonts w:ascii="Calibri" w:hAnsi="Calibri" w:cs="Calibri"/>
                <w:b/>
                <w:bCs/>
                <w:sz w:val="20"/>
                <w:szCs w:val="20"/>
              </w:rPr>
            </w:pPr>
            <w:r w:rsidRPr="00907498">
              <w:rPr>
                <w:rFonts w:ascii="Calibri" w:hAnsi="Calibri" w:cs="Calibri"/>
                <w:b/>
                <w:bCs/>
                <w:sz w:val="20"/>
                <w:szCs w:val="20"/>
              </w:rPr>
              <w:t>Propozycja brzmienia przepisu</w:t>
            </w:r>
          </w:p>
        </w:tc>
      </w:tr>
      <w:tr w:rsidR="00AE4AA4" w:rsidRPr="00907498" w14:paraId="33CA9409" w14:textId="77777777" w:rsidTr="006B2CF1">
        <w:tc>
          <w:tcPr>
            <w:tcW w:w="567" w:type="dxa"/>
          </w:tcPr>
          <w:p w14:paraId="3A82D969" w14:textId="6246C10A" w:rsidR="00AE4AA4" w:rsidRPr="00907498" w:rsidRDefault="00AE4AA4" w:rsidP="006B2CF1">
            <w:pPr>
              <w:pStyle w:val="Akapitzlist"/>
              <w:numPr>
                <w:ilvl w:val="0"/>
                <w:numId w:val="3"/>
              </w:numPr>
              <w:jc w:val="both"/>
              <w:rPr>
                <w:rFonts w:ascii="Calibri" w:hAnsi="Calibri" w:cs="Calibri"/>
                <w:sz w:val="20"/>
                <w:szCs w:val="20"/>
              </w:rPr>
            </w:pPr>
          </w:p>
        </w:tc>
        <w:tc>
          <w:tcPr>
            <w:tcW w:w="1701" w:type="dxa"/>
          </w:tcPr>
          <w:p w14:paraId="48DB6058" w14:textId="02664649" w:rsidR="00AE4AA4" w:rsidRPr="00907498" w:rsidRDefault="006B2CF1" w:rsidP="00AE4AA4">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230BE996" w14:textId="1B3EA1C8" w:rsidR="00AE4AA4" w:rsidRPr="00907498" w:rsidRDefault="00AE4AA4" w:rsidP="00AE4AA4">
            <w:pPr>
              <w:jc w:val="both"/>
              <w:rPr>
                <w:rFonts w:ascii="Calibri" w:hAnsi="Calibri" w:cs="Calibri"/>
                <w:sz w:val="20"/>
                <w:szCs w:val="20"/>
              </w:rPr>
            </w:pPr>
            <w:r w:rsidRPr="00907498">
              <w:rPr>
                <w:rFonts w:ascii="Calibri" w:eastAsia="Times New Roman" w:hAnsi="Calibri" w:cs="Calibri"/>
                <w:sz w:val="20"/>
                <w:szCs w:val="20"/>
              </w:rPr>
              <w:t>Uwaga ogólna</w:t>
            </w:r>
          </w:p>
        </w:tc>
        <w:tc>
          <w:tcPr>
            <w:tcW w:w="5387" w:type="dxa"/>
          </w:tcPr>
          <w:p w14:paraId="4CD14514" w14:textId="77777777" w:rsidR="00AE4AA4" w:rsidRPr="00907498" w:rsidRDefault="00AE4AA4" w:rsidP="00184994">
            <w:pPr>
              <w:jc w:val="both"/>
              <w:rPr>
                <w:rFonts w:ascii="Calibri" w:hAnsi="Calibri" w:cs="Calibri"/>
                <w:sz w:val="20"/>
                <w:szCs w:val="20"/>
              </w:rPr>
            </w:pPr>
            <w:r w:rsidRPr="00907498">
              <w:rPr>
                <w:rFonts w:ascii="Calibri" w:eastAsia="Times New Roman" w:hAnsi="Calibri" w:cs="Calibri"/>
                <w:sz w:val="20"/>
                <w:szCs w:val="20"/>
              </w:rPr>
              <w:t xml:space="preserve">Mając na uwadze potencjalnie bardzo dużą liczbę jednostek objętych obowiązkiem raportowania przy rozwoju rynku, postulujemy umożliwienie składania danych dla modułów wytwarzania typu A w formie agregatów. Raportowanie pojedynczych instalacji charakteryzujących się znacznym poziomem </w:t>
            </w:r>
            <w:proofErr w:type="spellStart"/>
            <w:r w:rsidRPr="00907498">
              <w:rPr>
                <w:rFonts w:ascii="Calibri" w:eastAsia="Times New Roman" w:hAnsi="Calibri" w:cs="Calibri"/>
                <w:sz w:val="20"/>
                <w:szCs w:val="20"/>
              </w:rPr>
              <w:t>autokonsumpcji</w:t>
            </w:r>
            <w:proofErr w:type="spellEnd"/>
            <w:r w:rsidRPr="00907498">
              <w:rPr>
                <w:rFonts w:ascii="Calibri" w:eastAsia="Times New Roman" w:hAnsi="Calibri" w:cs="Calibri"/>
                <w:sz w:val="20"/>
                <w:szCs w:val="20"/>
              </w:rPr>
              <w:t xml:space="preserve"> może prowadzić do powstawania istotnych błędów prognostycznych, podczas gdy agregacja danych pozwoliłaby na uzyskanie informacji o wyższej wartości systemowej.</w:t>
            </w:r>
          </w:p>
          <w:p w14:paraId="1B0CDC43" w14:textId="4CD75CBA" w:rsidR="00AE4AA4" w:rsidRPr="00907498" w:rsidRDefault="00AE4AA4" w:rsidP="00184994">
            <w:pPr>
              <w:jc w:val="both"/>
              <w:rPr>
                <w:rFonts w:ascii="Calibri" w:hAnsi="Calibri" w:cs="Calibri"/>
                <w:sz w:val="20"/>
                <w:szCs w:val="20"/>
              </w:rPr>
            </w:pPr>
            <w:r w:rsidRPr="00907498">
              <w:rPr>
                <w:rFonts w:ascii="Calibri" w:eastAsia="Times New Roman" w:hAnsi="Calibri" w:cs="Calibri"/>
                <w:sz w:val="20"/>
                <w:szCs w:val="20"/>
              </w:rPr>
              <w:t>Ponadto, uzasadnienie projektu nie zawiera szczegółowej analizy kosztów dostosowania systemów teleinformatycznych uczestników rynku do nowych obowiązków raportowych, kosztów pozyskiwania danych czasu rzeczywistego oraz kosztów ewentualnej rozbudowy infrastruktury pomiarowej, pomimo zapisu w uzasadnieniu, że projekt nie wpływa istotnie na przedsiębiorców. W ocenie uczestników rynku wpływ regulacji na przedsiębiorstwa energetyczne wymaga dodatkowej analizy.</w:t>
            </w:r>
          </w:p>
        </w:tc>
        <w:tc>
          <w:tcPr>
            <w:tcW w:w="3543" w:type="dxa"/>
          </w:tcPr>
          <w:p w14:paraId="576AB5BA" w14:textId="10BF132D" w:rsidR="00AE4AA4" w:rsidRPr="00907498" w:rsidRDefault="00AE4AA4" w:rsidP="00AE4AA4">
            <w:pPr>
              <w:jc w:val="both"/>
              <w:rPr>
                <w:rFonts w:ascii="Calibri" w:hAnsi="Calibri" w:cs="Calibri"/>
                <w:sz w:val="20"/>
                <w:szCs w:val="20"/>
              </w:rPr>
            </w:pPr>
          </w:p>
        </w:tc>
      </w:tr>
      <w:tr w:rsidR="00167801" w:rsidRPr="00907498" w14:paraId="6F6D62AF" w14:textId="77777777" w:rsidTr="006B2CF1">
        <w:tc>
          <w:tcPr>
            <w:tcW w:w="567" w:type="dxa"/>
          </w:tcPr>
          <w:p w14:paraId="42A9CC7F" w14:textId="768746C3" w:rsidR="00167801" w:rsidRPr="00907498" w:rsidRDefault="00167801" w:rsidP="006B2CF1">
            <w:pPr>
              <w:pStyle w:val="Akapitzlist"/>
              <w:numPr>
                <w:ilvl w:val="0"/>
                <w:numId w:val="3"/>
              </w:numPr>
              <w:jc w:val="both"/>
              <w:rPr>
                <w:rFonts w:ascii="Calibri" w:eastAsia="Times New Roman" w:hAnsi="Calibri" w:cs="Calibri"/>
                <w:sz w:val="20"/>
                <w:szCs w:val="20"/>
              </w:rPr>
            </w:pPr>
          </w:p>
        </w:tc>
        <w:tc>
          <w:tcPr>
            <w:tcW w:w="1701" w:type="dxa"/>
          </w:tcPr>
          <w:p w14:paraId="0717040C" w14:textId="4A265545" w:rsidR="00167801" w:rsidRPr="00907498" w:rsidRDefault="006B2CF1" w:rsidP="00167801">
            <w:pPr>
              <w:jc w:val="both"/>
              <w:rPr>
                <w:rFonts w:ascii="Calibri" w:eastAsia="Times New Roman" w:hAnsi="Calibri" w:cs="Calibri"/>
                <w:sz w:val="20"/>
                <w:szCs w:val="20"/>
              </w:rPr>
            </w:pPr>
            <w:r w:rsidRPr="00907498">
              <w:rPr>
                <w:rFonts w:ascii="Calibri" w:eastAsia="Times New Roman" w:hAnsi="Calibri" w:cs="Calibri"/>
                <w:sz w:val="20"/>
                <w:szCs w:val="20"/>
              </w:rPr>
              <w:t>Konfederacja Lewiatan</w:t>
            </w:r>
          </w:p>
        </w:tc>
        <w:tc>
          <w:tcPr>
            <w:tcW w:w="1838" w:type="dxa"/>
          </w:tcPr>
          <w:p w14:paraId="19030705" w14:textId="4DB1D876" w:rsidR="00167801" w:rsidRPr="00907498" w:rsidRDefault="00167801" w:rsidP="00167801">
            <w:pPr>
              <w:jc w:val="both"/>
              <w:rPr>
                <w:rFonts w:ascii="Calibri" w:eastAsia="Times New Roman" w:hAnsi="Calibri" w:cs="Calibri"/>
                <w:sz w:val="20"/>
                <w:szCs w:val="20"/>
              </w:rPr>
            </w:pPr>
            <w:r w:rsidRPr="00907498">
              <w:rPr>
                <w:rFonts w:ascii="Calibri" w:eastAsia="Times New Roman" w:hAnsi="Calibri" w:cs="Calibri"/>
                <w:sz w:val="20"/>
                <w:szCs w:val="20"/>
              </w:rPr>
              <w:t>Art. 1 pkt 2 zmieniający art. 4k</w:t>
            </w:r>
          </w:p>
        </w:tc>
        <w:tc>
          <w:tcPr>
            <w:tcW w:w="5387" w:type="dxa"/>
          </w:tcPr>
          <w:p w14:paraId="2431094F" w14:textId="3B706FDE" w:rsidR="00167801" w:rsidRPr="00907498" w:rsidRDefault="00167801" w:rsidP="00184994">
            <w:pPr>
              <w:jc w:val="both"/>
              <w:rPr>
                <w:rFonts w:ascii="Calibri" w:hAnsi="Calibri" w:cs="Calibri"/>
                <w:sz w:val="20"/>
                <w:szCs w:val="20"/>
              </w:rPr>
            </w:pPr>
            <w:r w:rsidRPr="00907498">
              <w:rPr>
                <w:rFonts w:ascii="Calibri" w:eastAsia="Times New Roman" w:hAnsi="Calibri" w:cs="Calibri"/>
                <w:sz w:val="20"/>
                <w:szCs w:val="20"/>
              </w:rPr>
              <w:t>Proponujemy przeanalizowanie zasadności projektowanego umożliwienia prowadzenia rozliczeń na podstawie danych pomiarowych oraz innych informacji rynku energii pochodzących spoza CSIRE z uwagi na proponowany 4k ust. 6 stanowiący, że usunięcie usterki musi nastąpić w ciągu 24 h od stwierdzenia niedostępności danego systemu informacyjnego. Proponowane rozwiązanie może spowodować, że cały proces rozliczeń i ich korekt będzie stanowił dodatkowe / nadmiarowe obowiązki i zadania po stronie uczestników rynku.</w:t>
            </w:r>
          </w:p>
        </w:tc>
        <w:tc>
          <w:tcPr>
            <w:tcW w:w="3543" w:type="dxa"/>
          </w:tcPr>
          <w:p w14:paraId="083EE1E9" w14:textId="7FD0BC1E" w:rsidR="00167801" w:rsidRPr="00907498" w:rsidRDefault="00167801" w:rsidP="00167801">
            <w:pPr>
              <w:jc w:val="both"/>
              <w:rPr>
                <w:rFonts w:ascii="Calibri" w:eastAsia="Times New Roman" w:hAnsi="Calibri" w:cs="Calibri"/>
                <w:sz w:val="20"/>
                <w:szCs w:val="20"/>
              </w:rPr>
            </w:pPr>
          </w:p>
        </w:tc>
      </w:tr>
      <w:tr w:rsidR="00167801" w:rsidRPr="00907498" w14:paraId="2BEC8BB4" w14:textId="77777777" w:rsidTr="006B2CF1">
        <w:tc>
          <w:tcPr>
            <w:tcW w:w="567" w:type="dxa"/>
          </w:tcPr>
          <w:p w14:paraId="4D35A4A8" w14:textId="0CB1415A" w:rsidR="00167801" w:rsidRPr="00907498" w:rsidRDefault="00167801" w:rsidP="006B2CF1">
            <w:pPr>
              <w:pStyle w:val="Akapitzlist"/>
              <w:numPr>
                <w:ilvl w:val="0"/>
                <w:numId w:val="3"/>
              </w:numPr>
              <w:jc w:val="both"/>
              <w:rPr>
                <w:rFonts w:ascii="Calibri" w:eastAsia="Times New Roman" w:hAnsi="Calibri" w:cs="Calibri"/>
                <w:sz w:val="20"/>
                <w:szCs w:val="20"/>
              </w:rPr>
            </w:pPr>
          </w:p>
        </w:tc>
        <w:tc>
          <w:tcPr>
            <w:tcW w:w="1701" w:type="dxa"/>
          </w:tcPr>
          <w:p w14:paraId="1DFA93C1" w14:textId="0724DD0F" w:rsidR="00167801" w:rsidRPr="00907498" w:rsidRDefault="006B2CF1" w:rsidP="00167801">
            <w:pPr>
              <w:jc w:val="both"/>
              <w:rPr>
                <w:rFonts w:ascii="Calibri" w:eastAsia="Times New Roman" w:hAnsi="Calibri" w:cs="Calibri"/>
                <w:sz w:val="20"/>
                <w:szCs w:val="20"/>
              </w:rPr>
            </w:pPr>
            <w:r w:rsidRPr="00907498">
              <w:rPr>
                <w:rFonts w:ascii="Calibri" w:eastAsia="Times New Roman" w:hAnsi="Calibri" w:cs="Calibri"/>
                <w:sz w:val="20"/>
                <w:szCs w:val="20"/>
              </w:rPr>
              <w:t>Konfederacja Lewiatan</w:t>
            </w:r>
          </w:p>
        </w:tc>
        <w:tc>
          <w:tcPr>
            <w:tcW w:w="1838" w:type="dxa"/>
          </w:tcPr>
          <w:p w14:paraId="31031AF9" w14:textId="5A6923BE" w:rsidR="00167801" w:rsidRPr="00907498" w:rsidRDefault="00167801" w:rsidP="00167801">
            <w:pPr>
              <w:jc w:val="both"/>
              <w:rPr>
                <w:rFonts w:ascii="Calibri" w:eastAsia="Times New Roman" w:hAnsi="Calibri" w:cs="Calibri"/>
                <w:sz w:val="20"/>
                <w:szCs w:val="20"/>
              </w:rPr>
            </w:pPr>
            <w:r w:rsidRPr="00907498">
              <w:rPr>
                <w:rFonts w:ascii="Calibri" w:eastAsia="Times New Roman" w:hAnsi="Calibri" w:cs="Calibri"/>
                <w:sz w:val="20"/>
                <w:szCs w:val="20"/>
              </w:rPr>
              <w:t xml:space="preserve">Art. 1 pkt 2 lit. </w:t>
            </w:r>
            <w:r w:rsidR="00C31474" w:rsidRPr="00907498">
              <w:rPr>
                <w:rFonts w:ascii="Calibri" w:eastAsia="Times New Roman" w:hAnsi="Calibri" w:cs="Calibri"/>
                <w:sz w:val="20"/>
                <w:szCs w:val="20"/>
              </w:rPr>
              <w:t>b</w:t>
            </w:r>
            <w:r w:rsidRPr="00907498">
              <w:rPr>
                <w:rFonts w:ascii="Calibri" w:eastAsia="Times New Roman" w:hAnsi="Calibri" w:cs="Calibri"/>
                <w:sz w:val="20"/>
                <w:szCs w:val="20"/>
              </w:rPr>
              <w:t xml:space="preserve"> wprowadzający nowy art. 4k ust. 3 pkt 2 i pkt 3</w:t>
            </w:r>
          </w:p>
        </w:tc>
        <w:tc>
          <w:tcPr>
            <w:tcW w:w="5387" w:type="dxa"/>
          </w:tcPr>
          <w:p w14:paraId="5F2E7D59" w14:textId="0E99A5A0" w:rsidR="00167801" w:rsidRPr="00907498" w:rsidRDefault="00167801" w:rsidP="00184994">
            <w:pPr>
              <w:jc w:val="both"/>
              <w:rPr>
                <w:rFonts w:ascii="Calibri" w:eastAsia="Times New Roman" w:hAnsi="Calibri" w:cs="Calibri"/>
                <w:sz w:val="20"/>
                <w:szCs w:val="20"/>
              </w:rPr>
            </w:pPr>
            <w:r w:rsidRPr="00907498">
              <w:rPr>
                <w:rFonts w:ascii="Calibri" w:eastAsia="Times New Roman" w:hAnsi="Calibri" w:cs="Calibri"/>
                <w:sz w:val="20"/>
                <w:szCs w:val="20"/>
              </w:rPr>
              <w:t xml:space="preserve">W ust. 3 mowa jest o niedostępność systemów informacyjnych podmiotów, o których mowa w art. 11zg ust. 1 PE, a nie o niedostępności systemu CSIRE. Podmioty, o których mowa w art. 11zg ust. 1 </w:t>
            </w:r>
            <w:proofErr w:type="spellStart"/>
            <w:r w:rsidRPr="00907498">
              <w:rPr>
                <w:rFonts w:ascii="Calibri" w:eastAsia="Times New Roman" w:hAnsi="Calibri" w:cs="Calibri"/>
                <w:sz w:val="20"/>
                <w:szCs w:val="20"/>
              </w:rPr>
              <w:t>uPe</w:t>
            </w:r>
            <w:proofErr w:type="spellEnd"/>
            <w:r w:rsidRPr="00907498">
              <w:rPr>
                <w:rFonts w:ascii="Calibri" w:eastAsia="Times New Roman" w:hAnsi="Calibri" w:cs="Calibri"/>
                <w:sz w:val="20"/>
                <w:szCs w:val="20"/>
              </w:rPr>
              <w:t xml:space="preserve"> opracowują własne plany działania zgodnie z </w:t>
            </w:r>
            <w:r w:rsidRPr="00907498">
              <w:rPr>
                <w:rFonts w:ascii="Calibri" w:eastAsia="Times New Roman" w:hAnsi="Calibri" w:cs="Calibri"/>
                <w:b/>
                <w:bCs/>
                <w:sz w:val="20"/>
                <w:szCs w:val="20"/>
              </w:rPr>
              <w:t>art. 11zha ust. 2</w:t>
            </w:r>
            <w:r w:rsidRPr="00907498">
              <w:rPr>
                <w:rFonts w:ascii="Calibri" w:eastAsia="Times New Roman" w:hAnsi="Calibri" w:cs="Calibri"/>
                <w:sz w:val="20"/>
                <w:szCs w:val="20"/>
              </w:rPr>
              <w:t xml:space="preserve">. W projektowanym brzemieniu art. 4k ust. 3 pkt 2 i pkt 3 termin przekazania informacji o: zakresie niedostępności, przewidywanym terminie usunięcia niedostępności oraz o usunięciu niedostępności, określane mają być na podstawie planu działania, o którym mowa w art. </w:t>
            </w:r>
            <w:r w:rsidRPr="00907498">
              <w:rPr>
                <w:rFonts w:ascii="Calibri" w:eastAsia="Times New Roman" w:hAnsi="Calibri" w:cs="Calibri"/>
                <w:b/>
                <w:bCs/>
                <w:sz w:val="20"/>
                <w:szCs w:val="20"/>
              </w:rPr>
              <w:t>11zha ust. 1</w:t>
            </w:r>
            <w:r w:rsidRPr="00907498">
              <w:rPr>
                <w:rFonts w:ascii="Calibri" w:eastAsia="Times New Roman" w:hAnsi="Calibri" w:cs="Calibri"/>
                <w:sz w:val="20"/>
                <w:szCs w:val="20"/>
              </w:rPr>
              <w:t>, a zatem w oparciu o plan działania opracowany przez OIRE (który dotyczyć ma zasadniczo niedostępności CSIRE, a nie systemów informacyjnych podmiotów, o których mowa w art. 11zg ust. 1). Wydaje się zatem, że terminy dotyczące niedostępności systemów informacyjnych podmiotów, o których mowa w art. 11zg ust. 1 powinny być ustalane na postawie planów działania opracowanych przez te podmioty (czyli na podstawie planów działania, o których mowa w art. 11zha ust. 2 a nie art. 11zha ust. 1)</w:t>
            </w:r>
            <w:r w:rsidR="00363D8C" w:rsidRPr="00907498">
              <w:rPr>
                <w:rFonts w:ascii="Calibri" w:eastAsia="Times New Roman" w:hAnsi="Calibri" w:cs="Calibri"/>
                <w:sz w:val="20"/>
                <w:szCs w:val="20"/>
              </w:rPr>
              <w:t>.</w:t>
            </w:r>
          </w:p>
        </w:tc>
        <w:tc>
          <w:tcPr>
            <w:tcW w:w="3543" w:type="dxa"/>
          </w:tcPr>
          <w:p w14:paraId="255E56A3"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„3. Podmiot, o którym mowa w art. 11zg ust. 1, oraz operator systemu</w:t>
            </w:r>
          </w:p>
          <w:p w14:paraId="2F2E68CF"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przesyłowego elektroenergetycznego, przekazuje do operatora informacji rynku</w:t>
            </w:r>
          </w:p>
          <w:p w14:paraId="22778C84"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energii informacje o:</w:t>
            </w:r>
          </w:p>
          <w:p w14:paraId="5F566A16"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 xml:space="preserve">1) niedostępności swojego systemu informacyjnego – w terminie </w:t>
            </w:r>
            <w:proofErr w:type="spellStart"/>
            <w:r w:rsidRPr="00907498">
              <w:rPr>
                <w:rFonts w:ascii="Calibri" w:eastAsia="Times New Roman" w:hAnsi="Calibri" w:cs="Calibri"/>
                <w:sz w:val="20"/>
                <w:szCs w:val="20"/>
              </w:rPr>
              <w:t>niedłuższym</w:t>
            </w:r>
            <w:proofErr w:type="spellEnd"/>
            <w:r w:rsidRPr="00907498">
              <w:rPr>
                <w:rFonts w:ascii="Calibri" w:eastAsia="Times New Roman" w:hAnsi="Calibri" w:cs="Calibri"/>
                <w:sz w:val="20"/>
                <w:szCs w:val="20"/>
              </w:rPr>
              <w:t xml:space="preserve"> niż 1 godzina od stwierdzenia tej niedostępności;</w:t>
            </w:r>
          </w:p>
          <w:p w14:paraId="1130A86F"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2) zakresie niedostępności oraz przewidywanym terminie usunięcia</w:t>
            </w:r>
          </w:p>
          <w:p w14:paraId="12BA6705"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niedostępności – w terminie określonym w planie działania, o którym mowa</w:t>
            </w:r>
          </w:p>
          <w:p w14:paraId="140EE33E"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 xml:space="preserve">w </w:t>
            </w:r>
            <w:r w:rsidRPr="00907498">
              <w:rPr>
                <w:rFonts w:ascii="Calibri" w:eastAsia="Times New Roman" w:hAnsi="Calibri" w:cs="Calibri"/>
                <w:b/>
                <w:bCs/>
                <w:sz w:val="20"/>
                <w:szCs w:val="20"/>
              </w:rPr>
              <w:t>art. 11zha ust. 2</w:t>
            </w:r>
            <w:r w:rsidRPr="00907498">
              <w:rPr>
                <w:rFonts w:ascii="Calibri" w:eastAsia="Times New Roman" w:hAnsi="Calibri" w:cs="Calibri"/>
                <w:sz w:val="20"/>
                <w:szCs w:val="20"/>
              </w:rPr>
              <w:t>, przy czym termin ten nie może być dłuższy niż 3 godziny</w:t>
            </w:r>
          </w:p>
          <w:p w14:paraId="1A306C63"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od stwierdzenia niedostępności albo stwierdzenia zmiany przewidywanego</w:t>
            </w:r>
          </w:p>
          <w:p w14:paraId="4EBAC18B"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terminu usunięcia niedostępności;</w:t>
            </w:r>
          </w:p>
          <w:p w14:paraId="6D9FD872"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3) usunięciu niedostępności – w terminie określonym w planie działania, o którym</w:t>
            </w:r>
          </w:p>
          <w:p w14:paraId="283F7D49" w14:textId="77777777" w:rsidR="00167801" w:rsidRPr="00907498" w:rsidRDefault="00167801" w:rsidP="00363D8C">
            <w:pPr>
              <w:jc w:val="both"/>
              <w:rPr>
                <w:rFonts w:ascii="Calibri" w:hAnsi="Calibri" w:cs="Calibri"/>
                <w:sz w:val="20"/>
                <w:szCs w:val="20"/>
              </w:rPr>
            </w:pPr>
            <w:r w:rsidRPr="00907498">
              <w:rPr>
                <w:rFonts w:ascii="Calibri" w:eastAsia="Times New Roman" w:hAnsi="Calibri" w:cs="Calibri"/>
                <w:sz w:val="20"/>
                <w:szCs w:val="20"/>
              </w:rPr>
              <w:t xml:space="preserve">mowa w </w:t>
            </w:r>
            <w:r w:rsidRPr="00907498">
              <w:rPr>
                <w:rFonts w:ascii="Calibri" w:eastAsia="Times New Roman" w:hAnsi="Calibri" w:cs="Calibri"/>
                <w:b/>
                <w:bCs/>
                <w:sz w:val="20"/>
                <w:szCs w:val="20"/>
              </w:rPr>
              <w:t>art. 11zha ust. 2</w:t>
            </w:r>
            <w:r w:rsidRPr="00907498">
              <w:rPr>
                <w:rFonts w:ascii="Calibri" w:eastAsia="Times New Roman" w:hAnsi="Calibri" w:cs="Calibri"/>
                <w:sz w:val="20"/>
                <w:szCs w:val="20"/>
              </w:rPr>
              <w:t>, przy czym termin ten nie może być dłuższy niż</w:t>
            </w:r>
          </w:p>
          <w:p w14:paraId="158BB6B2" w14:textId="26B61457" w:rsidR="00167801" w:rsidRPr="00907498" w:rsidRDefault="00167801" w:rsidP="00363D8C">
            <w:pPr>
              <w:jc w:val="both"/>
              <w:rPr>
                <w:rFonts w:ascii="Calibri" w:eastAsia="Times New Roman" w:hAnsi="Calibri" w:cs="Calibri"/>
                <w:sz w:val="20"/>
                <w:szCs w:val="20"/>
              </w:rPr>
            </w:pPr>
            <w:r w:rsidRPr="00907498">
              <w:rPr>
                <w:rFonts w:ascii="Calibri" w:eastAsia="Times New Roman" w:hAnsi="Calibri" w:cs="Calibri"/>
                <w:sz w:val="20"/>
                <w:szCs w:val="20"/>
              </w:rPr>
              <w:t>2 godziny od przywrócenia normalnej pracy swojego systemu informacyjnego</w:t>
            </w:r>
            <w:r w:rsidRPr="00907498">
              <w:rPr>
                <w:rFonts w:ascii="Calibri" w:eastAsia="Times New Roman" w:hAnsi="Calibri" w:cs="Calibri"/>
                <w:i/>
                <w:iCs/>
                <w:sz w:val="20"/>
                <w:szCs w:val="20"/>
              </w:rPr>
              <w:t>”.</w:t>
            </w:r>
          </w:p>
        </w:tc>
      </w:tr>
      <w:tr w:rsidR="00AE4AA4" w:rsidRPr="00907498" w14:paraId="3AF6CEF0" w14:textId="77777777" w:rsidTr="006B2CF1">
        <w:tc>
          <w:tcPr>
            <w:tcW w:w="567" w:type="dxa"/>
          </w:tcPr>
          <w:p w14:paraId="6FC849E4" w14:textId="282B8E75" w:rsidR="00AE4AA4" w:rsidRPr="00907498" w:rsidRDefault="00AE4AA4" w:rsidP="006B2CF1">
            <w:pPr>
              <w:pStyle w:val="Akapitzlist"/>
              <w:numPr>
                <w:ilvl w:val="0"/>
                <w:numId w:val="3"/>
              </w:numPr>
              <w:jc w:val="both"/>
              <w:rPr>
                <w:rFonts w:ascii="Calibri" w:hAnsi="Calibri" w:cs="Calibri"/>
                <w:sz w:val="20"/>
                <w:szCs w:val="20"/>
              </w:rPr>
            </w:pPr>
          </w:p>
        </w:tc>
        <w:tc>
          <w:tcPr>
            <w:tcW w:w="1701" w:type="dxa"/>
          </w:tcPr>
          <w:p w14:paraId="71C7B4D3" w14:textId="779871DE" w:rsidR="00AE4AA4" w:rsidRPr="00907498" w:rsidRDefault="006B2CF1" w:rsidP="00AE4AA4">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2B0A5E79" w14:textId="77777777" w:rsidR="00AE4AA4" w:rsidRPr="00907498" w:rsidRDefault="00AE4AA4" w:rsidP="00AE4AA4">
            <w:pPr>
              <w:rPr>
                <w:rFonts w:ascii="Calibri" w:hAnsi="Calibri" w:cs="Calibri"/>
                <w:sz w:val="20"/>
                <w:szCs w:val="20"/>
              </w:rPr>
            </w:pPr>
            <w:r w:rsidRPr="00907498">
              <w:rPr>
                <w:rFonts w:ascii="Calibri" w:eastAsia="Times New Roman" w:hAnsi="Calibri" w:cs="Calibri"/>
                <w:sz w:val="20"/>
                <w:szCs w:val="20"/>
              </w:rPr>
              <w:t xml:space="preserve">Art. 1 pkt 2 lit b </w:t>
            </w:r>
          </w:p>
          <w:p w14:paraId="47D70745" w14:textId="77777777" w:rsidR="00AE4AA4" w:rsidRPr="00907498" w:rsidRDefault="00AE4AA4" w:rsidP="00AE4AA4">
            <w:pPr>
              <w:rPr>
                <w:rFonts w:ascii="Calibri" w:hAnsi="Calibri" w:cs="Calibri"/>
                <w:sz w:val="20"/>
                <w:szCs w:val="20"/>
              </w:rPr>
            </w:pPr>
            <w:r w:rsidRPr="00907498">
              <w:rPr>
                <w:rFonts w:ascii="Calibri" w:eastAsia="Times New Roman" w:hAnsi="Calibri" w:cs="Calibri"/>
                <w:sz w:val="20"/>
                <w:szCs w:val="20"/>
              </w:rPr>
              <w:t xml:space="preserve">wprowadzający nowy art. 4k ust. 5 </w:t>
            </w:r>
          </w:p>
          <w:p w14:paraId="1570EC61" w14:textId="1F3ECE91" w:rsidR="00AE4AA4" w:rsidRPr="00907498" w:rsidRDefault="00AE4AA4" w:rsidP="00AE4AA4">
            <w:pPr>
              <w:jc w:val="both"/>
              <w:rPr>
                <w:rFonts w:ascii="Calibri" w:hAnsi="Calibri" w:cs="Calibri"/>
                <w:sz w:val="20"/>
                <w:szCs w:val="20"/>
              </w:rPr>
            </w:pPr>
            <w:r w:rsidRPr="00907498">
              <w:rPr>
                <w:rFonts w:ascii="Calibri" w:eastAsia="Times New Roman" w:hAnsi="Calibri" w:cs="Calibri"/>
                <w:sz w:val="20"/>
                <w:szCs w:val="20"/>
              </w:rPr>
              <w:t xml:space="preserve"> </w:t>
            </w:r>
          </w:p>
        </w:tc>
        <w:tc>
          <w:tcPr>
            <w:tcW w:w="5387" w:type="dxa"/>
          </w:tcPr>
          <w:p w14:paraId="2B655CCF" w14:textId="505012A6" w:rsidR="00AE4AA4" w:rsidRPr="00907498" w:rsidRDefault="00AE4AA4" w:rsidP="00184994">
            <w:pPr>
              <w:jc w:val="both"/>
              <w:rPr>
                <w:rFonts w:ascii="Calibri" w:hAnsi="Calibri" w:cs="Calibri"/>
                <w:sz w:val="20"/>
                <w:szCs w:val="20"/>
              </w:rPr>
            </w:pPr>
            <w:r w:rsidRPr="00907498">
              <w:rPr>
                <w:rFonts w:ascii="Calibri" w:eastAsia="Times New Roman" w:hAnsi="Calibri" w:cs="Calibri"/>
                <w:sz w:val="20"/>
                <w:szCs w:val="20"/>
              </w:rPr>
              <w:t xml:space="preserve">Postulujemy usunięcie ustępu 5 w zakresie obowiązku </w:t>
            </w:r>
            <w:r w:rsidRPr="00907498">
              <w:rPr>
                <w:rFonts w:ascii="Calibri" w:eastAsia="Times New Roman" w:hAnsi="Calibri" w:cs="Calibri"/>
                <w:sz w:val="20"/>
                <w:szCs w:val="20"/>
                <w:u w:val="single"/>
              </w:rPr>
              <w:t>publikacji na stronie internetowej</w:t>
            </w:r>
            <w:r w:rsidRPr="00907498">
              <w:rPr>
                <w:rFonts w:ascii="Calibri" w:eastAsia="Times New Roman" w:hAnsi="Calibri" w:cs="Calibri"/>
                <w:sz w:val="20"/>
                <w:szCs w:val="20"/>
              </w:rPr>
              <w:t xml:space="preserve"> informacji o niedostępności systemu, zakresie niedostępności oraz przewidywanym trybie usunięcia niedostępności, a także o usunięciu niedostępności w terminach wskazanych w projektowanym art. 4k ust. 3-4 </w:t>
            </w:r>
            <w:proofErr w:type="spellStart"/>
            <w:r w:rsidRPr="00907498">
              <w:rPr>
                <w:rFonts w:ascii="Calibri" w:eastAsia="Times New Roman" w:hAnsi="Calibri" w:cs="Calibri"/>
                <w:sz w:val="20"/>
                <w:szCs w:val="20"/>
              </w:rPr>
              <w:t>uPe</w:t>
            </w:r>
            <w:proofErr w:type="spellEnd"/>
            <w:r w:rsidRPr="00907498">
              <w:rPr>
                <w:rFonts w:ascii="Calibri" w:eastAsia="Times New Roman" w:hAnsi="Calibri" w:cs="Calibri"/>
                <w:sz w:val="20"/>
                <w:szCs w:val="20"/>
              </w:rPr>
              <w:t>.</w:t>
            </w:r>
          </w:p>
          <w:p w14:paraId="2829041B" w14:textId="26B60400" w:rsidR="00AE4AA4" w:rsidRPr="00907498" w:rsidRDefault="00AE4AA4" w:rsidP="00184994">
            <w:pPr>
              <w:jc w:val="both"/>
              <w:rPr>
                <w:rFonts w:ascii="Calibri" w:hAnsi="Calibri" w:cs="Calibri"/>
                <w:sz w:val="20"/>
                <w:szCs w:val="20"/>
              </w:rPr>
            </w:pPr>
            <w:r w:rsidRPr="00907498">
              <w:rPr>
                <w:rFonts w:ascii="Calibri" w:eastAsia="Times New Roman" w:hAnsi="Calibri" w:cs="Calibri"/>
                <w:sz w:val="20"/>
                <w:szCs w:val="20"/>
              </w:rPr>
              <w:t xml:space="preserve">Nie znajduje uzasadnienia obowiązek publicznego informowania o wyżej wskazanych zdarzeniach, ponieważ niedostępność systemów będzie już komunikowana w sposób określony w art. </w:t>
            </w:r>
            <w:r w:rsidRPr="00907498">
              <w:rPr>
                <w:rFonts w:ascii="Calibri" w:eastAsia="Times New Roman" w:hAnsi="Calibri" w:cs="Calibri"/>
                <w:sz w:val="20"/>
                <w:szCs w:val="20"/>
              </w:rPr>
              <w:lastRenderedPageBreak/>
              <w:t xml:space="preserve">4k ust. 3-4 </w:t>
            </w:r>
            <w:proofErr w:type="spellStart"/>
            <w:r w:rsidRPr="00907498">
              <w:rPr>
                <w:rFonts w:ascii="Calibri" w:eastAsia="Times New Roman" w:hAnsi="Calibri" w:cs="Calibri"/>
                <w:sz w:val="20"/>
                <w:szCs w:val="20"/>
              </w:rPr>
              <w:t>uPe</w:t>
            </w:r>
            <w:proofErr w:type="spellEnd"/>
            <w:r w:rsidRPr="00907498">
              <w:rPr>
                <w:rFonts w:ascii="Calibri" w:eastAsia="Times New Roman" w:hAnsi="Calibri" w:cs="Calibri"/>
                <w:sz w:val="20"/>
                <w:szCs w:val="20"/>
              </w:rPr>
              <w:t xml:space="preserve">. Jednocześnie może rodzić ryzyka z zakresu </w:t>
            </w:r>
            <w:proofErr w:type="spellStart"/>
            <w:r w:rsidRPr="00907498">
              <w:rPr>
                <w:rFonts w:ascii="Calibri" w:eastAsia="Times New Roman" w:hAnsi="Calibri" w:cs="Calibri"/>
                <w:sz w:val="20"/>
                <w:szCs w:val="20"/>
              </w:rPr>
              <w:t>cyberbezpieczeństwa</w:t>
            </w:r>
            <w:proofErr w:type="spellEnd"/>
            <w:r w:rsidRPr="00907498">
              <w:rPr>
                <w:rFonts w:ascii="Calibri" w:eastAsia="Times New Roman" w:hAnsi="Calibri" w:cs="Calibri"/>
                <w:sz w:val="20"/>
                <w:szCs w:val="20"/>
              </w:rPr>
              <w:t xml:space="preserve"> (ujawnienie problemów).</w:t>
            </w:r>
          </w:p>
        </w:tc>
        <w:tc>
          <w:tcPr>
            <w:tcW w:w="3543" w:type="dxa"/>
          </w:tcPr>
          <w:p w14:paraId="488F427F" w14:textId="67955E7D" w:rsidR="00AE4AA4" w:rsidRPr="00907498" w:rsidRDefault="00AE4AA4" w:rsidP="00AE4AA4">
            <w:pPr>
              <w:jc w:val="both"/>
              <w:rPr>
                <w:rFonts w:ascii="Calibri" w:hAnsi="Calibri" w:cs="Calibri"/>
                <w:sz w:val="20"/>
                <w:szCs w:val="20"/>
              </w:rPr>
            </w:pPr>
            <w:r w:rsidRPr="00907498">
              <w:rPr>
                <w:rFonts w:ascii="Calibri" w:eastAsia="Times New Roman" w:hAnsi="Calibri" w:cs="Calibri"/>
                <w:strike/>
                <w:sz w:val="20"/>
                <w:szCs w:val="20"/>
              </w:rPr>
              <w:lastRenderedPageBreak/>
              <w:t xml:space="preserve">5. Podmiot, o którym mowa w art. 11zg ust. 1, operator systemu przesyłowego elektroenergetycznego oraz operator informacji rynku energii publikują na swoich stronach internetowych informacje, o których mowa odpowiednio w ust. 3 i 4, w terminach </w:t>
            </w:r>
            <w:r w:rsidRPr="00907498">
              <w:rPr>
                <w:rFonts w:ascii="Calibri" w:eastAsia="Times New Roman" w:hAnsi="Calibri" w:cs="Calibri"/>
                <w:strike/>
                <w:sz w:val="20"/>
                <w:szCs w:val="20"/>
              </w:rPr>
              <w:lastRenderedPageBreak/>
              <w:t>przewidzianych dla przekazania tych informacji.</w:t>
            </w:r>
          </w:p>
        </w:tc>
      </w:tr>
      <w:tr w:rsidR="00AE4AA4" w:rsidRPr="00907498" w14:paraId="6FA27EA0" w14:textId="77777777" w:rsidTr="006B2CF1">
        <w:tc>
          <w:tcPr>
            <w:tcW w:w="567" w:type="dxa"/>
          </w:tcPr>
          <w:p w14:paraId="4402221C" w14:textId="0389E62C" w:rsidR="00AE4AA4" w:rsidRPr="00907498" w:rsidRDefault="00AE4AA4" w:rsidP="006B2CF1">
            <w:pPr>
              <w:pStyle w:val="Akapitzlist"/>
              <w:numPr>
                <w:ilvl w:val="0"/>
                <w:numId w:val="3"/>
              </w:numPr>
              <w:jc w:val="both"/>
              <w:rPr>
                <w:rFonts w:ascii="Calibri" w:hAnsi="Calibri" w:cs="Calibri"/>
                <w:sz w:val="20"/>
                <w:szCs w:val="20"/>
              </w:rPr>
            </w:pPr>
          </w:p>
        </w:tc>
        <w:tc>
          <w:tcPr>
            <w:tcW w:w="1701" w:type="dxa"/>
          </w:tcPr>
          <w:p w14:paraId="20E36005" w14:textId="1A6AA8A5" w:rsidR="00AE4AA4" w:rsidRPr="00907498" w:rsidRDefault="006B2CF1" w:rsidP="00AE4AA4">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210E34FE" w14:textId="77777777" w:rsidR="00AE4AA4" w:rsidRPr="00907498" w:rsidRDefault="00AE4AA4" w:rsidP="00AE4AA4">
            <w:pPr>
              <w:rPr>
                <w:rFonts w:ascii="Calibri" w:hAnsi="Calibri" w:cs="Calibri"/>
                <w:sz w:val="20"/>
                <w:szCs w:val="20"/>
              </w:rPr>
            </w:pPr>
            <w:r w:rsidRPr="00907498">
              <w:rPr>
                <w:rFonts w:ascii="Calibri" w:eastAsia="Times New Roman" w:hAnsi="Calibri" w:cs="Calibri"/>
                <w:sz w:val="20"/>
                <w:szCs w:val="20"/>
              </w:rPr>
              <w:t xml:space="preserve">Art. 1 pkt 2 lit b wprowadzający nowy art. 4k ust. 8 </w:t>
            </w:r>
          </w:p>
          <w:p w14:paraId="4DE75D1B" w14:textId="3913B756" w:rsidR="00AE4AA4" w:rsidRPr="00907498" w:rsidRDefault="00AE4AA4" w:rsidP="00AE4AA4">
            <w:pPr>
              <w:jc w:val="both"/>
              <w:rPr>
                <w:rFonts w:ascii="Calibri" w:hAnsi="Calibri" w:cs="Calibri"/>
                <w:sz w:val="20"/>
                <w:szCs w:val="20"/>
              </w:rPr>
            </w:pPr>
            <w:r w:rsidRPr="00907498">
              <w:rPr>
                <w:rFonts w:ascii="Calibri" w:eastAsia="Times New Roman" w:hAnsi="Calibri" w:cs="Calibri"/>
                <w:sz w:val="20"/>
                <w:szCs w:val="20"/>
              </w:rPr>
              <w:t xml:space="preserve"> </w:t>
            </w:r>
          </w:p>
        </w:tc>
        <w:tc>
          <w:tcPr>
            <w:tcW w:w="5387" w:type="dxa"/>
          </w:tcPr>
          <w:p w14:paraId="3FEBC4FA" w14:textId="446D2786" w:rsidR="00AE4AA4" w:rsidRPr="00907498" w:rsidRDefault="00AE4AA4" w:rsidP="00AE4AA4">
            <w:pPr>
              <w:jc w:val="both"/>
              <w:rPr>
                <w:rFonts w:ascii="Calibri" w:hAnsi="Calibri" w:cs="Calibri"/>
                <w:sz w:val="20"/>
                <w:szCs w:val="20"/>
              </w:rPr>
            </w:pPr>
            <w:r w:rsidRPr="00907498">
              <w:rPr>
                <w:rFonts w:ascii="Calibri" w:eastAsia="Times New Roman" w:hAnsi="Calibri" w:cs="Calibri"/>
                <w:sz w:val="20"/>
                <w:szCs w:val="20"/>
              </w:rPr>
              <w:t xml:space="preserve">Przepis nakłada obowiązek uzupełnienia lub skorygowania danych pomiarowych oraz informacji rynku energii w CSIRE po usunięciu niedostępności danego systemu informacyjnego przez </w:t>
            </w:r>
            <w:r w:rsidRPr="00907498">
              <w:rPr>
                <w:rFonts w:ascii="Calibri" w:eastAsia="Times New Roman" w:hAnsi="Calibri" w:cs="Calibri"/>
                <w:sz w:val="20"/>
                <w:szCs w:val="20"/>
                <w:u w:val="single"/>
              </w:rPr>
              <w:t>podmioty, o których mowa w ust. 4</w:t>
            </w:r>
            <w:r w:rsidRPr="00907498">
              <w:rPr>
                <w:rFonts w:ascii="Calibri" w:eastAsia="Times New Roman" w:hAnsi="Calibri" w:cs="Calibri"/>
                <w:sz w:val="20"/>
                <w:szCs w:val="20"/>
              </w:rPr>
              <w:t>. Jednocześnie w ust. 4 mowa jest o OIRE, podmiotach, o których mowa w art. 11zg ust. 1, a także o operatorze systemu przesyłowego. Dla uniknięcia wątpliwości interpretacyjnych, proponujemy doprecyzowanie o jakie podmioty chodzi w art. 4k ust. 8 - przepis jest kluczowy dla przypisania obowiązku działania po przywróceniu dostępności systemu.</w:t>
            </w:r>
          </w:p>
        </w:tc>
        <w:tc>
          <w:tcPr>
            <w:tcW w:w="3543" w:type="dxa"/>
          </w:tcPr>
          <w:p w14:paraId="2A920BE2" w14:textId="77777777" w:rsidR="00AE4AA4" w:rsidRPr="00907498" w:rsidRDefault="00AE4AA4" w:rsidP="006B2CF1">
            <w:pPr>
              <w:jc w:val="both"/>
              <w:rPr>
                <w:rFonts w:ascii="Calibri" w:hAnsi="Calibri" w:cs="Calibri"/>
                <w:sz w:val="20"/>
                <w:szCs w:val="20"/>
              </w:rPr>
            </w:pPr>
            <w:r w:rsidRPr="00907498">
              <w:rPr>
                <w:rFonts w:ascii="Calibri" w:eastAsia="Times New Roman" w:hAnsi="Calibri" w:cs="Calibri"/>
                <w:b/>
                <w:bCs/>
                <w:sz w:val="20"/>
                <w:szCs w:val="20"/>
              </w:rPr>
              <w:t>„Operator informacji rynku energii, podmioty, o których mowa w art. 11zg ust. 1 oraz operator systemu przesyłowego</w:t>
            </w:r>
            <w:r w:rsidRPr="00907498">
              <w:rPr>
                <w:rFonts w:ascii="Calibri" w:eastAsia="Times New Roman" w:hAnsi="Calibri" w:cs="Calibri"/>
                <w:sz w:val="20"/>
                <w:szCs w:val="20"/>
              </w:rPr>
              <w:t xml:space="preserve">, uzupełniają lub dokonują korekty danych pomiarowych oraz innych informacji rynku energii w centralnym systemie informacji rynku energii po usunięciu niedostępności danego systemu informacyjnego, o której mowa w ust. 3.” </w:t>
            </w:r>
          </w:p>
          <w:p w14:paraId="3FDEAC87" w14:textId="77777777" w:rsidR="00AE4AA4" w:rsidRPr="00907498" w:rsidRDefault="00AE4AA4" w:rsidP="006B2CF1">
            <w:pPr>
              <w:jc w:val="both"/>
              <w:rPr>
                <w:rFonts w:ascii="Calibri" w:hAnsi="Calibri" w:cs="Calibri"/>
                <w:sz w:val="20"/>
                <w:szCs w:val="20"/>
              </w:rPr>
            </w:pPr>
            <w:r w:rsidRPr="00907498">
              <w:rPr>
                <w:rFonts w:ascii="Calibri" w:eastAsia="Times New Roman" w:hAnsi="Calibri" w:cs="Calibri"/>
                <w:sz w:val="20"/>
                <w:szCs w:val="20"/>
              </w:rPr>
              <w:t xml:space="preserve"> </w:t>
            </w:r>
          </w:p>
          <w:p w14:paraId="52F08170" w14:textId="508F8C5E" w:rsidR="00AE4AA4" w:rsidRPr="00907498" w:rsidRDefault="00AE4AA4" w:rsidP="006B2CF1">
            <w:pPr>
              <w:jc w:val="both"/>
              <w:rPr>
                <w:rFonts w:ascii="Calibri" w:hAnsi="Calibri" w:cs="Calibri"/>
                <w:sz w:val="20"/>
                <w:szCs w:val="20"/>
              </w:rPr>
            </w:pPr>
            <w:r w:rsidRPr="00907498">
              <w:rPr>
                <w:rFonts w:ascii="Calibri" w:eastAsia="Times New Roman" w:hAnsi="Calibri" w:cs="Calibri"/>
                <w:sz w:val="20"/>
                <w:szCs w:val="20"/>
              </w:rPr>
              <w:t>Ewentualnie inny sposób konkretyzujący podmioty zobowiązane do uzupełnienia lub skorygowania danych i informacji.</w:t>
            </w:r>
          </w:p>
        </w:tc>
      </w:tr>
      <w:tr w:rsidR="00167801" w:rsidRPr="00907498" w14:paraId="4E58D657" w14:textId="77777777" w:rsidTr="006B2CF1">
        <w:tc>
          <w:tcPr>
            <w:tcW w:w="567" w:type="dxa"/>
          </w:tcPr>
          <w:p w14:paraId="27BBB67F" w14:textId="105738D1" w:rsidR="00167801" w:rsidRPr="00907498" w:rsidRDefault="00167801" w:rsidP="006B2CF1">
            <w:pPr>
              <w:pStyle w:val="Akapitzlist"/>
              <w:numPr>
                <w:ilvl w:val="0"/>
                <w:numId w:val="3"/>
              </w:numPr>
              <w:jc w:val="both"/>
              <w:rPr>
                <w:rFonts w:ascii="Calibri" w:eastAsia="Times New Roman" w:hAnsi="Calibri" w:cs="Calibri"/>
                <w:sz w:val="20"/>
                <w:szCs w:val="20"/>
              </w:rPr>
            </w:pPr>
          </w:p>
        </w:tc>
        <w:tc>
          <w:tcPr>
            <w:tcW w:w="1701" w:type="dxa"/>
          </w:tcPr>
          <w:p w14:paraId="6754E680" w14:textId="2B31F520" w:rsidR="00167801" w:rsidRPr="00907498" w:rsidRDefault="006B2CF1" w:rsidP="00167801">
            <w:pPr>
              <w:jc w:val="both"/>
              <w:rPr>
                <w:rFonts w:ascii="Calibri" w:eastAsia="Times New Roman" w:hAnsi="Calibri" w:cs="Calibri"/>
                <w:sz w:val="20"/>
                <w:szCs w:val="20"/>
              </w:rPr>
            </w:pPr>
            <w:r w:rsidRPr="00907498">
              <w:rPr>
                <w:rFonts w:ascii="Calibri" w:eastAsia="Times New Roman" w:hAnsi="Calibri" w:cs="Calibri"/>
                <w:sz w:val="20"/>
                <w:szCs w:val="20"/>
              </w:rPr>
              <w:t>Konfederacja Lewiatan</w:t>
            </w:r>
          </w:p>
        </w:tc>
        <w:tc>
          <w:tcPr>
            <w:tcW w:w="1838" w:type="dxa"/>
          </w:tcPr>
          <w:p w14:paraId="1288223E" w14:textId="77777777" w:rsidR="00167801" w:rsidRPr="00907498" w:rsidRDefault="00167801" w:rsidP="00167801">
            <w:pPr>
              <w:rPr>
                <w:rFonts w:ascii="Calibri" w:hAnsi="Calibri" w:cs="Calibri"/>
                <w:sz w:val="20"/>
                <w:szCs w:val="20"/>
              </w:rPr>
            </w:pPr>
            <w:r w:rsidRPr="00907498">
              <w:rPr>
                <w:rFonts w:ascii="Calibri" w:eastAsia="Times New Roman" w:hAnsi="Calibri" w:cs="Calibri"/>
                <w:sz w:val="20"/>
                <w:szCs w:val="20"/>
              </w:rPr>
              <w:t xml:space="preserve">Art. 1 pkt 2 lit b wprowadzający nowy art. 4k ust. 8 </w:t>
            </w:r>
          </w:p>
          <w:p w14:paraId="3F1B9777" w14:textId="0B965CCC" w:rsidR="00167801" w:rsidRPr="00907498" w:rsidRDefault="00167801" w:rsidP="00167801">
            <w:pPr>
              <w:rPr>
                <w:rFonts w:ascii="Calibri" w:eastAsia="Times New Roman" w:hAnsi="Calibri" w:cs="Calibri"/>
                <w:sz w:val="20"/>
                <w:szCs w:val="20"/>
              </w:rPr>
            </w:pPr>
            <w:r w:rsidRPr="00907498">
              <w:rPr>
                <w:rFonts w:ascii="Calibri" w:eastAsia="Times New Roman" w:hAnsi="Calibri" w:cs="Calibri"/>
                <w:sz w:val="20"/>
                <w:szCs w:val="20"/>
              </w:rPr>
              <w:t xml:space="preserve"> </w:t>
            </w:r>
          </w:p>
        </w:tc>
        <w:tc>
          <w:tcPr>
            <w:tcW w:w="5387" w:type="dxa"/>
          </w:tcPr>
          <w:p w14:paraId="2272C166" w14:textId="77777777" w:rsidR="00167801" w:rsidRPr="00907498" w:rsidRDefault="00167801" w:rsidP="006B2CF1">
            <w:pPr>
              <w:jc w:val="both"/>
              <w:rPr>
                <w:rFonts w:ascii="Calibri" w:hAnsi="Calibri" w:cs="Calibri"/>
                <w:sz w:val="20"/>
                <w:szCs w:val="20"/>
              </w:rPr>
            </w:pPr>
            <w:r w:rsidRPr="00907498">
              <w:rPr>
                <w:rFonts w:ascii="Calibri" w:eastAsia="Times New Roman" w:hAnsi="Calibri" w:cs="Calibri"/>
                <w:sz w:val="20"/>
                <w:szCs w:val="20"/>
              </w:rPr>
              <w:t>Proponujemy uzupełnienie przepisu o odesłanie do planu działania, o którym mowa w art. 11zha ust. 1, poprzez dodanie zwrotu „w sposób określony w planie działania, o którym mowa w art. 11zha ust. 1”. Takie rozwiązanie zapewni spójność regulacji ustawowej z planem działania, w którym operator informacji rynku energii pełni funkcję koordynatora procesu przywracania normalnego trybu pracy po usunięciu niedostępności systemów.</w:t>
            </w:r>
          </w:p>
          <w:p w14:paraId="208E7757" w14:textId="27721DE1" w:rsidR="00167801" w:rsidRPr="00907498" w:rsidRDefault="00167801" w:rsidP="006B2CF1">
            <w:pPr>
              <w:jc w:val="both"/>
              <w:rPr>
                <w:rFonts w:ascii="Calibri" w:eastAsia="Times New Roman" w:hAnsi="Calibri" w:cs="Calibri"/>
                <w:sz w:val="20"/>
                <w:szCs w:val="20"/>
              </w:rPr>
            </w:pPr>
            <w:r w:rsidRPr="00907498">
              <w:rPr>
                <w:rFonts w:ascii="Calibri" w:eastAsia="Times New Roman" w:hAnsi="Calibri" w:cs="Calibri"/>
                <w:sz w:val="20"/>
                <w:szCs w:val="20"/>
              </w:rPr>
              <w:t xml:space="preserve"> </w:t>
            </w:r>
          </w:p>
        </w:tc>
        <w:tc>
          <w:tcPr>
            <w:tcW w:w="3543" w:type="dxa"/>
          </w:tcPr>
          <w:p w14:paraId="1485068C" w14:textId="5FF10093" w:rsidR="00167801" w:rsidRPr="00907498" w:rsidRDefault="00167801" w:rsidP="006B2CF1">
            <w:pPr>
              <w:jc w:val="both"/>
              <w:rPr>
                <w:rFonts w:ascii="Calibri" w:eastAsia="Times New Roman" w:hAnsi="Calibri" w:cs="Calibri"/>
                <w:b/>
                <w:bCs/>
                <w:i/>
                <w:iCs/>
                <w:sz w:val="20"/>
                <w:szCs w:val="20"/>
              </w:rPr>
            </w:pPr>
            <w:r w:rsidRPr="00907498">
              <w:rPr>
                <w:rFonts w:ascii="Calibri" w:eastAsia="Times New Roman" w:hAnsi="Calibri" w:cs="Calibri"/>
                <w:sz w:val="20"/>
                <w:szCs w:val="20"/>
              </w:rPr>
              <w:t>„</w:t>
            </w:r>
            <w:r w:rsidRPr="00907498">
              <w:rPr>
                <w:rFonts w:ascii="Calibri" w:eastAsia="Times New Roman" w:hAnsi="Calibri" w:cs="Calibri"/>
                <w:i/>
                <w:iCs/>
                <w:sz w:val="20"/>
                <w:szCs w:val="20"/>
              </w:rPr>
              <w:t xml:space="preserve">Podmioty, o których mowa w ust. 4, uzupełniają lub dokonują korekty danych pomiarowych oraz innych informacji rynku energii w centralnym systemie informacji rynku energii po usunięciu niedostępności danego systemu informacyjnego, o której mowa w ust. 3., </w:t>
            </w:r>
            <w:r w:rsidRPr="00907498">
              <w:rPr>
                <w:rFonts w:ascii="Calibri" w:eastAsia="Times New Roman" w:hAnsi="Calibri" w:cs="Calibri"/>
                <w:b/>
                <w:bCs/>
                <w:i/>
                <w:iCs/>
                <w:sz w:val="20"/>
                <w:szCs w:val="20"/>
              </w:rPr>
              <w:t>w sposób określony w planie działania, o którym mowa w art. 11zha ust. 1</w:t>
            </w:r>
            <w:r w:rsidRPr="00907498">
              <w:rPr>
                <w:rFonts w:ascii="Calibri" w:eastAsia="Times New Roman" w:hAnsi="Calibri" w:cs="Calibri"/>
                <w:b/>
                <w:bCs/>
                <w:sz w:val="20"/>
                <w:szCs w:val="20"/>
              </w:rPr>
              <w:t>”</w:t>
            </w:r>
          </w:p>
        </w:tc>
      </w:tr>
      <w:tr w:rsidR="00167801" w:rsidRPr="00907498" w14:paraId="12198CFE" w14:textId="77777777" w:rsidTr="006B2CF1">
        <w:tc>
          <w:tcPr>
            <w:tcW w:w="567" w:type="dxa"/>
          </w:tcPr>
          <w:p w14:paraId="27FE19B3" w14:textId="5AFDF8C7" w:rsidR="00167801" w:rsidRPr="00907498" w:rsidRDefault="00167801" w:rsidP="006B2CF1">
            <w:pPr>
              <w:pStyle w:val="Akapitzlist"/>
              <w:numPr>
                <w:ilvl w:val="0"/>
                <w:numId w:val="3"/>
              </w:numPr>
              <w:jc w:val="both"/>
              <w:rPr>
                <w:rFonts w:ascii="Calibri" w:eastAsia="Times New Roman" w:hAnsi="Calibri" w:cs="Calibri"/>
                <w:sz w:val="20"/>
                <w:szCs w:val="20"/>
              </w:rPr>
            </w:pPr>
          </w:p>
        </w:tc>
        <w:tc>
          <w:tcPr>
            <w:tcW w:w="1701" w:type="dxa"/>
          </w:tcPr>
          <w:p w14:paraId="5A2CB008" w14:textId="054BD757" w:rsidR="00167801" w:rsidRPr="00907498" w:rsidRDefault="006B2CF1" w:rsidP="00167801">
            <w:pPr>
              <w:jc w:val="both"/>
              <w:rPr>
                <w:rFonts w:ascii="Calibri" w:eastAsia="Times New Roman" w:hAnsi="Calibri" w:cs="Calibri"/>
                <w:sz w:val="20"/>
                <w:szCs w:val="20"/>
              </w:rPr>
            </w:pPr>
            <w:r w:rsidRPr="00907498">
              <w:rPr>
                <w:rFonts w:ascii="Calibri" w:eastAsia="Times New Roman" w:hAnsi="Calibri" w:cs="Calibri"/>
                <w:sz w:val="20"/>
                <w:szCs w:val="20"/>
              </w:rPr>
              <w:t>Konfederacja Lewiatan</w:t>
            </w:r>
          </w:p>
        </w:tc>
        <w:tc>
          <w:tcPr>
            <w:tcW w:w="1838" w:type="dxa"/>
          </w:tcPr>
          <w:p w14:paraId="7F6A1219" w14:textId="294491E8" w:rsidR="00167801" w:rsidRPr="00907498" w:rsidRDefault="00167801" w:rsidP="00167801">
            <w:pPr>
              <w:rPr>
                <w:rFonts w:ascii="Calibri" w:eastAsia="Times New Roman" w:hAnsi="Calibri" w:cs="Calibri"/>
                <w:sz w:val="20"/>
                <w:szCs w:val="20"/>
              </w:rPr>
            </w:pPr>
            <w:r w:rsidRPr="00907498">
              <w:rPr>
                <w:rFonts w:ascii="Calibri" w:eastAsia="Times New Roman" w:hAnsi="Calibri" w:cs="Calibri"/>
                <w:sz w:val="20"/>
                <w:szCs w:val="20"/>
              </w:rPr>
              <w:t>Art. 1 pkt 2 lit b wprowadzający nowy art. 4k ust. 9 PE</w:t>
            </w:r>
          </w:p>
        </w:tc>
        <w:tc>
          <w:tcPr>
            <w:tcW w:w="5387" w:type="dxa"/>
          </w:tcPr>
          <w:p w14:paraId="469E2A3A" w14:textId="77777777" w:rsidR="00167801" w:rsidRPr="00907498" w:rsidRDefault="00167801" w:rsidP="007467C2">
            <w:pPr>
              <w:jc w:val="both"/>
              <w:rPr>
                <w:rFonts w:ascii="Calibri" w:hAnsi="Calibri" w:cs="Calibri"/>
                <w:sz w:val="20"/>
                <w:szCs w:val="20"/>
              </w:rPr>
            </w:pPr>
            <w:r w:rsidRPr="00907498">
              <w:rPr>
                <w:rFonts w:ascii="Calibri" w:eastAsia="Times New Roman" w:hAnsi="Calibri" w:cs="Calibri"/>
                <w:sz w:val="20"/>
                <w:szCs w:val="20"/>
              </w:rPr>
              <w:t>Uwaga redakcyjna – w projektowanym nowym ust. 9 występuje błędne odwołanie do ust. 4 zamiast do ust. 8. O uzupełnieniu lub korekcie danych i informacji mowa jest w ust. 8, a nie w ust. 4.</w:t>
            </w:r>
          </w:p>
          <w:p w14:paraId="3CC6CEB5" w14:textId="77777777" w:rsidR="00167801" w:rsidRPr="00907498" w:rsidRDefault="00167801" w:rsidP="007467C2">
            <w:pPr>
              <w:jc w:val="both"/>
              <w:rPr>
                <w:rFonts w:ascii="Calibri" w:hAnsi="Calibri" w:cs="Calibri"/>
                <w:sz w:val="20"/>
                <w:szCs w:val="20"/>
              </w:rPr>
            </w:pPr>
            <w:r w:rsidRPr="00907498">
              <w:rPr>
                <w:rFonts w:ascii="Calibri" w:eastAsia="Times New Roman" w:hAnsi="Calibri" w:cs="Calibri"/>
                <w:sz w:val="20"/>
                <w:szCs w:val="20"/>
              </w:rPr>
              <w:t xml:space="preserve"> </w:t>
            </w:r>
          </w:p>
          <w:p w14:paraId="23453834" w14:textId="31F4D537" w:rsidR="00167801" w:rsidRPr="00907498" w:rsidRDefault="00167801" w:rsidP="007467C2">
            <w:pPr>
              <w:jc w:val="both"/>
              <w:rPr>
                <w:rFonts w:ascii="Calibri" w:eastAsia="Times New Roman" w:hAnsi="Calibri" w:cs="Calibri"/>
                <w:sz w:val="20"/>
                <w:szCs w:val="20"/>
              </w:rPr>
            </w:pPr>
            <w:r w:rsidRPr="00907498">
              <w:rPr>
                <w:rFonts w:ascii="Calibri" w:eastAsia="Times New Roman" w:hAnsi="Calibri" w:cs="Calibri"/>
                <w:sz w:val="20"/>
                <w:szCs w:val="20"/>
              </w:rPr>
              <w:t xml:space="preserve">Zwracamy jednocześnie uwagę na wstęp do wyliczenia wprowadzanych, nowych ustępów literą b – stanowi ono </w:t>
            </w:r>
            <w:r w:rsidRPr="00907498">
              <w:rPr>
                <w:rFonts w:ascii="Calibri" w:eastAsia="Times New Roman" w:hAnsi="Calibri" w:cs="Calibri"/>
                <w:sz w:val="20"/>
                <w:szCs w:val="20"/>
              </w:rPr>
              <w:lastRenderedPageBreak/>
              <w:t xml:space="preserve">dodanie </w:t>
            </w:r>
            <w:r w:rsidRPr="00907498">
              <w:rPr>
                <w:rFonts w:ascii="Calibri" w:eastAsia="Times New Roman" w:hAnsi="Calibri" w:cs="Calibri"/>
                <w:i/>
                <w:iCs/>
                <w:sz w:val="20"/>
                <w:szCs w:val="20"/>
              </w:rPr>
              <w:t>„(…) ust. 3-8 w brzmieniu”</w:t>
            </w:r>
            <w:r w:rsidRPr="00907498">
              <w:rPr>
                <w:rFonts w:ascii="Calibri" w:eastAsia="Times New Roman" w:hAnsi="Calibri" w:cs="Calibri"/>
                <w:sz w:val="20"/>
                <w:szCs w:val="20"/>
              </w:rPr>
              <w:t xml:space="preserve">, a w rzeczywistości wprowadzane są ustępy od 3 </w:t>
            </w:r>
            <w:r w:rsidRPr="00907498">
              <w:rPr>
                <w:rFonts w:ascii="Calibri" w:eastAsia="Times New Roman" w:hAnsi="Calibri" w:cs="Calibri"/>
                <w:b/>
                <w:bCs/>
                <w:sz w:val="20"/>
                <w:szCs w:val="20"/>
              </w:rPr>
              <w:t>do</w:t>
            </w:r>
            <w:r w:rsidRPr="00907498">
              <w:rPr>
                <w:rFonts w:ascii="Calibri" w:eastAsia="Times New Roman" w:hAnsi="Calibri" w:cs="Calibri"/>
                <w:sz w:val="20"/>
                <w:szCs w:val="20"/>
              </w:rPr>
              <w:t xml:space="preserve"> </w:t>
            </w:r>
            <w:r w:rsidRPr="00907498">
              <w:rPr>
                <w:rFonts w:ascii="Calibri" w:eastAsia="Times New Roman" w:hAnsi="Calibri" w:cs="Calibri"/>
                <w:b/>
                <w:bCs/>
                <w:sz w:val="20"/>
                <w:szCs w:val="20"/>
              </w:rPr>
              <w:t>9.</w:t>
            </w:r>
            <w:r w:rsidRPr="00907498">
              <w:rPr>
                <w:rFonts w:ascii="Calibri" w:eastAsia="Times New Roman" w:hAnsi="Calibri" w:cs="Calibri"/>
                <w:sz w:val="20"/>
                <w:szCs w:val="20"/>
              </w:rPr>
              <w:t xml:space="preserve"> </w:t>
            </w:r>
          </w:p>
        </w:tc>
        <w:tc>
          <w:tcPr>
            <w:tcW w:w="3543" w:type="dxa"/>
          </w:tcPr>
          <w:p w14:paraId="3189E4C1" w14:textId="7CE3A52A" w:rsidR="00167801" w:rsidRPr="00907498" w:rsidRDefault="00167801" w:rsidP="006B2CF1">
            <w:pPr>
              <w:jc w:val="both"/>
              <w:rPr>
                <w:rFonts w:ascii="Calibri" w:hAnsi="Calibri" w:cs="Calibri"/>
                <w:sz w:val="20"/>
                <w:szCs w:val="20"/>
              </w:rPr>
            </w:pPr>
            <w:r w:rsidRPr="00907498">
              <w:rPr>
                <w:rFonts w:ascii="Calibri" w:eastAsia="Times New Roman" w:hAnsi="Calibri" w:cs="Calibri"/>
                <w:i/>
                <w:iCs/>
                <w:sz w:val="20"/>
                <w:szCs w:val="20"/>
              </w:rPr>
              <w:lastRenderedPageBreak/>
              <w:t xml:space="preserve">„Użytkownik systemu elektroenergetycznego, w tym operator systemu dystrybucyjnego elektroenergetycznego, operator systemu przesyłowego elektroenergetycznego lub sprzedawca energii elektrycznej, po usunięciu </w:t>
            </w:r>
            <w:r w:rsidRPr="00907498">
              <w:rPr>
                <w:rFonts w:ascii="Calibri" w:eastAsia="Times New Roman" w:hAnsi="Calibri" w:cs="Calibri"/>
                <w:i/>
                <w:iCs/>
                <w:sz w:val="20"/>
                <w:szCs w:val="20"/>
              </w:rPr>
              <w:lastRenderedPageBreak/>
              <w:t xml:space="preserve">niedostępności centralnego systemu informacji rynku energii lub systemu informacyjnego współpracującego z tym systemem, dokonują korekty rozliczeń przeprowadzonych zgodnie z ust. 2, jeżeli zastosowane do tych rozliczeń dane pomiarowe lub inne informacje rynku energii były niezgodne z danymi pomiarowymi lub innymi informacjami rynku energii zarejestrowanymi w centralnym systemie informacji rynku energii po ich uzupełnieniu lub korekcie zgodnie </w:t>
            </w:r>
            <w:r w:rsidRPr="00907498">
              <w:rPr>
                <w:rFonts w:ascii="Calibri" w:eastAsia="Times New Roman" w:hAnsi="Calibri" w:cs="Calibri"/>
                <w:b/>
                <w:bCs/>
                <w:i/>
                <w:iCs/>
                <w:sz w:val="20"/>
                <w:szCs w:val="20"/>
              </w:rPr>
              <w:t>z ust. 8</w:t>
            </w:r>
            <w:r w:rsidRPr="00907498">
              <w:rPr>
                <w:rFonts w:ascii="Calibri" w:eastAsia="Times New Roman" w:hAnsi="Calibri" w:cs="Calibri"/>
                <w:i/>
                <w:iCs/>
                <w:sz w:val="20"/>
                <w:szCs w:val="20"/>
              </w:rPr>
              <w:t>. Korekta, o której mowa w zdaniu pierwszym, jest uwzględniana przy najbliższym rozliczeniu dokonywanym po usunięciu niedostępności.”</w:t>
            </w:r>
          </w:p>
        </w:tc>
      </w:tr>
      <w:tr w:rsidR="00524441" w:rsidRPr="00907498" w14:paraId="4ADBF284" w14:textId="77777777" w:rsidTr="006B2CF1">
        <w:tc>
          <w:tcPr>
            <w:tcW w:w="567" w:type="dxa"/>
          </w:tcPr>
          <w:p w14:paraId="02086D43" w14:textId="2F00E6DF" w:rsidR="00524441" w:rsidRPr="00907498" w:rsidRDefault="00524441" w:rsidP="006B2CF1">
            <w:pPr>
              <w:pStyle w:val="Akapitzlist"/>
              <w:numPr>
                <w:ilvl w:val="0"/>
                <w:numId w:val="3"/>
              </w:numPr>
              <w:jc w:val="both"/>
              <w:rPr>
                <w:rFonts w:ascii="Calibri" w:hAnsi="Calibri" w:cs="Calibri"/>
                <w:sz w:val="20"/>
                <w:szCs w:val="20"/>
              </w:rPr>
            </w:pPr>
          </w:p>
        </w:tc>
        <w:tc>
          <w:tcPr>
            <w:tcW w:w="1701" w:type="dxa"/>
          </w:tcPr>
          <w:p w14:paraId="1854632E" w14:textId="08631188" w:rsidR="00524441" w:rsidRPr="00907498" w:rsidRDefault="006B2CF1" w:rsidP="004C59F6">
            <w:pPr>
              <w:spacing w:line="278" w:lineRule="auto"/>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786DAC42" w14:textId="2BC21B5B" w:rsidR="00524441" w:rsidRPr="00907498" w:rsidRDefault="00524441" w:rsidP="004C59F6">
            <w:pPr>
              <w:spacing w:line="278" w:lineRule="auto"/>
              <w:jc w:val="both"/>
              <w:rPr>
                <w:rFonts w:ascii="Calibri" w:hAnsi="Calibri" w:cs="Calibri"/>
                <w:sz w:val="20"/>
                <w:szCs w:val="20"/>
              </w:rPr>
            </w:pPr>
            <w:r w:rsidRPr="00907498">
              <w:rPr>
                <w:rFonts w:ascii="Calibri" w:hAnsi="Calibri" w:cs="Calibri"/>
                <w:sz w:val="20"/>
                <w:szCs w:val="20"/>
              </w:rPr>
              <w:t>Art. 1 pkt 2 lit. b w zakresie dodawanego art. 4k ust. 8-9</w:t>
            </w:r>
          </w:p>
        </w:tc>
        <w:tc>
          <w:tcPr>
            <w:tcW w:w="5387" w:type="dxa"/>
          </w:tcPr>
          <w:p w14:paraId="50A02BC1"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Projekt ustawy przewiduje obowiązek dokonywania korekt danych oraz korekt rozliczeń po usunięciu niedostępności CSIRE lub systemów współpracujących, nie wskazując maksymalnego okresu, w którym takie korekty mogą być dokonywane. Brak terminu granicznego może prowadzić do długotrwałej niepewności rozliczeniowej po stronie uczestników rynku.</w:t>
            </w:r>
          </w:p>
          <w:p w14:paraId="22765AF0" w14:textId="2BBB5FB5"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Proponuje się wprowadzenie maksymalnego terminu dokonywania korekt danych i rozliczeń po usunięciu niedostępności oraz zagwarantowanie uczestnikom rynku dostępu do danych stanowiących podstawę dokonania korekty.</w:t>
            </w:r>
          </w:p>
        </w:tc>
        <w:tc>
          <w:tcPr>
            <w:tcW w:w="3543" w:type="dxa"/>
          </w:tcPr>
          <w:p w14:paraId="318B5F83" w14:textId="4E537F5D" w:rsidR="00524441" w:rsidRPr="00907498" w:rsidRDefault="00524441" w:rsidP="004C59F6">
            <w:pPr>
              <w:spacing w:line="278" w:lineRule="auto"/>
              <w:jc w:val="both"/>
              <w:rPr>
                <w:rFonts w:ascii="Calibri" w:hAnsi="Calibri" w:cs="Calibri"/>
                <w:sz w:val="20"/>
                <w:szCs w:val="20"/>
              </w:rPr>
            </w:pPr>
            <w:r w:rsidRPr="00907498">
              <w:rPr>
                <w:rFonts w:ascii="Calibri" w:hAnsi="Calibri" w:cs="Calibri"/>
                <w:sz w:val="20"/>
                <w:szCs w:val="20"/>
              </w:rPr>
              <w:t xml:space="preserve">9. Użytkownik systemu elektroenergetycznego, w tym operator systemu dystrybucyjnego elektroenergetycznego, operator systemu przesyłowego elektroenergetycznego lub sprzedawca energii elektrycznej, po usunięciu niedostępności centralnego systemu informacji rynku energii lub systemu informacyjnego współpracującego z tym systemem, dokonują korekty rozliczeń przeprowadzonych zgodnie z ust. 2, jeżeli zastosowane do tych rozliczeń dane </w:t>
            </w:r>
            <w:r w:rsidRPr="00907498">
              <w:rPr>
                <w:rFonts w:ascii="Calibri" w:hAnsi="Calibri" w:cs="Calibri"/>
                <w:sz w:val="20"/>
                <w:szCs w:val="20"/>
              </w:rPr>
              <w:lastRenderedPageBreak/>
              <w:t xml:space="preserve">pomiarowe lub inne informacje rynku energii były niezgodne z danymi pomiarowymi lub innymi informacjami rynku energii zarejestrowanymi w centralnym systemie informacji rynku energii po ich uzupełnieniu lub korekcie zgodnie z ust. 4. Korekta, o której mowa w zdaniu pierwszym, jest uwzględniana przy najbliższym rozliczeniu dokonywanym po usunięciu niedostępności. </w:t>
            </w:r>
            <w:r w:rsidRPr="00907498">
              <w:rPr>
                <w:rFonts w:ascii="Calibri" w:hAnsi="Calibri" w:cs="Calibri"/>
                <w:b/>
                <w:bCs/>
                <w:sz w:val="20"/>
                <w:szCs w:val="20"/>
              </w:rPr>
              <w:t>Korekta, o której mowa w zdaniu pierwszym, nie może zostać dokonana później niż w terminie 3 miesięcy od dnia usunięcia niedostępności, o której mowa w ust. 2.</w:t>
            </w:r>
          </w:p>
        </w:tc>
      </w:tr>
      <w:tr w:rsidR="00524441" w:rsidRPr="00907498" w14:paraId="1F92D142" w14:textId="77777777" w:rsidTr="006B2CF1">
        <w:tc>
          <w:tcPr>
            <w:tcW w:w="567" w:type="dxa"/>
          </w:tcPr>
          <w:p w14:paraId="2E942CC9" w14:textId="5B7B50A7" w:rsidR="00524441" w:rsidRPr="00907498" w:rsidRDefault="00524441" w:rsidP="006B2CF1">
            <w:pPr>
              <w:pStyle w:val="Akapitzlist"/>
              <w:numPr>
                <w:ilvl w:val="0"/>
                <w:numId w:val="3"/>
              </w:numPr>
              <w:jc w:val="both"/>
              <w:rPr>
                <w:rFonts w:ascii="Calibri" w:hAnsi="Calibri" w:cs="Calibri"/>
                <w:sz w:val="20"/>
                <w:szCs w:val="20"/>
              </w:rPr>
            </w:pPr>
          </w:p>
        </w:tc>
        <w:tc>
          <w:tcPr>
            <w:tcW w:w="1701" w:type="dxa"/>
          </w:tcPr>
          <w:p w14:paraId="0586D970" w14:textId="035A9519" w:rsidR="00524441" w:rsidRPr="00907498" w:rsidRDefault="006B2CF1" w:rsidP="004C59F6">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21505CEE" w14:textId="3D7A41EE" w:rsidR="00524441" w:rsidRPr="00907498" w:rsidRDefault="00524441" w:rsidP="004C59F6">
            <w:pPr>
              <w:jc w:val="both"/>
              <w:rPr>
                <w:rFonts w:ascii="Calibri" w:hAnsi="Calibri" w:cs="Calibri"/>
                <w:sz w:val="20"/>
                <w:szCs w:val="20"/>
              </w:rPr>
            </w:pPr>
            <w:r w:rsidRPr="00907498">
              <w:rPr>
                <w:rFonts w:ascii="Calibri" w:hAnsi="Calibri" w:cs="Calibri"/>
                <w:sz w:val="20"/>
                <w:szCs w:val="20"/>
              </w:rPr>
              <w:t>Art. 1 pkt 4 w zakresie dodawanego art. 9g ust. 4 pkt 5c</w:t>
            </w:r>
          </w:p>
        </w:tc>
        <w:tc>
          <w:tcPr>
            <w:tcW w:w="5387" w:type="dxa"/>
          </w:tcPr>
          <w:p w14:paraId="3DE30F30"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 xml:space="preserve">Projekt ustawy pozostawia określenie kryteriów uznania naruszenia za „rażące” wyłącznie do uregulowania w </w:t>
            </w:r>
            <w:proofErr w:type="spellStart"/>
            <w:r w:rsidRPr="00907498">
              <w:rPr>
                <w:rFonts w:ascii="Calibri" w:hAnsi="Calibri" w:cs="Calibri"/>
                <w:sz w:val="20"/>
                <w:szCs w:val="20"/>
              </w:rPr>
              <w:t>IRiESP</w:t>
            </w:r>
            <w:proofErr w:type="spellEnd"/>
            <w:r w:rsidRPr="00907498">
              <w:rPr>
                <w:rFonts w:ascii="Calibri" w:hAnsi="Calibri" w:cs="Calibri"/>
                <w:sz w:val="20"/>
                <w:szCs w:val="20"/>
              </w:rPr>
              <w:t xml:space="preserve"> oraz </w:t>
            </w:r>
            <w:proofErr w:type="spellStart"/>
            <w:r w:rsidRPr="00907498">
              <w:rPr>
                <w:rFonts w:ascii="Calibri" w:hAnsi="Calibri" w:cs="Calibri"/>
                <w:sz w:val="20"/>
                <w:szCs w:val="20"/>
              </w:rPr>
              <w:t>IRiESD</w:t>
            </w:r>
            <w:proofErr w:type="spellEnd"/>
            <w:r w:rsidRPr="00907498">
              <w:rPr>
                <w:rFonts w:ascii="Calibri" w:hAnsi="Calibri" w:cs="Calibri"/>
                <w:sz w:val="20"/>
                <w:szCs w:val="20"/>
              </w:rPr>
              <w:t>. Jednocześnie od spełnienia tych kryteriów zależy możliwość zastosowania przez operatora systemu środka polegającego na ograniczeniu pracy lub odłączeniu źródła albo magazynu energii od sieci. Tak istotne przesłanki ingerencji w działalność gospodarczą uczestników rynku powinny wynikać bezpośrednio z ustawy.</w:t>
            </w:r>
          </w:p>
          <w:p w14:paraId="21AC88C9" w14:textId="0A367415" w:rsidR="006D3F88" w:rsidRPr="00907498" w:rsidRDefault="006D3F88" w:rsidP="004C59F6">
            <w:pPr>
              <w:jc w:val="both"/>
              <w:rPr>
                <w:rFonts w:ascii="Calibri" w:hAnsi="Calibri" w:cs="Calibri"/>
                <w:sz w:val="20"/>
                <w:szCs w:val="20"/>
              </w:rPr>
            </w:pPr>
          </w:p>
          <w:p w14:paraId="40A52D43" w14:textId="10A999D5" w:rsidR="006D3F88" w:rsidRPr="00907498" w:rsidRDefault="006D3F88" w:rsidP="006D3F88">
            <w:pPr>
              <w:jc w:val="both"/>
              <w:rPr>
                <w:rFonts w:ascii="Calibri" w:hAnsi="Calibri" w:cs="Calibri"/>
                <w:sz w:val="20"/>
                <w:szCs w:val="20"/>
              </w:rPr>
            </w:pPr>
            <w:r w:rsidRPr="00907498">
              <w:rPr>
                <w:rFonts w:ascii="Calibri" w:hAnsi="Calibri" w:cs="Calibri"/>
                <w:sz w:val="20"/>
                <w:szCs w:val="20"/>
              </w:rPr>
              <w:t xml:space="preserve">W obecnym brzmieniu </w:t>
            </w:r>
            <w:r w:rsidR="00DE5544" w:rsidRPr="00907498">
              <w:rPr>
                <w:rFonts w:ascii="Calibri" w:hAnsi="Calibri" w:cs="Calibri"/>
                <w:sz w:val="20"/>
                <w:szCs w:val="20"/>
              </w:rPr>
              <w:t xml:space="preserve">projekt </w:t>
            </w:r>
            <w:r w:rsidR="007839F4" w:rsidRPr="00907498">
              <w:rPr>
                <w:rFonts w:ascii="Calibri" w:hAnsi="Calibri" w:cs="Calibri"/>
                <w:sz w:val="20"/>
                <w:szCs w:val="20"/>
              </w:rPr>
              <w:t xml:space="preserve">zarówno </w:t>
            </w:r>
            <w:r w:rsidR="00DE5544" w:rsidRPr="00907498">
              <w:rPr>
                <w:rFonts w:ascii="Calibri" w:hAnsi="Calibri" w:cs="Calibri"/>
                <w:sz w:val="20"/>
                <w:szCs w:val="20"/>
              </w:rPr>
              <w:t xml:space="preserve">w </w:t>
            </w:r>
            <w:r w:rsidR="00BA3C35" w:rsidRPr="00907498">
              <w:rPr>
                <w:rFonts w:ascii="Calibri" w:hAnsi="Calibri" w:cs="Calibri"/>
                <w:sz w:val="20"/>
                <w:szCs w:val="20"/>
              </w:rPr>
              <w:t xml:space="preserve">art. 1 pkt 4 w zakresie dodawanego art. 9g ust. 4 pkt 5c, jak i </w:t>
            </w:r>
            <w:r w:rsidR="00644913" w:rsidRPr="00907498">
              <w:rPr>
                <w:rFonts w:ascii="Calibri" w:hAnsi="Calibri" w:cs="Calibri"/>
                <w:sz w:val="20"/>
                <w:szCs w:val="20"/>
              </w:rPr>
              <w:t xml:space="preserve">w </w:t>
            </w:r>
            <w:r w:rsidR="00CA0B38" w:rsidRPr="00907498">
              <w:rPr>
                <w:rFonts w:ascii="Calibri" w:hAnsi="Calibri" w:cs="Calibri"/>
                <w:sz w:val="20"/>
                <w:szCs w:val="20"/>
              </w:rPr>
              <w:t>art. 1 pkt 6</w:t>
            </w:r>
            <w:r w:rsidR="00DE5544" w:rsidRPr="00907498">
              <w:rPr>
                <w:rFonts w:ascii="Calibri" w:hAnsi="Calibri" w:cs="Calibri"/>
                <w:sz w:val="20"/>
                <w:szCs w:val="20"/>
              </w:rPr>
              <w:t xml:space="preserve"> w zakresie dodawanego art. 9je,</w:t>
            </w:r>
            <w:r w:rsidR="00CA0B38" w:rsidRPr="00907498">
              <w:rPr>
                <w:rFonts w:ascii="Calibri" w:hAnsi="Calibri" w:cs="Calibri"/>
                <w:sz w:val="20"/>
                <w:szCs w:val="20"/>
              </w:rPr>
              <w:t xml:space="preserve"> </w:t>
            </w:r>
            <w:r w:rsidRPr="00907498">
              <w:rPr>
                <w:rFonts w:ascii="Calibri" w:hAnsi="Calibri" w:cs="Calibri"/>
                <w:sz w:val="20"/>
                <w:szCs w:val="20"/>
              </w:rPr>
              <w:t xml:space="preserve">posługuje się niedookreślonym pojęciem „rażącego naruszenia”, którego wystąpienie ma skutkować zastosowaniem surowszej sankcji, w tym okresowym </w:t>
            </w:r>
            <w:r w:rsidRPr="00907498">
              <w:rPr>
                <w:rFonts w:ascii="Calibri" w:hAnsi="Calibri" w:cs="Calibri"/>
                <w:sz w:val="20"/>
                <w:szCs w:val="20"/>
              </w:rPr>
              <w:lastRenderedPageBreak/>
              <w:t>wstrzymaniem dostępu instalacji do sieci, nawet przez okres 24 godzin. Jednocześnie projekt przewiduje, że szczegółowe kryteria kwalifikowania naruszenia jako rażącego zostaną określone dopiero w aktach delegowanych.</w:t>
            </w:r>
          </w:p>
          <w:p w14:paraId="1BC64546" w14:textId="77777777" w:rsidR="006D3F88" w:rsidRPr="00907498" w:rsidRDefault="006D3F88" w:rsidP="006D3F88">
            <w:pPr>
              <w:jc w:val="both"/>
              <w:rPr>
                <w:rFonts w:ascii="Calibri" w:hAnsi="Calibri" w:cs="Calibri"/>
                <w:sz w:val="20"/>
                <w:szCs w:val="20"/>
              </w:rPr>
            </w:pPr>
            <w:r w:rsidRPr="00907498">
              <w:rPr>
                <w:rFonts w:ascii="Calibri" w:hAnsi="Calibri" w:cs="Calibri"/>
                <w:sz w:val="20"/>
                <w:szCs w:val="20"/>
              </w:rPr>
              <w:t>Takie rozwiązanie budzi wątpliwości z punktu widzenia zasady określoności przepisów prawa, proporcjonalności sankcji oraz pewności i przewidywalności prowadzenia działalności gospodarczej. Podstawowe przesłanki odpowiedzialności i zastosowania sankcji, a w szczególności najbardziej dotkliwej sankcji, powinny wynikać bezpośrednio z ustawy, a nie być kształtowane dopiero na poziomie aktu wykonawczego lub instrukcji operatora.</w:t>
            </w:r>
          </w:p>
          <w:p w14:paraId="1E1FE582" w14:textId="77777777" w:rsidR="00965285" w:rsidRPr="00907498" w:rsidRDefault="00965285" w:rsidP="006D3F88">
            <w:pPr>
              <w:jc w:val="both"/>
              <w:rPr>
                <w:rFonts w:ascii="Calibri" w:hAnsi="Calibri" w:cs="Calibri"/>
                <w:sz w:val="20"/>
                <w:szCs w:val="20"/>
              </w:rPr>
            </w:pPr>
          </w:p>
          <w:p w14:paraId="5413EA61" w14:textId="77777777" w:rsidR="004A7E86" w:rsidRPr="00907498" w:rsidRDefault="006D3F88" w:rsidP="006D3F88">
            <w:pPr>
              <w:jc w:val="both"/>
              <w:rPr>
                <w:rFonts w:ascii="Calibri" w:hAnsi="Calibri" w:cs="Calibri"/>
                <w:sz w:val="20"/>
                <w:szCs w:val="20"/>
              </w:rPr>
            </w:pPr>
            <w:r w:rsidRPr="00907498">
              <w:rPr>
                <w:rFonts w:ascii="Calibri" w:hAnsi="Calibri" w:cs="Calibri"/>
                <w:sz w:val="20"/>
                <w:szCs w:val="20"/>
              </w:rPr>
              <w:t xml:space="preserve">Wątpliwości pogłębia projektowane odesłanie do art. 9g ust. 4 pkt 5b i 5c, zgodnie z którym niespełnienie wymagań określonych w </w:t>
            </w:r>
            <w:proofErr w:type="spellStart"/>
            <w:r w:rsidRPr="00907498">
              <w:rPr>
                <w:rFonts w:ascii="Calibri" w:hAnsi="Calibri" w:cs="Calibri"/>
                <w:sz w:val="20"/>
                <w:szCs w:val="20"/>
              </w:rPr>
              <w:t>IRiESP</w:t>
            </w:r>
            <w:proofErr w:type="spellEnd"/>
            <w:r w:rsidRPr="00907498">
              <w:rPr>
                <w:rFonts w:ascii="Calibri" w:hAnsi="Calibri" w:cs="Calibri"/>
                <w:sz w:val="20"/>
                <w:szCs w:val="20"/>
              </w:rPr>
              <w:t xml:space="preserve"> lub </w:t>
            </w:r>
            <w:proofErr w:type="spellStart"/>
            <w:r w:rsidRPr="00907498">
              <w:rPr>
                <w:rFonts w:ascii="Calibri" w:hAnsi="Calibri" w:cs="Calibri"/>
                <w:sz w:val="20"/>
                <w:szCs w:val="20"/>
              </w:rPr>
              <w:t>IRiESD</w:t>
            </w:r>
            <w:proofErr w:type="spellEnd"/>
            <w:r w:rsidRPr="00907498">
              <w:rPr>
                <w:rFonts w:ascii="Calibri" w:hAnsi="Calibri" w:cs="Calibri"/>
                <w:sz w:val="20"/>
                <w:szCs w:val="20"/>
              </w:rPr>
              <w:t xml:space="preserve"> może zostać uznane za rażące naruszenie. W praktyce może to prowadzić do sytuacji, w której poszczególni operatorzy systemów dystrybucyjnych będą stosowali odmienne, uznaniowe kryteria oceny analogicznych </w:t>
            </w:r>
            <w:proofErr w:type="spellStart"/>
            <w:r w:rsidRPr="00907498">
              <w:rPr>
                <w:rFonts w:ascii="Calibri" w:hAnsi="Calibri" w:cs="Calibri"/>
                <w:sz w:val="20"/>
                <w:szCs w:val="20"/>
              </w:rPr>
              <w:t>zachowań</w:t>
            </w:r>
            <w:proofErr w:type="spellEnd"/>
            <w:r w:rsidRPr="00907498">
              <w:rPr>
                <w:rFonts w:ascii="Calibri" w:hAnsi="Calibri" w:cs="Calibri"/>
                <w:sz w:val="20"/>
                <w:szCs w:val="20"/>
              </w:rPr>
              <w:t xml:space="preserve">, bądź określą je na poziomie kwalifikującym bardzo szeroki zakres naruszeń jako „rażące”. Jest to szczególnie istotne w świetle wcześniejszych postulatów dotyczących konieczności zapewnienia jasnych i jednolitych wymagań i kryteriów w całym systemie elektroenergetycznym, oraz wyposażenia </w:t>
            </w:r>
            <w:r w:rsidR="00E63C13" w:rsidRPr="00907498">
              <w:rPr>
                <w:rFonts w:ascii="Calibri" w:hAnsi="Calibri" w:cs="Calibri"/>
                <w:sz w:val="20"/>
                <w:szCs w:val="20"/>
              </w:rPr>
              <w:t>r</w:t>
            </w:r>
            <w:r w:rsidRPr="00907498">
              <w:rPr>
                <w:rFonts w:ascii="Calibri" w:hAnsi="Calibri" w:cs="Calibri"/>
                <w:sz w:val="20"/>
                <w:szCs w:val="20"/>
              </w:rPr>
              <w:t>egulatora w narzędzia i ramy, na podstawie których oceniałby i aprobował rozwiązania szczegółowe proponowane w instrukcjach OSE.</w:t>
            </w:r>
          </w:p>
          <w:p w14:paraId="10AC3830" w14:textId="77777777" w:rsidR="006D3F88" w:rsidRPr="00907498" w:rsidRDefault="006D3F88" w:rsidP="006D3F88">
            <w:pPr>
              <w:jc w:val="both"/>
              <w:rPr>
                <w:rFonts w:ascii="Calibri" w:hAnsi="Calibri" w:cs="Calibri"/>
                <w:sz w:val="20"/>
                <w:szCs w:val="20"/>
              </w:rPr>
            </w:pPr>
            <w:r w:rsidRPr="00907498">
              <w:rPr>
                <w:rFonts w:ascii="Calibri" w:hAnsi="Calibri" w:cs="Calibri"/>
                <w:sz w:val="20"/>
                <w:szCs w:val="20"/>
              </w:rPr>
              <w:t xml:space="preserve">  </w:t>
            </w:r>
          </w:p>
          <w:p w14:paraId="2309D5A1" w14:textId="40BCAB67" w:rsidR="00243AAE" w:rsidRPr="00907498" w:rsidRDefault="006D3F88" w:rsidP="00965285">
            <w:pPr>
              <w:jc w:val="both"/>
              <w:rPr>
                <w:rFonts w:ascii="Calibri" w:hAnsi="Calibri" w:cs="Calibri"/>
                <w:sz w:val="20"/>
                <w:szCs w:val="20"/>
              </w:rPr>
            </w:pPr>
            <w:r w:rsidRPr="00907498">
              <w:rPr>
                <w:rFonts w:ascii="Calibri" w:hAnsi="Calibri" w:cs="Calibri"/>
                <w:sz w:val="20"/>
                <w:szCs w:val="20"/>
              </w:rPr>
              <w:t xml:space="preserve">W ocenie Konfederacji Lewiatan sankcje za niewykonanie obowiązków systemowych mogą być uzasadnione wyłącznie wtedy, gdy przesłanki ich zastosowania są jasne, proporcjonalne i jednolite dla wszystkich uczestników rynku, a przedsiębiorca ma możliwość przewidzenia konsekwencji swojego działania lub </w:t>
            </w:r>
            <w:r w:rsidRPr="00907498">
              <w:rPr>
                <w:rFonts w:ascii="Calibri" w:hAnsi="Calibri" w:cs="Calibri"/>
                <w:sz w:val="20"/>
                <w:szCs w:val="20"/>
              </w:rPr>
              <w:lastRenderedPageBreak/>
              <w:t>zaniechania</w:t>
            </w:r>
            <w:r w:rsidR="00CB7267" w:rsidRPr="00907498">
              <w:rPr>
                <w:rFonts w:ascii="Calibri" w:hAnsi="Calibri" w:cs="Calibri"/>
                <w:sz w:val="20"/>
                <w:szCs w:val="20"/>
              </w:rPr>
              <w:t xml:space="preserve">.  Proponuje się uzupełnienie przepisów o ustawowe kryteria kwalifikacji naruszenia jako „rażącego” albo ograniczenie zakresu delegacji dla </w:t>
            </w:r>
            <w:proofErr w:type="spellStart"/>
            <w:r w:rsidR="00CB7267" w:rsidRPr="00907498">
              <w:rPr>
                <w:rFonts w:ascii="Calibri" w:hAnsi="Calibri" w:cs="Calibri"/>
                <w:sz w:val="20"/>
                <w:szCs w:val="20"/>
              </w:rPr>
              <w:t>IRiESP</w:t>
            </w:r>
            <w:proofErr w:type="spellEnd"/>
            <w:r w:rsidR="00CB7267" w:rsidRPr="00907498">
              <w:rPr>
                <w:rFonts w:ascii="Calibri" w:hAnsi="Calibri" w:cs="Calibri"/>
                <w:sz w:val="20"/>
                <w:szCs w:val="20"/>
              </w:rPr>
              <w:t xml:space="preserve"> i </w:t>
            </w:r>
            <w:proofErr w:type="spellStart"/>
            <w:r w:rsidR="00CB7267" w:rsidRPr="00907498">
              <w:rPr>
                <w:rFonts w:ascii="Calibri" w:hAnsi="Calibri" w:cs="Calibri"/>
                <w:sz w:val="20"/>
                <w:szCs w:val="20"/>
              </w:rPr>
              <w:t>IRiESD</w:t>
            </w:r>
            <w:proofErr w:type="spellEnd"/>
            <w:r w:rsidR="00CB7267" w:rsidRPr="00907498">
              <w:rPr>
                <w:rFonts w:ascii="Calibri" w:hAnsi="Calibri" w:cs="Calibri"/>
                <w:sz w:val="20"/>
                <w:szCs w:val="20"/>
              </w:rPr>
              <w:t xml:space="preserve"> wyłącznie do doprecyzowania przesłanek wskazanych w ustawie.</w:t>
            </w:r>
            <w:r w:rsidR="001974BE" w:rsidRPr="00907498">
              <w:rPr>
                <w:rFonts w:ascii="Calibri" w:hAnsi="Calibri" w:cs="Calibri"/>
                <w:sz w:val="20"/>
                <w:szCs w:val="20"/>
              </w:rPr>
              <w:t xml:space="preserve"> Ponadto należy określić w ustawie przesłanki </w:t>
            </w:r>
            <w:r w:rsidR="00243AAE" w:rsidRPr="00907498">
              <w:rPr>
                <w:rFonts w:ascii="Calibri" w:hAnsi="Calibri" w:cs="Calibri"/>
                <w:sz w:val="20"/>
                <w:szCs w:val="20"/>
              </w:rPr>
              <w:t>zastosowania okresowego wstrzymania dostępu do sieci, z uwzględnieniem zasady proporcjonalności, stopnia zawinienia, skutków naruszenia, jego powtarzalności oraz możliwości usunięcia naruszenia</w:t>
            </w:r>
            <w:r w:rsidR="00AF226B" w:rsidRPr="00907498">
              <w:rPr>
                <w:rFonts w:ascii="Calibri" w:hAnsi="Calibri" w:cs="Calibri"/>
                <w:sz w:val="20"/>
                <w:szCs w:val="20"/>
              </w:rPr>
              <w:t>. Niezbędne jest doprecyzowanie podziału odpowiedzialności pomiędzy użytkownikiem systemu a operatorem, w tym zasad i terminów ponownego przywracania dostępu do sieci, a także zapewnienie, aby stosowane sankcje oraz warunki ponownego przyłączenia były proporcjonalne do technicznych możliwości instalacji, stanu prawnego obowiązującego w okresie jej budowy oraz wymogów bezpieczeństwa i stabilności pracy systemu. Jednocześnie należy wprowadzić odpowiednie gwarancje proceduralne, obejmujące obowiązek poinformowania podmiotu o stwierdzonym naruszeniu, jego kwalifikacji jako rażącego oraz podstawie i okresie obowiązywania planowanej sankcji.</w:t>
            </w:r>
          </w:p>
        </w:tc>
        <w:tc>
          <w:tcPr>
            <w:tcW w:w="3543" w:type="dxa"/>
          </w:tcPr>
          <w:p w14:paraId="4B5539AF" w14:textId="52C61935" w:rsidR="00524441" w:rsidRPr="00907498" w:rsidRDefault="00524441" w:rsidP="004C59F6">
            <w:pPr>
              <w:jc w:val="both"/>
              <w:rPr>
                <w:rFonts w:ascii="Calibri" w:hAnsi="Calibri" w:cs="Calibri"/>
                <w:sz w:val="20"/>
                <w:szCs w:val="20"/>
              </w:rPr>
            </w:pPr>
            <w:r w:rsidRPr="00907498">
              <w:rPr>
                <w:rFonts w:ascii="Calibri" w:hAnsi="Calibri" w:cs="Calibri"/>
                <w:sz w:val="20"/>
                <w:szCs w:val="20"/>
              </w:rPr>
              <w:lastRenderedPageBreak/>
              <w:t>5c) kryteriów spełnienia wymagań w zakresie przekazywania oraz realizacji danych grafikowych, spełnienia wymagań w zakresie przekazywania danych czasu rzeczywistego oraz spełnienia wymagań w zakresie realizacji poleceń operatora systemu elektroenergetycznego dla modułów wytwarzania energii lub magazynów energii elektrycznej, których niedotrzymanie stanowi rażące naruszenie tych wymagań z punktu widzenia bezpieczeństwa pracy sieci elektroenergetycznej</w:t>
            </w:r>
            <w:r w:rsidRPr="00907498">
              <w:rPr>
                <w:rFonts w:ascii="Calibri" w:hAnsi="Calibri" w:cs="Calibri"/>
                <w:b/>
                <w:bCs/>
                <w:sz w:val="20"/>
                <w:szCs w:val="20"/>
              </w:rPr>
              <w:t>, przez które rozumie się wyłącznie naruszenie</w:t>
            </w:r>
            <w:r w:rsidRPr="00907498">
              <w:rPr>
                <w:rFonts w:ascii="Calibri" w:hAnsi="Calibri" w:cs="Calibri"/>
                <w:sz w:val="20"/>
                <w:szCs w:val="20"/>
              </w:rPr>
              <w:t xml:space="preserve"> </w:t>
            </w:r>
            <w:r w:rsidRPr="00907498">
              <w:rPr>
                <w:rFonts w:ascii="Calibri" w:hAnsi="Calibri" w:cs="Calibri"/>
                <w:b/>
                <w:bCs/>
                <w:sz w:val="20"/>
                <w:szCs w:val="20"/>
              </w:rPr>
              <w:lastRenderedPageBreak/>
              <w:t>powodujące lub mogące powodować bezpośrednie zagrożenie dla bezpieczeństwa pracy systemu elektroenergetycznego,</w:t>
            </w:r>
            <w:r w:rsidRPr="00907498">
              <w:rPr>
                <w:rFonts w:ascii="Calibri" w:hAnsi="Calibri" w:cs="Calibri"/>
                <w:sz w:val="20"/>
                <w:szCs w:val="20"/>
              </w:rPr>
              <w:t xml:space="preserve"> lub warunków, jakie muszą zostać spełnione dla jego utrzymania;”;</w:t>
            </w:r>
          </w:p>
        </w:tc>
      </w:tr>
      <w:tr w:rsidR="00524441" w:rsidRPr="00907498" w14:paraId="42051DB2" w14:textId="77777777" w:rsidTr="006B2CF1">
        <w:tc>
          <w:tcPr>
            <w:tcW w:w="567" w:type="dxa"/>
          </w:tcPr>
          <w:p w14:paraId="332E209B" w14:textId="60C8BE5F" w:rsidR="00524441" w:rsidRPr="00907498" w:rsidRDefault="00524441" w:rsidP="006B2CF1">
            <w:pPr>
              <w:pStyle w:val="Akapitzlist"/>
              <w:numPr>
                <w:ilvl w:val="0"/>
                <w:numId w:val="3"/>
              </w:numPr>
              <w:jc w:val="both"/>
              <w:rPr>
                <w:rFonts w:ascii="Calibri" w:hAnsi="Calibri" w:cs="Calibri"/>
                <w:sz w:val="20"/>
                <w:szCs w:val="20"/>
              </w:rPr>
            </w:pPr>
          </w:p>
        </w:tc>
        <w:tc>
          <w:tcPr>
            <w:tcW w:w="1701" w:type="dxa"/>
          </w:tcPr>
          <w:p w14:paraId="0BA5A970" w14:textId="24D67EF8" w:rsidR="00524441" w:rsidRPr="00907498" w:rsidRDefault="006B2CF1" w:rsidP="004C59F6">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6D61D9F8" w14:textId="485278CB" w:rsidR="00524441" w:rsidRPr="00907498" w:rsidRDefault="00524441" w:rsidP="004C59F6">
            <w:pPr>
              <w:jc w:val="both"/>
              <w:rPr>
                <w:rFonts w:ascii="Calibri" w:hAnsi="Calibri" w:cs="Calibri"/>
                <w:sz w:val="20"/>
                <w:szCs w:val="20"/>
              </w:rPr>
            </w:pPr>
            <w:r w:rsidRPr="00907498">
              <w:rPr>
                <w:rFonts w:ascii="Calibri" w:hAnsi="Calibri" w:cs="Calibri"/>
                <w:sz w:val="20"/>
                <w:szCs w:val="20"/>
              </w:rPr>
              <w:t>Art. 1 pkt 5 lit. b w zakresie art. 9j ust. 1a oraz art. 1 pkt 6 w zakresie dodawanych art. 9ja-9jd</w:t>
            </w:r>
          </w:p>
        </w:tc>
        <w:tc>
          <w:tcPr>
            <w:tcW w:w="5387" w:type="dxa"/>
          </w:tcPr>
          <w:p w14:paraId="1EF0E455"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Projekt ustawy nakłada obowiązki przekazywania danych czasu rzeczywistego, danych grafikowych oraz realizacji poleceń operatora, nie rozróżniając sytuacji wynikających z działań użytkownika systemu od przypadków spowodowanych awariami systemów teleinformatycznych, infrastruktury telekomunikacyjnej lub systemów operatorów. W konsekwencji uczestnik rynku może ponosić negatywne skutki zdarzeń pozostających poza jego kontrolą.</w:t>
            </w:r>
          </w:p>
          <w:p w14:paraId="5DF3E658" w14:textId="1A744987" w:rsidR="00524441" w:rsidRPr="00907498" w:rsidRDefault="00524441" w:rsidP="004C59F6">
            <w:pPr>
              <w:jc w:val="both"/>
              <w:rPr>
                <w:rFonts w:ascii="Calibri" w:hAnsi="Calibri" w:cs="Calibri"/>
                <w:sz w:val="20"/>
                <w:szCs w:val="20"/>
              </w:rPr>
            </w:pPr>
            <w:r w:rsidRPr="00907498">
              <w:rPr>
                <w:rFonts w:ascii="Calibri" w:hAnsi="Calibri" w:cs="Calibri"/>
                <w:sz w:val="20"/>
                <w:szCs w:val="20"/>
              </w:rPr>
              <w:t xml:space="preserve">Proponuje się dodanie przepisu wyłączającego odpowiedzialność użytkownika systemu za niewykonanie obowiązków wynikających z okoliczności niezależnych od tego </w:t>
            </w:r>
            <w:r w:rsidRPr="00907498">
              <w:rPr>
                <w:rFonts w:ascii="Calibri" w:hAnsi="Calibri" w:cs="Calibri"/>
                <w:sz w:val="20"/>
                <w:szCs w:val="20"/>
              </w:rPr>
              <w:lastRenderedPageBreak/>
              <w:t>użytkownika, w szczególności awarii telekomunikacyjnych lub teleinformatycznych.</w:t>
            </w:r>
          </w:p>
        </w:tc>
        <w:tc>
          <w:tcPr>
            <w:tcW w:w="3543" w:type="dxa"/>
          </w:tcPr>
          <w:p w14:paraId="70D8A37E" w14:textId="7A357FCE" w:rsidR="00524441" w:rsidRPr="00907498" w:rsidRDefault="00524441" w:rsidP="004C59F6">
            <w:pPr>
              <w:jc w:val="both"/>
              <w:rPr>
                <w:rFonts w:ascii="Calibri" w:hAnsi="Calibri" w:cs="Calibri"/>
                <w:sz w:val="20"/>
                <w:szCs w:val="20"/>
              </w:rPr>
            </w:pPr>
            <w:r w:rsidRPr="00907498">
              <w:rPr>
                <w:rFonts w:ascii="Calibri" w:hAnsi="Calibri" w:cs="Calibri"/>
                <w:b/>
                <w:bCs/>
                <w:sz w:val="20"/>
                <w:szCs w:val="20"/>
              </w:rPr>
              <w:lastRenderedPageBreak/>
              <w:t xml:space="preserve">Art. 9jf Nie stanowi naruszenia obowiązków, o których mowa w art. 9j ust. 1a i 1b, art. 9ja, art. 9jb, art. 9jc oraz art. 9jd, niewykonanie lub nienależyte wykonanie tych obowiązków spowodowane okolicznościami pozostającymi poza kontrolą użytkownika systemu elektroenergetycznego, w szczególności awarią infrastruktury telekomunikacyjnej, systemów teleinformatycznych lub systemów </w:t>
            </w:r>
            <w:r w:rsidRPr="00907498">
              <w:rPr>
                <w:rFonts w:ascii="Calibri" w:hAnsi="Calibri" w:cs="Calibri"/>
                <w:b/>
                <w:bCs/>
                <w:sz w:val="20"/>
                <w:szCs w:val="20"/>
              </w:rPr>
              <w:lastRenderedPageBreak/>
              <w:t>informacyjnych wykorzystywanych przez operatorów systemów elektroenergetycznych.</w:t>
            </w:r>
          </w:p>
        </w:tc>
      </w:tr>
      <w:tr w:rsidR="006D0368" w:rsidRPr="00907498" w14:paraId="25F6F31B" w14:textId="77777777" w:rsidTr="006B2CF1">
        <w:tc>
          <w:tcPr>
            <w:tcW w:w="567" w:type="dxa"/>
          </w:tcPr>
          <w:p w14:paraId="14C8809D" w14:textId="77777777" w:rsidR="006D0368" w:rsidRPr="00907498" w:rsidRDefault="006D0368" w:rsidP="006B2CF1">
            <w:pPr>
              <w:pStyle w:val="Akapitzlist"/>
              <w:numPr>
                <w:ilvl w:val="0"/>
                <w:numId w:val="3"/>
              </w:numPr>
              <w:jc w:val="both"/>
              <w:rPr>
                <w:rFonts w:ascii="Calibri" w:hAnsi="Calibri" w:cs="Calibri"/>
                <w:sz w:val="20"/>
                <w:szCs w:val="20"/>
              </w:rPr>
            </w:pPr>
          </w:p>
        </w:tc>
        <w:tc>
          <w:tcPr>
            <w:tcW w:w="1701" w:type="dxa"/>
          </w:tcPr>
          <w:p w14:paraId="6AFAB1E4" w14:textId="6F62DFFB" w:rsidR="006D0368" w:rsidRPr="00907498" w:rsidRDefault="006B2CF1" w:rsidP="004C59F6">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66D7C1F9" w14:textId="06D9AC7E" w:rsidR="001B576A" w:rsidRPr="00907498" w:rsidRDefault="001B576A" w:rsidP="001B576A">
            <w:pPr>
              <w:jc w:val="both"/>
              <w:rPr>
                <w:rFonts w:ascii="Calibri" w:hAnsi="Calibri" w:cs="Calibri"/>
                <w:sz w:val="20"/>
                <w:szCs w:val="20"/>
              </w:rPr>
            </w:pPr>
            <w:r w:rsidRPr="00907498">
              <w:rPr>
                <w:rFonts w:ascii="Calibri" w:hAnsi="Calibri" w:cs="Calibri"/>
                <w:sz w:val="20"/>
                <w:szCs w:val="20"/>
              </w:rPr>
              <w:t>art. 1 pkt 6 projektu</w:t>
            </w:r>
          </w:p>
          <w:p w14:paraId="2E877423" w14:textId="796700F1" w:rsidR="006D0368" w:rsidRPr="00907498" w:rsidRDefault="001B576A" w:rsidP="001B576A">
            <w:pPr>
              <w:jc w:val="both"/>
              <w:rPr>
                <w:rFonts w:ascii="Calibri" w:hAnsi="Calibri" w:cs="Calibri"/>
                <w:sz w:val="20"/>
                <w:szCs w:val="20"/>
              </w:rPr>
            </w:pPr>
            <w:r w:rsidRPr="00907498">
              <w:rPr>
                <w:rFonts w:ascii="Calibri" w:hAnsi="Calibri" w:cs="Calibri"/>
                <w:sz w:val="20"/>
                <w:szCs w:val="20"/>
              </w:rPr>
              <w:t xml:space="preserve">w zakresie art. 9jc </w:t>
            </w:r>
          </w:p>
        </w:tc>
        <w:tc>
          <w:tcPr>
            <w:tcW w:w="5387" w:type="dxa"/>
          </w:tcPr>
          <w:p w14:paraId="1D7F2361" w14:textId="27157CAA" w:rsidR="006D0368" w:rsidRPr="00907498" w:rsidRDefault="00C22642" w:rsidP="004C59F6">
            <w:pPr>
              <w:jc w:val="both"/>
              <w:rPr>
                <w:rFonts w:ascii="Calibri" w:hAnsi="Calibri" w:cs="Calibri"/>
                <w:sz w:val="20"/>
                <w:szCs w:val="20"/>
              </w:rPr>
            </w:pPr>
            <w:r w:rsidRPr="00907498">
              <w:rPr>
                <w:rFonts w:ascii="Calibri" w:hAnsi="Calibri" w:cs="Calibri"/>
                <w:sz w:val="20"/>
                <w:szCs w:val="20"/>
              </w:rPr>
              <w:t>Przepis nakłada obowiązki na „</w:t>
            </w:r>
            <w:r w:rsidRPr="00907498">
              <w:rPr>
                <w:rFonts w:ascii="Calibri" w:hAnsi="Calibri" w:cs="Calibri"/>
                <w:b/>
                <w:bCs/>
                <w:sz w:val="20"/>
                <w:szCs w:val="20"/>
              </w:rPr>
              <w:t>posiadacza</w:t>
            </w:r>
            <w:r w:rsidRPr="00907498">
              <w:rPr>
                <w:rFonts w:ascii="Calibri" w:hAnsi="Calibri" w:cs="Calibri"/>
                <w:sz w:val="20"/>
                <w:szCs w:val="20"/>
              </w:rPr>
              <w:t xml:space="preserve">” </w:t>
            </w:r>
            <w:r w:rsidRPr="00907498">
              <w:rPr>
                <w:rFonts w:ascii="Calibri" w:hAnsi="Calibri" w:cs="Calibri"/>
                <w:b/>
                <w:bCs/>
                <w:sz w:val="20"/>
                <w:szCs w:val="20"/>
              </w:rPr>
              <w:t xml:space="preserve">magazynu energii elektrycznej </w:t>
            </w:r>
            <w:r w:rsidRPr="00907498">
              <w:rPr>
                <w:rFonts w:ascii="Calibri" w:hAnsi="Calibri" w:cs="Calibri"/>
                <w:sz w:val="20"/>
                <w:szCs w:val="20"/>
              </w:rPr>
              <w:t xml:space="preserve">o łącznej mocy zainstalowanej elektrycznej większej niż 50 kW przyłączonego do sieci elektroenergetycznej, niebędącego magazynem energii elektrycznej w </w:t>
            </w:r>
            <w:proofErr w:type="spellStart"/>
            <w:r w:rsidRPr="00907498">
              <w:rPr>
                <w:rFonts w:ascii="Calibri" w:hAnsi="Calibri" w:cs="Calibri"/>
                <w:sz w:val="20"/>
                <w:szCs w:val="20"/>
              </w:rPr>
              <w:t>mikroinstalacji</w:t>
            </w:r>
            <w:proofErr w:type="spellEnd"/>
            <w:r w:rsidRPr="00907498">
              <w:rPr>
                <w:rFonts w:ascii="Calibri" w:hAnsi="Calibri" w:cs="Calibri"/>
                <w:sz w:val="20"/>
                <w:szCs w:val="20"/>
              </w:rPr>
              <w:t xml:space="preserve"> prosumenta energii odnawialnej, prosumenta zbiorowego energii odnawialnej lub prosumenta wirtualnego energii odnawialnej, </w:t>
            </w:r>
            <w:r w:rsidRPr="00907498">
              <w:rPr>
                <w:rFonts w:ascii="Calibri" w:hAnsi="Calibri" w:cs="Calibri"/>
                <w:b/>
                <w:bCs/>
                <w:sz w:val="20"/>
                <w:szCs w:val="20"/>
              </w:rPr>
              <w:t>niebędący przedsiębiorstwem energetycznym zajmującym się magazynowaniem energii elektrycznej</w:t>
            </w:r>
            <w:r w:rsidRPr="00907498">
              <w:rPr>
                <w:rFonts w:ascii="Calibri" w:hAnsi="Calibri" w:cs="Calibri"/>
                <w:sz w:val="20"/>
                <w:szCs w:val="20"/>
              </w:rPr>
              <w:t>. Zarówno w projekcie jaki i w obecnym brzmieniu ustawy – Prawo energetyczne brak jest definicji „posiadacza”. Wprowadzenie nowych obowiązków wymaga doprecyzowania (zdefiniowania) „posiadacza magazynu energii elektrycznej”. W przypadku zastosowania wykładni kodeksowej (kodeksu cywilnego) jest to potencjalnie bardzo szeroka i niejednoznaczna kategoria podmiotów.</w:t>
            </w:r>
          </w:p>
        </w:tc>
        <w:tc>
          <w:tcPr>
            <w:tcW w:w="3543" w:type="dxa"/>
          </w:tcPr>
          <w:p w14:paraId="317D10B6" w14:textId="77777777" w:rsidR="006D0368" w:rsidRPr="00907498" w:rsidRDefault="006D0368" w:rsidP="004C59F6">
            <w:pPr>
              <w:jc w:val="both"/>
              <w:rPr>
                <w:rFonts w:ascii="Calibri" w:hAnsi="Calibri" w:cs="Calibri"/>
                <w:b/>
                <w:bCs/>
                <w:sz w:val="20"/>
                <w:szCs w:val="20"/>
              </w:rPr>
            </w:pPr>
          </w:p>
        </w:tc>
      </w:tr>
      <w:tr w:rsidR="00524441" w:rsidRPr="00907498" w14:paraId="3C43D2A2" w14:textId="77777777" w:rsidTr="006B2CF1">
        <w:tc>
          <w:tcPr>
            <w:tcW w:w="567" w:type="dxa"/>
          </w:tcPr>
          <w:p w14:paraId="4F676834" w14:textId="786F51C2" w:rsidR="00524441" w:rsidRPr="00907498" w:rsidRDefault="00524441" w:rsidP="006B2CF1">
            <w:pPr>
              <w:pStyle w:val="Akapitzlist"/>
              <w:numPr>
                <w:ilvl w:val="0"/>
                <w:numId w:val="3"/>
              </w:numPr>
              <w:jc w:val="both"/>
              <w:rPr>
                <w:rFonts w:ascii="Calibri" w:hAnsi="Calibri" w:cs="Calibri"/>
                <w:sz w:val="20"/>
                <w:szCs w:val="20"/>
              </w:rPr>
            </w:pPr>
          </w:p>
        </w:tc>
        <w:tc>
          <w:tcPr>
            <w:tcW w:w="1701" w:type="dxa"/>
          </w:tcPr>
          <w:p w14:paraId="4D156E61" w14:textId="4487971D" w:rsidR="00524441" w:rsidRPr="00907498" w:rsidRDefault="006B2CF1" w:rsidP="004C59F6">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4A3850C3" w14:textId="0B008645" w:rsidR="00524441" w:rsidRPr="00907498" w:rsidRDefault="00524441" w:rsidP="004C59F6">
            <w:pPr>
              <w:jc w:val="both"/>
              <w:rPr>
                <w:rFonts w:ascii="Calibri" w:hAnsi="Calibri" w:cs="Calibri"/>
                <w:sz w:val="20"/>
                <w:szCs w:val="20"/>
              </w:rPr>
            </w:pPr>
            <w:r w:rsidRPr="00907498">
              <w:rPr>
                <w:rFonts w:ascii="Calibri" w:hAnsi="Calibri" w:cs="Calibri"/>
                <w:sz w:val="20"/>
                <w:szCs w:val="20"/>
              </w:rPr>
              <w:t>Art. 1 pkt 6 w zakresie dodawanego art. 9je ust. 1</w:t>
            </w:r>
          </w:p>
        </w:tc>
        <w:tc>
          <w:tcPr>
            <w:tcW w:w="5387" w:type="dxa"/>
          </w:tcPr>
          <w:p w14:paraId="2E2BCD73"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Projekt ustawy przewiduje możliwość ograniczenia pracy lub odłączenia źródła bądź magazynu energii od sieci bez uprzedniego zastosowania środków mniej dolegliwych. Odłączenie powinno stanowić środek ostateczny, stosowany wyłącznie w przypadku bezpośredniego zagrożenia dla bezpieczeństwa pracy systemu lub po bezskutecznym wezwaniu do usunięcia naruszenia.</w:t>
            </w:r>
          </w:p>
          <w:p w14:paraId="6D7F144A" w14:textId="61757A16"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Proponuje się dodanie obowiązku uprzedniego wezwania do usunięcia naruszenia oraz zasady stopniowania środków stosowanych przez operatora systemu elektroenergetycznego.</w:t>
            </w:r>
          </w:p>
        </w:tc>
        <w:tc>
          <w:tcPr>
            <w:tcW w:w="3543" w:type="dxa"/>
          </w:tcPr>
          <w:p w14:paraId="793695A3" w14:textId="77777777" w:rsidR="00524441" w:rsidRPr="00907498" w:rsidRDefault="00524441" w:rsidP="004C59F6">
            <w:pPr>
              <w:jc w:val="both"/>
              <w:rPr>
                <w:rFonts w:ascii="Calibri" w:hAnsi="Calibri" w:cs="Calibri"/>
                <w:b/>
                <w:bCs/>
                <w:sz w:val="20"/>
                <w:szCs w:val="20"/>
              </w:rPr>
            </w:pPr>
            <w:r w:rsidRPr="00907498">
              <w:rPr>
                <w:rFonts w:ascii="Calibri" w:hAnsi="Calibri" w:cs="Calibri"/>
                <w:b/>
                <w:bCs/>
                <w:sz w:val="20"/>
                <w:szCs w:val="20"/>
              </w:rPr>
              <w:t>1a.  Przed zastosowaniem środka, o którym mowa w ust. 1, operator systemu elektroenergetycznego wzywa podmiot do usunięcia naruszenia, wyznaczając odpowiedni termin, chyba że dalsze utrzymywanie naruszenia stwarza bezpośrednie zagrożenie dla bezpieczeństwa pracy systemu elektroenergetycznego.</w:t>
            </w:r>
          </w:p>
          <w:p w14:paraId="0325AB38" w14:textId="77777777" w:rsidR="00442C56" w:rsidRPr="00907498" w:rsidRDefault="00442C56" w:rsidP="004C59F6">
            <w:pPr>
              <w:jc w:val="both"/>
              <w:rPr>
                <w:rFonts w:ascii="Calibri" w:hAnsi="Calibri" w:cs="Calibri"/>
                <w:b/>
                <w:bCs/>
                <w:sz w:val="20"/>
                <w:szCs w:val="20"/>
              </w:rPr>
            </w:pPr>
          </w:p>
          <w:p w14:paraId="3F3A57B7" w14:textId="74CC2D8A" w:rsidR="00442C56" w:rsidRPr="00907498" w:rsidRDefault="00442C56" w:rsidP="004C59F6">
            <w:pPr>
              <w:jc w:val="both"/>
              <w:rPr>
                <w:rFonts w:ascii="Calibri" w:hAnsi="Calibri" w:cs="Calibri"/>
                <w:b/>
                <w:bCs/>
                <w:sz w:val="20"/>
                <w:szCs w:val="20"/>
              </w:rPr>
            </w:pPr>
            <w:r w:rsidRPr="00907498">
              <w:rPr>
                <w:rFonts w:ascii="Calibri" w:eastAsia="Times New Roman" w:hAnsi="Calibri" w:cs="Calibri"/>
                <w:b/>
                <w:bCs/>
                <w:sz w:val="20"/>
                <w:szCs w:val="20"/>
              </w:rPr>
              <w:t xml:space="preserve">1b. Środek, o którym mowa w ust. 1, stosuje się wyłącznie w zakresie niezbędnym do usunięcia zagrożenia dla bezpieczeństwa pracy systemu </w:t>
            </w:r>
            <w:r w:rsidRPr="00907498">
              <w:rPr>
                <w:rFonts w:ascii="Calibri" w:eastAsia="Times New Roman" w:hAnsi="Calibri" w:cs="Calibri"/>
                <w:b/>
                <w:bCs/>
                <w:sz w:val="20"/>
                <w:szCs w:val="20"/>
              </w:rPr>
              <w:lastRenderedPageBreak/>
              <w:t>elektroenergetycznego, z uwzględnieniem zasady proporcjonalności oraz potrzeby zastosowania środka najmniej dolegliwego dla użytkownika systemu.</w:t>
            </w:r>
          </w:p>
        </w:tc>
      </w:tr>
      <w:tr w:rsidR="00524441" w:rsidRPr="00907498" w14:paraId="3E4F1805" w14:textId="77777777" w:rsidTr="006B2CF1">
        <w:tc>
          <w:tcPr>
            <w:tcW w:w="567" w:type="dxa"/>
          </w:tcPr>
          <w:p w14:paraId="613D8AFA" w14:textId="109A4268" w:rsidR="00524441" w:rsidRPr="00907498" w:rsidRDefault="00524441" w:rsidP="006B2CF1">
            <w:pPr>
              <w:pStyle w:val="Akapitzlist"/>
              <w:numPr>
                <w:ilvl w:val="0"/>
                <w:numId w:val="3"/>
              </w:numPr>
              <w:jc w:val="both"/>
              <w:rPr>
                <w:rFonts w:ascii="Calibri" w:hAnsi="Calibri" w:cs="Calibri"/>
                <w:sz w:val="20"/>
                <w:szCs w:val="20"/>
              </w:rPr>
            </w:pPr>
          </w:p>
        </w:tc>
        <w:tc>
          <w:tcPr>
            <w:tcW w:w="1701" w:type="dxa"/>
          </w:tcPr>
          <w:p w14:paraId="11099235" w14:textId="66771AB6" w:rsidR="00524441" w:rsidRPr="00907498" w:rsidRDefault="006B2CF1" w:rsidP="004C59F6">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373AB89F" w14:textId="584BAC74" w:rsidR="00524441" w:rsidRPr="00907498" w:rsidRDefault="32E71C10" w:rsidP="004C59F6">
            <w:pPr>
              <w:jc w:val="both"/>
              <w:rPr>
                <w:rFonts w:ascii="Calibri" w:hAnsi="Calibri" w:cs="Calibri"/>
                <w:sz w:val="20"/>
                <w:szCs w:val="20"/>
              </w:rPr>
            </w:pPr>
            <w:r w:rsidRPr="00907498">
              <w:rPr>
                <w:rFonts w:ascii="Calibri" w:hAnsi="Calibri" w:cs="Calibri"/>
                <w:sz w:val="20"/>
                <w:szCs w:val="20"/>
              </w:rPr>
              <w:t>Art. 1 pkt 6 w zakresie dodawanego art. 9je ust. 2</w:t>
            </w:r>
          </w:p>
        </w:tc>
        <w:tc>
          <w:tcPr>
            <w:tcW w:w="5387" w:type="dxa"/>
          </w:tcPr>
          <w:p w14:paraId="6A23D2CE"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Projekt ustawy całkowicie wyłącza odpowiedzialność operatora systemu elektroenergetycznego za skutki ograniczenia pracy lub odłączenia źródła oraz pozbawia uczestników rynku prawa do odszkodowania lub rekompensaty. Rozwiązanie to prowadzi do nieproporcjonalnego przeniesienia ryzyka regulacyjnego na właścicieli źródeł wytwórczych oraz magazynów energii i może wpływać na realizację obowiązków wynikających z umów sprzedaży energii, kontraktów PPA lub systemów wsparcia.</w:t>
            </w:r>
          </w:p>
          <w:p w14:paraId="62C97C88" w14:textId="7B5B0704"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Proponuje się ograniczenie wyłączenia odpowiedzialności wyłącznie do przypadków zawinionego naruszenia obowiązków przez użytkownika systemu lub sytuacji związanych z bezpośrednim zagrożeniem bezpieczeństwa pracy KSE.</w:t>
            </w:r>
          </w:p>
        </w:tc>
        <w:tc>
          <w:tcPr>
            <w:tcW w:w="3543" w:type="dxa"/>
          </w:tcPr>
          <w:p w14:paraId="66BB6643" w14:textId="6E293104" w:rsidR="00524441" w:rsidRPr="00907498" w:rsidRDefault="00524441" w:rsidP="004C59F6">
            <w:pPr>
              <w:jc w:val="both"/>
              <w:rPr>
                <w:rFonts w:ascii="Calibri" w:hAnsi="Calibri" w:cs="Calibri"/>
                <w:sz w:val="20"/>
                <w:szCs w:val="20"/>
              </w:rPr>
            </w:pPr>
            <w:r w:rsidRPr="00907498">
              <w:rPr>
                <w:rFonts w:ascii="Calibri" w:hAnsi="Calibri" w:cs="Calibri"/>
                <w:b/>
                <w:bCs/>
                <w:sz w:val="20"/>
                <w:szCs w:val="20"/>
              </w:rPr>
              <w:t>3. Przepisu ust. 2 nie stosuje się w przypadku, gdy ograniczenie albo odłączenie nastąpiło z naruszeniem przepisów ustawy, instrukcji ruchu i eksploatacji sieci lub bez zaistnienia przesłanek określonych w ust. 1.</w:t>
            </w:r>
          </w:p>
        </w:tc>
      </w:tr>
      <w:tr w:rsidR="00524441" w:rsidRPr="00907498" w14:paraId="1C6B78D1" w14:textId="77777777" w:rsidTr="006B2CF1">
        <w:tc>
          <w:tcPr>
            <w:tcW w:w="567" w:type="dxa"/>
          </w:tcPr>
          <w:p w14:paraId="32BBCB85" w14:textId="2E478C9E" w:rsidR="00524441" w:rsidRPr="00907498" w:rsidRDefault="00524441" w:rsidP="006B2CF1">
            <w:pPr>
              <w:pStyle w:val="Akapitzlist"/>
              <w:numPr>
                <w:ilvl w:val="0"/>
                <w:numId w:val="3"/>
              </w:numPr>
              <w:jc w:val="both"/>
              <w:rPr>
                <w:rFonts w:ascii="Calibri" w:hAnsi="Calibri" w:cs="Calibri"/>
                <w:sz w:val="20"/>
                <w:szCs w:val="20"/>
              </w:rPr>
            </w:pPr>
          </w:p>
        </w:tc>
        <w:tc>
          <w:tcPr>
            <w:tcW w:w="1701" w:type="dxa"/>
          </w:tcPr>
          <w:p w14:paraId="697B7E50" w14:textId="512AAB3A" w:rsidR="00524441" w:rsidRPr="00907498" w:rsidRDefault="006B2CF1" w:rsidP="004C59F6">
            <w:pPr>
              <w:jc w:val="both"/>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41A9AA77" w14:textId="5848C435" w:rsidR="00524441" w:rsidRPr="00907498" w:rsidRDefault="00524441" w:rsidP="004C59F6">
            <w:pPr>
              <w:jc w:val="both"/>
              <w:rPr>
                <w:rFonts w:ascii="Calibri" w:hAnsi="Calibri" w:cs="Calibri"/>
                <w:sz w:val="20"/>
                <w:szCs w:val="20"/>
              </w:rPr>
            </w:pPr>
            <w:r w:rsidRPr="00907498">
              <w:rPr>
                <w:rFonts w:ascii="Calibri" w:hAnsi="Calibri" w:cs="Calibri"/>
                <w:sz w:val="20"/>
                <w:szCs w:val="20"/>
              </w:rPr>
              <w:t>Art. 1 pkt 6 w zakresie dodawanego art. 9ja ust. 1 oraz art. 9jc</w:t>
            </w:r>
          </w:p>
        </w:tc>
        <w:tc>
          <w:tcPr>
            <w:tcW w:w="5387" w:type="dxa"/>
          </w:tcPr>
          <w:p w14:paraId="7A9C0DA0"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Projekt ustawy nakłada na właścicieli i posiadaczy magazynów energii obowiązek realizacji poleceń operatorów systemów elektroenergetycznych, nie regulując jednocześnie skutków takich poleceń dla innych zobowiązań rynkowych magazynów energii.</w:t>
            </w:r>
          </w:p>
          <w:p w14:paraId="4FC3B44D"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Magazyny energii mogą równolegle uczestniczyć w rynku bilansującym, rynku mocy, świadczeniu usług systemowych lub realizować zobowiązania wynikające z umów handlowych. Projekt nie przewiduje zasad rozliczania sytuacji, w których realizacja polecenia operatora wpływa na możliwość wykonania tych zobowiązań lub powoduje powstanie kosztów po stronie właściciela magazynu.</w:t>
            </w:r>
          </w:p>
          <w:p w14:paraId="21E8CD82" w14:textId="77777777" w:rsidR="00524441" w:rsidRPr="00907498" w:rsidRDefault="00524441" w:rsidP="004C59F6">
            <w:pPr>
              <w:jc w:val="both"/>
              <w:rPr>
                <w:rFonts w:ascii="Calibri" w:hAnsi="Calibri" w:cs="Calibri"/>
                <w:sz w:val="20"/>
                <w:szCs w:val="20"/>
              </w:rPr>
            </w:pPr>
            <w:r w:rsidRPr="00907498">
              <w:rPr>
                <w:rFonts w:ascii="Calibri" w:hAnsi="Calibri" w:cs="Calibri"/>
                <w:sz w:val="20"/>
                <w:szCs w:val="20"/>
              </w:rPr>
              <w:t>Brak odpowiednich regulacji może stanowić barierę dla rozwoju magazynów energii i ograniczać przewidywalność warunków inwestycyjnych.</w:t>
            </w:r>
          </w:p>
          <w:p w14:paraId="24FD642F" w14:textId="7B20BE67" w:rsidR="00524441" w:rsidRPr="00907498" w:rsidRDefault="00524441" w:rsidP="004C59F6">
            <w:pPr>
              <w:jc w:val="both"/>
              <w:rPr>
                <w:rFonts w:ascii="Calibri" w:hAnsi="Calibri" w:cs="Calibri"/>
                <w:sz w:val="20"/>
                <w:szCs w:val="20"/>
              </w:rPr>
            </w:pPr>
            <w:r w:rsidRPr="00907498">
              <w:rPr>
                <w:rFonts w:ascii="Calibri" w:hAnsi="Calibri" w:cs="Calibri"/>
                <w:sz w:val="20"/>
                <w:szCs w:val="20"/>
              </w:rPr>
              <w:lastRenderedPageBreak/>
              <w:t>Proponuje się uzupełnienie o przepisy dotyczące zasady rozliczania skutków ekonomicznych poleceń operatorów kierowanych do magazynów energii oraz określenie relacji pomiędzy tymi poleceniami a innymi obowiązkami rynkowymi uczestników rynku.</w:t>
            </w:r>
          </w:p>
        </w:tc>
        <w:tc>
          <w:tcPr>
            <w:tcW w:w="3543" w:type="dxa"/>
          </w:tcPr>
          <w:p w14:paraId="27F92775" w14:textId="32356EE1" w:rsidR="00524441" w:rsidRPr="00907498" w:rsidRDefault="00524441" w:rsidP="004C59F6">
            <w:pPr>
              <w:jc w:val="both"/>
              <w:rPr>
                <w:rFonts w:ascii="Calibri" w:hAnsi="Calibri" w:cs="Calibri"/>
                <w:sz w:val="20"/>
                <w:szCs w:val="20"/>
              </w:rPr>
            </w:pPr>
            <w:r w:rsidRPr="00907498">
              <w:rPr>
                <w:rFonts w:ascii="Calibri" w:hAnsi="Calibri" w:cs="Calibri"/>
                <w:b/>
                <w:bCs/>
                <w:sz w:val="20"/>
                <w:szCs w:val="20"/>
              </w:rPr>
              <w:lastRenderedPageBreak/>
              <w:t xml:space="preserve">Art. 9jca. W przypadku gdy wykonanie polecenia operatora systemu elektroenergetycznego wydanego zgodnie z art. 9ja ust. 1 lub art. 9jc powoduje ograniczenie możliwości realizacji obowiązków wynikających z przepisów prawa, regulaminów rynków energii, rynku mocy lub umów zawartych przez użytkownika systemu elektroenergetycznego, okoliczność ta nie może stanowić podstawy przypisania temu użytkownikowi odpowiedzialności za niewykonanie lub nienależyte wykonanie tych obowiązków, o ile pozostaje </w:t>
            </w:r>
            <w:r w:rsidRPr="00907498">
              <w:rPr>
                <w:rFonts w:ascii="Calibri" w:hAnsi="Calibri" w:cs="Calibri"/>
                <w:b/>
                <w:bCs/>
                <w:sz w:val="20"/>
                <w:szCs w:val="20"/>
              </w:rPr>
              <w:lastRenderedPageBreak/>
              <w:t>bezpośrednim skutkiem wykonania polecenia operatora.</w:t>
            </w:r>
          </w:p>
        </w:tc>
      </w:tr>
      <w:tr w:rsidR="32E71C10" w:rsidRPr="00907498" w14:paraId="0A7BBE7D" w14:textId="77777777" w:rsidTr="006B2CF1">
        <w:trPr>
          <w:trHeight w:val="300"/>
        </w:trPr>
        <w:tc>
          <w:tcPr>
            <w:tcW w:w="567" w:type="dxa"/>
          </w:tcPr>
          <w:p w14:paraId="0FDA8452" w14:textId="0E28F527"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344F16D0" w14:textId="00106B49" w:rsidR="32E71C10" w:rsidRPr="00907498" w:rsidRDefault="006B2CF1"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76201CA6" w14:textId="53008701"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Art. 1 pkt 6 wprowadzający nowy art. 9je ust. 1</w:t>
            </w:r>
          </w:p>
        </w:tc>
        <w:tc>
          <w:tcPr>
            <w:tcW w:w="5387" w:type="dxa"/>
          </w:tcPr>
          <w:p w14:paraId="47FDD807" w14:textId="72E200BB"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Uwaga redakcyjna – błędne odesłanie do </w:t>
            </w:r>
            <w:r w:rsidRPr="00907498">
              <w:rPr>
                <w:rFonts w:ascii="Calibri" w:eastAsia="Times New Roman" w:hAnsi="Calibri" w:cs="Calibri"/>
                <w:i/>
                <w:iCs/>
                <w:sz w:val="20"/>
                <w:szCs w:val="20"/>
              </w:rPr>
              <w:t xml:space="preserve">„… instrukcji, o której mowa </w:t>
            </w:r>
            <w:r w:rsidRPr="00907498">
              <w:rPr>
                <w:rFonts w:ascii="Calibri" w:eastAsia="Times New Roman" w:hAnsi="Calibri" w:cs="Calibri"/>
                <w:b/>
                <w:bCs/>
                <w:i/>
                <w:iCs/>
                <w:sz w:val="20"/>
                <w:szCs w:val="20"/>
              </w:rPr>
              <w:t>w art. 9 ust</w:t>
            </w:r>
            <w:r w:rsidRPr="00907498">
              <w:rPr>
                <w:rFonts w:ascii="Calibri" w:eastAsia="Times New Roman" w:hAnsi="Calibri" w:cs="Calibri"/>
                <w:i/>
                <w:iCs/>
                <w:sz w:val="20"/>
                <w:szCs w:val="20"/>
              </w:rPr>
              <w:t>. 1 …”</w:t>
            </w:r>
            <w:r w:rsidRPr="00907498">
              <w:rPr>
                <w:rFonts w:ascii="Calibri" w:eastAsia="Times New Roman" w:hAnsi="Calibri" w:cs="Calibri"/>
                <w:sz w:val="20"/>
                <w:szCs w:val="20"/>
              </w:rPr>
              <w:t xml:space="preserve">. Zakładając, że intencją jest wskazanie w art. 9je ust. 1 na IRIESP/D należy zastosować odesłanie do art. </w:t>
            </w:r>
            <w:r w:rsidRPr="00907498">
              <w:rPr>
                <w:rFonts w:ascii="Calibri" w:eastAsia="Times New Roman" w:hAnsi="Calibri" w:cs="Calibri"/>
                <w:b/>
                <w:bCs/>
                <w:sz w:val="20"/>
                <w:szCs w:val="20"/>
              </w:rPr>
              <w:t>9</w:t>
            </w:r>
            <w:r w:rsidRPr="00907498">
              <w:rPr>
                <w:rFonts w:ascii="Calibri" w:eastAsia="Times New Roman" w:hAnsi="Calibri" w:cs="Calibri"/>
                <w:b/>
                <w:bCs/>
                <w:sz w:val="20"/>
                <w:szCs w:val="20"/>
                <w:u w:val="single"/>
              </w:rPr>
              <w:t>g</w:t>
            </w:r>
            <w:r w:rsidRPr="00907498">
              <w:rPr>
                <w:rFonts w:ascii="Calibri" w:eastAsia="Times New Roman" w:hAnsi="Calibri" w:cs="Calibri"/>
                <w:sz w:val="20"/>
                <w:szCs w:val="20"/>
              </w:rPr>
              <w:t xml:space="preserve"> ust. 1, a nie do art. 9 ust. 1.</w:t>
            </w:r>
          </w:p>
        </w:tc>
        <w:tc>
          <w:tcPr>
            <w:tcW w:w="3543" w:type="dxa"/>
          </w:tcPr>
          <w:p w14:paraId="1D1BEC06" w14:textId="2545E63D"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„W przypadku, gdy przedsiębiorstwo energetyczne, o którym mowa</w:t>
            </w:r>
            <w:r w:rsidR="00823433" w:rsidRPr="00907498">
              <w:rPr>
                <w:rFonts w:ascii="Calibri" w:eastAsia="Times New Roman" w:hAnsi="Calibri" w:cs="Calibri"/>
                <w:sz w:val="20"/>
                <w:szCs w:val="20"/>
              </w:rPr>
              <w:t xml:space="preserve"> </w:t>
            </w:r>
            <w:r w:rsidRPr="00907498">
              <w:rPr>
                <w:rFonts w:ascii="Calibri" w:eastAsia="Times New Roman" w:hAnsi="Calibri" w:cs="Calibri"/>
                <w:sz w:val="20"/>
                <w:szCs w:val="20"/>
              </w:rPr>
              <w:t>w art. 9j ust. 1a i art. 9ja ust. 1, właściciel źródła, o którym mowa w art. 9jb, lub posiadacz magazynu energii elektrycznej, o którym mowa w art. 9jc, rażąco naruszy wymagania</w:t>
            </w:r>
            <w:r w:rsidR="00823433" w:rsidRPr="00907498">
              <w:rPr>
                <w:rFonts w:ascii="Calibri" w:eastAsia="Times New Roman" w:hAnsi="Calibri" w:cs="Calibri"/>
                <w:sz w:val="20"/>
                <w:szCs w:val="20"/>
              </w:rPr>
              <w:t xml:space="preserve"> </w:t>
            </w:r>
            <w:r w:rsidRPr="00907498">
              <w:rPr>
                <w:rFonts w:ascii="Calibri" w:eastAsia="Times New Roman" w:hAnsi="Calibri" w:cs="Calibri"/>
                <w:sz w:val="20"/>
                <w:szCs w:val="20"/>
              </w:rPr>
              <w:t>w zakresie przekazywania lub realizacji danych grafikowych, wymagania w zakresie przekazywania danych czasu rzeczywistego lub wymagania w zakresie realizacji poleceń operatora systemu elektroenergetycznego w odniesieniu do modułu wytwarzania energii lub magazynu energii elektrycznej, operator systemu elektroenergetycznego może</w:t>
            </w:r>
            <w:r w:rsidR="00823433" w:rsidRPr="00907498">
              <w:rPr>
                <w:rFonts w:ascii="Calibri" w:eastAsia="Times New Roman" w:hAnsi="Calibri" w:cs="Calibri"/>
                <w:sz w:val="20"/>
                <w:szCs w:val="20"/>
              </w:rPr>
              <w:t xml:space="preserve"> </w:t>
            </w:r>
            <w:r w:rsidRPr="00907498">
              <w:rPr>
                <w:rFonts w:ascii="Calibri" w:eastAsia="Times New Roman" w:hAnsi="Calibri" w:cs="Calibri"/>
                <w:sz w:val="20"/>
                <w:szCs w:val="20"/>
              </w:rPr>
              <w:t xml:space="preserve">w każdym przypadku tego naruszenia, na zasadach określonych w instrukcji, o której mowa w art. </w:t>
            </w:r>
            <w:r w:rsidRPr="00907498">
              <w:rPr>
                <w:rFonts w:ascii="Calibri" w:eastAsia="Times New Roman" w:hAnsi="Calibri" w:cs="Calibri"/>
                <w:b/>
                <w:bCs/>
                <w:sz w:val="20"/>
                <w:szCs w:val="20"/>
              </w:rPr>
              <w:t>9g</w:t>
            </w:r>
            <w:r w:rsidRPr="00907498">
              <w:rPr>
                <w:rFonts w:ascii="Calibri" w:eastAsia="Times New Roman" w:hAnsi="Calibri" w:cs="Calibri"/>
                <w:sz w:val="20"/>
                <w:szCs w:val="20"/>
              </w:rPr>
              <w:t xml:space="preserve"> ust. 1, na okres nie</w:t>
            </w:r>
            <w:r w:rsidR="00823433" w:rsidRPr="00907498">
              <w:rPr>
                <w:rFonts w:ascii="Calibri" w:eastAsia="Times New Roman" w:hAnsi="Calibri" w:cs="Calibri"/>
                <w:sz w:val="20"/>
                <w:szCs w:val="20"/>
              </w:rPr>
              <w:t xml:space="preserve"> </w:t>
            </w:r>
            <w:r w:rsidRPr="00907498">
              <w:rPr>
                <w:rFonts w:ascii="Calibri" w:eastAsia="Times New Roman" w:hAnsi="Calibri" w:cs="Calibri"/>
                <w:sz w:val="20"/>
                <w:szCs w:val="20"/>
              </w:rPr>
              <w:t>dłuższy niż 24 godziny, ograniczyć albo wstrzymać świadczenie usług przesyłania albo dystrybucji energii elektrycznej, przez ograniczenie</w:t>
            </w:r>
            <w:r w:rsidR="00823433" w:rsidRPr="00907498">
              <w:rPr>
                <w:rFonts w:ascii="Calibri" w:eastAsia="Times New Roman" w:hAnsi="Calibri" w:cs="Calibri"/>
                <w:sz w:val="20"/>
                <w:szCs w:val="20"/>
              </w:rPr>
              <w:t xml:space="preserve"> </w:t>
            </w:r>
            <w:r w:rsidRPr="00907498">
              <w:rPr>
                <w:rFonts w:ascii="Calibri" w:eastAsia="Times New Roman" w:hAnsi="Calibri" w:cs="Calibri"/>
                <w:sz w:val="20"/>
                <w:szCs w:val="20"/>
              </w:rPr>
              <w:t xml:space="preserve">wprowadzania energii elektrycznej do sieci elektroenergetycznej, poboru energii elektrycznej z tej sieci albo odłączenie od sieci elektroenergetycznej tego modułu </w:t>
            </w:r>
            <w:r w:rsidRPr="00907498">
              <w:rPr>
                <w:rFonts w:ascii="Calibri" w:eastAsia="Times New Roman" w:hAnsi="Calibri" w:cs="Calibri"/>
                <w:sz w:val="20"/>
                <w:szCs w:val="20"/>
              </w:rPr>
              <w:lastRenderedPageBreak/>
              <w:t>wytwarzania energii lub magazynu energii elektrycznej.”</w:t>
            </w:r>
          </w:p>
        </w:tc>
      </w:tr>
      <w:tr w:rsidR="32E71C10" w:rsidRPr="00907498" w14:paraId="312069E3" w14:textId="77777777" w:rsidTr="006B2CF1">
        <w:trPr>
          <w:trHeight w:val="300"/>
        </w:trPr>
        <w:tc>
          <w:tcPr>
            <w:tcW w:w="567" w:type="dxa"/>
          </w:tcPr>
          <w:p w14:paraId="07B7A0A3" w14:textId="59A26B10"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31B74674" w14:textId="2314FB3D"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30AAE9F2" w14:textId="1B12B285"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Art. 1 pkt 7 zmieniający art. 11 ust. 3b pkt 2</w:t>
            </w:r>
          </w:p>
        </w:tc>
        <w:tc>
          <w:tcPr>
            <w:tcW w:w="5387" w:type="dxa"/>
          </w:tcPr>
          <w:p w14:paraId="6AD226D6" w14:textId="2000C457"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Projektowany mechanizm rozliczeń oparty na relacji trójstronnej (odbiorca – OSP – OSD) budzi wątpliwości pod względem rachunkowym, podatkowym oraz praktycznym, w szczególności w zakresie fakturowania i obiegu dokumentów w Krajowym Systemie e-Faktur. W celu ograniczenia </w:t>
            </w:r>
            <w:proofErr w:type="spellStart"/>
            <w:r w:rsidRPr="00907498">
              <w:rPr>
                <w:rFonts w:ascii="Calibri" w:eastAsia="Times New Roman" w:hAnsi="Calibri" w:cs="Calibri"/>
                <w:sz w:val="20"/>
                <w:szCs w:val="20"/>
              </w:rPr>
              <w:t>ryzyk</w:t>
            </w:r>
            <w:proofErr w:type="spellEnd"/>
            <w:r w:rsidRPr="00907498">
              <w:rPr>
                <w:rFonts w:ascii="Calibri" w:eastAsia="Times New Roman" w:hAnsi="Calibri" w:cs="Calibri"/>
                <w:sz w:val="20"/>
                <w:szCs w:val="20"/>
              </w:rPr>
              <w:t xml:space="preserve"> interpretacyjnych i uproszczenia procesu rozliczeń zasadne wydaje się rozważenie modelu, w którym wynagrodzenie byłoby wypłacane bezpośrednio przez OSP odbiorcom uprawnionym do jego otrzymania, analogicznie do rozwiązania stosowanego w </w:t>
            </w:r>
            <w:proofErr w:type="spellStart"/>
            <w:r w:rsidRPr="00907498">
              <w:rPr>
                <w:rFonts w:ascii="Calibri" w:eastAsia="Times New Roman" w:hAnsi="Calibri" w:cs="Calibri"/>
                <w:sz w:val="20"/>
                <w:szCs w:val="20"/>
              </w:rPr>
              <w:t>redysponowaniu</w:t>
            </w:r>
            <w:proofErr w:type="spellEnd"/>
            <w:r w:rsidRPr="00907498">
              <w:rPr>
                <w:rFonts w:ascii="Calibri" w:eastAsia="Times New Roman" w:hAnsi="Calibri" w:cs="Calibri"/>
                <w:sz w:val="20"/>
                <w:szCs w:val="20"/>
              </w:rPr>
              <w:t xml:space="preserve"> nierynkowym.</w:t>
            </w:r>
          </w:p>
          <w:p w14:paraId="73E5D4CD" w14:textId="7EC9D671"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Proponujemy rozważyć usunięci</w:t>
            </w:r>
            <w:r w:rsidR="00B47ADE" w:rsidRPr="00907498">
              <w:rPr>
                <w:rFonts w:ascii="Calibri" w:eastAsia="Times New Roman" w:hAnsi="Calibri" w:cs="Calibri"/>
                <w:sz w:val="20"/>
                <w:szCs w:val="20"/>
              </w:rPr>
              <w:t>e</w:t>
            </w:r>
            <w:r w:rsidRPr="00907498">
              <w:rPr>
                <w:rFonts w:ascii="Calibri" w:eastAsia="Times New Roman" w:hAnsi="Calibri" w:cs="Calibri"/>
                <w:sz w:val="20"/>
                <w:szCs w:val="20"/>
              </w:rPr>
              <w:t xml:space="preserve"> tego zapisu.</w:t>
            </w:r>
          </w:p>
        </w:tc>
        <w:tc>
          <w:tcPr>
            <w:tcW w:w="3543" w:type="dxa"/>
          </w:tcPr>
          <w:p w14:paraId="4F35A248" w14:textId="6B5FB291" w:rsidR="32E71C10" w:rsidRPr="00907498" w:rsidRDefault="32E71C10" w:rsidP="32E71C10">
            <w:pPr>
              <w:rPr>
                <w:rFonts w:ascii="Calibri" w:hAnsi="Calibri" w:cs="Calibri"/>
                <w:sz w:val="20"/>
                <w:szCs w:val="20"/>
              </w:rPr>
            </w:pPr>
          </w:p>
        </w:tc>
      </w:tr>
      <w:tr w:rsidR="32E71C10" w:rsidRPr="00907498" w14:paraId="0D5D7237" w14:textId="77777777" w:rsidTr="006B2CF1">
        <w:trPr>
          <w:trHeight w:val="300"/>
        </w:trPr>
        <w:tc>
          <w:tcPr>
            <w:tcW w:w="567" w:type="dxa"/>
          </w:tcPr>
          <w:p w14:paraId="399D5067" w14:textId="54B92F23"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72D8572D" w14:textId="7F309C97"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5824B5F7" w14:textId="2B98BCFF"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Art. 1 pkt 8 wprowadzający nowy art. 11t ust. 3a</w:t>
            </w:r>
          </w:p>
        </w:tc>
        <w:tc>
          <w:tcPr>
            <w:tcW w:w="5387" w:type="dxa"/>
          </w:tcPr>
          <w:p w14:paraId="17F5BE4D" w14:textId="1447D05B"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Wydaje się zasadnym, aby to odstąpienie przez OSD realizacji obowiązku instalacji LZO w stacjach transformatorowych SN/</w:t>
            </w:r>
            <w:proofErr w:type="spellStart"/>
            <w:r w:rsidRPr="00907498">
              <w:rPr>
                <w:rFonts w:ascii="Calibri" w:eastAsia="Times New Roman" w:hAnsi="Calibri" w:cs="Calibri"/>
                <w:sz w:val="20"/>
                <w:szCs w:val="20"/>
              </w:rPr>
              <w:t>nN</w:t>
            </w:r>
            <w:proofErr w:type="spellEnd"/>
            <w:r w:rsidRPr="00907498">
              <w:rPr>
                <w:rFonts w:ascii="Calibri" w:eastAsia="Times New Roman" w:hAnsi="Calibri" w:cs="Calibri"/>
                <w:sz w:val="20"/>
                <w:szCs w:val="20"/>
              </w:rPr>
              <w:t xml:space="preserve"> z przyczyn, o których mowa w tym ustępie miało jednak bardziej sformalizowany charakter polegający przynajmniej na obowiązku poinformowania Prezesa URE o takich przypadkach wraz z udokumentowanie tych okoliczności. W szczególności w odniesieniu do dość ogólnie sformułowanej przyczyny braku uzasadnienia ekonomicznego.</w:t>
            </w:r>
          </w:p>
        </w:tc>
        <w:tc>
          <w:tcPr>
            <w:tcW w:w="3543" w:type="dxa"/>
          </w:tcPr>
          <w:p w14:paraId="78B7787F" w14:textId="78793872" w:rsidR="32E71C10" w:rsidRPr="00907498" w:rsidRDefault="32E71C10" w:rsidP="32E71C10">
            <w:pPr>
              <w:rPr>
                <w:rFonts w:ascii="Calibri" w:hAnsi="Calibri" w:cs="Calibri"/>
                <w:sz w:val="20"/>
                <w:szCs w:val="20"/>
              </w:rPr>
            </w:pPr>
          </w:p>
        </w:tc>
      </w:tr>
      <w:tr w:rsidR="32E71C10" w:rsidRPr="00907498" w14:paraId="7420BC2F" w14:textId="77777777" w:rsidTr="006B2CF1">
        <w:trPr>
          <w:trHeight w:val="300"/>
        </w:trPr>
        <w:tc>
          <w:tcPr>
            <w:tcW w:w="567" w:type="dxa"/>
          </w:tcPr>
          <w:p w14:paraId="6314D929" w14:textId="4FFA6F13"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21D74C9B" w14:textId="1DA5A26F"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5B7F429D" w14:textId="03261366"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Art. 1 pkt 10 wprowadzający nowy art. 11zha </w:t>
            </w:r>
          </w:p>
        </w:tc>
        <w:tc>
          <w:tcPr>
            <w:tcW w:w="5387" w:type="dxa"/>
          </w:tcPr>
          <w:p w14:paraId="72CB339C" w14:textId="45B2E664"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Projekt wprowadza do ustawy</w:t>
            </w:r>
            <w:r w:rsidR="003620DD" w:rsidRPr="00907498">
              <w:rPr>
                <w:rFonts w:ascii="Calibri" w:eastAsia="Times New Roman" w:hAnsi="Calibri" w:cs="Calibri"/>
                <w:sz w:val="20"/>
                <w:szCs w:val="20"/>
              </w:rPr>
              <w:t xml:space="preserve"> </w:t>
            </w:r>
            <w:r w:rsidRPr="00907498">
              <w:rPr>
                <w:rFonts w:ascii="Calibri" w:eastAsia="Times New Roman" w:hAnsi="Calibri" w:cs="Calibri"/>
                <w:sz w:val="20"/>
                <w:szCs w:val="20"/>
              </w:rPr>
              <w:t>-</w:t>
            </w:r>
            <w:r w:rsidR="003620DD" w:rsidRPr="00907498">
              <w:rPr>
                <w:rFonts w:ascii="Calibri" w:eastAsia="Times New Roman" w:hAnsi="Calibri" w:cs="Calibri"/>
                <w:sz w:val="20"/>
                <w:szCs w:val="20"/>
              </w:rPr>
              <w:t xml:space="preserve"> </w:t>
            </w:r>
            <w:r w:rsidRPr="00907498">
              <w:rPr>
                <w:rFonts w:ascii="Calibri" w:eastAsia="Times New Roman" w:hAnsi="Calibri" w:cs="Calibri"/>
                <w:sz w:val="20"/>
                <w:szCs w:val="20"/>
              </w:rPr>
              <w:t>Prawo energetyczne nowy art. 11zha, który w ust. 1 i 2 przewiduje obowiązek opracowania i stosowania planów działania na wypadek niedostępności CSIRE lub systemów współpracujących, jednak nie określa terminu realizacji obowiązku ani sposobu weryfikacji i rozliczania wykonania obowiązku. Jednocześnie nie wskazuje, czy podmioty będą zobowiązane do konsultowania projektów planów z innymi użytkownikami systemu.</w:t>
            </w:r>
          </w:p>
          <w:p w14:paraId="79D7CE3A" w14:textId="11A47211"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11BA6270" w14:textId="35A1D49E"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Brak doprecyzowania może prowadzić do rozbieżności interpretacyjnych oraz niejednolitego stosowania przepisów </w:t>
            </w:r>
            <w:r w:rsidRPr="00907498">
              <w:rPr>
                <w:rFonts w:ascii="Calibri" w:eastAsia="Times New Roman" w:hAnsi="Calibri" w:cs="Calibri"/>
                <w:sz w:val="20"/>
                <w:szCs w:val="20"/>
              </w:rPr>
              <w:lastRenderedPageBreak/>
              <w:t>przez podmioty zobowiązane, a także utrudniać ocenę prawidłowości wykonania obowiązku.</w:t>
            </w:r>
          </w:p>
        </w:tc>
        <w:tc>
          <w:tcPr>
            <w:tcW w:w="3543" w:type="dxa"/>
          </w:tcPr>
          <w:p w14:paraId="210B251E" w14:textId="29F6A1BD"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lastRenderedPageBreak/>
              <w:t>Proponujemy uzupełnienie projektowanego art. 11zha o określenie terminu realizacji obowiązku, sposobu weryfikacji i rozliczania wykonania obowiązku oraz ewentualnego opisu procedury konsultacji. Alternatywnie, uzupełnienie projektu o przepis przejściowy obejmujący powyższe.</w:t>
            </w:r>
          </w:p>
        </w:tc>
      </w:tr>
      <w:tr w:rsidR="32E71C10" w:rsidRPr="00907498" w14:paraId="24CB3C84" w14:textId="77777777" w:rsidTr="006B2CF1">
        <w:trPr>
          <w:trHeight w:val="300"/>
        </w:trPr>
        <w:tc>
          <w:tcPr>
            <w:tcW w:w="567" w:type="dxa"/>
          </w:tcPr>
          <w:p w14:paraId="37306DDC" w14:textId="5BCD085B"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39B4B7CF" w14:textId="5E31CF23" w:rsidR="32E71C10" w:rsidRPr="00907498" w:rsidRDefault="00F66816" w:rsidP="32E71C10">
            <w:pPr>
              <w:rPr>
                <w:rFonts w:ascii="Calibri" w:hAnsi="Calibri" w:cs="Calibri"/>
                <w:sz w:val="20"/>
                <w:szCs w:val="20"/>
              </w:rPr>
            </w:pPr>
            <w:r>
              <w:rPr>
                <w:rFonts w:ascii="Calibri" w:eastAsia="Times New Roman" w:hAnsi="Calibri" w:cs="Calibri"/>
                <w:sz w:val="20"/>
                <w:szCs w:val="20"/>
              </w:rPr>
              <w:t>K</w:t>
            </w:r>
            <w:r w:rsidR="008267CE" w:rsidRPr="00907498">
              <w:rPr>
                <w:rFonts w:ascii="Calibri" w:eastAsia="Times New Roman" w:hAnsi="Calibri" w:cs="Calibri"/>
                <w:sz w:val="20"/>
                <w:szCs w:val="20"/>
              </w:rPr>
              <w:t>onfederacja Lewiatan</w:t>
            </w:r>
          </w:p>
        </w:tc>
        <w:tc>
          <w:tcPr>
            <w:tcW w:w="1838" w:type="dxa"/>
          </w:tcPr>
          <w:p w14:paraId="7552200E" w14:textId="34944421"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Art. 1 pkt 10 wprowadzający nowy art. 11zha ust. 2</w:t>
            </w:r>
          </w:p>
        </w:tc>
        <w:tc>
          <w:tcPr>
            <w:tcW w:w="5387" w:type="dxa"/>
          </w:tcPr>
          <w:p w14:paraId="19FFD975" w14:textId="53AB1B2E"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Niedostępność centralnego systemu informacji rynku energii uniemożliwia faktyczne zachowanie ciągłości realizacji procesów rynku energii, o których mowa w projektowanym przepisie. W konsekwencji obowiązek opracowania przez OSD, OSP czy sprzedawców planów mających na celu „zapewnienie ciągłości” nie odzwierciedla rzeczywistych ograniczeń operacyjnych funkcjonowania rynku w przypadku braku dostępności CSIRE.</w:t>
            </w:r>
          </w:p>
          <w:p w14:paraId="4B12C962" w14:textId="332B2544"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W związku z powyższym działania realizowane w oparciu o plany awaryjne nie mogą zapewniać ciągłości procesów, lecz jedynie zmierzać do:</w:t>
            </w:r>
          </w:p>
          <w:p w14:paraId="513ECEDB" w14:textId="383AE2EB"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ograniczenia skutków zakłóceń lub niedostępności systemów informacyjnych,</w:t>
            </w:r>
          </w:p>
          <w:p w14:paraId="31D679AB" w14:textId="101826AC"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zapewnienia możliwie najszybszego przywrócenia poprawnego funkcjonowania systemów oraz procesów rynku energii (a nie na zapewnienia ich nieprzerwanej realizacji). </w:t>
            </w:r>
          </w:p>
          <w:p w14:paraId="0836B7A8" w14:textId="60500BA6"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1BF1B079" w14:textId="430C7563"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Dlatego zasadne jest doprecyzowanie, że plany te służą minimalizacji wpływu zdarzeń na funkcjonowanie rynku, a nie utrzymaniu jego pełnej ciągłości.</w:t>
            </w:r>
          </w:p>
          <w:p w14:paraId="23E9979D" w14:textId="37356250"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tc>
        <w:tc>
          <w:tcPr>
            <w:tcW w:w="3543" w:type="dxa"/>
          </w:tcPr>
          <w:p w14:paraId="29B1A2BD" w14:textId="2B3BB70A"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w:t>
            </w:r>
            <w:r w:rsidRPr="00907498">
              <w:rPr>
                <w:rFonts w:ascii="Calibri" w:eastAsia="Times New Roman" w:hAnsi="Calibri" w:cs="Calibri"/>
                <w:i/>
                <w:iCs/>
                <w:sz w:val="20"/>
                <w:szCs w:val="20"/>
              </w:rPr>
              <w:t xml:space="preserve">2. Operator systemu przesyłowego elektroenergetycznego oraz podmioty, o których mowa w art. 11zg ust. 1, których systemy informacyjne współpracują z centralnym systemem informacji rynku energii, są obowiązani do opracowania i stosowania planów działania mających na celu zapewnienie </w:t>
            </w:r>
            <w:r w:rsidRPr="00907498">
              <w:rPr>
                <w:rFonts w:ascii="Calibri" w:eastAsia="Times New Roman" w:hAnsi="Calibri" w:cs="Calibri"/>
                <w:b/>
                <w:bCs/>
                <w:i/>
                <w:iCs/>
                <w:strike/>
                <w:sz w:val="20"/>
                <w:szCs w:val="20"/>
              </w:rPr>
              <w:t>ciągłości realizacji</w:t>
            </w:r>
            <w:r w:rsidRPr="00907498">
              <w:rPr>
                <w:rFonts w:ascii="Calibri" w:eastAsia="Times New Roman" w:hAnsi="Calibri" w:cs="Calibri"/>
                <w:i/>
                <w:iCs/>
                <w:sz w:val="20"/>
                <w:szCs w:val="20"/>
              </w:rPr>
              <w:t xml:space="preserve">  </w:t>
            </w:r>
            <w:r w:rsidRPr="00907498">
              <w:rPr>
                <w:rFonts w:ascii="Calibri" w:eastAsia="Times New Roman" w:hAnsi="Calibri" w:cs="Calibri"/>
                <w:b/>
                <w:bCs/>
                <w:i/>
                <w:iCs/>
                <w:strike/>
                <w:sz w:val="20"/>
                <w:szCs w:val="20"/>
              </w:rPr>
              <w:t>procesów rynku energii</w:t>
            </w:r>
            <w:r w:rsidRPr="00907498">
              <w:rPr>
                <w:rFonts w:ascii="Calibri" w:eastAsia="Times New Roman" w:hAnsi="Calibri" w:cs="Calibri"/>
                <w:i/>
                <w:iCs/>
                <w:sz w:val="20"/>
                <w:szCs w:val="20"/>
              </w:rPr>
              <w:t xml:space="preserve">  </w:t>
            </w:r>
            <w:r w:rsidRPr="00907498">
              <w:rPr>
                <w:rFonts w:ascii="Calibri" w:eastAsia="Times New Roman" w:hAnsi="Calibri" w:cs="Calibri"/>
                <w:b/>
                <w:bCs/>
                <w:i/>
                <w:iCs/>
                <w:sz w:val="20"/>
                <w:szCs w:val="20"/>
              </w:rPr>
              <w:t>ograniczenia skutków zakłóceń w realizacji</w:t>
            </w:r>
            <w:r w:rsidRPr="00907498">
              <w:rPr>
                <w:rFonts w:ascii="Calibri" w:eastAsia="Times New Roman" w:hAnsi="Calibri" w:cs="Calibri"/>
                <w:i/>
                <w:iCs/>
                <w:sz w:val="20"/>
                <w:szCs w:val="20"/>
              </w:rPr>
              <w:t xml:space="preserve"> </w:t>
            </w:r>
            <w:r w:rsidRPr="00907498">
              <w:rPr>
                <w:rFonts w:ascii="Calibri" w:eastAsia="Times New Roman" w:hAnsi="Calibri" w:cs="Calibri"/>
                <w:b/>
                <w:bCs/>
                <w:i/>
                <w:iCs/>
                <w:sz w:val="20"/>
                <w:szCs w:val="20"/>
              </w:rPr>
              <w:t>procesów rynku energii</w:t>
            </w:r>
            <w:r w:rsidRPr="00907498">
              <w:rPr>
                <w:rFonts w:ascii="Calibri" w:eastAsia="Times New Roman" w:hAnsi="Calibri" w:cs="Calibri"/>
                <w:i/>
                <w:iCs/>
                <w:sz w:val="20"/>
                <w:szCs w:val="20"/>
              </w:rPr>
              <w:t xml:space="preserve"> </w:t>
            </w:r>
            <w:r w:rsidRPr="00907498">
              <w:rPr>
                <w:rFonts w:ascii="Calibri" w:eastAsia="Times New Roman" w:hAnsi="Calibri" w:cs="Calibri"/>
                <w:b/>
                <w:bCs/>
                <w:i/>
                <w:iCs/>
                <w:sz w:val="20"/>
                <w:szCs w:val="20"/>
              </w:rPr>
              <w:t>oraz zapewnienie możliwie najszybszego przywrócenia prawidłowej realizacji tych procesów,</w:t>
            </w:r>
            <w:r w:rsidRPr="00907498">
              <w:rPr>
                <w:rFonts w:ascii="Calibri" w:eastAsia="Times New Roman" w:hAnsi="Calibri" w:cs="Calibri"/>
                <w:i/>
                <w:iCs/>
                <w:sz w:val="20"/>
                <w:szCs w:val="20"/>
              </w:rPr>
              <w:t xml:space="preserve"> w szczególności na wypadek wystąpienia:</w:t>
            </w:r>
          </w:p>
          <w:p w14:paraId="48D8E7B1" w14:textId="673498DA"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1) zakłóceń pracy lub niedostępności systemów informacyjnych współpracujących z centralnym systemem informacji rynku energii;</w:t>
            </w:r>
          </w:p>
          <w:p w14:paraId="0AF2EB73" w14:textId="1D6752CF"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2) zakłóceń pracy lub niedostępności centralnego systemu informacji rynku energii;</w:t>
            </w:r>
          </w:p>
          <w:p w14:paraId="044B079E" w14:textId="5E234EDB"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3) zakłóceń pracy lub niedostępności infrastruktury telekomunikacyjnej niezbędnej do wymiany informacji rynku energii za pośrednictwem centralnego systemu informacji rynku energii.”</w:t>
            </w:r>
          </w:p>
        </w:tc>
      </w:tr>
      <w:tr w:rsidR="32E71C10" w:rsidRPr="00907498" w14:paraId="69A47573" w14:textId="77777777" w:rsidTr="006B2CF1">
        <w:trPr>
          <w:trHeight w:val="300"/>
        </w:trPr>
        <w:tc>
          <w:tcPr>
            <w:tcW w:w="567" w:type="dxa"/>
          </w:tcPr>
          <w:p w14:paraId="53AAB25F" w14:textId="67868F73"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72D58A8F" w14:textId="4D304CE0"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08CE54AE" w14:textId="4586F25D"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Art. 1 pkt 10 wprowadzający nowy art. 11zha ust. 3</w:t>
            </w:r>
          </w:p>
        </w:tc>
        <w:tc>
          <w:tcPr>
            <w:tcW w:w="5387" w:type="dxa"/>
          </w:tcPr>
          <w:p w14:paraId="75EF1D79" w14:textId="4950756F"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Proponujemy doprecyzowanie brzmienia art. 11zha ust. 3 pkt 7 poprzez jednoznaczne wskazanie, że odnosi się on wyłącznie do planu działania opracowywanego przez operatora informacji </w:t>
            </w:r>
            <w:r w:rsidRPr="00907498">
              <w:rPr>
                <w:rFonts w:ascii="Calibri" w:eastAsia="Times New Roman" w:hAnsi="Calibri" w:cs="Calibri"/>
                <w:sz w:val="20"/>
                <w:szCs w:val="20"/>
              </w:rPr>
              <w:lastRenderedPageBreak/>
              <w:t>rynku energii, o którym mowa w art. 11zha ust. 1, oraz do działań realizowanych przez OIRE.</w:t>
            </w:r>
          </w:p>
          <w:p w14:paraId="57BBF426" w14:textId="25B9630D"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543BC594" w14:textId="3AC3284A"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W obecnym brzmieniu przepis obejmuje również plany działania sporządzane przez podmioty wskazane w art. 11zha ust. 2. Tymczasem kwestie dotyczące sposobu i zakresu wymiany informacji rynku energii oraz komunikacji w przypadku niedostępności CSIRE powinny pozostawać w gestii OIRE jako podmiotu odpowiedzialnego za koordynację działań podejmowanych w okresie niedostępności systemu. W związku z tym zasadne jest ograniczenie zakresu przepisu wyłącznie do planu działania, o którym mowa w art. 11zha ust. 1, z wyłączeniem planów działania opracowywanych przez pozostałe podmioty na podstawie art. 11zha ust. 2.</w:t>
            </w:r>
          </w:p>
        </w:tc>
        <w:tc>
          <w:tcPr>
            <w:tcW w:w="3543" w:type="dxa"/>
          </w:tcPr>
          <w:p w14:paraId="4706ED6B" w14:textId="78717175"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lastRenderedPageBreak/>
              <w:t>Propozycja dodania nowego ust. 5 do art. 11zha:</w:t>
            </w:r>
            <w:r w:rsidRPr="00907498">
              <w:rPr>
                <w:rFonts w:ascii="Calibri" w:hAnsi="Calibri" w:cs="Calibri"/>
                <w:sz w:val="20"/>
                <w:szCs w:val="20"/>
              </w:rPr>
              <w:br/>
            </w:r>
            <w:r w:rsidRPr="00907498">
              <w:rPr>
                <w:rFonts w:ascii="Calibri" w:eastAsia="Times New Roman" w:hAnsi="Calibri" w:cs="Calibri"/>
                <w:sz w:val="20"/>
                <w:szCs w:val="20"/>
              </w:rPr>
              <w:t xml:space="preserve"> </w:t>
            </w:r>
            <w:r w:rsidRPr="00907498">
              <w:rPr>
                <w:rFonts w:ascii="Calibri" w:eastAsia="Times New Roman" w:hAnsi="Calibri" w:cs="Calibri"/>
                <w:i/>
                <w:iCs/>
                <w:sz w:val="20"/>
                <w:szCs w:val="20"/>
              </w:rPr>
              <w:t xml:space="preserve">„5. Do planów działania, o których mowa </w:t>
            </w:r>
            <w:r w:rsidRPr="00907498">
              <w:rPr>
                <w:rFonts w:ascii="Calibri" w:eastAsia="Times New Roman" w:hAnsi="Calibri" w:cs="Calibri"/>
                <w:i/>
                <w:iCs/>
                <w:sz w:val="20"/>
                <w:szCs w:val="20"/>
              </w:rPr>
              <w:lastRenderedPageBreak/>
              <w:t>w ust. 2 nie ma zastosowania zakres wskazany w ust. 3 pkt 7</w:t>
            </w:r>
            <w:r w:rsidRPr="00907498">
              <w:rPr>
                <w:rFonts w:ascii="Calibri" w:eastAsia="Times New Roman" w:hAnsi="Calibri" w:cs="Calibri"/>
                <w:sz w:val="20"/>
                <w:szCs w:val="20"/>
              </w:rPr>
              <w:t>”</w:t>
            </w:r>
          </w:p>
        </w:tc>
      </w:tr>
      <w:tr w:rsidR="32E71C10" w:rsidRPr="00907498" w14:paraId="2474B9C3" w14:textId="77777777" w:rsidTr="006B2CF1">
        <w:trPr>
          <w:trHeight w:val="300"/>
        </w:trPr>
        <w:tc>
          <w:tcPr>
            <w:tcW w:w="567" w:type="dxa"/>
          </w:tcPr>
          <w:p w14:paraId="5096E88D" w14:textId="3EE3A0A7"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06CEBDB7" w14:textId="3DB70394"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01579C75" w14:textId="30D89C00"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Art. 1 pkt 11 lit. e wprowadzający nowy art. 56 ust. 6aa</w:t>
            </w:r>
          </w:p>
        </w:tc>
        <w:tc>
          <w:tcPr>
            <w:tcW w:w="5387" w:type="dxa"/>
          </w:tcPr>
          <w:p w14:paraId="6E7E2C5E" w14:textId="61B0595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Dodawany do art. 56 nowy ust. 6aa stanowi:</w:t>
            </w:r>
          </w:p>
          <w:p w14:paraId="62DD7172" w14:textId="07D56DAF"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 xml:space="preserve"> </w:t>
            </w:r>
          </w:p>
          <w:p w14:paraId="7F705D2D" w14:textId="396F9A65"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 xml:space="preserve">„Użytkownik systemu elektroenergetycznego nie podlega karom pieniężnym, o których mowa w ust. 1 pkt </w:t>
            </w:r>
            <w:r w:rsidRPr="00907498">
              <w:rPr>
                <w:rFonts w:ascii="Calibri" w:eastAsia="Times New Roman" w:hAnsi="Calibri" w:cs="Calibri"/>
                <w:b/>
                <w:bCs/>
                <w:i/>
                <w:iCs/>
                <w:sz w:val="20"/>
                <w:szCs w:val="20"/>
              </w:rPr>
              <w:t>30b</w:t>
            </w:r>
            <w:r w:rsidRPr="00907498">
              <w:rPr>
                <w:rFonts w:ascii="Calibri" w:eastAsia="Times New Roman" w:hAnsi="Calibri" w:cs="Calibri"/>
                <w:i/>
                <w:iCs/>
                <w:sz w:val="20"/>
                <w:szCs w:val="20"/>
              </w:rPr>
              <w:t>, 30h, 30k, 30l i 30m, w zakresie, w jakim okoliczności stanowiące podstawę do wymierzenia tych kar pieniężnych wynikają z wystąpienia niedostępności, o której mowa w art. 4k ust. 2, odpowiednio centralnego systemu informacji rynku energii albo systemu informacyjnego współpracującego z tym systemem, wykorzystywanego przez podmiot, o którym mowa w art. 11zg ust. 1, lub operatora systemu przesyłowego elektroenergetycznego.”</w:t>
            </w:r>
          </w:p>
          <w:p w14:paraId="4799B1CA" w14:textId="02FFC56B"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75B0C301" w14:textId="4CBC2D9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Jednocześnie przepis o karze zawarty obecnie w art. 56 ust. 1 pkt 30b, do którego m.in. odwołuje się cytowany wyżej przepis nie jest modyfikowany projektem UC446, a więc pozostaje w wersji dotychczasowej tj. w brzmieniu: </w:t>
            </w:r>
            <w:r w:rsidRPr="00907498">
              <w:rPr>
                <w:rFonts w:ascii="Calibri" w:eastAsia="Times New Roman" w:hAnsi="Calibri" w:cs="Calibri"/>
                <w:i/>
                <w:iCs/>
                <w:sz w:val="20"/>
                <w:szCs w:val="20"/>
              </w:rPr>
              <w:t xml:space="preserve">„Karze pieniężnej podlega ten kto … prowadzi rozliczenia za energię elektryczną, usługi </w:t>
            </w:r>
            <w:r w:rsidRPr="00907498">
              <w:rPr>
                <w:rFonts w:ascii="Calibri" w:eastAsia="Times New Roman" w:hAnsi="Calibri" w:cs="Calibri"/>
                <w:i/>
                <w:iCs/>
                <w:sz w:val="20"/>
                <w:szCs w:val="20"/>
              </w:rPr>
              <w:lastRenderedPageBreak/>
              <w:t xml:space="preserve">przesyłania, dystrybucji lub usługi systemowe niezgodnie z </w:t>
            </w:r>
            <w:r w:rsidRPr="00907498">
              <w:rPr>
                <w:rFonts w:ascii="Calibri" w:eastAsia="Times New Roman" w:hAnsi="Calibri" w:cs="Calibri"/>
                <w:b/>
                <w:bCs/>
                <w:i/>
                <w:iCs/>
                <w:sz w:val="20"/>
                <w:szCs w:val="20"/>
                <w:u w:val="single"/>
              </w:rPr>
              <w:t>art. 4k</w:t>
            </w:r>
            <w:r w:rsidRPr="00907498">
              <w:rPr>
                <w:rFonts w:ascii="Calibri" w:eastAsia="Times New Roman" w:hAnsi="Calibri" w:cs="Calibri"/>
                <w:i/>
                <w:iCs/>
                <w:sz w:val="20"/>
                <w:szCs w:val="20"/>
              </w:rPr>
              <w:t>”</w:t>
            </w:r>
            <w:r w:rsidRPr="00907498">
              <w:rPr>
                <w:rFonts w:ascii="Calibri" w:eastAsia="Times New Roman" w:hAnsi="Calibri" w:cs="Calibri"/>
                <w:sz w:val="20"/>
                <w:szCs w:val="20"/>
              </w:rPr>
              <w:t xml:space="preserve">. Art. 4k tylko w ust. 1 stanowi o obowiązku prowadzenia rozliczeń w oparciu o dane z CSIRE, a w pozostałych ustępach (w znowelizowanym brzemieniu) o rozliczeniach na wypadek niedostępności systemu. Zatem, jeśli intencją projektodawcy jest „karanie” w ramach pkt 30b za brak prowadzenia rozliczeń na postawie danych zarejestrowanych w CSIRE, to przepis art. 56 ust. 1 pkt 30b należałoby ograniczyć do rozliczeń niezgodnych z </w:t>
            </w:r>
            <w:r w:rsidRPr="00907498">
              <w:rPr>
                <w:rFonts w:ascii="Calibri" w:eastAsia="Times New Roman" w:hAnsi="Calibri" w:cs="Calibri"/>
                <w:b/>
                <w:bCs/>
                <w:sz w:val="20"/>
                <w:szCs w:val="20"/>
              </w:rPr>
              <w:t xml:space="preserve">art. 4 ust. 1 </w:t>
            </w:r>
            <w:r w:rsidRPr="00907498">
              <w:rPr>
                <w:rFonts w:ascii="Calibri" w:eastAsia="Times New Roman" w:hAnsi="Calibri" w:cs="Calibri"/>
                <w:sz w:val="20"/>
                <w:szCs w:val="20"/>
              </w:rPr>
              <w:t>(kary za naruszenia innych ustępów zawartych w art. 4k zostały przewidziane w innych przepisach – pkt 30ba – 30bd).</w:t>
            </w:r>
          </w:p>
        </w:tc>
        <w:tc>
          <w:tcPr>
            <w:tcW w:w="3543" w:type="dxa"/>
          </w:tcPr>
          <w:p w14:paraId="0D703979" w14:textId="08FB912A"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lastRenderedPageBreak/>
              <w:t>Proponujemy doprecyzowanie / modyfikację art. 56 ust. 1 pkt 30b) w następujący sposób: „</w:t>
            </w:r>
            <w:r w:rsidRPr="00907498">
              <w:rPr>
                <w:rFonts w:ascii="Calibri" w:eastAsia="Times New Roman" w:hAnsi="Calibri" w:cs="Calibri"/>
                <w:i/>
                <w:iCs/>
                <w:sz w:val="20"/>
                <w:szCs w:val="20"/>
              </w:rPr>
              <w:t xml:space="preserve">prowadzi rozliczenia za energię elektryczną, usługi przesyłania, dystrybucji lub usługi systemowe niezgodnie z art. 4k </w:t>
            </w:r>
            <w:r w:rsidRPr="00907498">
              <w:rPr>
                <w:rFonts w:ascii="Calibri" w:eastAsia="Times New Roman" w:hAnsi="Calibri" w:cs="Calibri"/>
                <w:b/>
                <w:bCs/>
                <w:i/>
                <w:iCs/>
                <w:sz w:val="20"/>
                <w:szCs w:val="20"/>
                <w:u w:val="single"/>
              </w:rPr>
              <w:t>ust. 1</w:t>
            </w:r>
            <w:r w:rsidRPr="00907498">
              <w:rPr>
                <w:rFonts w:ascii="Calibri" w:eastAsia="Times New Roman" w:hAnsi="Calibri" w:cs="Calibri"/>
                <w:i/>
                <w:iCs/>
                <w:sz w:val="20"/>
                <w:szCs w:val="20"/>
              </w:rPr>
              <w:t>;”</w:t>
            </w:r>
          </w:p>
        </w:tc>
      </w:tr>
      <w:tr w:rsidR="32E71C10" w:rsidRPr="00907498" w14:paraId="0F3724B7" w14:textId="77777777" w:rsidTr="006B2CF1">
        <w:trPr>
          <w:trHeight w:val="300"/>
        </w:trPr>
        <w:tc>
          <w:tcPr>
            <w:tcW w:w="567" w:type="dxa"/>
          </w:tcPr>
          <w:p w14:paraId="50B11157" w14:textId="084C9967"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55BC8FC8" w14:textId="65CA4396"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62E34355" w14:textId="5E5A1EB0"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Art. 2 wprowadzający nowy art. 20e ust. 1 do ustawy z dnia 20 maja 2021 r.  o zmianie ustawy - Prawo energetyczne oraz niektórych innych ustaw </w:t>
            </w:r>
            <w:r w:rsidRPr="00907498">
              <w:rPr>
                <w:rFonts w:ascii="Calibri" w:hAnsi="Calibri" w:cs="Calibri"/>
                <w:sz w:val="20"/>
                <w:szCs w:val="20"/>
              </w:rPr>
              <w:br/>
            </w:r>
            <w:r w:rsidRPr="00907498">
              <w:rPr>
                <w:rFonts w:ascii="Calibri" w:eastAsia="Times New Roman" w:hAnsi="Calibri" w:cs="Calibri"/>
                <w:sz w:val="20"/>
                <w:szCs w:val="20"/>
              </w:rPr>
              <w:t xml:space="preserve">(Dz. U. poz. 1093, z </w:t>
            </w:r>
            <w:proofErr w:type="spellStart"/>
            <w:r w:rsidRPr="00907498">
              <w:rPr>
                <w:rFonts w:ascii="Calibri" w:eastAsia="Times New Roman" w:hAnsi="Calibri" w:cs="Calibri"/>
                <w:sz w:val="20"/>
                <w:szCs w:val="20"/>
              </w:rPr>
              <w:t>późn</w:t>
            </w:r>
            <w:proofErr w:type="spellEnd"/>
            <w:r w:rsidRPr="00907498">
              <w:rPr>
                <w:rFonts w:ascii="Calibri" w:eastAsia="Times New Roman" w:hAnsi="Calibri" w:cs="Calibri"/>
                <w:sz w:val="20"/>
                <w:szCs w:val="20"/>
              </w:rPr>
              <w:t>. zm.)</w:t>
            </w:r>
          </w:p>
        </w:tc>
        <w:tc>
          <w:tcPr>
            <w:tcW w:w="5387" w:type="dxa"/>
          </w:tcPr>
          <w:p w14:paraId="55C4F8B5" w14:textId="7DA95086" w:rsidR="32E71C10" w:rsidRPr="00907498" w:rsidRDefault="32E71C10" w:rsidP="00823433">
            <w:pPr>
              <w:jc w:val="both"/>
              <w:rPr>
                <w:rFonts w:ascii="Calibri" w:eastAsia="Times New Roman" w:hAnsi="Calibri" w:cs="Calibri"/>
                <w:sz w:val="20"/>
                <w:szCs w:val="20"/>
              </w:rPr>
            </w:pPr>
            <w:r w:rsidRPr="00907498">
              <w:rPr>
                <w:rFonts w:ascii="Calibri" w:eastAsia="Times New Roman" w:hAnsi="Calibri" w:cs="Calibri"/>
                <w:sz w:val="20"/>
                <w:szCs w:val="20"/>
              </w:rPr>
              <w:t xml:space="preserve">Postulujemy, aby w przypadku łącznego spełnienia przesłanek określonych w art. 20e ust. 1 pkt 1 i 2 odstąpienie od wymierzenia administracyjnej kary pieniężnej wobec OSD miało charakter obligatoryjny, analogicznie jak w przypadku innych użytkowników systemu elektroenergetycznego, o których mowa w art. 20e ust. 2. Pozostawienie decyzji w tym zakresie uznaniu Prezesa URE jest nieuzasadnione, skoro ustawowe przesłanki mają charakter kumulatywny i zostały spełnione. </w:t>
            </w:r>
            <w:r w:rsidRPr="00907498">
              <w:rPr>
                <w:rFonts w:ascii="Calibri" w:hAnsi="Calibri" w:cs="Calibri"/>
                <w:sz w:val="20"/>
                <w:szCs w:val="20"/>
              </w:rPr>
              <w:br/>
            </w:r>
            <w:r w:rsidRPr="00907498">
              <w:rPr>
                <w:rFonts w:ascii="Calibri" w:hAnsi="Calibri" w:cs="Calibri"/>
                <w:sz w:val="20"/>
                <w:szCs w:val="20"/>
              </w:rPr>
              <w:br/>
            </w:r>
          </w:p>
          <w:p w14:paraId="3A1C006A" w14:textId="3EAD9D92"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6CD1A717" w14:textId="040B6C6E"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Jednocześnie wnosimy o usunięcie słowa „wyłącznie” z ust. 2, ponieważ poza brakiem przystąpienia do realizacji procesów CSIRE przez właściwego OSD mogą wystąpić także inne, niezależne okoliczności wpływające na brak realizacji tych procesów przez sprzedawcę.</w:t>
            </w:r>
          </w:p>
          <w:p w14:paraId="7C618E74" w14:textId="2913CFAC"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5C41ACCD" w14:textId="407BEA1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569C6B74" w14:textId="49515F0C"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tc>
        <w:tc>
          <w:tcPr>
            <w:tcW w:w="3543" w:type="dxa"/>
          </w:tcPr>
          <w:p w14:paraId="52AC8A23" w14:textId="0E4A7401"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Art. 20e. 1. Prezes Urzędu Regulacji Energetyki </w:t>
            </w:r>
            <w:r w:rsidRPr="00907498">
              <w:rPr>
                <w:rFonts w:ascii="Calibri" w:eastAsia="Times New Roman" w:hAnsi="Calibri" w:cs="Calibri"/>
                <w:b/>
                <w:bCs/>
                <w:strike/>
                <w:sz w:val="20"/>
                <w:szCs w:val="20"/>
              </w:rPr>
              <w:t>może odstąpić</w:t>
            </w:r>
            <w:r w:rsidRPr="00907498">
              <w:rPr>
                <w:rFonts w:ascii="Calibri" w:eastAsia="Times New Roman" w:hAnsi="Calibri" w:cs="Calibri"/>
                <w:sz w:val="20"/>
                <w:szCs w:val="20"/>
              </w:rPr>
              <w:t xml:space="preserve"> </w:t>
            </w:r>
            <w:r w:rsidRPr="00907498">
              <w:rPr>
                <w:rFonts w:ascii="Calibri" w:eastAsia="Times New Roman" w:hAnsi="Calibri" w:cs="Calibri"/>
                <w:b/>
                <w:bCs/>
                <w:sz w:val="20"/>
                <w:szCs w:val="20"/>
              </w:rPr>
              <w:t>odstępuje</w:t>
            </w:r>
            <w:r w:rsidRPr="00907498">
              <w:rPr>
                <w:rFonts w:ascii="Calibri" w:eastAsia="Times New Roman" w:hAnsi="Calibri" w:cs="Calibri"/>
                <w:sz w:val="20"/>
                <w:szCs w:val="20"/>
              </w:rPr>
              <w:t xml:space="preserve"> od wymierzenia kary pieniężnej, o której mowa w art. 56 ust. 1 pkt 30b, 30h, 30k, 30l i 30m ustawy zmienianej w art. 1, operatorowi systemu dystrybucyjnego elektroenergetycznego, o którym mowa w art. 20b ust. 1, który nie rozpoczął realizacji zadań, o których mowa w rozdziale 2d ustawy zmienianej w art. 1, w terminie wskazanym w art. 20b ust. 1, jeżeli łącznie są spełnione następujące warunki: …</w:t>
            </w:r>
          </w:p>
          <w:p w14:paraId="4C9DD898" w14:textId="536B04AC"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226D481A" w14:textId="247D3A0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Alternatywnie:</w:t>
            </w:r>
          </w:p>
          <w:p w14:paraId="488EAD98" w14:textId="5F8093BB"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w:t>
            </w:r>
            <w:r w:rsidRPr="00907498">
              <w:rPr>
                <w:rFonts w:ascii="Calibri" w:eastAsia="Times New Roman" w:hAnsi="Calibri" w:cs="Calibri"/>
                <w:b/>
                <w:bCs/>
                <w:i/>
                <w:iCs/>
                <w:sz w:val="20"/>
                <w:szCs w:val="20"/>
                <w:u w:val="single"/>
              </w:rPr>
              <w:t>Nie podlega karom pieniężnym</w:t>
            </w:r>
            <w:r w:rsidRPr="00907498">
              <w:rPr>
                <w:rFonts w:ascii="Calibri" w:eastAsia="Times New Roman" w:hAnsi="Calibri" w:cs="Calibri"/>
                <w:i/>
                <w:iCs/>
                <w:sz w:val="20"/>
                <w:szCs w:val="20"/>
              </w:rPr>
              <w:t>, o których mowa w art. 56 ust. 1 pkt 30b, 30h, 30k, 30l i 30m ustawy zmienianej w art. 1, operator systemu dystrybucyjnego elektroenergetycznego,</w:t>
            </w:r>
          </w:p>
          <w:p w14:paraId="7DDEE63F" w14:textId="673C0F0A" w:rsidR="32E71C10" w:rsidRPr="00907498" w:rsidRDefault="32E71C10" w:rsidP="00823433">
            <w:pPr>
              <w:jc w:val="both"/>
              <w:rPr>
                <w:rFonts w:ascii="Calibri" w:hAnsi="Calibri" w:cs="Calibri"/>
                <w:sz w:val="20"/>
                <w:szCs w:val="20"/>
              </w:rPr>
            </w:pPr>
            <w:r w:rsidRPr="00907498">
              <w:rPr>
                <w:rFonts w:ascii="Calibri" w:eastAsia="Times New Roman" w:hAnsi="Calibri" w:cs="Calibri"/>
                <w:i/>
                <w:iCs/>
                <w:sz w:val="20"/>
                <w:szCs w:val="20"/>
              </w:rPr>
              <w:t xml:space="preserve">o którym mowa w art. 20b ust. 1, który nie rozpoczął realizacji zadań, o których </w:t>
            </w:r>
            <w:r w:rsidRPr="00907498">
              <w:rPr>
                <w:rFonts w:ascii="Calibri" w:eastAsia="Times New Roman" w:hAnsi="Calibri" w:cs="Calibri"/>
                <w:i/>
                <w:iCs/>
                <w:sz w:val="20"/>
                <w:szCs w:val="20"/>
              </w:rPr>
              <w:lastRenderedPageBreak/>
              <w:t xml:space="preserve">mowa w rozdziale 2d ustawy zmienianej w art. 1, w terminie wskazanym w art. 20b ust. 1, który spełnił łącznie następujące </w:t>
            </w:r>
            <w:proofErr w:type="gramStart"/>
            <w:r w:rsidRPr="00907498">
              <w:rPr>
                <w:rFonts w:ascii="Calibri" w:eastAsia="Times New Roman" w:hAnsi="Calibri" w:cs="Calibri"/>
                <w:i/>
                <w:iCs/>
                <w:sz w:val="20"/>
                <w:szCs w:val="20"/>
              </w:rPr>
              <w:t>warunki:…</w:t>
            </w:r>
            <w:proofErr w:type="gramEnd"/>
          </w:p>
          <w:p w14:paraId="603A44B1" w14:textId="4BA0A8A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3781F343" w14:textId="5B147792"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2. Użytkownik systemu elektroenergetycznego, inny niż operator systemu dystrybucyjnego elektroenergetycznego, który wbrew obowiązkowi nie rozpoczął realizacji zadań, o których mowa w rozdziale 2d ustawy zmienianej w art. 1, w terminie określonym w art. 20b ust. 1, nie podlega karom pieniężnym, o których mowa w art. 56 ust. 1 pkt 30b, 30h, 30k, 30l i 30m ustawy zmienianej w art. 1, w zakresie, w jakim okoliczności stanowiące podstawę do wymierzenia tych kar pieniężnych wynikają </w:t>
            </w:r>
            <w:r w:rsidRPr="00907498">
              <w:rPr>
                <w:rFonts w:ascii="Calibri" w:eastAsia="Times New Roman" w:hAnsi="Calibri" w:cs="Calibri"/>
                <w:b/>
                <w:bCs/>
                <w:strike/>
                <w:sz w:val="20"/>
                <w:szCs w:val="20"/>
              </w:rPr>
              <w:t>wyłącznie</w:t>
            </w:r>
            <w:r w:rsidRPr="00907498">
              <w:rPr>
                <w:rFonts w:ascii="Calibri" w:eastAsia="Times New Roman" w:hAnsi="Calibri" w:cs="Calibri"/>
                <w:sz w:val="20"/>
                <w:szCs w:val="20"/>
              </w:rPr>
              <w:t xml:space="preserve"> z powodu braku rozpoczęcia przez danego operatora systemu dystrybucyjnego elektroenergetycznego, o którym mowa w art. 20b ust. 1, realizacji zadań, o  którym mowa w art. 20b ust. 1, realizacji zadań, o których mowa w rozdziale 2d ustawy zmienianej w art. 1.</w:t>
            </w:r>
          </w:p>
        </w:tc>
      </w:tr>
      <w:tr w:rsidR="32E71C10" w:rsidRPr="00907498" w14:paraId="2A882081" w14:textId="77777777" w:rsidTr="006B2CF1">
        <w:trPr>
          <w:trHeight w:val="300"/>
        </w:trPr>
        <w:tc>
          <w:tcPr>
            <w:tcW w:w="567" w:type="dxa"/>
          </w:tcPr>
          <w:p w14:paraId="09548188" w14:textId="6064C723"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5E21B32A" w14:textId="05ADD1EA"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434D7AA2" w14:textId="388A2CB3"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Art. 2 – propozycja dodania nowego </w:t>
            </w:r>
          </w:p>
          <w:p w14:paraId="5CB94003" w14:textId="5E4D2C0F"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art. 20a do </w:t>
            </w:r>
          </w:p>
          <w:p w14:paraId="622D6DB9" w14:textId="6C8C5A39"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ustawy z dnia 20 maja 2021 r. o zmianie ustawy - </w:t>
            </w:r>
            <w:r w:rsidRPr="00907498">
              <w:rPr>
                <w:rFonts w:ascii="Calibri" w:eastAsia="Times New Roman" w:hAnsi="Calibri" w:cs="Calibri"/>
                <w:sz w:val="20"/>
                <w:szCs w:val="20"/>
              </w:rPr>
              <w:lastRenderedPageBreak/>
              <w:t xml:space="preserve">Prawo energetyczne oraz niektórych innych ustaw </w:t>
            </w:r>
            <w:r w:rsidRPr="00907498">
              <w:rPr>
                <w:rFonts w:ascii="Calibri" w:hAnsi="Calibri" w:cs="Calibri"/>
                <w:sz w:val="20"/>
                <w:szCs w:val="20"/>
              </w:rPr>
              <w:br/>
            </w:r>
            <w:r w:rsidRPr="00907498">
              <w:rPr>
                <w:rFonts w:ascii="Calibri" w:eastAsia="Times New Roman" w:hAnsi="Calibri" w:cs="Calibri"/>
                <w:sz w:val="20"/>
                <w:szCs w:val="20"/>
              </w:rPr>
              <w:t xml:space="preserve">(Dz. U. poz. 1093, z </w:t>
            </w:r>
            <w:proofErr w:type="spellStart"/>
            <w:r w:rsidRPr="00907498">
              <w:rPr>
                <w:rFonts w:ascii="Calibri" w:eastAsia="Times New Roman" w:hAnsi="Calibri" w:cs="Calibri"/>
                <w:sz w:val="20"/>
                <w:szCs w:val="20"/>
              </w:rPr>
              <w:t>późn</w:t>
            </w:r>
            <w:proofErr w:type="spellEnd"/>
            <w:r w:rsidRPr="00907498">
              <w:rPr>
                <w:rFonts w:ascii="Calibri" w:eastAsia="Times New Roman" w:hAnsi="Calibri" w:cs="Calibri"/>
                <w:sz w:val="20"/>
                <w:szCs w:val="20"/>
              </w:rPr>
              <w:t>. zm.)</w:t>
            </w:r>
          </w:p>
        </w:tc>
        <w:tc>
          <w:tcPr>
            <w:tcW w:w="5387" w:type="dxa"/>
          </w:tcPr>
          <w:p w14:paraId="0CD5C1D5" w14:textId="5132584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lastRenderedPageBreak/>
              <w:t>Zasadne wydaje się określenie obowiązku na poinformowanie użytkowników systemu elektroenergetycznego o planowanym przystąpieniu przez OSD do realizacji zadań, o których mowa w rozdziale 2d ustawy zmienianej w art. 1, w dacie 19 października 2026.</w:t>
            </w:r>
          </w:p>
          <w:p w14:paraId="5CEF28D8" w14:textId="0CEAC691"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538427E4" w14:textId="4C096231"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lastRenderedPageBreak/>
              <w:t>Nałożenie na operatora systemu dystrybucyjnego obowiązku złożenia oświadczenia o gotowości do rozpoczęcia realizacji zadań w terminie październikowym sprzyja zwiększeniu przejrzystości procesu wdrożeniowego oraz pozwala operatorowi informacji rynku energii, sprzedawcom i pozostałym uczestnikom rynku odpowiednio przygotować się do planowanego terminu migracji, szczególnie, że dany użytkownik systemu może obsługiwać odbiorców energii elektrycznej, przyłączonych do sieci różnych operatorów systemu dystrybucji.</w:t>
            </w:r>
          </w:p>
        </w:tc>
        <w:tc>
          <w:tcPr>
            <w:tcW w:w="3543" w:type="dxa"/>
          </w:tcPr>
          <w:p w14:paraId="1D560719" w14:textId="78EB8D8C" w:rsidR="32E71C10" w:rsidRPr="00907498" w:rsidRDefault="32E71C10" w:rsidP="00823433">
            <w:pPr>
              <w:jc w:val="both"/>
              <w:rPr>
                <w:rFonts w:ascii="Calibri" w:hAnsi="Calibri" w:cs="Calibri"/>
                <w:sz w:val="20"/>
                <w:szCs w:val="20"/>
              </w:rPr>
            </w:pPr>
            <w:r w:rsidRPr="00907498">
              <w:rPr>
                <w:rFonts w:ascii="Calibri" w:eastAsia="Times New Roman" w:hAnsi="Calibri" w:cs="Calibri"/>
                <w:b/>
                <w:bCs/>
                <w:sz w:val="20"/>
                <w:szCs w:val="20"/>
              </w:rPr>
              <w:lastRenderedPageBreak/>
              <w:t xml:space="preserve">Art. 20a ust.1 ustawy z dnia 20 maja 2021 r. o zmianie ustawy - Prawo energetyczne oraz niektórych innych ustaw (Dz. U. poz. 1093, z </w:t>
            </w:r>
            <w:proofErr w:type="spellStart"/>
            <w:r w:rsidRPr="00907498">
              <w:rPr>
                <w:rFonts w:ascii="Calibri" w:eastAsia="Times New Roman" w:hAnsi="Calibri" w:cs="Calibri"/>
                <w:b/>
                <w:bCs/>
                <w:sz w:val="20"/>
                <w:szCs w:val="20"/>
              </w:rPr>
              <w:t>późn</w:t>
            </w:r>
            <w:proofErr w:type="spellEnd"/>
            <w:r w:rsidRPr="00907498">
              <w:rPr>
                <w:rFonts w:ascii="Calibri" w:eastAsia="Times New Roman" w:hAnsi="Calibri" w:cs="Calibri"/>
                <w:b/>
                <w:bCs/>
                <w:sz w:val="20"/>
                <w:szCs w:val="20"/>
              </w:rPr>
              <w:t>. zm.) otrzymuje brzmienie:</w:t>
            </w:r>
          </w:p>
          <w:p w14:paraId="0CA8BBE1" w14:textId="29C60CA9"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p w14:paraId="3F6AE9EC" w14:textId="626279DB" w:rsidR="32E71C10" w:rsidRPr="00907498" w:rsidRDefault="32E71C10" w:rsidP="00823433">
            <w:pPr>
              <w:jc w:val="both"/>
              <w:rPr>
                <w:rFonts w:ascii="Calibri" w:hAnsi="Calibri" w:cs="Calibri"/>
                <w:sz w:val="20"/>
                <w:szCs w:val="20"/>
              </w:rPr>
            </w:pPr>
            <w:r w:rsidRPr="00907498">
              <w:rPr>
                <w:rFonts w:ascii="Calibri" w:eastAsia="Times New Roman" w:hAnsi="Calibri" w:cs="Calibri"/>
                <w:b/>
                <w:bCs/>
                <w:sz w:val="20"/>
                <w:szCs w:val="20"/>
              </w:rPr>
              <w:lastRenderedPageBreak/>
              <w:t xml:space="preserve">„Art.  20a. </w:t>
            </w:r>
            <w:r w:rsidRPr="00907498">
              <w:rPr>
                <w:rFonts w:ascii="Calibri" w:eastAsia="Times New Roman" w:hAnsi="Calibri" w:cs="Calibri"/>
                <w:sz w:val="20"/>
                <w:szCs w:val="20"/>
              </w:rPr>
              <w:t>1. Operator systemu dystrybucyjnego elektroenergetycznego, do którego sieci jest przyłączonych mniej niż 100 000 punktów poboru energii, zwanych dalej "punktami poboru energii", może złożyć operatorowi informacji rynku energii oświadczenie o gotowości do rozpoczęcia realizacji zadań, o których mowa w rozdziale 2d ustawy zmienianej w art. 1, w jednym z następujących terminów:</w:t>
            </w:r>
          </w:p>
          <w:p w14:paraId="1E9F2B84" w14:textId="74512D92"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1) 1 lipca 2025 r.,</w:t>
            </w:r>
          </w:p>
          <w:p w14:paraId="45D66BA1" w14:textId="329532CC"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2)1 marca 2026 r.,</w:t>
            </w:r>
          </w:p>
          <w:p w14:paraId="011B4E08" w14:textId="0856EA48"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3)1 lipca 2026 r.</w:t>
            </w:r>
          </w:p>
          <w:p w14:paraId="3D6322AF" w14:textId="680C70CC" w:rsidR="32E71C10" w:rsidRPr="00907498" w:rsidRDefault="32E71C10" w:rsidP="00823433">
            <w:pPr>
              <w:jc w:val="both"/>
              <w:rPr>
                <w:rFonts w:ascii="Calibri" w:hAnsi="Calibri" w:cs="Calibri"/>
                <w:sz w:val="20"/>
                <w:szCs w:val="20"/>
              </w:rPr>
            </w:pPr>
            <w:r w:rsidRPr="00907498">
              <w:rPr>
                <w:rFonts w:ascii="Calibri" w:eastAsia="Times New Roman" w:hAnsi="Calibri" w:cs="Calibri"/>
                <w:b/>
                <w:bCs/>
                <w:sz w:val="20"/>
                <w:szCs w:val="20"/>
              </w:rPr>
              <w:t>4) 19 października 2026 r.</w:t>
            </w:r>
          </w:p>
          <w:p w14:paraId="21EA5ADD" w14:textId="7036D257"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–oraz zamieszcza informację o treści odpowiadającej oświadczeniu na swojej stronie internetowej.</w:t>
            </w:r>
          </w:p>
          <w:p w14:paraId="74B652E4" w14:textId="2DDA57B1"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tc>
      </w:tr>
      <w:tr w:rsidR="32E71C10" w:rsidRPr="00907498" w14:paraId="53C1EE6F" w14:textId="77777777" w:rsidTr="006B2CF1">
        <w:trPr>
          <w:trHeight w:val="300"/>
        </w:trPr>
        <w:tc>
          <w:tcPr>
            <w:tcW w:w="567" w:type="dxa"/>
          </w:tcPr>
          <w:p w14:paraId="45E33850" w14:textId="37CE2DC7" w:rsidR="32E71C10" w:rsidRPr="00907498" w:rsidRDefault="32E71C10" w:rsidP="006B2CF1">
            <w:pPr>
              <w:pStyle w:val="Akapitzlist"/>
              <w:numPr>
                <w:ilvl w:val="0"/>
                <w:numId w:val="3"/>
              </w:numPr>
              <w:rPr>
                <w:rFonts w:ascii="Calibri" w:hAnsi="Calibri" w:cs="Calibri"/>
                <w:sz w:val="20"/>
                <w:szCs w:val="20"/>
              </w:rPr>
            </w:pPr>
          </w:p>
        </w:tc>
        <w:tc>
          <w:tcPr>
            <w:tcW w:w="1701" w:type="dxa"/>
          </w:tcPr>
          <w:p w14:paraId="3A9FE3EF" w14:textId="3033260B" w:rsidR="32E71C10" w:rsidRPr="00907498" w:rsidRDefault="008267CE" w:rsidP="32E71C10">
            <w:pPr>
              <w:rPr>
                <w:rFonts w:ascii="Calibri" w:hAnsi="Calibri" w:cs="Calibri"/>
                <w:sz w:val="20"/>
                <w:szCs w:val="20"/>
              </w:rPr>
            </w:pPr>
            <w:r w:rsidRPr="00907498">
              <w:rPr>
                <w:rFonts w:ascii="Calibri" w:eastAsia="Times New Roman" w:hAnsi="Calibri" w:cs="Calibri"/>
                <w:sz w:val="20"/>
                <w:szCs w:val="20"/>
              </w:rPr>
              <w:t>Konfederacja Lewiatan</w:t>
            </w:r>
          </w:p>
        </w:tc>
        <w:tc>
          <w:tcPr>
            <w:tcW w:w="1838" w:type="dxa"/>
          </w:tcPr>
          <w:p w14:paraId="5017E44C" w14:textId="3DAB8846"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Art. 2 – propozycja dodania nowego </w:t>
            </w:r>
          </w:p>
          <w:p w14:paraId="18A6B6A9" w14:textId="36D74404"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art. 20g </w:t>
            </w:r>
          </w:p>
          <w:p w14:paraId="213E2C9F" w14:textId="35E72C86" w:rsidR="32E71C10" w:rsidRPr="00907498" w:rsidRDefault="32E71C10" w:rsidP="32E71C10">
            <w:pPr>
              <w:rPr>
                <w:rFonts w:ascii="Calibri" w:hAnsi="Calibri" w:cs="Calibri"/>
                <w:sz w:val="20"/>
                <w:szCs w:val="20"/>
              </w:rPr>
            </w:pPr>
            <w:r w:rsidRPr="00907498">
              <w:rPr>
                <w:rFonts w:ascii="Calibri" w:eastAsia="Times New Roman" w:hAnsi="Calibri" w:cs="Calibri"/>
                <w:sz w:val="20"/>
                <w:szCs w:val="20"/>
              </w:rPr>
              <w:t xml:space="preserve">do ustawy z dnia 20 maja 2021 r. o zmianie ustawy - Prawo energetyczne oraz niektórych innych ustaw </w:t>
            </w:r>
            <w:r w:rsidRPr="00907498">
              <w:rPr>
                <w:rFonts w:ascii="Calibri" w:hAnsi="Calibri" w:cs="Calibri"/>
                <w:sz w:val="20"/>
                <w:szCs w:val="20"/>
              </w:rPr>
              <w:br/>
            </w:r>
            <w:r w:rsidRPr="00907498">
              <w:rPr>
                <w:rFonts w:ascii="Calibri" w:eastAsia="Times New Roman" w:hAnsi="Calibri" w:cs="Calibri"/>
                <w:sz w:val="20"/>
                <w:szCs w:val="20"/>
              </w:rPr>
              <w:t xml:space="preserve">(Dz. U. poz. 1093, z </w:t>
            </w:r>
            <w:proofErr w:type="spellStart"/>
            <w:r w:rsidRPr="00907498">
              <w:rPr>
                <w:rFonts w:ascii="Calibri" w:eastAsia="Times New Roman" w:hAnsi="Calibri" w:cs="Calibri"/>
                <w:sz w:val="20"/>
                <w:szCs w:val="20"/>
              </w:rPr>
              <w:t>późn</w:t>
            </w:r>
            <w:proofErr w:type="spellEnd"/>
            <w:r w:rsidRPr="00907498">
              <w:rPr>
                <w:rFonts w:ascii="Calibri" w:eastAsia="Times New Roman" w:hAnsi="Calibri" w:cs="Calibri"/>
                <w:sz w:val="20"/>
                <w:szCs w:val="20"/>
              </w:rPr>
              <w:t>. zm.)</w:t>
            </w:r>
          </w:p>
        </w:tc>
        <w:tc>
          <w:tcPr>
            <w:tcW w:w="5387" w:type="dxa"/>
          </w:tcPr>
          <w:p w14:paraId="3DD38EAE" w14:textId="331A84A0"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Zasadne wydaje się określenie obowiązku na poinformowanie użytkowników systemu elektroenergetycznego o planowanym przystąpieniu przez OSD do CSIRE w dacie wynikającej z dodawanego art. 20e ust. 1 pkt 2 ustawy z dnia 20 maja 2021 r. o zmianie ustawy - Prawo energetyczne oraz niektórych innych ustaw (Dz. U. poz. 1093, z </w:t>
            </w:r>
            <w:proofErr w:type="spellStart"/>
            <w:r w:rsidRPr="00907498">
              <w:rPr>
                <w:rFonts w:ascii="Calibri" w:eastAsia="Times New Roman" w:hAnsi="Calibri" w:cs="Calibri"/>
                <w:sz w:val="20"/>
                <w:szCs w:val="20"/>
              </w:rPr>
              <w:t>późn</w:t>
            </w:r>
            <w:proofErr w:type="spellEnd"/>
            <w:r w:rsidRPr="00907498">
              <w:rPr>
                <w:rFonts w:ascii="Calibri" w:eastAsia="Times New Roman" w:hAnsi="Calibri" w:cs="Calibri"/>
                <w:sz w:val="20"/>
                <w:szCs w:val="20"/>
              </w:rPr>
              <w:t>. zm.), poprzez złożenie oświadczenia o gotowości do rozpoczęcia realizacji zadań, tak jak to miało miejsce do tego pory w przypadku</w:t>
            </w:r>
            <w:r w:rsidRPr="00907498">
              <w:rPr>
                <w:rFonts w:ascii="Calibri" w:eastAsia="Times New Roman" w:hAnsi="Calibri" w:cs="Calibri"/>
                <w:color w:val="000000" w:themeColor="text1"/>
                <w:sz w:val="20"/>
                <w:szCs w:val="20"/>
              </w:rPr>
              <w:t xml:space="preserve"> </w:t>
            </w:r>
            <w:r w:rsidRPr="00907498">
              <w:rPr>
                <w:rFonts w:ascii="Calibri" w:eastAsia="Times New Roman" w:hAnsi="Calibri" w:cs="Calibri"/>
                <w:sz w:val="20"/>
                <w:szCs w:val="20"/>
              </w:rPr>
              <w:t xml:space="preserve">OSD, do których sieci jest przyłączonych mniej niż 100 000 punktów poboru energii w myśl art. 20a ustawy z dnia 20 maja 2021 r. o zmianie ustawy - Prawo energetyczne oraz niektórych innych ustaw (Dz. U. poz. 1093, z </w:t>
            </w:r>
            <w:proofErr w:type="spellStart"/>
            <w:r w:rsidRPr="00907498">
              <w:rPr>
                <w:rFonts w:ascii="Calibri" w:eastAsia="Times New Roman" w:hAnsi="Calibri" w:cs="Calibri"/>
                <w:sz w:val="20"/>
                <w:szCs w:val="20"/>
              </w:rPr>
              <w:t>późn</w:t>
            </w:r>
            <w:proofErr w:type="spellEnd"/>
            <w:r w:rsidRPr="00907498">
              <w:rPr>
                <w:rFonts w:ascii="Calibri" w:eastAsia="Times New Roman" w:hAnsi="Calibri" w:cs="Calibri"/>
                <w:sz w:val="20"/>
                <w:szCs w:val="20"/>
              </w:rPr>
              <w:t>. zm.)</w:t>
            </w:r>
          </w:p>
          <w:p w14:paraId="07AE011B" w14:textId="0C690B87" w:rsidR="32E71C10" w:rsidRPr="00907498" w:rsidRDefault="32E71C10" w:rsidP="00823433">
            <w:pPr>
              <w:spacing w:before="120"/>
              <w:jc w:val="both"/>
              <w:rPr>
                <w:rFonts w:ascii="Calibri" w:hAnsi="Calibri" w:cs="Calibri"/>
                <w:sz w:val="20"/>
                <w:szCs w:val="20"/>
              </w:rPr>
            </w:pPr>
            <w:r w:rsidRPr="00907498">
              <w:rPr>
                <w:rFonts w:ascii="Calibri" w:eastAsia="Times New Roman" w:hAnsi="Calibri" w:cs="Calibri"/>
                <w:sz w:val="20"/>
                <w:szCs w:val="20"/>
              </w:rPr>
              <w:lastRenderedPageBreak/>
              <w:t>Nałożenie na operatora systemu dystrybucyjnego obowiązku złożenia oświadczenia o gotowości do rozpoczęcia realizacji zadań w określonym terminie sprzyja zwiększeniu przejrzystości procesu wdrożeniowego oraz pozwala operatorowi informacji rynku energii, sprzedawcom i pozostałym uczestnikom rynku odpowiednio przygotować się do planowanego terminu migracji.</w:t>
            </w:r>
          </w:p>
          <w:p w14:paraId="60614E42" w14:textId="7A2B5093"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t xml:space="preserve"> </w:t>
            </w:r>
          </w:p>
        </w:tc>
        <w:tc>
          <w:tcPr>
            <w:tcW w:w="3543" w:type="dxa"/>
          </w:tcPr>
          <w:p w14:paraId="3498F033" w14:textId="23563E8C" w:rsidR="32E71C10" w:rsidRPr="00907498" w:rsidRDefault="32E71C10" w:rsidP="00823433">
            <w:pPr>
              <w:jc w:val="both"/>
              <w:rPr>
                <w:rFonts w:ascii="Calibri" w:hAnsi="Calibri" w:cs="Calibri"/>
                <w:sz w:val="20"/>
                <w:szCs w:val="20"/>
              </w:rPr>
            </w:pPr>
            <w:r w:rsidRPr="00907498">
              <w:rPr>
                <w:rFonts w:ascii="Calibri" w:eastAsia="Times New Roman" w:hAnsi="Calibri" w:cs="Calibri"/>
                <w:sz w:val="20"/>
                <w:szCs w:val="20"/>
              </w:rPr>
              <w:lastRenderedPageBreak/>
              <w:t>Dodaje się art. 20g w brzmieniu:</w:t>
            </w:r>
          </w:p>
          <w:p w14:paraId="1A8D5EA0" w14:textId="126329AD" w:rsidR="32E71C10" w:rsidRPr="00907498" w:rsidRDefault="32E71C10" w:rsidP="00823433">
            <w:pPr>
              <w:spacing w:before="120"/>
              <w:jc w:val="both"/>
              <w:rPr>
                <w:rFonts w:ascii="Calibri" w:hAnsi="Calibri" w:cs="Calibri"/>
                <w:sz w:val="20"/>
                <w:szCs w:val="20"/>
              </w:rPr>
            </w:pPr>
            <w:r w:rsidRPr="00907498">
              <w:rPr>
                <w:rFonts w:ascii="Calibri" w:eastAsia="Times New Roman" w:hAnsi="Calibri" w:cs="Calibri"/>
                <w:sz w:val="20"/>
                <w:szCs w:val="20"/>
              </w:rPr>
              <w:t xml:space="preserve">„Art. 20g. 1.Operator systemu dystrybucyjnego elektroenergetycznego, o którym mowa w art. 20b ust.1, który nie rozpoczął realizacji zadań, o których mowa w rozdziale 2d ustawy zmienianej w art. 1, w terminie, o którym mowa w art. 20b ust. 1 jest obowiązany do złożenia oświadczenia o gotowości do rozpoczęcia realizacji zadań, o których mowa w rozdziale 2d ustawy zmienianej </w:t>
            </w:r>
            <w:r w:rsidRPr="00907498">
              <w:rPr>
                <w:rFonts w:ascii="Calibri" w:eastAsia="Times New Roman" w:hAnsi="Calibri" w:cs="Calibri"/>
                <w:sz w:val="20"/>
                <w:szCs w:val="20"/>
              </w:rPr>
              <w:lastRenderedPageBreak/>
              <w:t xml:space="preserve">w art. 1, najpóźniej w terminie 60 dni przed dniem 19 kwietnia 2027 r. </w:t>
            </w:r>
          </w:p>
          <w:p w14:paraId="642692F2" w14:textId="70F3C38F" w:rsidR="32E71C10" w:rsidRPr="00907498" w:rsidRDefault="32E71C10" w:rsidP="00823433">
            <w:pPr>
              <w:spacing w:before="60"/>
              <w:jc w:val="both"/>
              <w:rPr>
                <w:rFonts w:ascii="Calibri" w:hAnsi="Calibri" w:cs="Calibri"/>
                <w:sz w:val="20"/>
                <w:szCs w:val="20"/>
              </w:rPr>
            </w:pPr>
            <w:r w:rsidRPr="00907498">
              <w:rPr>
                <w:rFonts w:ascii="Calibri" w:eastAsia="Times New Roman" w:hAnsi="Calibri" w:cs="Calibri"/>
                <w:sz w:val="20"/>
                <w:szCs w:val="20"/>
              </w:rPr>
              <w:t>2. Oświadczenie, o którym mowa w ust. 1, zawiera w szczególności:</w:t>
            </w:r>
          </w:p>
          <w:p w14:paraId="72D7CB0A" w14:textId="0246C5FC" w:rsidR="32E71C10" w:rsidRPr="00907498" w:rsidRDefault="32E71C10" w:rsidP="00823433">
            <w:pPr>
              <w:spacing w:before="60"/>
              <w:ind w:left="317"/>
              <w:jc w:val="both"/>
              <w:rPr>
                <w:rFonts w:ascii="Calibri" w:hAnsi="Calibri" w:cs="Calibri"/>
                <w:sz w:val="20"/>
                <w:szCs w:val="20"/>
              </w:rPr>
            </w:pPr>
            <w:r w:rsidRPr="00907498">
              <w:rPr>
                <w:rFonts w:ascii="Calibri" w:eastAsia="Times New Roman" w:hAnsi="Calibri" w:cs="Calibri"/>
                <w:sz w:val="20"/>
                <w:szCs w:val="20"/>
              </w:rPr>
              <w:t>1) imię i nazwisko albo nazwę wraz z oznaczeniem formy prawnej operatora systemu dystrybucyjnego elektroenergetycznego składającego oświadczenie;</w:t>
            </w:r>
          </w:p>
          <w:p w14:paraId="4C012239" w14:textId="7F9C210D" w:rsidR="32E71C10" w:rsidRPr="00907498" w:rsidRDefault="32E71C10" w:rsidP="00823433">
            <w:pPr>
              <w:spacing w:before="60"/>
              <w:ind w:left="317"/>
              <w:jc w:val="both"/>
              <w:rPr>
                <w:rFonts w:ascii="Calibri" w:hAnsi="Calibri" w:cs="Calibri"/>
                <w:sz w:val="20"/>
                <w:szCs w:val="20"/>
              </w:rPr>
            </w:pPr>
            <w:r w:rsidRPr="00907498">
              <w:rPr>
                <w:rFonts w:ascii="Calibri" w:eastAsia="Times New Roman" w:hAnsi="Calibri" w:cs="Calibri"/>
                <w:sz w:val="20"/>
                <w:szCs w:val="20"/>
              </w:rPr>
              <w:t>2) numer identyfikacji podatkowej (NIP) operatora systemu dystrybucyjnego elektroenergetycznego składającego oświadczenie, jeżeli posiada;</w:t>
            </w:r>
          </w:p>
          <w:p w14:paraId="1D904D5E" w14:textId="52F34761" w:rsidR="32E71C10" w:rsidRPr="00907498" w:rsidRDefault="32E71C10" w:rsidP="00823433">
            <w:pPr>
              <w:spacing w:before="60"/>
              <w:ind w:left="317"/>
              <w:jc w:val="both"/>
              <w:rPr>
                <w:rFonts w:ascii="Calibri" w:hAnsi="Calibri" w:cs="Calibri"/>
                <w:sz w:val="20"/>
                <w:szCs w:val="20"/>
              </w:rPr>
            </w:pPr>
            <w:r w:rsidRPr="00907498">
              <w:rPr>
                <w:rFonts w:ascii="Calibri" w:eastAsia="Times New Roman" w:hAnsi="Calibri" w:cs="Calibri"/>
                <w:sz w:val="20"/>
                <w:szCs w:val="20"/>
              </w:rPr>
              <w:t>3) termin rozpoczęcia realizacji zadań, o których mowa w rozdziale 2d ustawy zmienianej w art. 1, wskazany spośród terminów, o których mowa w ust. 1.</w:t>
            </w:r>
          </w:p>
          <w:p w14:paraId="45317BAB" w14:textId="6A15DEF3" w:rsidR="32E71C10" w:rsidRPr="00907498" w:rsidRDefault="32E71C10" w:rsidP="00823433">
            <w:pPr>
              <w:spacing w:before="60"/>
              <w:jc w:val="both"/>
              <w:rPr>
                <w:rFonts w:ascii="Calibri" w:hAnsi="Calibri" w:cs="Calibri"/>
                <w:sz w:val="20"/>
                <w:szCs w:val="20"/>
              </w:rPr>
            </w:pPr>
            <w:r w:rsidRPr="00907498">
              <w:rPr>
                <w:rFonts w:ascii="Calibri" w:eastAsia="Times New Roman" w:hAnsi="Calibri" w:cs="Calibri"/>
                <w:sz w:val="20"/>
                <w:szCs w:val="20"/>
              </w:rPr>
              <w:t>3. Oświadczenie, o którym mowa w ust. 1, składa się jednorazowo, w formie elektronicznej na adres poczty elektronicznej wskazany przez operatora informacji rynku energii.</w:t>
            </w:r>
          </w:p>
          <w:p w14:paraId="0E2DFFBC" w14:textId="340BE560" w:rsidR="32E71C10" w:rsidRPr="00907498" w:rsidRDefault="32E71C10" w:rsidP="00823433">
            <w:pPr>
              <w:spacing w:before="60"/>
              <w:jc w:val="both"/>
              <w:rPr>
                <w:rFonts w:ascii="Calibri" w:hAnsi="Calibri" w:cs="Calibri"/>
                <w:sz w:val="20"/>
                <w:szCs w:val="20"/>
              </w:rPr>
            </w:pPr>
            <w:r w:rsidRPr="00907498">
              <w:rPr>
                <w:rFonts w:ascii="Calibri" w:eastAsia="Times New Roman" w:hAnsi="Calibri" w:cs="Calibri"/>
                <w:sz w:val="20"/>
                <w:szCs w:val="20"/>
              </w:rPr>
              <w:t>4. Do oświadczeń, o których mowa w ust. 1, stosuje się przepisy art. 20a ust. 2 i 5.</w:t>
            </w:r>
          </w:p>
          <w:p w14:paraId="501A1698" w14:textId="3901101A" w:rsidR="32E71C10" w:rsidRPr="00907498" w:rsidRDefault="32E71C10" w:rsidP="00823433">
            <w:pPr>
              <w:spacing w:before="60"/>
              <w:jc w:val="both"/>
              <w:rPr>
                <w:rFonts w:ascii="Calibri" w:hAnsi="Calibri" w:cs="Calibri"/>
                <w:sz w:val="20"/>
                <w:szCs w:val="20"/>
              </w:rPr>
            </w:pPr>
            <w:r w:rsidRPr="00907498">
              <w:rPr>
                <w:rFonts w:ascii="Calibri" w:eastAsia="Times New Roman" w:hAnsi="Calibri" w:cs="Calibri"/>
                <w:sz w:val="20"/>
                <w:szCs w:val="20"/>
              </w:rPr>
              <w:t xml:space="preserve">5. Użytkownicy systemu elektroenergetycznego przyłączeni do sieci danego operatora systemu dystrybucyjnego elektroenergetycznego, </w:t>
            </w:r>
            <w:r w:rsidRPr="00907498">
              <w:rPr>
                <w:rFonts w:ascii="Calibri" w:eastAsia="Times New Roman" w:hAnsi="Calibri" w:cs="Calibri"/>
                <w:sz w:val="20"/>
                <w:szCs w:val="20"/>
              </w:rPr>
              <w:lastRenderedPageBreak/>
              <w:t>o którym mowa w ust. 1, sprzedawcy energii elektrycznej oraz podmioty odpowiedzialne za bilansowanie, w zakresie punktów poboru energii przyłączonych do sieci tego operatora, rozpoczynają realizację zadań, o których mowa w rozdziale 2d ustawy zmienianej w art. 1, z dniem wskazanym przez tego operatora w oświadczeniu, o którym mowa w ust. 1”,</w:t>
            </w:r>
          </w:p>
        </w:tc>
      </w:tr>
    </w:tbl>
    <w:p w14:paraId="72F38831" w14:textId="77777777" w:rsidR="004A61B7" w:rsidRPr="00907498" w:rsidRDefault="004A61B7" w:rsidP="004A61B7">
      <w:pPr>
        <w:rPr>
          <w:rFonts w:ascii="Calibri" w:hAnsi="Calibri" w:cs="Calibri"/>
          <w:sz w:val="20"/>
          <w:szCs w:val="20"/>
        </w:rPr>
      </w:pPr>
    </w:p>
    <w:p w14:paraId="36821A2F" w14:textId="77777777" w:rsidR="00252FC6" w:rsidRPr="00907498" w:rsidRDefault="00252FC6">
      <w:pPr>
        <w:rPr>
          <w:rFonts w:ascii="Calibri" w:hAnsi="Calibri" w:cs="Calibri"/>
          <w:sz w:val="20"/>
          <w:szCs w:val="20"/>
        </w:rPr>
      </w:pPr>
    </w:p>
    <w:sectPr w:rsidR="00252FC6" w:rsidRPr="00907498" w:rsidSect="004A61B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4521" w14:textId="77777777" w:rsidR="00A00D61" w:rsidRDefault="00A00D61" w:rsidP="004A61B7">
      <w:pPr>
        <w:spacing w:after="0" w:line="240" w:lineRule="auto"/>
      </w:pPr>
      <w:r>
        <w:separator/>
      </w:r>
    </w:p>
  </w:endnote>
  <w:endnote w:type="continuationSeparator" w:id="0">
    <w:p w14:paraId="3F822442" w14:textId="77777777" w:rsidR="00A00D61" w:rsidRDefault="00A00D61" w:rsidP="004A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5011F" w14:textId="77777777" w:rsidR="00A00D61" w:rsidRDefault="00A00D61" w:rsidP="004A61B7">
      <w:pPr>
        <w:spacing w:after="0" w:line="240" w:lineRule="auto"/>
      </w:pPr>
      <w:r>
        <w:separator/>
      </w:r>
    </w:p>
  </w:footnote>
  <w:footnote w:type="continuationSeparator" w:id="0">
    <w:p w14:paraId="57D48025" w14:textId="77777777" w:rsidR="00A00D61" w:rsidRDefault="00A00D61" w:rsidP="004A61B7">
      <w:pPr>
        <w:spacing w:after="0" w:line="240" w:lineRule="auto"/>
      </w:pPr>
      <w:r>
        <w:continuationSeparator/>
      </w:r>
    </w:p>
  </w:footnote>
  <w:footnote w:id="1">
    <w:p w14:paraId="03BCC2A1" w14:textId="77777777" w:rsidR="004A61B7" w:rsidRPr="00EF494C" w:rsidRDefault="004A61B7" w:rsidP="004A61B7">
      <w:pPr>
        <w:pStyle w:val="Tekstprzypisudolnego"/>
        <w:rPr>
          <w:rFonts w:ascii="Lato" w:hAnsi="Lato" w:cs="Times New Roman"/>
          <w:sz w:val="22"/>
          <w:szCs w:val="22"/>
        </w:rPr>
      </w:pPr>
      <w:r w:rsidRPr="00A93CA9">
        <w:rPr>
          <w:rStyle w:val="Odwoanieprzypisudolnego"/>
          <w:rFonts w:ascii="Times New Roman" w:hAnsi="Times New Roman" w:cs="Times New Roman"/>
          <w:sz w:val="18"/>
          <w:szCs w:val="18"/>
        </w:rPr>
        <w:t>1)</w:t>
      </w:r>
      <w:r w:rsidRPr="00A93CA9">
        <w:rPr>
          <w:rFonts w:ascii="Times New Roman" w:hAnsi="Times New Roman" w:cs="Times New Roman"/>
          <w:sz w:val="18"/>
          <w:szCs w:val="18"/>
        </w:rPr>
        <w:t xml:space="preserve"> W przypadku aktu nowelizującego należy wskazać jednostkę redakcyjną projektu oraz jednostkę redakcyjną zmienianego aktu prawnego.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4F8D"/>
    <w:multiLevelType w:val="hybridMultilevel"/>
    <w:tmpl w:val="B896DB98"/>
    <w:lvl w:ilvl="0" w:tplc="EF787A50">
      <w:start w:val="1"/>
      <w:numFmt w:val="decimal"/>
      <w:lvlText w:val="%1."/>
      <w:lvlJc w:val="left"/>
      <w:pPr>
        <w:ind w:left="360" w:hanging="360"/>
      </w:pPr>
      <w:rPr>
        <w:rFonts w:ascii="Calibri" w:hAnsi="Calibri" w:cs="Calibr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4240F74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8E7D71"/>
    <w:multiLevelType w:val="hybridMultilevel"/>
    <w:tmpl w:val="FFFFFFFF"/>
    <w:lvl w:ilvl="0" w:tplc="FE304574">
      <w:start w:val="1"/>
      <w:numFmt w:val="bullet"/>
      <w:lvlText w:val=""/>
      <w:lvlJc w:val="left"/>
      <w:pPr>
        <w:ind w:left="720" w:hanging="360"/>
      </w:pPr>
      <w:rPr>
        <w:rFonts w:ascii="Symbol" w:hAnsi="Symbol" w:hint="default"/>
      </w:rPr>
    </w:lvl>
    <w:lvl w:ilvl="1" w:tplc="E2B276E0">
      <w:start w:val="1"/>
      <w:numFmt w:val="bullet"/>
      <w:lvlText w:val="o"/>
      <w:lvlJc w:val="left"/>
      <w:pPr>
        <w:ind w:left="1440" w:hanging="360"/>
      </w:pPr>
      <w:rPr>
        <w:rFonts w:ascii="Courier New" w:hAnsi="Courier New" w:hint="default"/>
      </w:rPr>
    </w:lvl>
    <w:lvl w:ilvl="2" w:tplc="D70EE24C">
      <w:start w:val="1"/>
      <w:numFmt w:val="bullet"/>
      <w:lvlText w:val=""/>
      <w:lvlJc w:val="left"/>
      <w:pPr>
        <w:ind w:left="2160" w:hanging="360"/>
      </w:pPr>
      <w:rPr>
        <w:rFonts w:ascii="Wingdings" w:hAnsi="Wingdings" w:hint="default"/>
      </w:rPr>
    </w:lvl>
    <w:lvl w:ilvl="3" w:tplc="1332A5E2">
      <w:start w:val="1"/>
      <w:numFmt w:val="bullet"/>
      <w:lvlText w:val=""/>
      <w:lvlJc w:val="left"/>
      <w:pPr>
        <w:ind w:left="2880" w:hanging="360"/>
      </w:pPr>
      <w:rPr>
        <w:rFonts w:ascii="Symbol" w:hAnsi="Symbol" w:hint="default"/>
      </w:rPr>
    </w:lvl>
    <w:lvl w:ilvl="4" w:tplc="65D2C404">
      <w:start w:val="1"/>
      <w:numFmt w:val="bullet"/>
      <w:lvlText w:val="o"/>
      <w:lvlJc w:val="left"/>
      <w:pPr>
        <w:ind w:left="3600" w:hanging="360"/>
      </w:pPr>
      <w:rPr>
        <w:rFonts w:ascii="Courier New" w:hAnsi="Courier New" w:hint="default"/>
      </w:rPr>
    </w:lvl>
    <w:lvl w:ilvl="5" w:tplc="572E0EF4">
      <w:start w:val="1"/>
      <w:numFmt w:val="bullet"/>
      <w:lvlText w:val=""/>
      <w:lvlJc w:val="left"/>
      <w:pPr>
        <w:ind w:left="4320" w:hanging="360"/>
      </w:pPr>
      <w:rPr>
        <w:rFonts w:ascii="Wingdings" w:hAnsi="Wingdings" w:hint="default"/>
      </w:rPr>
    </w:lvl>
    <w:lvl w:ilvl="6" w:tplc="FDA07A62">
      <w:start w:val="1"/>
      <w:numFmt w:val="bullet"/>
      <w:lvlText w:val=""/>
      <w:lvlJc w:val="left"/>
      <w:pPr>
        <w:ind w:left="5040" w:hanging="360"/>
      </w:pPr>
      <w:rPr>
        <w:rFonts w:ascii="Symbol" w:hAnsi="Symbol" w:hint="default"/>
      </w:rPr>
    </w:lvl>
    <w:lvl w:ilvl="7" w:tplc="9E56F848">
      <w:start w:val="1"/>
      <w:numFmt w:val="bullet"/>
      <w:lvlText w:val="o"/>
      <w:lvlJc w:val="left"/>
      <w:pPr>
        <w:ind w:left="5760" w:hanging="360"/>
      </w:pPr>
      <w:rPr>
        <w:rFonts w:ascii="Courier New" w:hAnsi="Courier New" w:hint="default"/>
      </w:rPr>
    </w:lvl>
    <w:lvl w:ilvl="8" w:tplc="9DE022E8">
      <w:start w:val="1"/>
      <w:numFmt w:val="bullet"/>
      <w:lvlText w:val=""/>
      <w:lvlJc w:val="left"/>
      <w:pPr>
        <w:ind w:left="6480" w:hanging="360"/>
      </w:pPr>
      <w:rPr>
        <w:rFonts w:ascii="Wingdings" w:hAnsi="Wingdings" w:hint="default"/>
      </w:rPr>
    </w:lvl>
  </w:abstractNum>
  <w:num w:numId="1" w16cid:durableId="1803377250">
    <w:abstractNumId w:val="1"/>
  </w:num>
  <w:num w:numId="2" w16cid:durableId="560143851">
    <w:abstractNumId w:val="2"/>
  </w:num>
  <w:num w:numId="3" w16cid:durableId="121273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B7"/>
    <w:rsid w:val="00080E74"/>
    <w:rsid w:val="000E71E5"/>
    <w:rsid w:val="00112FCF"/>
    <w:rsid w:val="00126468"/>
    <w:rsid w:val="00167801"/>
    <w:rsid w:val="00172B9B"/>
    <w:rsid w:val="00184994"/>
    <w:rsid w:val="001974BE"/>
    <w:rsid w:val="001B576A"/>
    <w:rsid w:val="001E45C9"/>
    <w:rsid w:val="001F0B89"/>
    <w:rsid w:val="002109B1"/>
    <w:rsid w:val="0022473C"/>
    <w:rsid w:val="00225CC5"/>
    <w:rsid w:val="002335B5"/>
    <w:rsid w:val="00243AAE"/>
    <w:rsid w:val="00252FC6"/>
    <w:rsid w:val="002C6FC9"/>
    <w:rsid w:val="00301FDA"/>
    <w:rsid w:val="003032DB"/>
    <w:rsid w:val="00314E3C"/>
    <w:rsid w:val="003374FE"/>
    <w:rsid w:val="003620DD"/>
    <w:rsid w:val="00363D8C"/>
    <w:rsid w:val="003D0BFA"/>
    <w:rsid w:val="003D36AF"/>
    <w:rsid w:val="00442C56"/>
    <w:rsid w:val="004A61B7"/>
    <w:rsid w:val="004A7E86"/>
    <w:rsid w:val="004C59F6"/>
    <w:rsid w:val="00502AD1"/>
    <w:rsid w:val="00503AE5"/>
    <w:rsid w:val="00504410"/>
    <w:rsid w:val="00524441"/>
    <w:rsid w:val="00555674"/>
    <w:rsid w:val="00574D54"/>
    <w:rsid w:val="00576FD2"/>
    <w:rsid w:val="005D6F62"/>
    <w:rsid w:val="005E426A"/>
    <w:rsid w:val="00630AC8"/>
    <w:rsid w:val="00644913"/>
    <w:rsid w:val="006974FE"/>
    <w:rsid w:val="006B2CF1"/>
    <w:rsid w:val="006D0368"/>
    <w:rsid w:val="006D3F88"/>
    <w:rsid w:val="007467C2"/>
    <w:rsid w:val="007839F4"/>
    <w:rsid w:val="008160EB"/>
    <w:rsid w:val="00823433"/>
    <w:rsid w:val="008267CE"/>
    <w:rsid w:val="008817E6"/>
    <w:rsid w:val="00881CB2"/>
    <w:rsid w:val="00907498"/>
    <w:rsid w:val="009206E1"/>
    <w:rsid w:val="00965285"/>
    <w:rsid w:val="009765FA"/>
    <w:rsid w:val="009F4337"/>
    <w:rsid w:val="00A00D61"/>
    <w:rsid w:val="00A17953"/>
    <w:rsid w:val="00A678BC"/>
    <w:rsid w:val="00A73E59"/>
    <w:rsid w:val="00A766E4"/>
    <w:rsid w:val="00AB5520"/>
    <w:rsid w:val="00AE4AA4"/>
    <w:rsid w:val="00AF226B"/>
    <w:rsid w:val="00B17FE0"/>
    <w:rsid w:val="00B47ADE"/>
    <w:rsid w:val="00BA3C35"/>
    <w:rsid w:val="00BF3A34"/>
    <w:rsid w:val="00C22642"/>
    <w:rsid w:val="00C31474"/>
    <w:rsid w:val="00CA0B38"/>
    <w:rsid w:val="00CB7267"/>
    <w:rsid w:val="00D061FC"/>
    <w:rsid w:val="00D63139"/>
    <w:rsid w:val="00D94D72"/>
    <w:rsid w:val="00DB4CA2"/>
    <w:rsid w:val="00DE5544"/>
    <w:rsid w:val="00E11BD0"/>
    <w:rsid w:val="00E63C13"/>
    <w:rsid w:val="00EA05A0"/>
    <w:rsid w:val="00ED29C3"/>
    <w:rsid w:val="00F17A33"/>
    <w:rsid w:val="00F66816"/>
    <w:rsid w:val="00F91F23"/>
    <w:rsid w:val="00FA70AC"/>
    <w:rsid w:val="00FF0650"/>
    <w:rsid w:val="03B3AA41"/>
    <w:rsid w:val="0C837AC7"/>
    <w:rsid w:val="142CCB9B"/>
    <w:rsid w:val="32E71C1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809A"/>
  <w15:chartTrackingRefBased/>
  <w15:docId w15:val="{FF043DF2-141E-4754-975F-5361EA92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61B7"/>
  </w:style>
  <w:style w:type="paragraph" w:styleId="Nagwek1">
    <w:name w:val="heading 1"/>
    <w:basedOn w:val="Normalny"/>
    <w:next w:val="Normalny"/>
    <w:link w:val="Nagwek1Znak"/>
    <w:uiPriority w:val="9"/>
    <w:qFormat/>
    <w:rsid w:val="004A6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A6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A61B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A61B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A61B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A61B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A61B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A61B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A61B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61B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A61B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A61B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A61B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A61B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A61B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A61B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A61B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A61B7"/>
    <w:rPr>
      <w:rFonts w:eastAsiaTheme="majorEastAsia" w:cstheme="majorBidi"/>
      <w:color w:val="272727" w:themeColor="text1" w:themeTint="D8"/>
    </w:rPr>
  </w:style>
  <w:style w:type="paragraph" w:styleId="Tytu">
    <w:name w:val="Title"/>
    <w:basedOn w:val="Normalny"/>
    <w:next w:val="Normalny"/>
    <w:link w:val="TytuZnak"/>
    <w:uiPriority w:val="10"/>
    <w:qFormat/>
    <w:rsid w:val="004A6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A61B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A61B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A61B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A61B7"/>
    <w:pPr>
      <w:spacing w:before="160"/>
      <w:jc w:val="center"/>
    </w:pPr>
    <w:rPr>
      <w:i/>
      <w:iCs/>
      <w:color w:val="404040" w:themeColor="text1" w:themeTint="BF"/>
    </w:rPr>
  </w:style>
  <w:style w:type="character" w:customStyle="1" w:styleId="CytatZnak">
    <w:name w:val="Cytat Znak"/>
    <w:basedOn w:val="Domylnaczcionkaakapitu"/>
    <w:link w:val="Cytat"/>
    <w:uiPriority w:val="29"/>
    <w:rsid w:val="004A61B7"/>
    <w:rPr>
      <w:i/>
      <w:iCs/>
      <w:color w:val="404040" w:themeColor="text1" w:themeTint="BF"/>
    </w:rPr>
  </w:style>
  <w:style w:type="paragraph" w:styleId="Akapitzlist">
    <w:name w:val="List Paragraph"/>
    <w:basedOn w:val="Normalny"/>
    <w:uiPriority w:val="34"/>
    <w:qFormat/>
    <w:rsid w:val="004A61B7"/>
    <w:pPr>
      <w:ind w:left="720"/>
      <w:contextualSpacing/>
    </w:pPr>
  </w:style>
  <w:style w:type="character" w:styleId="Wyrnienieintensywne">
    <w:name w:val="Intense Emphasis"/>
    <w:basedOn w:val="Domylnaczcionkaakapitu"/>
    <w:uiPriority w:val="21"/>
    <w:qFormat/>
    <w:rsid w:val="004A61B7"/>
    <w:rPr>
      <w:i/>
      <w:iCs/>
      <w:color w:val="0F4761" w:themeColor="accent1" w:themeShade="BF"/>
    </w:rPr>
  </w:style>
  <w:style w:type="paragraph" w:styleId="Cytatintensywny">
    <w:name w:val="Intense Quote"/>
    <w:basedOn w:val="Normalny"/>
    <w:next w:val="Normalny"/>
    <w:link w:val="CytatintensywnyZnak"/>
    <w:uiPriority w:val="30"/>
    <w:qFormat/>
    <w:rsid w:val="004A6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A61B7"/>
    <w:rPr>
      <w:i/>
      <w:iCs/>
      <w:color w:val="0F4761" w:themeColor="accent1" w:themeShade="BF"/>
    </w:rPr>
  </w:style>
  <w:style w:type="character" w:styleId="Odwoanieintensywne">
    <w:name w:val="Intense Reference"/>
    <w:basedOn w:val="Domylnaczcionkaakapitu"/>
    <w:uiPriority w:val="32"/>
    <w:qFormat/>
    <w:rsid w:val="004A61B7"/>
    <w:rPr>
      <w:b/>
      <w:bCs/>
      <w:smallCaps/>
      <w:color w:val="0F4761" w:themeColor="accent1" w:themeShade="BF"/>
      <w:spacing w:val="5"/>
    </w:rPr>
  </w:style>
  <w:style w:type="table" w:styleId="Tabela-Siatka">
    <w:name w:val="Table Grid"/>
    <w:basedOn w:val="Standardowy"/>
    <w:uiPriority w:val="39"/>
    <w:rsid w:val="004A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A61B7"/>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4A61B7"/>
    <w:rPr>
      <w:kern w:val="0"/>
      <w:sz w:val="20"/>
      <w:szCs w:val="20"/>
      <w14:ligatures w14:val="none"/>
    </w:rPr>
  </w:style>
  <w:style w:type="character" w:styleId="Odwoanieprzypisudolnego">
    <w:name w:val="footnote reference"/>
    <w:basedOn w:val="Domylnaczcionkaakapitu"/>
    <w:uiPriority w:val="99"/>
    <w:semiHidden/>
    <w:unhideWhenUsed/>
    <w:rsid w:val="004A61B7"/>
    <w:rPr>
      <w:vertAlign w:val="superscript"/>
    </w:rPr>
  </w:style>
  <w:style w:type="paragraph" w:styleId="Nagwek">
    <w:name w:val="header"/>
    <w:basedOn w:val="Normalny"/>
    <w:link w:val="NagwekZnak"/>
    <w:uiPriority w:val="99"/>
    <w:semiHidden/>
    <w:unhideWhenUsed/>
    <w:rsid w:val="00314E3C"/>
    <w:pPr>
      <w:tabs>
        <w:tab w:val="center" w:pos="4680"/>
        <w:tab w:val="right" w:pos="9360"/>
      </w:tabs>
      <w:spacing w:after="0" w:line="240" w:lineRule="auto"/>
    </w:pPr>
  </w:style>
  <w:style w:type="character" w:customStyle="1" w:styleId="NagwekZnak">
    <w:name w:val="Nagłówek Znak"/>
    <w:basedOn w:val="Domylnaczcionkaakapitu"/>
    <w:link w:val="Nagwek"/>
    <w:uiPriority w:val="99"/>
    <w:semiHidden/>
    <w:rsid w:val="00314E3C"/>
  </w:style>
  <w:style w:type="paragraph" w:styleId="Stopka">
    <w:name w:val="footer"/>
    <w:basedOn w:val="Normalny"/>
    <w:link w:val="StopkaZnak"/>
    <w:uiPriority w:val="99"/>
    <w:semiHidden/>
    <w:unhideWhenUsed/>
    <w:rsid w:val="00314E3C"/>
    <w:pPr>
      <w:tabs>
        <w:tab w:val="center" w:pos="4680"/>
        <w:tab w:val="right" w:pos="9360"/>
      </w:tabs>
      <w:spacing w:after="0" w:line="240" w:lineRule="auto"/>
    </w:pPr>
  </w:style>
  <w:style w:type="character" w:customStyle="1" w:styleId="StopkaZnak">
    <w:name w:val="Stopka Znak"/>
    <w:basedOn w:val="Domylnaczcionkaakapitu"/>
    <w:link w:val="Stopka"/>
    <w:uiPriority w:val="99"/>
    <w:semiHidden/>
    <w:rsid w:val="00314E3C"/>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FA70AC"/>
    <w:rPr>
      <w:b/>
      <w:bCs/>
    </w:rPr>
  </w:style>
  <w:style w:type="character" w:customStyle="1" w:styleId="TematkomentarzaZnak">
    <w:name w:val="Temat komentarza Znak"/>
    <w:basedOn w:val="TekstkomentarzaZnak"/>
    <w:link w:val="Tematkomentarza"/>
    <w:uiPriority w:val="99"/>
    <w:semiHidden/>
    <w:rsid w:val="00FA70AC"/>
    <w:rPr>
      <w:b/>
      <w:bCs/>
      <w:sz w:val="20"/>
      <w:szCs w:val="20"/>
    </w:rPr>
  </w:style>
  <w:style w:type="paragraph" w:styleId="Poprawka">
    <w:name w:val="Revision"/>
    <w:hidden/>
    <w:uiPriority w:val="99"/>
    <w:semiHidden/>
    <w:rsid w:val="008160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18</Pages>
  <Words>5053</Words>
  <Characters>30323</Characters>
  <Application>Microsoft Office Word</Application>
  <DocSecurity>0</DocSecurity>
  <Lines>252</Lines>
  <Paragraphs>70</Paragraphs>
  <ScaleCrop>false</ScaleCrop>
  <Company/>
  <LinksUpToDate>false</LinksUpToDate>
  <CharactersWithSpaces>35306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Gackowska</dc:creator>
  <cp:keywords/>
  <dc:description/>
  <cp:lastModifiedBy>Paulina Grądzik</cp:lastModifiedBy>
  <cp:revision>59</cp:revision>
  <dcterms:created xsi:type="dcterms:W3CDTF">2026-08-05T21:35:00Z</dcterms:created>
  <dcterms:modified xsi:type="dcterms:W3CDTF">2026-08-13T13:32:00Z</dcterms:modified>
</cp:coreProperties>
</file>