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BCCC2" w14:textId="15B49EAC" w:rsidR="00831387" w:rsidRPr="008C00C8" w:rsidRDefault="00831387" w:rsidP="008C00C8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C00C8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Uwagi </w:t>
      </w:r>
    </w:p>
    <w:p w14:paraId="11B3DEC7" w14:textId="77777777" w:rsidR="00831387" w:rsidRPr="008C00C8" w:rsidRDefault="00831387" w:rsidP="008C00C8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</w:pPr>
      <w:r w:rsidRPr="008C00C8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do projektu rozporządzenia Ministra Energii w sprawie szczegółowych zasad kształtowania i kalkulacji taryf oraz rozliczeń z tytułu</w:t>
      </w:r>
    </w:p>
    <w:p w14:paraId="48523155" w14:textId="2FDDACDE" w:rsidR="00831387" w:rsidRPr="008C00C8" w:rsidRDefault="00831387" w:rsidP="008C00C8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  <w:r w:rsidRPr="008C00C8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zaopatrzenia w ciepło</w:t>
      </w:r>
      <w:r w:rsidRPr="008C00C8"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  <w:t xml:space="preserve"> </w:t>
      </w:r>
      <w:r w:rsidRPr="008C00C8">
        <w:rPr>
          <w:rFonts w:ascii="Calibri" w:eastAsia="Times New Roman" w:hAnsi="Calibri" w:cs="Calibri"/>
          <w:b/>
          <w:bCs/>
          <w:kern w:val="0"/>
          <w:sz w:val="20"/>
          <w:szCs w:val="20"/>
          <w:lang w:eastAsia="pl-PL"/>
          <w14:ligatures w14:val="none"/>
        </w:rPr>
        <w:t>(nr 30 w Wykazie prac legislacyjnych Ministra Energii)</w:t>
      </w:r>
    </w:p>
    <w:p w14:paraId="143B6F09" w14:textId="298ACE15" w:rsidR="00831387" w:rsidRPr="008C00C8" w:rsidRDefault="00831387" w:rsidP="008C00C8">
      <w:pPr>
        <w:spacing w:after="0" w:line="240" w:lineRule="auto"/>
        <w:textAlignment w:val="baseline"/>
        <w:rPr>
          <w:rFonts w:ascii="Calibri" w:eastAsia="Times New Roman" w:hAnsi="Calibri" w:cs="Calibri"/>
          <w:kern w:val="0"/>
          <w:sz w:val="20"/>
          <w:szCs w:val="20"/>
          <w:lang w:eastAsia="pl-PL"/>
          <w14:ligatures w14:val="none"/>
        </w:rPr>
      </w:pPr>
    </w:p>
    <w:tbl>
      <w:tblPr>
        <w:tblW w:w="13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2244"/>
        <w:gridCol w:w="1526"/>
        <w:gridCol w:w="5528"/>
        <w:gridCol w:w="3850"/>
      </w:tblGrid>
      <w:tr w:rsidR="00831387" w:rsidRPr="008C00C8" w14:paraId="6E7A9C89" w14:textId="77777777" w:rsidTr="00F433DE">
        <w:trPr>
          <w:trHeight w:val="540"/>
        </w:trPr>
        <w:tc>
          <w:tcPr>
            <w:tcW w:w="846" w:type="dxa"/>
            <w:shd w:val="clear" w:color="auto" w:fill="FFFFFF" w:themeFill="background1"/>
            <w:hideMark/>
          </w:tcPr>
          <w:p w14:paraId="471F67FD" w14:textId="77777777" w:rsidR="00831387" w:rsidRPr="008C00C8" w:rsidRDefault="00831387" w:rsidP="008C00C8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00C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  <w:r w:rsidRPr="008C00C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1AE525D6" w14:textId="77777777" w:rsidR="00831387" w:rsidRPr="008C00C8" w:rsidRDefault="00831387" w:rsidP="008C00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00C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Podmiot wnoszący uwagę</w:t>
            </w:r>
            <w:r w:rsidRPr="008C00C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63E93CCF" w14:textId="107B82B4" w:rsidR="00831387" w:rsidRPr="008C00C8" w:rsidRDefault="00831387" w:rsidP="00980F4C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00C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Jednostka redakcyjna, do której wnoszona jest uwaga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05CEC8A4" w14:textId="77777777" w:rsidR="00831387" w:rsidRPr="008C00C8" w:rsidRDefault="00831387" w:rsidP="008C00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00C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Treść uwagi</w:t>
            </w:r>
            <w:r w:rsidRPr="008C00C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68F3DD38" w14:textId="77777777" w:rsidR="00831387" w:rsidRPr="008C00C8" w:rsidRDefault="00831387" w:rsidP="008C00C8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C00C8">
              <w:rPr>
                <w:rFonts w:ascii="Calibri" w:eastAsia="Times New Roman" w:hAnsi="Calibri" w:cs="Calibri"/>
                <w:b/>
                <w:bCs/>
                <w:kern w:val="0"/>
                <w:sz w:val="20"/>
                <w:szCs w:val="20"/>
                <w:lang w:eastAsia="pl-PL"/>
                <w14:ligatures w14:val="none"/>
              </w:rPr>
              <w:t>Propozycja brzmienia przepisu</w:t>
            </w:r>
            <w:r w:rsidRPr="008C00C8"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  <w:t> </w:t>
            </w:r>
          </w:p>
        </w:tc>
      </w:tr>
      <w:tr w:rsidR="00831387" w:rsidRPr="008C00C8" w14:paraId="399DFA7C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  <w:hideMark/>
          </w:tcPr>
          <w:p w14:paraId="37AF629F" w14:textId="5021FF08" w:rsidR="00831387" w:rsidRPr="008C00C8" w:rsidRDefault="00831387" w:rsidP="008C00C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36F30596" w14:textId="0BBBD87D" w:rsidR="29A519C4" w:rsidRPr="008C00C8" w:rsidRDefault="29A519C4" w:rsidP="008C00C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="00F311FC"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2AA4F819" w14:textId="7837D1E0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§7 ust.4 rozporządzenia 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02B8C186" w14:textId="311A14F3" w:rsidR="29A519C4" w:rsidRPr="008C00C8" w:rsidRDefault="29A519C4" w:rsidP="00677886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Regulacja wymaga doprecyzowania z uwagi na aktualny etap rozwoju rynków ciepła, na których pojawiają się przedsiębiorstwa energetyczne sprzedające ciepło tak do przedsiębiorstw wykonujących działalność w zakresie przesyłania lub dystrybucji ciepła</w:t>
            </w:r>
            <w:r w:rsidR="005856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jak i do odbiorców. </w:t>
            </w:r>
            <w:r w:rsidR="005856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 naszej opinii k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onieczne jest objęcie tym przepisem całego ciepła sprzedawanego przez wytwórców ciepła.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701D0C46" w14:textId="17F089B3" w:rsidR="29A519C4" w:rsidRPr="008C00C8" w:rsidRDefault="29A519C4" w:rsidP="00677886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4.</w:t>
            </w:r>
            <w:r w:rsidRPr="008C00C8">
              <w:rPr>
                <w:rFonts w:ascii="Calibri" w:hAnsi="Calibri" w:cs="Calibri"/>
                <w:sz w:val="20"/>
                <w:szCs w:val="20"/>
              </w:rPr>
              <w:tab/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W przypadku, gdy przedsiębiorstwo energetyczne, o którym mowa w ust. 2 i 3, zakupuje ciepło od innych przedsiębiorstw energetycznych </w:t>
            </w:r>
            <w:r w:rsidRPr="0058561C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lub przesyła lub dystrybuuje ciepło zakupione przez odbiorcę od innych przedsiębiorstw energetycznych, o których mowa w ust. 1 i 2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 taryfa tego przedsiębiorstwa określa sposób stosowania cen i stawek opłat ustalonych w taryfach przedsiębiorstw, od których ciepło to zostało zakupione.</w:t>
            </w:r>
          </w:p>
        </w:tc>
      </w:tr>
      <w:tr w:rsidR="00831387" w:rsidRPr="008C00C8" w14:paraId="6A0E225D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  <w:hideMark/>
          </w:tcPr>
          <w:p w14:paraId="7C9F368B" w14:textId="402D32E3" w:rsidR="00831387" w:rsidRPr="008C00C8" w:rsidRDefault="00831387" w:rsidP="008C00C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224E8C4F" w14:textId="23B5500B" w:rsidR="29A519C4" w:rsidRPr="008C00C8" w:rsidRDefault="0058561C" w:rsidP="008C00C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1632D735" w14:textId="061F3114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§ 8 ust. 1 (dodanie pkt 4) rozporządzenia 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4367E663" w14:textId="44F3680D" w:rsidR="29A519C4" w:rsidRPr="008C00C8" w:rsidRDefault="00006105" w:rsidP="00677886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Obecne</w:t>
            </w:r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brzmienie przepisu nie zawiera jednoznacznego przesądzenia sytuacji na rynkach ciepła, na których dostawa ciepła do odbiorców następuje lub będzie następować na podstawie umowy sprzedaży zawartej przez odbiorcę bezpośrednio z wytwórcą ciepła. </w:t>
            </w:r>
            <w:r w:rsidR="0058561C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63CB3674" w14:textId="09602CF2" w:rsidR="29A519C4" w:rsidRPr="008C00C8" w:rsidRDefault="29A519C4" w:rsidP="00677886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 pkt 3 kropkę zastępuje się średnikiem i dodaje pkt 4 w brzmieniu:</w:t>
            </w:r>
            <w:r w:rsidRPr="008C00C8">
              <w:rPr>
                <w:rFonts w:ascii="Calibri" w:hAnsi="Calibri" w:cs="Calibri"/>
                <w:sz w:val="20"/>
                <w:szCs w:val="20"/>
              </w:rPr>
              <w:br/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4)</w:t>
            </w:r>
            <w:r w:rsidRPr="009650C7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W przypadkach opisanych w pkt 1-3 określając sposób ustalania cen za zamówioną moc cieplną oraz cen ciepła i cen nośnika ciepła uwzględnia się dostawę ciepła do odbiorców na podstawie umowy sprzedaży zawartej przez odbiorcę bezpośrednio z wytwórcą ciepła.</w:t>
            </w:r>
          </w:p>
        </w:tc>
      </w:tr>
      <w:tr w:rsidR="00831387" w:rsidRPr="008C00C8" w14:paraId="142561A6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  <w:hideMark/>
          </w:tcPr>
          <w:p w14:paraId="7E117300" w14:textId="5FC5D796" w:rsidR="00831387" w:rsidRPr="008C00C8" w:rsidRDefault="00831387" w:rsidP="008C00C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0B9B1F41" w14:textId="217C15C4" w:rsidR="29A519C4" w:rsidRPr="008C00C8" w:rsidRDefault="009650C7" w:rsidP="008C00C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1593F701" w14:textId="537DAF37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Dodanie w § 10 w ust. </w:t>
            </w:r>
            <w:proofErr w:type="gramStart"/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1  rozporządzenia</w:t>
            </w:r>
            <w:proofErr w:type="gramEnd"/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pkt 8 oraz w ust. 2 w pkt 3 rozporządzenia litery d) - konsekwencja 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 xml:space="preserve">dodania w ust. 1 pkt 8   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5409D541" w14:textId="666BE942" w:rsidR="29A519C4" w:rsidRPr="008C00C8" w:rsidRDefault="29A519C4" w:rsidP="00677886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W przypadku tzw. węzłów hybrydowych, tj. instalacji odbiorców przyłączonych do sieci</w:t>
            </w:r>
            <w:r w:rsidR="008A2AE6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 instalujących źródła ciepła na instalacjach odbiorczych, z których ciepło nie jest albo jest wprowadzane do sieci ciepłowniczej, następuje zasadnicza zmiana charakteru odbioru ciepła z sieci i sieć ciepłownicza staje się dodatkowym, szczytowym źródłem ciepła. Powoduje to przeniesienie kosztów utrzymania infrastruktury pokrywanych dotychczas przez odbiorcę z węzłem hybrydowym na pozostałych odbiorców. Konieczne jest zatem wprowadzenie nowej przesłanki do tworzenia grup taryfowych dla 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takich odbiorców bez względu na ich stopień wykorzystania mocy (historycznie będzie znacząco wyższy).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45AAD889" w14:textId="0FE7F79A" w:rsidR="29A519C4" w:rsidRPr="008C00C8" w:rsidRDefault="29A519C4" w:rsidP="00677886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lastRenderedPageBreak/>
              <w:t>W pkt 7 kropkę zastępuje się średnikiem i dodaje pkt 8 w brzmieniu:</w:t>
            </w:r>
            <w:r w:rsidRPr="008C00C8">
              <w:rPr>
                <w:rFonts w:ascii="Calibri" w:hAnsi="Calibri" w:cs="Calibri"/>
                <w:sz w:val="20"/>
                <w:szCs w:val="20"/>
              </w:rPr>
              <w:br/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8)</w:t>
            </w:r>
            <w:r w:rsidRPr="009650C7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dostarczania ciepła z sieci ciepłowniczej oraz wytworzonego w źródle ciepła zainstalowanym na instalacji odbiorczej odbiorcy, bez względu na stopień wykorzystania mocy</w:t>
            </w:r>
            <w:r w:rsidRPr="009650C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cieplnej.</w:t>
            </w:r>
            <w:r w:rsidRPr="008C00C8">
              <w:rPr>
                <w:rFonts w:ascii="Calibri" w:eastAsia="Calibri" w:hAnsi="Calibri" w:cs="Calibri"/>
                <w:color w:val="FF0000"/>
                <w:sz w:val="20"/>
                <w:szCs w:val="20"/>
              </w:rPr>
              <w:t xml:space="preserve"> </w:t>
            </w:r>
            <w:r w:rsidRPr="008C00C8">
              <w:rPr>
                <w:rFonts w:ascii="Calibri" w:hAnsi="Calibri" w:cs="Calibri"/>
                <w:sz w:val="20"/>
                <w:szCs w:val="20"/>
              </w:rPr>
              <w:br/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W pkt 3 litera b) kropkę zastępuje się średnikiem i dodaje literę c) w brzmieniu:</w:t>
            </w:r>
          </w:p>
          <w:p w14:paraId="0FE28233" w14:textId="66058AE0" w:rsidR="29A519C4" w:rsidRPr="009650C7" w:rsidRDefault="29A519C4" w:rsidP="00677886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lastRenderedPageBreak/>
              <w:t>c)</w:t>
            </w:r>
            <w:r w:rsidRPr="009650C7">
              <w:rPr>
                <w:rFonts w:ascii="Calibri" w:hAnsi="Calibri" w:cs="Calibri"/>
                <w:b/>
                <w:bCs/>
                <w:sz w:val="20"/>
                <w:szCs w:val="20"/>
              </w:rPr>
              <w:tab/>
            </w:r>
            <w:r w:rsidRPr="009650C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obiekt, do którego ciepło jest dostarczane z sieci ciepłowniczej oraz wytworzone w źródle ciepła zainstalowanym na instalacji odbiorczej odbiorcy.</w:t>
            </w:r>
          </w:p>
        </w:tc>
      </w:tr>
      <w:tr w:rsidR="00DC4F82" w:rsidRPr="008C00C8" w14:paraId="3A5EE9AB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</w:tcPr>
          <w:p w14:paraId="23EBE604" w14:textId="77777777" w:rsidR="00DC4F82" w:rsidRPr="008C00C8" w:rsidRDefault="00DC4F82" w:rsidP="00DC4F8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</w:tcPr>
          <w:p w14:paraId="2BE3DF20" w14:textId="6391455A" w:rsidR="00DC4F82" w:rsidRPr="008C00C8" w:rsidRDefault="00DC4F82" w:rsidP="00DC4F82">
            <w:pPr>
              <w:spacing w:after="0" w:line="240" w:lineRule="auto"/>
              <w:jc w:val="both"/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hAnsi="Calibri" w:cs="Calibri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</w:tcPr>
          <w:p w14:paraId="5FF3A6E4" w14:textId="571E7685" w:rsidR="00DC4F82" w:rsidRPr="008C00C8" w:rsidRDefault="00DC4F82" w:rsidP="00DC4F8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80F4C">
              <w:rPr>
                <w:rFonts w:ascii="Calibri" w:eastAsia="Aptos" w:hAnsi="Calibri" w:cs="Calibri"/>
                <w:color w:val="000000" w:themeColor="text1"/>
                <w:sz w:val="20"/>
                <w:szCs w:val="20"/>
              </w:rPr>
              <w:t>§ 13.</w:t>
            </w:r>
          </w:p>
        </w:tc>
        <w:tc>
          <w:tcPr>
            <w:tcW w:w="5528" w:type="dxa"/>
            <w:shd w:val="clear" w:color="auto" w:fill="FFFFFF" w:themeFill="background1"/>
          </w:tcPr>
          <w:p w14:paraId="46B5AA93" w14:textId="77777777" w:rsidR="00DC4F82" w:rsidRDefault="00DC4F82" w:rsidP="00DC4F82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N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ie jest jasne czy § 13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(metoda uproszczona kalkulacji) jest obowiązkowy dla kogeneracji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.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Chodzi o fragment §13.: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</w:t>
            </w:r>
            <w:proofErr w:type="gramStart"/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„..</w:t>
            </w:r>
            <w:proofErr w:type="gramEnd"/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przedsiębiorstwo energetyczne </w:t>
            </w:r>
            <w:r w:rsidRPr="008C00C8">
              <w:rPr>
                <w:rFonts w:ascii="Calibri" w:eastAsia="Lato" w:hAnsi="Calibri" w:cs="Calibri"/>
                <w:b/>
                <w:bCs/>
                <w:color w:val="000000" w:themeColor="text1"/>
                <w:sz w:val="20"/>
                <w:szCs w:val="20"/>
              </w:rPr>
              <w:t>stosuje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uproszczony sposób kalkulacji cen i stawek opłat w taryfie”. </w:t>
            </w:r>
          </w:p>
          <w:p w14:paraId="2156519F" w14:textId="425DB693" w:rsidR="00DC4F82" w:rsidRPr="008C00C8" w:rsidRDefault="00DC4F82" w:rsidP="00DC4F82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W obowiązującej wersji rozporządzenia użyte zostało sformułowanie </w:t>
            </w:r>
            <w:r w:rsidRPr="008C00C8">
              <w:rPr>
                <w:rFonts w:ascii="Calibri" w:eastAsia="Lato" w:hAnsi="Calibri" w:cs="Calibri"/>
                <w:b/>
                <w:bCs/>
                <w:color w:val="000000" w:themeColor="text1"/>
                <w:sz w:val="20"/>
                <w:szCs w:val="20"/>
              </w:rPr>
              <w:t>„może stosować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”.  Jednocześnie w § 14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zastosowano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zapis: „…przedsiębiorstw energetycznych wytwarzających ciepło w jednostkach kogeneracji, które </w:t>
            </w:r>
            <w:r w:rsidRPr="008C00C8">
              <w:rPr>
                <w:rFonts w:ascii="Calibri" w:eastAsia="Lato" w:hAnsi="Calibri" w:cs="Calibri"/>
                <w:b/>
                <w:bCs/>
                <w:color w:val="000000" w:themeColor="text1"/>
                <w:sz w:val="20"/>
                <w:szCs w:val="20"/>
              </w:rPr>
              <w:t>nie stosują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uproszczonego sposobu kalkulacji cen i stawek opłat, o którym mowa w § 13 ust. 1”.  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br/>
              <w:t>W związku z powyższym, dla jasności i czytelności regulacji proponujemy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użycie 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w § 13</w:t>
            </w:r>
            <w:r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sformułowania „</w:t>
            </w:r>
            <w:r w:rsidRPr="00191C65">
              <w:rPr>
                <w:rFonts w:ascii="Calibri" w:eastAsia="Lato" w:hAnsi="Calibri" w:cs="Calibri"/>
                <w:b/>
                <w:bCs/>
                <w:color w:val="000000" w:themeColor="text1"/>
                <w:sz w:val="20"/>
                <w:szCs w:val="20"/>
              </w:rPr>
              <w:t>może stosować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850" w:type="dxa"/>
            <w:shd w:val="clear" w:color="auto" w:fill="FFFFFF" w:themeFill="background1"/>
          </w:tcPr>
          <w:p w14:paraId="0785FD9B" w14:textId="2031F1D5" w:rsidR="00DC4F82" w:rsidRPr="008C00C8" w:rsidRDefault="00DC4F82" w:rsidP="00DC4F82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§ 13. 1. Dla jednostek kogeneracji, z wyłączeniem jednostek kogeneracji, w których stosuje się paliwa inne niż wyszczególnione w art. 23 ust. 2 pkt 18 lit. c ustawy, przedsiębiorstwo energetyczne </w:t>
            </w:r>
            <w:r w:rsidRPr="008C00C8">
              <w:rPr>
                <w:rFonts w:ascii="Calibri" w:eastAsia="Lato" w:hAnsi="Calibri" w:cs="Calibri"/>
                <w:b/>
                <w:bCs/>
                <w:color w:val="000000" w:themeColor="text1"/>
                <w:sz w:val="20"/>
                <w:szCs w:val="20"/>
              </w:rPr>
              <w:t>może stosować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8C00C8">
              <w:rPr>
                <w:rFonts w:ascii="Calibri" w:eastAsia="Lato" w:hAnsi="Calibri" w:cs="Calibri"/>
                <w:b/>
                <w:bCs/>
                <w:strike/>
                <w:color w:val="000000" w:themeColor="text1"/>
                <w:sz w:val="20"/>
                <w:szCs w:val="20"/>
              </w:rPr>
              <w:t>stosuje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 xml:space="preserve"> uproszczony sposób kalkulacji cen i stawek opłat w taryfie dla ciepła na podstawie uzasadnionych planowanych przychodów ze sprzedaży ciepła z tych jednostek, obliczanych według wzoru:</w:t>
            </w:r>
          </w:p>
        </w:tc>
      </w:tr>
      <w:tr w:rsidR="00831387" w:rsidRPr="008C00C8" w14:paraId="1B0F8800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  <w:hideMark/>
          </w:tcPr>
          <w:p w14:paraId="791FE04A" w14:textId="35F29E33" w:rsidR="00831387" w:rsidRPr="008C00C8" w:rsidRDefault="00831387" w:rsidP="008C00C8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0192E3A2" w14:textId="3DE68D12" w:rsidR="29A519C4" w:rsidRPr="008C00C8" w:rsidRDefault="29A519C4" w:rsidP="008C00C8">
            <w:pPr>
              <w:spacing w:after="0" w:line="240" w:lineRule="auto"/>
              <w:jc w:val="both"/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 </w:t>
            </w:r>
            <w:r w:rsidR="00677886"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42BAE439" w14:textId="49C67630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§ 24 i § 35</w:t>
            </w: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7E949702" w14:textId="3F6BBB0B" w:rsidR="29A519C4" w:rsidRPr="008C00C8" w:rsidRDefault="00677886" w:rsidP="00677886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Postulujemy</w:t>
            </w:r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uchylenie § 24 i § 35 umożliwiających rozliczanie po tzw. cenie jednoskładnikowej, tj. cenie i opłacie za przesyłanie i dystrybucję ciepła</w:t>
            </w:r>
            <w:r w:rsidR="005D3DFE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a nie wieloskładnikowych cenach i stawkach opłat zawartych w taryfach. Brak doprecyzowania sposobu określania </w:t>
            </w:r>
            <w:proofErr w:type="spellStart"/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Q</w:t>
            </w:r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  <w:vertAlign w:val="subscript"/>
              </w:rPr>
              <w:t>so</w:t>
            </w:r>
            <w:proofErr w:type="spellEnd"/>
            <w:r w:rsidR="29A519C4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- planowanej wielkość sprzedaży ciepła dla danego odbiorcy [w GJ], powoduje nieuzasadnione zróżnicowanie ponoszonych przez odbiorców kosztów dostawy ciepła. Ponadto regulacja jest wykorzystywana przez odbiorców zmieniających swoje zachowania i zapotrzebowania na ciepło i powoduje w wielu przypadkach stosowanie niższych cen i stawek opłat niż wyliczone na podstawie wieloskładnikowych cen i stawek opłat za ciepło i nieuzyskanie przez przedsiębiorstwo uzasadnionych przychodów z dostawy ciepła. 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000BF0ED" w14:textId="69C6FA8F" w:rsidR="29A519C4" w:rsidRPr="00677886" w:rsidRDefault="29A519C4" w:rsidP="00677886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677886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 xml:space="preserve">Wykreślenie z projektu § </w:t>
            </w:r>
            <w:r w:rsidRPr="00677886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24 i § 35</w:t>
            </w:r>
          </w:p>
        </w:tc>
      </w:tr>
      <w:tr w:rsidR="00DC4F82" w:rsidRPr="008C00C8" w14:paraId="44A2E6E3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</w:tcPr>
          <w:p w14:paraId="7B135051" w14:textId="77777777" w:rsidR="00DC4F82" w:rsidRPr="008C00C8" w:rsidRDefault="00DC4F82" w:rsidP="00DC4F82">
            <w:pPr>
              <w:pStyle w:val="Akapitzlist"/>
              <w:numPr>
                <w:ilvl w:val="0"/>
                <w:numId w:val="3"/>
              </w:num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244" w:type="dxa"/>
            <w:shd w:val="clear" w:color="auto" w:fill="FFFFFF" w:themeFill="background1"/>
          </w:tcPr>
          <w:p w14:paraId="2EFD3534" w14:textId="1EE8740E" w:rsidR="00DC4F82" w:rsidRPr="008C00C8" w:rsidRDefault="00DC4F82" w:rsidP="00DC4F82">
            <w:pPr>
              <w:spacing w:after="0" w:line="240" w:lineRule="auto"/>
              <w:jc w:val="both"/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 </w:t>
            </w: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</w:tcPr>
          <w:p w14:paraId="56B8FEA6" w14:textId="77777777" w:rsidR="00DC4F82" w:rsidRPr="008C00C8" w:rsidRDefault="00DC4F82" w:rsidP="00DC4F82">
            <w:pPr>
              <w:spacing w:after="0" w:line="240" w:lineRule="auto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 § 28 ust. 4</w:t>
            </w:r>
          </w:p>
          <w:p w14:paraId="42EED672" w14:textId="77777777" w:rsidR="00DC4F82" w:rsidRPr="008C00C8" w:rsidRDefault="00DC4F82" w:rsidP="00DC4F82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 w:themeFill="background1"/>
          </w:tcPr>
          <w:p w14:paraId="5FA5A2FC" w14:textId="15F4C670" w:rsidR="00DC4F82" w:rsidRDefault="00DC4F82" w:rsidP="00DC4F82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 W toku porządkowania struktury § 13 rozporządzenia (polegającego na usunięciu dawnych, nieaktywnych ustępów 5-9) projektodawca przeniósł regulację określającą roczny okres stosowania taryfy uproszczonej z dawnego ustępu 10 do nowo zredagowanego ustępu 6. Jednakże w § 28 ust. 4 projektu rozporządzenia (regulującym przedterminową aktualizację taryf uproszczonych) pozostawiono wadliwe odesłanie do dawnego 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lastRenderedPageBreak/>
              <w:t>przepisu '§ 13 ust. 10'. Ponieważ nowo projektowany § 13 kończy się na ustępie 6, odesłanie to dotyczy nieistniejącej jednostki redakcyjnej.</w:t>
            </w:r>
          </w:p>
        </w:tc>
        <w:tc>
          <w:tcPr>
            <w:tcW w:w="3850" w:type="dxa"/>
            <w:shd w:val="clear" w:color="auto" w:fill="FFFFFF" w:themeFill="background1"/>
          </w:tcPr>
          <w:p w14:paraId="706A9A00" w14:textId="3DC98162" w:rsidR="00DC4F82" w:rsidRPr="00677886" w:rsidRDefault="00DC4F82" w:rsidP="00DC4F82">
            <w:pPr>
              <w:spacing w:after="0" w:line="240" w:lineRule="auto"/>
              <w:ind w:left="56"/>
              <w:jc w:val="both"/>
              <w:rPr>
                <w:rFonts w:ascii="Calibri" w:eastAsia="Lato" w:hAnsi="Calibri" w:cs="Calibri"/>
                <w:b/>
                <w:bCs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lastRenderedPageBreak/>
              <w:t xml:space="preserve"> 4. Przedsiębiorstwo energetyczne w odniesieniu do jednostek kogeneracji, do których jest stosowany uproszczony sposób kalkulacji cen i stawek opłat w taryfie dla ciepła, o którym mowa w § 13 ust. 1, może wystąpić o zmianę taryfy przed upływem okresu, o którym mowa w </w:t>
            </w:r>
            <w:r w:rsidRPr="008C00C8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§ 13 ust. 6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, jeżeli w 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lastRenderedPageBreak/>
              <w:t>trakcie tego okresu zostaną ogłoszone średnie ceny sprzedaży ciepła, o których mowa w art. 23 ust. 2 pkt 18 lit. c ustawy, lub zostanie zmieniony wskaźnik referencyjny, o którym mowa w art. 47 ust. 2f ustawy, dotyczący paliwa stosowanego w jednostce kogeneracji, lub nastąpi zmiana posiadanej koncesji wynikająca z istotnej zmiany zakresu wykonywania działalności objętej koncesją, w szczególności zmiany wykorzystywanego paliwa.</w:t>
            </w:r>
          </w:p>
        </w:tc>
      </w:tr>
      <w:tr w:rsidR="29A519C4" w:rsidRPr="008C00C8" w14:paraId="47F048CB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  <w:hideMark/>
          </w:tcPr>
          <w:p w14:paraId="1F0CCEDA" w14:textId="32785AAE" w:rsidR="29A519C4" w:rsidRPr="008C00C8" w:rsidRDefault="29A519C4" w:rsidP="008C00C8">
            <w:pPr>
              <w:pStyle w:val="Akapitzlist"/>
              <w:numPr>
                <w:ilvl w:val="0"/>
                <w:numId w:val="3"/>
              </w:num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shd w:val="clear" w:color="auto" w:fill="FFFFFF" w:themeFill="background1"/>
            <w:hideMark/>
          </w:tcPr>
          <w:p w14:paraId="0D2D9B27" w14:textId="20A6F0AC" w:rsidR="29A519C4" w:rsidRPr="008C00C8" w:rsidRDefault="005D3DFE" w:rsidP="008C00C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color w:val="000000" w:themeColor="text1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  <w:hideMark/>
          </w:tcPr>
          <w:p w14:paraId="07F6E04D" w14:textId="56A6D5A0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Zmiana w § 48 rozporządzenia </w:t>
            </w:r>
          </w:p>
          <w:p w14:paraId="25A899F7" w14:textId="2D0CECE7" w:rsidR="29A519C4" w:rsidRPr="008C00C8" w:rsidRDefault="29A519C4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5528" w:type="dxa"/>
            <w:shd w:val="clear" w:color="auto" w:fill="FFFFFF" w:themeFill="background1"/>
            <w:hideMark/>
          </w:tcPr>
          <w:p w14:paraId="029C4FC2" w14:textId="623464C5" w:rsidR="29A519C4" w:rsidRPr="008C00C8" w:rsidRDefault="29A519C4" w:rsidP="003D32F4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Mając na uwadze zaostrzającą się politykę klimatyczno-</w:t>
            </w:r>
            <w:r w:rsidR="74DE72B0"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energetyczną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oraz wyzwania związane z transformacją ciepłownictwa, konieczne jest zapewnienie </w:t>
            </w:r>
            <w:proofErr w:type="spellStart"/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bankowalności</w:t>
            </w:r>
            <w:proofErr w:type="spellEnd"/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projektów inwestycyjnych w sytuacji nieznacznych dostępnych środków pomocy publicznej dla ciepłownictwa i ograniczonego zakresu przedmiotowego tego wsparcia. Dla instytucji finansujących możliwość zastosowania przez inwestora metody przychodowej regulowanej przez § 11 ust. 4–8 i § 28 ust. 5 rozporządzenia i jasno określony, zależny od obiektywnych wskaźników sposób ustalania przychodów przedsiębiorstw ciepłowniczych, jest niezmiernie istotne. Mając na uwadze zbieżność regulacji ww. przepisów z pozostałymi regulacjami rozporządzenia oraz aktualną sytuację ciepłownictwa</w:t>
            </w:r>
            <w:r w:rsidR="00DC4F82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>,</w:t>
            </w:r>
            <w:r w:rsidRPr="008C00C8"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  <w:t xml:space="preserve"> nie ma uzasadnienia różnicowanie terminów wejścia w życie poszczególnych przepisów na wchodzące z dniem ogłoszenia i na 1 stycznia 2028 r. </w:t>
            </w:r>
          </w:p>
        </w:tc>
        <w:tc>
          <w:tcPr>
            <w:tcW w:w="3850" w:type="dxa"/>
            <w:shd w:val="clear" w:color="auto" w:fill="FFFFFF" w:themeFill="background1"/>
            <w:hideMark/>
          </w:tcPr>
          <w:p w14:paraId="582A3663" w14:textId="72DD354C" w:rsidR="29A519C4" w:rsidRPr="003D32F4" w:rsidRDefault="29A519C4" w:rsidP="003D32F4">
            <w:pPr>
              <w:spacing w:after="0" w:line="240" w:lineRule="auto"/>
              <w:ind w:left="56"/>
              <w:jc w:val="both"/>
              <w:rPr>
                <w:rFonts w:ascii="Calibri" w:eastAsia="Calibri" w:hAnsi="Calibri" w:cs="Calibri"/>
                <w:b/>
                <w:bCs/>
                <w:color w:val="FF0000"/>
                <w:sz w:val="20"/>
                <w:szCs w:val="20"/>
              </w:rPr>
            </w:pPr>
            <w:r w:rsidRPr="003D32F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§ 48. Rozporządzenie wchodzi w życie z dniem następującym po dniu ogłoszenia.</w:t>
            </w:r>
          </w:p>
        </w:tc>
      </w:tr>
      <w:tr w:rsidR="002D54C3" w:rsidRPr="008C00C8" w14:paraId="79A62CA0" w14:textId="77777777" w:rsidTr="00F433DE">
        <w:trPr>
          <w:trHeight w:val="300"/>
        </w:trPr>
        <w:tc>
          <w:tcPr>
            <w:tcW w:w="846" w:type="dxa"/>
            <w:shd w:val="clear" w:color="auto" w:fill="FFFFFF" w:themeFill="background1"/>
          </w:tcPr>
          <w:p w14:paraId="62BE5CFC" w14:textId="7682918F" w:rsidR="002D54C3" w:rsidRPr="008C00C8" w:rsidRDefault="002D54C3" w:rsidP="008C00C8">
            <w:pPr>
              <w:pStyle w:val="Akapitzlist"/>
              <w:numPr>
                <w:ilvl w:val="0"/>
                <w:numId w:val="3"/>
              </w:numPr>
              <w:spacing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l-PL"/>
              </w:rPr>
            </w:pPr>
          </w:p>
        </w:tc>
        <w:tc>
          <w:tcPr>
            <w:tcW w:w="2244" w:type="dxa"/>
            <w:shd w:val="clear" w:color="auto" w:fill="FFFFFF" w:themeFill="background1"/>
          </w:tcPr>
          <w:p w14:paraId="3C022602" w14:textId="6C7C2A3D" w:rsidR="002D54C3" w:rsidRPr="008C00C8" w:rsidRDefault="002D54C3" w:rsidP="008C00C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 </w:t>
            </w:r>
            <w:r w:rsidR="002743DE">
              <w:rPr>
                <w:rFonts w:ascii="Calibri" w:eastAsia="Lato" w:hAnsi="Calibri" w:cs="Calibri"/>
                <w:sz w:val="20"/>
                <w:szCs w:val="20"/>
              </w:rPr>
              <w:t>Konfederacja Lewiatan</w:t>
            </w:r>
          </w:p>
        </w:tc>
        <w:tc>
          <w:tcPr>
            <w:tcW w:w="1526" w:type="dxa"/>
            <w:shd w:val="clear" w:color="auto" w:fill="FFFFFF" w:themeFill="background1"/>
          </w:tcPr>
          <w:p w14:paraId="072B3569" w14:textId="77777777" w:rsidR="002D54C3" w:rsidRDefault="00545265" w:rsidP="00980F4C">
            <w:pPr>
              <w:spacing w:after="0" w:line="240" w:lineRule="auto"/>
              <w:rPr>
                <w:rFonts w:ascii="Calibri" w:eastAsia="Lato" w:hAnsi="Calibri" w:cs="Calibri"/>
                <w:sz w:val="20"/>
                <w:szCs w:val="20"/>
              </w:rPr>
            </w:pPr>
            <w:r>
              <w:rPr>
                <w:rFonts w:ascii="Calibri" w:eastAsia="Lato" w:hAnsi="Calibri" w:cs="Calibri"/>
                <w:sz w:val="20"/>
                <w:szCs w:val="20"/>
              </w:rPr>
              <w:t xml:space="preserve">Propozycja </w:t>
            </w:r>
            <w:r w:rsidR="00D72812">
              <w:rPr>
                <w:rFonts w:ascii="Calibri" w:eastAsia="Lato" w:hAnsi="Calibri" w:cs="Calibri"/>
                <w:sz w:val="20"/>
                <w:szCs w:val="20"/>
              </w:rPr>
              <w:t xml:space="preserve">uzupełnienia projektowanego </w:t>
            </w:r>
            <w:r w:rsidR="00D72812">
              <w:rPr>
                <w:rFonts w:ascii="Calibri" w:eastAsia="Lato" w:hAnsi="Calibri" w:cs="Calibri"/>
                <w:sz w:val="20"/>
                <w:szCs w:val="20"/>
              </w:rPr>
              <w:br/>
            </w:r>
            <w:r w:rsidR="002D54C3" w:rsidRPr="008C00C8">
              <w:rPr>
                <w:rFonts w:ascii="Calibri" w:eastAsia="Lato" w:hAnsi="Calibri" w:cs="Calibri"/>
                <w:sz w:val="20"/>
                <w:szCs w:val="20"/>
              </w:rPr>
              <w:t>§ 11 ust. 2 </w:t>
            </w:r>
            <w:r w:rsidR="00D72812">
              <w:rPr>
                <w:rFonts w:ascii="Calibri" w:eastAsia="Lato" w:hAnsi="Calibri" w:cs="Calibri"/>
                <w:sz w:val="20"/>
                <w:szCs w:val="20"/>
              </w:rPr>
              <w:t>oraz</w:t>
            </w:r>
          </w:p>
          <w:p w14:paraId="3978FB3C" w14:textId="09A38D0A" w:rsidR="00D72812" w:rsidRPr="008C00C8" w:rsidRDefault="00D72812" w:rsidP="00980F4C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§ 1</w:t>
            </w:r>
            <w:r>
              <w:rPr>
                <w:rFonts w:ascii="Calibri" w:eastAsia="Lato" w:hAnsi="Calibri" w:cs="Calibri"/>
                <w:sz w:val="20"/>
                <w:szCs w:val="20"/>
              </w:rPr>
              <w:t xml:space="preserve">3 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ust. </w:t>
            </w:r>
            <w:r>
              <w:rPr>
                <w:rFonts w:ascii="Calibri" w:eastAsia="Lato" w:hAnsi="Calibri" w:cs="Calibri"/>
                <w:sz w:val="20"/>
                <w:szCs w:val="20"/>
              </w:rPr>
              <w:t>1</w:t>
            </w:r>
          </w:p>
        </w:tc>
        <w:tc>
          <w:tcPr>
            <w:tcW w:w="5528" w:type="dxa"/>
            <w:shd w:val="clear" w:color="auto" w:fill="FFFFFF" w:themeFill="background1"/>
          </w:tcPr>
          <w:p w14:paraId="642E593A" w14:textId="498348AC" w:rsidR="000F6B14" w:rsidRDefault="000F6B14" w:rsidP="00DD19F0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>
              <w:rPr>
                <w:rFonts w:ascii="Calibri" w:eastAsia="Lato" w:hAnsi="Calibri" w:cs="Calibri"/>
                <w:sz w:val="20"/>
                <w:szCs w:val="20"/>
              </w:rPr>
              <w:t xml:space="preserve">Uzasadnienie </w:t>
            </w:r>
            <w:r w:rsidR="00D72812">
              <w:rPr>
                <w:rFonts w:ascii="Calibri" w:eastAsia="Lato" w:hAnsi="Calibri" w:cs="Calibri"/>
                <w:sz w:val="20"/>
                <w:szCs w:val="20"/>
              </w:rPr>
              <w:t>propozycji:</w:t>
            </w:r>
            <w:r w:rsidR="002D54C3" w:rsidRPr="008C00C8">
              <w:rPr>
                <w:rFonts w:ascii="Calibri" w:eastAsia="Lato" w:hAnsi="Calibri" w:cs="Calibri"/>
                <w:sz w:val="20"/>
                <w:szCs w:val="20"/>
              </w:rPr>
              <w:t> </w:t>
            </w:r>
          </w:p>
          <w:p w14:paraId="0E6DBD3A" w14:textId="23011172" w:rsidR="00D72812" w:rsidRPr="00D72812" w:rsidRDefault="002D54C3" w:rsidP="00D728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D72812">
              <w:rPr>
                <w:rFonts w:ascii="Calibri" w:eastAsia="Lato" w:hAnsi="Calibri" w:cs="Calibri"/>
                <w:sz w:val="20"/>
                <w:szCs w:val="20"/>
              </w:rPr>
              <w:t xml:space="preserve">Realizacja celu ustawowego (art. 45 ust. 1 pkt 1c PE): </w:t>
            </w:r>
          </w:p>
          <w:p w14:paraId="58A3D568" w14:textId="635DB4CE" w:rsidR="002D54C3" w:rsidRPr="00D72812" w:rsidRDefault="002D54C3" w:rsidP="00D72812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D72812">
              <w:rPr>
                <w:rFonts w:ascii="Calibri" w:eastAsia="Lato" w:hAnsi="Calibri" w:cs="Calibri"/>
                <w:sz w:val="20"/>
                <w:szCs w:val="20"/>
              </w:rPr>
              <w:t>Zgodnie z Prawem energetycznym, wartość 30% uprawnień CO2 przyznawanych instalacjom dekarbonizowanym ma być bezwarunkowo uwzględniana w kosztach uzasadnionych taryf ciepłowniczych. Przepis ten nie ogranicza preferencji wyłącznie do metody kosztowej. Pominięcie taryf uproszczonych w rozporządzeniu stwarza istotną niespójność systemową i narusza intencję ustawodawcy.</w:t>
            </w:r>
            <w:r w:rsidR="002C2CE0">
              <w:rPr>
                <w:rFonts w:ascii="Calibri" w:eastAsia="Lato" w:hAnsi="Calibri" w:cs="Calibri"/>
                <w:sz w:val="20"/>
                <w:szCs w:val="20"/>
              </w:rPr>
              <w:t xml:space="preserve"> </w:t>
            </w:r>
          </w:p>
          <w:p w14:paraId="0AAE02CA" w14:textId="77777777" w:rsidR="00D72812" w:rsidRDefault="002D54C3" w:rsidP="00D728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proofErr w:type="spellStart"/>
            <w:r w:rsidRPr="00D72812">
              <w:rPr>
                <w:rFonts w:ascii="Calibri" w:eastAsia="Lato" w:hAnsi="Calibri" w:cs="Calibri"/>
                <w:sz w:val="20"/>
                <w:szCs w:val="20"/>
              </w:rPr>
              <w:lastRenderedPageBreak/>
              <w:t>Równe</w:t>
            </w:r>
            <w:proofErr w:type="spellEnd"/>
            <w:r w:rsidRPr="00D72812">
              <w:rPr>
                <w:rFonts w:ascii="Calibri" w:eastAsia="Lato" w:hAnsi="Calibri" w:cs="Calibri"/>
                <w:sz w:val="20"/>
                <w:szCs w:val="20"/>
              </w:rPr>
              <w:t xml:space="preserve"> traktowanie podmiotów i eliminacja barier administracyjnych: </w:t>
            </w:r>
          </w:p>
          <w:p w14:paraId="203EE7C6" w14:textId="02DA45A2" w:rsidR="002D54C3" w:rsidRPr="00D72812" w:rsidRDefault="002D54C3" w:rsidP="00D72812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D72812">
              <w:rPr>
                <w:rFonts w:ascii="Calibri" w:eastAsia="Lato" w:hAnsi="Calibri" w:cs="Calibri"/>
                <w:sz w:val="20"/>
                <w:szCs w:val="20"/>
              </w:rPr>
              <w:t>Przedsiębiorstwa eksploatujące jednostki kogeneracji dekarbonizowane na podstawie Planu Neutralności Klimatycznej (PNK) powinny mieć możliwość skorzystania z tego wsparcia bez względu na metodę kształtowania cen. Brak takiego zapisu w § 13 zmusi je do porzucenia prostej metody uproszczonej na rzecz metody kosztowej (§ 14), co drastycznie zwiększy liczbę skomplikowanych postępowań taryfowych przed Prezesem URE i obciąży zarówno regulatora, jak i przedsiębiorstwa ciepłownicze.</w:t>
            </w:r>
          </w:p>
          <w:p w14:paraId="7B438B6C" w14:textId="694898A2" w:rsidR="00D72812" w:rsidRPr="00D72812" w:rsidRDefault="002D54C3" w:rsidP="00D72812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D72812">
              <w:rPr>
                <w:rFonts w:ascii="Calibri" w:eastAsia="Lato" w:hAnsi="Calibri" w:cs="Calibri"/>
                <w:sz w:val="20"/>
                <w:szCs w:val="20"/>
              </w:rPr>
              <w:t xml:space="preserve">Konieczność wyłączenia sztywnego limitu przychodu opartego na cenie referencyjnej (bypass z ust. 1b): </w:t>
            </w:r>
          </w:p>
          <w:p w14:paraId="284E6D79" w14:textId="2D290041" w:rsidR="002D54C3" w:rsidRPr="00D72812" w:rsidRDefault="002D54C3" w:rsidP="00D72812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D72812">
              <w:rPr>
                <w:rFonts w:ascii="Calibri" w:eastAsia="Lato" w:hAnsi="Calibri" w:cs="Calibri"/>
                <w:sz w:val="20"/>
                <w:szCs w:val="20"/>
              </w:rPr>
              <w:t>Zgodnie z § 13 ust. 1 projektu, cena ciepła przyjęta w taryfie uproszczonej musi być nie</w:t>
            </w:r>
            <w:r w:rsidR="009347C9">
              <w:rPr>
                <w:rFonts w:ascii="Calibri" w:eastAsia="Lato" w:hAnsi="Calibri" w:cs="Calibri"/>
                <w:sz w:val="20"/>
                <w:szCs w:val="20"/>
              </w:rPr>
              <w:t xml:space="preserve"> </w:t>
            </w:r>
            <w:r w:rsidRPr="00D72812">
              <w:rPr>
                <w:rFonts w:ascii="Calibri" w:eastAsia="Lato" w:hAnsi="Calibri" w:cs="Calibri"/>
                <w:sz w:val="20"/>
                <w:szCs w:val="20"/>
              </w:rPr>
              <w:t>wyższa od krajowej ceny referencyjnej (Cr). Tym samym planowany przychód (</w:t>
            </w:r>
            <w:proofErr w:type="spellStart"/>
            <w:r w:rsidRPr="00D72812">
              <w:rPr>
                <w:rFonts w:ascii="Calibri" w:eastAsia="Lato" w:hAnsi="Calibri" w:cs="Calibri"/>
                <w:sz w:val="20"/>
                <w:szCs w:val="20"/>
              </w:rPr>
              <w:t>Pc</w:t>
            </w:r>
            <w:proofErr w:type="spellEnd"/>
            <w:r w:rsidRPr="00D72812">
              <w:rPr>
                <w:rFonts w:ascii="Calibri" w:eastAsia="Lato" w:hAnsi="Calibri" w:cs="Calibri"/>
                <w:sz w:val="20"/>
                <w:szCs w:val="20"/>
              </w:rPr>
              <w:t>) nie może przekraczać iloczynu planowanej wielkości ciepła (</w:t>
            </w:r>
            <w:proofErr w:type="spellStart"/>
            <w:r w:rsidRPr="00D72812">
              <w:rPr>
                <w:rFonts w:ascii="Calibri" w:eastAsia="Lato" w:hAnsi="Calibri" w:cs="Calibri"/>
                <w:sz w:val="20"/>
                <w:szCs w:val="20"/>
              </w:rPr>
              <w:t>Qs</w:t>
            </w:r>
            <w:proofErr w:type="spellEnd"/>
            <w:r w:rsidRPr="00D72812">
              <w:rPr>
                <w:rFonts w:ascii="Calibri" w:eastAsia="Lato" w:hAnsi="Calibri" w:cs="Calibri"/>
                <w:sz w:val="20"/>
                <w:szCs w:val="20"/>
              </w:rPr>
              <w:t>) i ceny referencyjnej (Cr). Bez dodania ustępu 1b, Prezes URE odmówi zatwierdzenia taryfy uproszczonej z doliczeniem wartości bezpłatnych uprawnień (CCO2_add), jeżeli łączny planowany przychód przekroczy limity oparte na cenie referencyjnej. Dodanie ust. 1b tworzy w pełni bezpieczny i legalny bypass dla przychodu, wzorowany na historycznych przepisach przejściowych i osłonowych z rozporządzenia z 2020 r. (np. dawny § 47 ust. 4, który bezpośrednio zezwalał na przekroczenie ceny referencyjnej o wartość doliczenia).</w:t>
            </w:r>
          </w:p>
          <w:p w14:paraId="0250A3F8" w14:textId="6AAF19E3" w:rsidR="009347C9" w:rsidRPr="009347C9" w:rsidRDefault="002D54C3" w:rsidP="009347C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9347C9">
              <w:rPr>
                <w:rFonts w:ascii="Calibri" w:eastAsia="Lato" w:hAnsi="Calibri" w:cs="Calibri"/>
                <w:sz w:val="20"/>
                <w:szCs w:val="20"/>
              </w:rPr>
              <w:t>Zapobieżenie sporom pojęciowym poprzez zmianę § 11 ust. 2:</w:t>
            </w:r>
          </w:p>
          <w:p w14:paraId="63CA8CED" w14:textId="18FB78A9" w:rsidR="002D54C3" w:rsidRPr="009347C9" w:rsidRDefault="002D54C3" w:rsidP="009347C9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Obecne odesłanie w § 11 ust. 2 do „§ 13 ust. 1” jest bardzo wąskie i dotyczy wyłącznie ceny podstawowej. Rozszerzenie tego odesłania na całe brzmienie „§ 13” gwarantuje, że wszystkie nowe przepisy taryfy uproszczonej (ust. 1a i 1b) są bezdyskusyjnie wyłączone z reżimu rygorystycznej kalkulacji kosztów z § 11, co ułatwi i przyspieszy zatwierdzanie taryf przez regulatora.</w:t>
            </w:r>
          </w:p>
          <w:p w14:paraId="13654CA0" w14:textId="303958D0" w:rsidR="009347C9" w:rsidRPr="009347C9" w:rsidRDefault="002D54C3" w:rsidP="009347C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9347C9">
              <w:rPr>
                <w:rFonts w:ascii="Calibri" w:eastAsia="Lato" w:hAnsi="Calibri" w:cs="Calibri"/>
                <w:sz w:val="20"/>
                <w:szCs w:val="20"/>
              </w:rPr>
              <w:t>Wykluczenie ryzyka podwójnego ujęcia (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double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compensation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>) oraz kompetencje monitorujące Prezesa URE:</w:t>
            </w:r>
            <w:r w:rsidRPr="009347C9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6C8D555C" w14:textId="1CA224AA" w:rsidR="002D54C3" w:rsidRPr="009347C9" w:rsidRDefault="002D54C3" w:rsidP="009347C9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Projektowane rozszerzenie metody uproszczonej w § 13 o dodatkową wycenę uprawnień do emisji CO2 nie niesie za sobą </w:t>
            </w:r>
            <w:r w:rsidRPr="009347C9">
              <w:rPr>
                <w:rFonts w:ascii="Calibri" w:eastAsia="Lato" w:hAnsi="Calibri" w:cs="Calibri"/>
                <w:sz w:val="20"/>
                <w:szCs w:val="20"/>
              </w:rPr>
              <w:lastRenderedPageBreak/>
              <w:t xml:space="preserve">ryzyka nieuzasadnionego podwójnego ujęcia przychodów (tzw.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double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compensation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>) u podmiotów eksploatujących jednostki kogeneracji. Teoretyczny zarzut w tym zakresie mógłby opierać się na założeniu, że wyłączenie 30% darmowych uprawnień CO2 w taryfach kosztowych wytwórców tradycyjnych (§ 11) będzie miało wpływ na ich taryfy, co z kolei wpłynie na ogłaszaną przez Prezesa URE średnią krajową cenę ciepła z paliwa niebędącego kogeneracją (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CCSn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). Ponieważ cena referencyjna dla kogeneracji (Cr) bazuje na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CCSn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>, jednostki kogeneracji stosujące metodę uproszczoną mogłyby teoretycznie skonsumować tę premię dwukrotnie: raz poprzez wpływ tej zmiany na ogólną cenę referencyjną, a drugi raz poprzez bezpośrednie doliczenie składnika CO2. Należy jednak kategorycznie wskazać, że transmisja ta ulega znacznemu rozproszeniu (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dilution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effect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) oraz opóźnieniu czasowemu w skali kraju. Wskaźnik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CCSn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jest wyznaczany jako średnia krajowa dla danego paliwa, co oznacza, że jednostkowe i pilne nakłady finansowe ponoszone przez konkretne przedsiębiorstwo realizujące Plan Neutralności Klimatycznej (PNK) nie zostaną zrekompensowane przez sam rynkowy mechanizm uśredniania ceny krajowej w krótkim i średnim okresie.</w:t>
            </w:r>
            <w:r w:rsidRPr="009347C9">
              <w:rPr>
                <w:rFonts w:ascii="Calibri" w:eastAsia="Lato" w:hAnsi="Calibri" w:cs="Calibri"/>
                <w:sz w:val="20"/>
                <w:szCs w:val="20"/>
              </w:rPr>
              <w:br/>
              <w:t xml:space="preserve">Co najważniejsze, rozporządzenie taryfowe zawiera systemowy bezpiecznik eliminujący ryzyko jakiejkolwiek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nadkompensacji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, tkwiący w ustawowych kompetencjach Prezesa URE. </w:t>
            </w:r>
          </w:p>
          <w:p w14:paraId="05108E88" w14:textId="77777777" w:rsidR="002D54C3" w:rsidRPr="008C00C8" w:rsidRDefault="002D54C3" w:rsidP="009347C9">
            <w:p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Zgodnie z formułą określoną w § 13 ust. 2 i 4, obowiązujący wskaźnik referencyjny (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Xc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) zależy bezpośrednio od wskaźnika k, który odzwierciedla zmiany kosztów obciążających produkcję ciepła w kogeneracji. Ponieważ wartość wskaźnika k jest na bieżąco analizowana i ustalana przez Prezesa URE, przy czym wskaźnik ten nie podlega publikacji (Prezes URE ogłasza wyłącznie wskaźnik referencyjny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Xc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, który jest na nim oparty), regulator posiada pełne, precyzyjne narzędzia do kontrolowania sytuacji finansowej sektora. Jeżeli regulator w toku analizy sprawozdawczej stwierdzi, że wdrożenie preferencji dla jednostek kosztowych zaczyna w nadmierny sposób wpływać na ogólnokrajową cenę referencyjną i generuje nadwyżki u podmiotów stosujących § 13, może odpowiednio skorygować (obniżyć lub zamrozić) wartość wskaźnika k dla danego paliwa. Zapewnia to regulatorowi absolutną kontrolę 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lastRenderedPageBreak/>
              <w:t>nad stabilnością cen i eliminuje ryzyko nieuzasadnionego subsydiowania skrośnego lub nadmiernego obciążenia odbiorców (zgodnie z art. 45 ust. 1 PE), przy jednoczesnym zachowaniu silnej, niezbędnej zachęty inwestycyjnej dla podmiotów faktycznie realizujących transformację na podstawie PNK.</w:t>
            </w:r>
          </w:p>
          <w:p w14:paraId="3E361989" w14:textId="3C7E647A" w:rsidR="009347C9" w:rsidRPr="009347C9" w:rsidRDefault="002D54C3" w:rsidP="009347C9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right="75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9347C9">
              <w:rPr>
                <w:rFonts w:ascii="Calibri" w:eastAsia="Andika" w:hAnsi="Calibri" w:cs="Calibri"/>
                <w:sz w:val="20"/>
                <w:szCs w:val="20"/>
              </w:rPr>
              <w:t>Jednokierunkowy charakter wyboru metody taryfikacji (art. 47 ust. 2f¹ PE) w zderzeniu z okresowym wymiarem preferencji CO₂ (2026–2030):</w:t>
            </w:r>
            <w:r w:rsidRPr="009347C9">
              <w:rPr>
                <w:rFonts w:ascii="Calibri" w:eastAsia="Andika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14:paraId="714B04D6" w14:textId="2F1E7332" w:rsidR="002D54C3" w:rsidRPr="009347C9" w:rsidRDefault="002D54C3" w:rsidP="009347C9">
            <w:pPr>
              <w:spacing w:after="0" w:line="240" w:lineRule="auto"/>
              <w:ind w:right="75"/>
              <w:jc w:val="both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Zgodnie z art. 47 ust. 2f¹ ustawy – Prawo energetyczne, decyzja przedsiębiorstwa energetycznego o odstąpieniu od uproszczonego sposobu kalkulacji cen i stawek opłat (taryfy referencyjnej) na rzecz metody kosztowej ma charakter trwały i nieodwracalny (jest to tzw. droga w jedną stronę). Raz dokonane odstąpienie wyklucza możliwość ponownego powrotu do metody uproszczonej przy opracowywaniu kolejnych taryf dla ciepła. Tymczasem, dodatkowy przydział 30% bezpłatnych uprawnień do emisji CO₂ na podstawie art. 22b ust. 3 unijnego rozporządzenia delegowanego 2019/331 ma charakter przejściowy i okresowy – w okresie od 2026 r. do 2030 r. przedsiębiorstwo korzysta z prawa do tych dodatkowych uprawnień na stałym poziomie (a nie malejącym), i każdego roku będzie miało prawo do ich uwzględnienia w przychodach taryfowych Jeśli projektowane rozporządzenie taryfowe ograniczy możliwość rozliczenia tej preferencji CO₂ wyłącznie do metody kosztowej (§ 11 i § 14), dekarbonizujące się elektrociepłownie posiadające Plan Neutralności Klimatycznej (PNK) zostaną postawione przed dylematem: aby skorzystać z okresowego (2026–2030) wsparcia kosztów transformacji, zostaną zmuszone do trwałego i nieodwracalnego porzucenia metody uproszczonej. Po 2030 r., kiedy preferencja CO₂ wygaśnie, podmioty te nie będą już miały prawnej możliwości powrotu do prostszej metody referencyjnej. Doprowadzi to do trwałego, sztucznego i całkowicie zbędnego zwiększenia obciążeń administracyjnych i sprawozdawczych zarówno dla samych przedsiębiorstw, jak i dla Urzędu Regulacji Energetyki (który będzie musiał prowadzić skomplikowane i długotrwałe postępowania kosztowe zamiast prostych zatwierdzeń taryf uproszczonych). Stoi to w rażącej sprzeczności z ideą deregulacji ciepłownictwa leżącą u podstaw ustawy </w:t>
            </w:r>
            <w:proofErr w:type="spellStart"/>
            <w:r w:rsidRPr="009347C9">
              <w:rPr>
                <w:rFonts w:ascii="Calibri" w:eastAsia="Lato" w:hAnsi="Calibri" w:cs="Calibri"/>
                <w:sz w:val="20"/>
                <w:szCs w:val="20"/>
              </w:rPr>
              <w:t>deregulacyjnej</w:t>
            </w:r>
            <w:proofErr w:type="spellEnd"/>
            <w:r w:rsidRPr="009347C9">
              <w:rPr>
                <w:rFonts w:ascii="Calibri" w:eastAsia="Lato" w:hAnsi="Calibri" w:cs="Calibri"/>
                <w:sz w:val="20"/>
                <w:szCs w:val="20"/>
              </w:rPr>
              <w:t xml:space="preserve"> z 11 czerwca 2026 r. Wdrożenie </w:t>
            </w:r>
            <w:r w:rsidRPr="009347C9">
              <w:rPr>
                <w:rFonts w:ascii="Calibri" w:eastAsia="Lato" w:hAnsi="Calibri" w:cs="Calibri"/>
                <w:sz w:val="20"/>
                <w:szCs w:val="20"/>
              </w:rPr>
              <w:lastRenderedPageBreak/>
              <w:t>proponowanej zmiany w § 13 pozwoli uniknąć tej systemowej „pułapki regulacyjnej” i umożliwi stabilne, elastyczne wsparcie transformacji bez niszczenia dotychczasowej przejrzystej struktury taryf uproszczonych.</w:t>
            </w:r>
          </w:p>
        </w:tc>
        <w:tc>
          <w:tcPr>
            <w:tcW w:w="3850" w:type="dxa"/>
            <w:shd w:val="clear" w:color="auto" w:fill="FFFFFF" w:themeFill="background1"/>
          </w:tcPr>
          <w:p w14:paraId="021D8781" w14:textId="65B453BC" w:rsidR="002D54C3" w:rsidRDefault="009347C9" w:rsidP="00D72812">
            <w:pPr>
              <w:spacing w:after="0" w:line="240" w:lineRule="auto"/>
              <w:ind w:left="56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lastRenderedPageBreak/>
              <w:t>§ 1</w:t>
            </w: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1 ust.</w:t>
            </w:r>
            <w:r w:rsidR="002D54C3"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 2a.</w:t>
            </w:r>
            <w:r w:rsidR="002D54C3" w:rsidRPr="008C00C8">
              <w:rPr>
                <w:rFonts w:ascii="Calibri" w:eastAsia="Lato" w:hAnsi="Calibri" w:cs="Calibri"/>
                <w:sz w:val="20"/>
                <w:szCs w:val="20"/>
              </w:rPr>
              <w:t xml:space="preserve"> Suma uzasadnionych rocznych kosztów oraz uzasadnionego zwrotu z kapitału, o których mowa w ust. 1, stanowi uzasadniony planowany przychód przedsiębiorstwa energetycznego ze sprzedaży ciepła będący podstawą kalkulacji cen i stawek opłat ustalanych w taryfie, z zastrzeżeniem § 13.</w:t>
            </w:r>
          </w:p>
          <w:p w14:paraId="2ADBD1D8" w14:textId="77777777" w:rsidR="009347C9" w:rsidRDefault="009347C9" w:rsidP="00D72812">
            <w:pPr>
              <w:spacing w:after="0" w:line="240" w:lineRule="auto"/>
              <w:ind w:left="56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</w:p>
          <w:p w14:paraId="5487769F" w14:textId="4969B2CE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§ 13</w:t>
            </w: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 xml:space="preserve"> ust. </w:t>
            </w: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1a.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W przypadku jednostek kogeneracji, o których mowa w ust. 1, 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lastRenderedPageBreak/>
              <w:t>eksploatowanych przez przedsiębiorstwo energetyczne, które przedłożyło plan neutralności klimatycznej, planowany przychód ze sprzedaży ciepła (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Pc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>) oblicza się według wzoru:</w:t>
            </w:r>
          </w:p>
          <w:p w14:paraId="6BDE9830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Pc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= (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Qs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*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Cc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>) + CCO2_add</w:t>
            </w:r>
          </w:p>
          <w:p w14:paraId="55814EE4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gdzie poszczególne symbole oznaczają:</w:t>
            </w:r>
          </w:p>
          <w:p w14:paraId="5CBC5891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•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Pc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– planowane przychody ze sprzedaży ciepła dla roku stosowania taryfy [w zł],</w:t>
            </w:r>
          </w:p>
          <w:p w14:paraId="409EA76A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•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Qs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,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Cc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– mają znaczenie określone w ust. 1,</w:t>
            </w:r>
          </w:p>
          <w:p w14:paraId="21896733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• CCO2_add – wartość dodatkowego przychodu z tytułu dodatkowego przydziału o wartości 30% bezpłatnych uprawnień do emisji dwutlenku węgla, o którym mowa w art. 22b ust. 3 rozporządzenia delegowanego Komisji (UE) 2019/331, obliczoną według wzoru:</w:t>
            </w:r>
          </w:p>
          <w:p w14:paraId="2F48D344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CCO2_add =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Uadd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* CCO2</w:t>
            </w:r>
          </w:p>
          <w:p w14:paraId="17DD92F9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w którym:</w:t>
            </w:r>
          </w:p>
          <w:p w14:paraId="2A5C27EF" w14:textId="77777777" w:rsidR="009347C9" w:rsidRPr="008C00C8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• 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Uadd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– oznacza planowaną na rok stosowania taryfy ilość bezpłatnych uprawnień do emisji dwutlenku węgla stanowiących dodatkowy przydział o wartości 30%, o którym mowa w art. 22b ust. 3 rozporządzenia delegowanego Komisji (UE) 2019/331, przypadającą na ciepło planowane do wprowadzenia do sieci ciepłowniczej lub sprzedane bezpośrednio odbiorcom z danej jednostki kogeneracji [w Mg CO2],</w:t>
            </w:r>
          </w:p>
          <w:p w14:paraId="2C74CE9F" w14:textId="77777777" w:rsidR="009347C9" w:rsidRDefault="009347C9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  <w:r w:rsidRPr="008C00C8">
              <w:rPr>
                <w:rFonts w:ascii="Calibri" w:eastAsia="Lato" w:hAnsi="Calibri" w:cs="Calibri"/>
                <w:sz w:val="20"/>
                <w:szCs w:val="20"/>
              </w:rPr>
              <w:t>• CCO2 – oznacza średnią cenę uprawnień do emisji dwutlenku węgla, określoną zgodnie z § 11 ust. 1 pkt 5 lit. b [w zł/Mg CO2].</w:t>
            </w:r>
          </w:p>
          <w:p w14:paraId="0D4ADCCB" w14:textId="0C05120B" w:rsidR="002C2CE0" w:rsidRPr="002C2CE0" w:rsidRDefault="002C2CE0" w:rsidP="009347C9">
            <w:pPr>
              <w:spacing w:after="0" w:line="240" w:lineRule="auto"/>
              <w:jc w:val="both"/>
              <w:rPr>
                <w:rFonts w:ascii="Calibri" w:eastAsia="Lato" w:hAnsi="Calibri" w:cs="Calibri"/>
                <w:b/>
                <w:bCs/>
                <w:sz w:val="20"/>
                <w:szCs w:val="20"/>
              </w:rPr>
            </w:pPr>
            <w:r w:rsidRPr="002C2CE0">
              <w:rPr>
                <w:rFonts w:ascii="Calibri" w:eastAsia="Lato" w:hAnsi="Calibri" w:cs="Calibri"/>
                <w:b/>
                <w:bCs/>
                <w:sz w:val="20"/>
                <w:szCs w:val="20"/>
              </w:rPr>
              <w:t>1b.</w:t>
            </w:r>
            <w:r w:rsidRPr="008C00C8">
              <w:rPr>
                <w:rFonts w:ascii="Calibri" w:eastAsia="Lato" w:hAnsi="Calibri" w:cs="Calibri"/>
                <w:sz w:val="20"/>
                <w:szCs w:val="20"/>
              </w:rPr>
              <w:t xml:space="preserve"> W przypadku, o którym mowa w ust. 1a, planowany przychód ze sprzedaży ciepła (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Pc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>) może być wyższy od przychodu obliczonego jako iloczyn planowanej wielkości ciepła (</w:t>
            </w:r>
            <w:proofErr w:type="spellStart"/>
            <w:r w:rsidRPr="008C00C8">
              <w:rPr>
                <w:rFonts w:ascii="Calibri" w:eastAsia="Lato" w:hAnsi="Calibri" w:cs="Calibri"/>
                <w:sz w:val="20"/>
                <w:szCs w:val="20"/>
              </w:rPr>
              <w:t>Qs</w:t>
            </w:r>
            <w:proofErr w:type="spellEnd"/>
            <w:r w:rsidRPr="008C00C8">
              <w:rPr>
                <w:rFonts w:ascii="Calibri" w:eastAsia="Lato" w:hAnsi="Calibri" w:cs="Calibri"/>
                <w:sz w:val="20"/>
                <w:szCs w:val="20"/>
              </w:rPr>
              <w:t>) i ceny referencyjnej (Cr), o której mowa w ust. 2, o wartość dodatkowego przychodu (CCO2_add).</w:t>
            </w:r>
          </w:p>
          <w:p w14:paraId="0BDA65FE" w14:textId="77777777" w:rsidR="009347C9" w:rsidRPr="008C00C8" w:rsidRDefault="009347C9" w:rsidP="00D72812">
            <w:pPr>
              <w:spacing w:after="0" w:line="240" w:lineRule="auto"/>
              <w:ind w:left="56"/>
              <w:jc w:val="both"/>
              <w:rPr>
                <w:rFonts w:ascii="Calibri" w:eastAsia="Lato" w:hAnsi="Calibri" w:cs="Calibri"/>
                <w:sz w:val="20"/>
                <w:szCs w:val="20"/>
              </w:rPr>
            </w:pPr>
          </w:p>
          <w:p w14:paraId="66056FFD" w14:textId="77777777" w:rsidR="002D54C3" w:rsidRPr="008C00C8" w:rsidRDefault="002D54C3" w:rsidP="00DD19F0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  <w:sz w:val="20"/>
                <w:szCs w:val="20"/>
              </w:rPr>
            </w:pPr>
          </w:p>
        </w:tc>
      </w:tr>
    </w:tbl>
    <w:p w14:paraId="63B51274" w14:textId="77777777" w:rsidR="006039FA" w:rsidRPr="008C00C8" w:rsidRDefault="006039FA" w:rsidP="008C00C8">
      <w:pPr>
        <w:spacing w:line="240" w:lineRule="auto"/>
        <w:rPr>
          <w:rFonts w:ascii="Calibri" w:hAnsi="Calibri" w:cs="Calibri"/>
          <w:sz w:val="20"/>
          <w:szCs w:val="20"/>
        </w:rPr>
      </w:pPr>
    </w:p>
    <w:sectPr w:rsidR="006039FA" w:rsidRPr="008C00C8" w:rsidSect="0083138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ndika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22EC8"/>
    <w:multiLevelType w:val="hybridMultilevel"/>
    <w:tmpl w:val="C9A8C3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3A18"/>
    <w:multiLevelType w:val="hybridMultilevel"/>
    <w:tmpl w:val="F274F30A"/>
    <w:lvl w:ilvl="0" w:tplc="29749F6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3781"/>
    <w:multiLevelType w:val="hybridMultilevel"/>
    <w:tmpl w:val="FFFFFFFF"/>
    <w:lvl w:ilvl="0" w:tplc="E4729EB0">
      <w:start w:val="1"/>
      <w:numFmt w:val="decimal"/>
      <w:lvlText w:val="%1."/>
      <w:lvlJc w:val="left"/>
      <w:pPr>
        <w:ind w:left="1080" w:hanging="360"/>
      </w:pPr>
    </w:lvl>
    <w:lvl w:ilvl="1" w:tplc="46C0BAD0">
      <w:start w:val="1"/>
      <w:numFmt w:val="lowerLetter"/>
      <w:lvlText w:val="%2."/>
      <w:lvlJc w:val="left"/>
      <w:pPr>
        <w:ind w:left="1800" w:hanging="360"/>
      </w:pPr>
    </w:lvl>
    <w:lvl w:ilvl="2" w:tplc="47ECA044">
      <w:start w:val="1"/>
      <w:numFmt w:val="lowerRoman"/>
      <w:lvlText w:val="%3."/>
      <w:lvlJc w:val="right"/>
      <w:pPr>
        <w:ind w:left="2520" w:hanging="180"/>
      </w:pPr>
    </w:lvl>
    <w:lvl w:ilvl="3" w:tplc="D5EE8E0C">
      <w:start w:val="1"/>
      <w:numFmt w:val="decimal"/>
      <w:lvlText w:val="%4."/>
      <w:lvlJc w:val="left"/>
      <w:pPr>
        <w:ind w:left="3240" w:hanging="360"/>
      </w:pPr>
    </w:lvl>
    <w:lvl w:ilvl="4" w:tplc="0C6E3ED0">
      <w:start w:val="1"/>
      <w:numFmt w:val="lowerLetter"/>
      <w:lvlText w:val="%5."/>
      <w:lvlJc w:val="left"/>
      <w:pPr>
        <w:ind w:left="3960" w:hanging="360"/>
      </w:pPr>
    </w:lvl>
    <w:lvl w:ilvl="5" w:tplc="283CE7F8">
      <w:start w:val="1"/>
      <w:numFmt w:val="lowerRoman"/>
      <w:lvlText w:val="%6."/>
      <w:lvlJc w:val="right"/>
      <w:pPr>
        <w:ind w:left="4680" w:hanging="180"/>
      </w:pPr>
    </w:lvl>
    <w:lvl w:ilvl="6" w:tplc="99747158">
      <w:start w:val="1"/>
      <w:numFmt w:val="decimal"/>
      <w:lvlText w:val="%7."/>
      <w:lvlJc w:val="left"/>
      <w:pPr>
        <w:ind w:left="5400" w:hanging="360"/>
      </w:pPr>
    </w:lvl>
    <w:lvl w:ilvl="7" w:tplc="D5BABB20">
      <w:start w:val="1"/>
      <w:numFmt w:val="lowerLetter"/>
      <w:lvlText w:val="%8."/>
      <w:lvlJc w:val="left"/>
      <w:pPr>
        <w:ind w:left="6120" w:hanging="360"/>
      </w:pPr>
    </w:lvl>
    <w:lvl w:ilvl="8" w:tplc="30547706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E693B84"/>
    <w:multiLevelType w:val="hybridMultilevel"/>
    <w:tmpl w:val="0FB4B8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902849">
    <w:abstractNumId w:val="0"/>
  </w:num>
  <w:num w:numId="2" w16cid:durableId="1201893462">
    <w:abstractNumId w:val="2"/>
  </w:num>
  <w:num w:numId="3" w16cid:durableId="1003971616">
    <w:abstractNumId w:val="3"/>
  </w:num>
  <w:num w:numId="4" w16cid:durableId="1203833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387"/>
    <w:rsid w:val="00006105"/>
    <w:rsid w:val="00092259"/>
    <w:rsid w:val="000B1D44"/>
    <w:rsid w:val="000C3633"/>
    <w:rsid w:val="000F6B14"/>
    <w:rsid w:val="00151052"/>
    <w:rsid w:val="00173478"/>
    <w:rsid w:val="00191C65"/>
    <w:rsid w:val="00194DF3"/>
    <w:rsid w:val="001F41B1"/>
    <w:rsid w:val="002743DE"/>
    <w:rsid w:val="002C2CE0"/>
    <w:rsid w:val="002D54C3"/>
    <w:rsid w:val="003D32F4"/>
    <w:rsid w:val="004036E1"/>
    <w:rsid w:val="00450E80"/>
    <w:rsid w:val="00482BB2"/>
    <w:rsid w:val="00494F71"/>
    <w:rsid w:val="00545265"/>
    <w:rsid w:val="0058561C"/>
    <w:rsid w:val="00593D06"/>
    <w:rsid w:val="005D3DFE"/>
    <w:rsid w:val="006039FA"/>
    <w:rsid w:val="006212CC"/>
    <w:rsid w:val="00677886"/>
    <w:rsid w:val="00701639"/>
    <w:rsid w:val="00773CEE"/>
    <w:rsid w:val="007E516C"/>
    <w:rsid w:val="00831387"/>
    <w:rsid w:val="008A0F76"/>
    <w:rsid w:val="008A2AE6"/>
    <w:rsid w:val="008B72F6"/>
    <w:rsid w:val="008C00C8"/>
    <w:rsid w:val="008F0C5D"/>
    <w:rsid w:val="00901419"/>
    <w:rsid w:val="009347C9"/>
    <w:rsid w:val="009650C7"/>
    <w:rsid w:val="00980F4C"/>
    <w:rsid w:val="009A3208"/>
    <w:rsid w:val="00A250B0"/>
    <w:rsid w:val="00A74CE7"/>
    <w:rsid w:val="00A96C68"/>
    <w:rsid w:val="00B213B8"/>
    <w:rsid w:val="00B42D88"/>
    <w:rsid w:val="00B67D15"/>
    <w:rsid w:val="00B77088"/>
    <w:rsid w:val="00BA4ADB"/>
    <w:rsid w:val="00BE37D3"/>
    <w:rsid w:val="00C34B50"/>
    <w:rsid w:val="00C67BC4"/>
    <w:rsid w:val="00C91900"/>
    <w:rsid w:val="00D036B4"/>
    <w:rsid w:val="00D054ED"/>
    <w:rsid w:val="00D26A72"/>
    <w:rsid w:val="00D72812"/>
    <w:rsid w:val="00DB7DE9"/>
    <w:rsid w:val="00DC4F82"/>
    <w:rsid w:val="00DD19F0"/>
    <w:rsid w:val="00E3664E"/>
    <w:rsid w:val="00EB3943"/>
    <w:rsid w:val="00EB5C84"/>
    <w:rsid w:val="00F16E99"/>
    <w:rsid w:val="00F311FC"/>
    <w:rsid w:val="00F3646B"/>
    <w:rsid w:val="00F433DE"/>
    <w:rsid w:val="00F91F23"/>
    <w:rsid w:val="23C4C372"/>
    <w:rsid w:val="28AAC67A"/>
    <w:rsid w:val="29A519C4"/>
    <w:rsid w:val="2B6B2DD2"/>
    <w:rsid w:val="43673188"/>
    <w:rsid w:val="4636E49B"/>
    <w:rsid w:val="540A3C13"/>
    <w:rsid w:val="74DE72B0"/>
    <w:rsid w:val="77C7523A"/>
    <w:rsid w:val="7DA2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0C284"/>
  <w15:chartTrackingRefBased/>
  <w15:docId w15:val="{FB635658-399B-4945-A207-2D8C0149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31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31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13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313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313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313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313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313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313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31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31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31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3138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3138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3138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3138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3138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3138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313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31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313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31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313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3138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3138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3138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31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3138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31387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3D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3D06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3D0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7</Pages>
  <Words>2354</Words>
  <Characters>14125</Characters>
  <Application>Microsoft Office Word</Application>
  <DocSecurity>0</DocSecurity>
  <Lines>117</Lines>
  <Paragraphs>32</Paragraphs>
  <ScaleCrop>false</ScaleCrop>
  <Company/>
  <LinksUpToDate>false</LinksUpToDate>
  <CharactersWithSpaces>16447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Daniluk</dc:creator>
  <cp:keywords/>
  <dc:description/>
  <cp:lastModifiedBy>Paulina Grądzik</cp:lastModifiedBy>
  <cp:revision>49</cp:revision>
  <dcterms:created xsi:type="dcterms:W3CDTF">2026-07-30T05:16:00Z</dcterms:created>
  <dcterms:modified xsi:type="dcterms:W3CDTF">2026-08-13T14:13:00Z</dcterms:modified>
</cp:coreProperties>
</file>