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F2FC7" w14:textId="0E703396" w:rsidR="004F3387" w:rsidRPr="003E3747" w:rsidRDefault="004F3387" w:rsidP="004F3387">
      <w:pPr>
        <w:spacing w:after="0" w:line="240" w:lineRule="auto"/>
        <w:jc w:val="center"/>
        <w:rPr>
          <w:rFonts w:cstheme="minorHAnsi"/>
        </w:rPr>
      </w:pPr>
      <w:bookmarkStart w:id="0" w:name="_Hlk107398740"/>
      <w:r w:rsidRPr="003E3747">
        <w:rPr>
          <w:rFonts w:cstheme="minorHAnsi"/>
        </w:rPr>
        <w:t>TABELA u</w:t>
      </w:r>
      <w:r w:rsidR="00CA2841" w:rsidRPr="003E3747">
        <w:rPr>
          <w:rFonts w:cstheme="minorHAnsi"/>
        </w:rPr>
        <w:t>wag</w:t>
      </w:r>
      <w:r w:rsidRPr="003E3747">
        <w:rPr>
          <w:rFonts w:cstheme="minorHAnsi"/>
        </w:rPr>
        <w:t xml:space="preserve"> </w:t>
      </w:r>
    </w:p>
    <w:p w14:paraId="711D6FEE" w14:textId="3DCEB31B" w:rsidR="00CA2841" w:rsidRPr="003E3747" w:rsidRDefault="004F3387" w:rsidP="003807AC">
      <w:pPr>
        <w:spacing w:after="0" w:line="240" w:lineRule="auto"/>
        <w:jc w:val="center"/>
        <w:rPr>
          <w:rFonts w:cstheme="minorHAnsi"/>
        </w:rPr>
      </w:pPr>
      <w:r w:rsidRPr="003E3747">
        <w:rPr>
          <w:rFonts w:cstheme="minorHAnsi"/>
        </w:rPr>
        <w:t xml:space="preserve">do </w:t>
      </w:r>
      <w:r w:rsidR="00CA2841" w:rsidRPr="003E3747">
        <w:rPr>
          <w:rFonts w:cstheme="minorHAnsi"/>
        </w:rPr>
        <w:t>projektu</w:t>
      </w:r>
      <w:r w:rsidR="003B48DB" w:rsidRPr="003E3747">
        <w:rPr>
          <w:rFonts w:cstheme="minorHAnsi"/>
        </w:rPr>
        <w:t xml:space="preserve"> </w:t>
      </w:r>
      <w:r w:rsidR="003807AC" w:rsidRPr="003E3747">
        <w:rPr>
          <w:rFonts w:cstheme="minorHAnsi"/>
        </w:rPr>
        <w:t>ustawy o udzielaniu wsparcia na obniżenie cen energii dla przemysłu energochłonnego (UD459)</w:t>
      </w:r>
    </w:p>
    <w:p w14:paraId="5CEA9878" w14:textId="77777777" w:rsidR="004F3387" w:rsidRPr="003E3747" w:rsidRDefault="004F3387" w:rsidP="004F3387">
      <w:pPr>
        <w:spacing w:after="0" w:line="240" w:lineRule="auto"/>
        <w:jc w:val="center"/>
        <w:rPr>
          <w:rFonts w:cstheme="minorHAnsi"/>
        </w:rPr>
      </w:pPr>
    </w:p>
    <w:tbl>
      <w:tblPr>
        <w:tblpPr w:leftFromText="142" w:rightFromText="142" w:vertAnchor="text" w:horzAnchor="margin" w:tblpY="58"/>
        <w:tblW w:w="15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842"/>
        <w:gridCol w:w="4988"/>
        <w:gridCol w:w="4155"/>
        <w:gridCol w:w="1900"/>
      </w:tblGrid>
      <w:tr w:rsidR="00BB6998" w:rsidRPr="003E3747" w14:paraId="47E9ED08" w14:textId="4EAF235C" w:rsidTr="00A05649">
        <w:trPr>
          <w:trHeight w:val="1266"/>
          <w:tblHeader/>
        </w:trPr>
        <w:tc>
          <w:tcPr>
            <w:tcW w:w="562" w:type="dxa"/>
          </w:tcPr>
          <w:bookmarkEnd w:id="0"/>
          <w:p w14:paraId="115BF413" w14:textId="6257DDCF" w:rsidR="00BB6998" w:rsidRPr="003E3747" w:rsidRDefault="00BB6998" w:rsidP="00A05649">
            <w:pPr>
              <w:ind w:right="67"/>
              <w:jc w:val="center"/>
              <w:rPr>
                <w:rFonts w:cstheme="minorHAnsi"/>
              </w:rPr>
            </w:pPr>
            <w:r w:rsidRPr="003E3747">
              <w:rPr>
                <w:rFonts w:cstheme="minorHAnsi"/>
              </w:rPr>
              <w:t>Lp.</w:t>
            </w:r>
          </w:p>
        </w:tc>
        <w:tc>
          <w:tcPr>
            <w:tcW w:w="1560" w:type="dxa"/>
          </w:tcPr>
          <w:p w14:paraId="0FAF4510" w14:textId="5F44999B" w:rsidR="00BB6998" w:rsidRPr="003E3747" w:rsidRDefault="00BB6998" w:rsidP="00A05649">
            <w:pPr>
              <w:ind w:left="34"/>
              <w:jc w:val="center"/>
              <w:rPr>
                <w:rFonts w:cstheme="minorHAnsi"/>
              </w:rPr>
            </w:pPr>
            <w:r w:rsidRPr="003E3747">
              <w:rPr>
                <w:rFonts w:cstheme="minorHAnsi"/>
              </w:rPr>
              <w:t>Komórka wnosząca uwagę</w:t>
            </w:r>
          </w:p>
        </w:tc>
        <w:tc>
          <w:tcPr>
            <w:tcW w:w="1842" w:type="dxa"/>
          </w:tcPr>
          <w:p w14:paraId="384D5BF3" w14:textId="56304385" w:rsidR="00BB6998" w:rsidRPr="003E3747" w:rsidRDefault="00BB6998" w:rsidP="00A05649">
            <w:pPr>
              <w:ind w:left="-20"/>
              <w:jc w:val="center"/>
              <w:rPr>
                <w:rStyle w:val="Odwoanieprzypisudolnego"/>
                <w:rFonts w:cstheme="minorHAnsi"/>
              </w:rPr>
            </w:pPr>
            <w:r w:rsidRPr="003E3747">
              <w:rPr>
                <w:rFonts w:cstheme="minorHAnsi"/>
              </w:rPr>
              <w:t>Jednostka redakcyjna, której uwaga dotyczy</w:t>
            </w:r>
          </w:p>
          <w:p w14:paraId="51F92737" w14:textId="1618675F" w:rsidR="00BB6998" w:rsidRPr="003E3747" w:rsidRDefault="00BB6998" w:rsidP="00A05649">
            <w:pPr>
              <w:ind w:left="-20"/>
              <w:jc w:val="center"/>
              <w:rPr>
                <w:rFonts w:cstheme="minorHAnsi"/>
              </w:rPr>
            </w:pPr>
            <w:r w:rsidRPr="003E3747">
              <w:rPr>
                <w:rFonts w:cstheme="minorHAnsi"/>
              </w:rPr>
              <w:t>(ewentualnie)</w:t>
            </w:r>
          </w:p>
        </w:tc>
        <w:tc>
          <w:tcPr>
            <w:tcW w:w="4988" w:type="dxa"/>
          </w:tcPr>
          <w:p w14:paraId="74AACE5A" w14:textId="628272B4" w:rsidR="00BB6998" w:rsidRPr="003E3747" w:rsidRDefault="00BB6998" w:rsidP="00A05649">
            <w:pPr>
              <w:jc w:val="center"/>
              <w:rPr>
                <w:rFonts w:cstheme="minorHAnsi"/>
              </w:rPr>
            </w:pPr>
            <w:r w:rsidRPr="003E3747">
              <w:rPr>
                <w:rFonts w:cstheme="minorHAnsi"/>
              </w:rPr>
              <w:t>Treść uwagi wraz z uzasadnieniem</w:t>
            </w:r>
          </w:p>
        </w:tc>
        <w:tc>
          <w:tcPr>
            <w:tcW w:w="4155" w:type="dxa"/>
          </w:tcPr>
          <w:p w14:paraId="3E600F19" w14:textId="6EEAD93A" w:rsidR="00BB6998" w:rsidRPr="003E3747" w:rsidRDefault="00BB6998" w:rsidP="00A05649">
            <w:pPr>
              <w:jc w:val="center"/>
              <w:rPr>
                <w:rFonts w:cstheme="minorHAnsi"/>
              </w:rPr>
            </w:pPr>
            <w:r w:rsidRPr="003E3747">
              <w:rPr>
                <w:rFonts w:cstheme="minorHAnsi"/>
              </w:rPr>
              <w:t>Propozycja brzmienia przepisu</w:t>
            </w:r>
          </w:p>
          <w:p w14:paraId="7C9E6D74" w14:textId="5CC64C0A" w:rsidR="00BB6998" w:rsidRPr="003E3747" w:rsidRDefault="00BB6998" w:rsidP="00A05649">
            <w:pPr>
              <w:jc w:val="center"/>
              <w:rPr>
                <w:rFonts w:cstheme="minorHAnsi"/>
              </w:rPr>
            </w:pPr>
            <w:r w:rsidRPr="003E3747">
              <w:rPr>
                <w:rFonts w:cstheme="minorHAnsi"/>
              </w:rPr>
              <w:t>(ewentualnie)</w:t>
            </w:r>
          </w:p>
        </w:tc>
        <w:tc>
          <w:tcPr>
            <w:tcW w:w="1900" w:type="dxa"/>
          </w:tcPr>
          <w:p w14:paraId="2FEC5937" w14:textId="0ED4DB00" w:rsidR="00BB6998" w:rsidRPr="003E3747" w:rsidRDefault="00BB6998" w:rsidP="00A05649">
            <w:pPr>
              <w:jc w:val="center"/>
              <w:rPr>
                <w:rFonts w:cstheme="minorHAnsi"/>
              </w:rPr>
            </w:pPr>
            <w:r w:rsidRPr="003E3747">
              <w:rPr>
                <w:rFonts w:cstheme="minorHAnsi"/>
              </w:rPr>
              <w:t>Decyzja</w:t>
            </w:r>
          </w:p>
        </w:tc>
      </w:tr>
      <w:tr w:rsidR="003807AC" w:rsidRPr="003E3747" w14:paraId="302AAED5" w14:textId="34671058" w:rsidTr="00A05649">
        <w:tc>
          <w:tcPr>
            <w:tcW w:w="562" w:type="dxa"/>
          </w:tcPr>
          <w:p w14:paraId="7F26DF40" w14:textId="17A5036B" w:rsidR="003807AC" w:rsidRPr="003E3747" w:rsidRDefault="003807AC" w:rsidP="00A05649">
            <w:pPr>
              <w:pStyle w:val="Akapitzlist"/>
              <w:numPr>
                <w:ilvl w:val="0"/>
                <w:numId w:val="21"/>
              </w:numPr>
              <w:jc w:val="center"/>
              <w:rPr>
                <w:rFonts w:cstheme="minorHAnsi"/>
              </w:rPr>
            </w:pPr>
          </w:p>
        </w:tc>
        <w:tc>
          <w:tcPr>
            <w:tcW w:w="1560" w:type="dxa"/>
          </w:tcPr>
          <w:p w14:paraId="114F88FF" w14:textId="092B4F13" w:rsidR="003807AC" w:rsidRPr="003E3747" w:rsidRDefault="005E39B6" w:rsidP="00A05649">
            <w:pPr>
              <w:ind w:left="34"/>
              <w:jc w:val="center"/>
              <w:rPr>
                <w:rFonts w:cstheme="minorHAnsi"/>
              </w:rPr>
            </w:pPr>
            <w:r w:rsidRPr="003E3747">
              <w:rPr>
                <w:rFonts w:cstheme="minorHAnsi"/>
              </w:rPr>
              <w:t>Konfederacja Lewiatan</w:t>
            </w:r>
          </w:p>
        </w:tc>
        <w:tc>
          <w:tcPr>
            <w:tcW w:w="1842" w:type="dxa"/>
          </w:tcPr>
          <w:p w14:paraId="212559D3" w14:textId="547A2702" w:rsidR="2F9B227B" w:rsidRPr="003E3747" w:rsidRDefault="2F9B227B" w:rsidP="00A05649">
            <w:pPr>
              <w:ind w:left="-20"/>
              <w:jc w:val="center"/>
              <w:rPr>
                <w:rFonts w:eastAsia="Lato" w:cstheme="minorHAnsi"/>
              </w:rPr>
            </w:pPr>
            <w:r w:rsidRPr="003E3747">
              <w:rPr>
                <w:rFonts w:eastAsia="Lato" w:cstheme="minorHAnsi"/>
              </w:rPr>
              <w:t>Uwaga ogólna</w:t>
            </w:r>
          </w:p>
        </w:tc>
        <w:tc>
          <w:tcPr>
            <w:tcW w:w="4988" w:type="dxa"/>
            <w:vAlign w:val="center"/>
          </w:tcPr>
          <w:p w14:paraId="041DAE38" w14:textId="08779CDF" w:rsidR="2F9B227B" w:rsidRPr="003E3747" w:rsidRDefault="2F9B227B" w:rsidP="00776836">
            <w:pPr>
              <w:spacing w:before="120" w:after="120"/>
              <w:jc w:val="both"/>
              <w:rPr>
                <w:rFonts w:cstheme="minorHAnsi"/>
              </w:rPr>
            </w:pPr>
            <w:r w:rsidRPr="003E3747">
              <w:rPr>
                <w:rFonts w:eastAsia="Lato" w:cstheme="minorHAnsi"/>
                <w:color w:val="000000" w:themeColor="text1"/>
              </w:rPr>
              <w:t>Proponowane w projekcie rozwiązania</w:t>
            </w:r>
            <w:r w:rsidRPr="003E3747">
              <w:rPr>
                <w:rFonts w:eastAsia="Calibri" w:cstheme="minorHAnsi"/>
              </w:rPr>
              <w:t xml:space="preserve"> </w:t>
            </w:r>
            <w:r w:rsidRPr="003E3747">
              <w:rPr>
                <w:rFonts w:eastAsia="Lato" w:cstheme="minorHAnsi"/>
                <w:color w:val="000000" w:themeColor="text1"/>
              </w:rPr>
              <w:t>prowadzą do istotnego zwiększenia obciążeń sektora energetycznego. Skutkiem może być znaczące ograniczenie inwestycji przedsiębiorstw energetycznych</w:t>
            </w:r>
            <w:r w:rsidR="00F0275E" w:rsidRPr="003E3747">
              <w:rPr>
                <w:rFonts w:eastAsia="Lato" w:cstheme="minorHAnsi"/>
                <w:color w:val="000000" w:themeColor="text1"/>
              </w:rPr>
              <w:t>,</w:t>
            </w:r>
            <w:r w:rsidRPr="003E3747">
              <w:rPr>
                <w:rFonts w:eastAsia="Lato" w:cstheme="minorHAnsi"/>
                <w:color w:val="000000" w:themeColor="text1"/>
              </w:rPr>
              <w:t xml:space="preserve"> a w dalszej kolejności innych użytkowników systemu (w tym przedsiębiorstw ciepłowniczych, wytwórców, magazynów) w transformację energetyczną Polski. </w:t>
            </w:r>
          </w:p>
          <w:p w14:paraId="62FA6572" w14:textId="0D70E876" w:rsidR="2F9B227B" w:rsidRPr="003E3747" w:rsidRDefault="2F9B227B" w:rsidP="00776836">
            <w:pPr>
              <w:spacing w:before="120" w:after="120"/>
              <w:jc w:val="both"/>
              <w:rPr>
                <w:rFonts w:cstheme="minorHAnsi"/>
              </w:rPr>
            </w:pPr>
            <w:r w:rsidRPr="003E3747">
              <w:rPr>
                <w:rFonts w:eastAsia="Lato" w:cstheme="minorHAnsi"/>
                <w:color w:val="000000" w:themeColor="text1"/>
              </w:rPr>
              <w:t xml:space="preserve">Projekt budzi wątpliwości w zakresie proponowanego źródła finansowania wsparcia dla przemysłu energochłonnego. Nie kwestionując zasadności pilnego wdrożenia mechanizmu przewidzianego w wytycznych CISAF, należy zauważyć, że finansowanie tego wsparcia poprzez zwiększenie obciążeń nakładanych na przedsiębiorstwa energetyczne </w:t>
            </w:r>
            <w:r w:rsidR="00F0275E" w:rsidRPr="003E3747">
              <w:rPr>
                <w:rFonts w:eastAsia="Lato" w:cstheme="minorHAnsi"/>
                <w:color w:val="000000" w:themeColor="text1"/>
              </w:rPr>
              <w:t>osłabi</w:t>
            </w:r>
            <w:r w:rsidRPr="003E3747">
              <w:rPr>
                <w:rFonts w:eastAsia="Lato" w:cstheme="minorHAnsi"/>
                <w:color w:val="000000" w:themeColor="text1"/>
              </w:rPr>
              <w:t xml:space="preserve"> zdolność sektora do realizacji kluczowych inwestycji w infrastrukturę sieciową, nowe moce wytwórcze, OZE oraz magazyny energii.</w:t>
            </w:r>
          </w:p>
          <w:p w14:paraId="0F92AF8D" w14:textId="47E1DB3E" w:rsidR="2F9B227B" w:rsidRPr="003E3747" w:rsidRDefault="2F9B227B" w:rsidP="00776836">
            <w:pPr>
              <w:spacing w:before="120" w:after="120"/>
              <w:jc w:val="both"/>
              <w:rPr>
                <w:rFonts w:cstheme="minorHAnsi"/>
              </w:rPr>
            </w:pPr>
            <w:r w:rsidRPr="003E3747">
              <w:rPr>
                <w:rFonts w:eastAsia="Lato" w:cstheme="minorHAnsi"/>
                <w:color w:val="000000" w:themeColor="text1"/>
              </w:rPr>
              <w:t xml:space="preserve">Proponowane rozwiązanie oznacza w praktyce transfer środków z sektora odpowiedzialnego za długoterminowe zwiększanie podaży energii </w:t>
            </w:r>
            <w:r w:rsidR="00666AC0" w:rsidRPr="003E3747">
              <w:rPr>
                <w:rFonts w:eastAsia="Lato" w:cstheme="minorHAnsi"/>
                <w:color w:val="000000" w:themeColor="text1"/>
              </w:rPr>
              <w:br/>
            </w:r>
            <w:r w:rsidRPr="003E3747">
              <w:rPr>
                <w:rFonts w:eastAsia="Lato" w:cstheme="minorHAnsi"/>
                <w:color w:val="000000" w:themeColor="text1"/>
              </w:rPr>
              <w:t xml:space="preserve">i obniżanie jej kosztów do instrumentu o charakterze czasowym. Tym samym pozostaje ono w sprzeczności z deklarowanymi celami państwa dotyczącymi przyspieszenia transformacji energetycznej, wzrostu konkurencyjności gospodarki oraz trwałego obniżania </w:t>
            </w:r>
            <w:r w:rsidRPr="003E3747">
              <w:rPr>
                <w:rFonts w:eastAsia="Lato" w:cstheme="minorHAnsi"/>
                <w:color w:val="000000" w:themeColor="text1"/>
              </w:rPr>
              <w:lastRenderedPageBreak/>
              <w:t>cen energii, które ma w ostatecznym rachunku wpłynąć na koszty zaopatrzenia w energię.</w:t>
            </w:r>
          </w:p>
          <w:p w14:paraId="29AE38EA" w14:textId="2FC09E4C" w:rsidR="2F9B227B" w:rsidRPr="003E3747" w:rsidRDefault="2F9B227B" w:rsidP="00776836">
            <w:pPr>
              <w:spacing w:before="120" w:after="120"/>
              <w:jc w:val="both"/>
              <w:rPr>
                <w:rFonts w:cstheme="minorHAnsi"/>
              </w:rPr>
            </w:pPr>
            <w:r w:rsidRPr="003E3747">
              <w:rPr>
                <w:rFonts w:eastAsia="Lato" w:cstheme="minorHAnsi"/>
                <w:color w:val="000000" w:themeColor="text1"/>
              </w:rPr>
              <w:t>Dodatkowe obciążenia mogą ograniczyć potencjał inwestycyjny przedsiębiorstw energetycznych, zwiększyć koszty pozyskania finansowania oraz spowolnić realizację projektów niezbędnych dla bezpieczeństwa energetycznego i transformacji energetycznej. W konsekwencji krótkoterminowe korzyści dla wybranych sektorów gospodarki mogą zostać osiągnięte kosztem długoterminowej stabilności i konkurencyjności całej gospodarki.</w:t>
            </w:r>
          </w:p>
          <w:p w14:paraId="683B0648" w14:textId="114C86BB" w:rsidR="2F9B227B" w:rsidRPr="003E3747" w:rsidRDefault="2F9B227B" w:rsidP="00776836">
            <w:pPr>
              <w:spacing w:before="120" w:after="120"/>
              <w:jc w:val="both"/>
              <w:rPr>
                <w:rFonts w:cstheme="minorHAnsi"/>
              </w:rPr>
            </w:pPr>
            <w:r w:rsidRPr="003E3747">
              <w:rPr>
                <w:rFonts w:eastAsia="Lato" w:cstheme="minorHAnsi"/>
                <w:color w:val="000000" w:themeColor="text1"/>
              </w:rPr>
              <w:t xml:space="preserve">W związku z powyższym zasadne jest </w:t>
            </w:r>
            <w:r w:rsidR="00FC05C9" w:rsidRPr="003E3747">
              <w:rPr>
                <w:rFonts w:eastAsia="Lato" w:cstheme="minorHAnsi"/>
                <w:color w:val="000000" w:themeColor="text1"/>
              </w:rPr>
              <w:t>zaprojektowanie</w:t>
            </w:r>
            <w:r w:rsidRPr="003E3747">
              <w:rPr>
                <w:rFonts w:eastAsia="Lato" w:cstheme="minorHAnsi"/>
                <w:color w:val="000000" w:themeColor="text1"/>
              </w:rPr>
              <w:t xml:space="preserve"> wsparcia przemysłu energochłonnego</w:t>
            </w:r>
            <w:r w:rsidR="008034C9" w:rsidRPr="003E3747">
              <w:rPr>
                <w:rFonts w:eastAsia="Lato" w:cstheme="minorHAnsi"/>
                <w:color w:val="000000" w:themeColor="text1"/>
              </w:rPr>
              <w:t xml:space="preserve"> </w:t>
            </w:r>
            <w:r w:rsidR="00FC05C9" w:rsidRPr="003E3747">
              <w:rPr>
                <w:rFonts w:eastAsia="Lato" w:cstheme="minorHAnsi"/>
                <w:color w:val="000000" w:themeColor="text1"/>
              </w:rPr>
              <w:t>o alternatywnym źródle finansowania</w:t>
            </w:r>
            <w:r w:rsidRPr="003E3747">
              <w:rPr>
                <w:rFonts w:eastAsia="Lato" w:cstheme="minorHAnsi"/>
                <w:color w:val="000000" w:themeColor="text1"/>
              </w:rPr>
              <w:t>, które nie będ</w:t>
            </w:r>
            <w:r w:rsidR="00FC05C9" w:rsidRPr="003E3747">
              <w:rPr>
                <w:rFonts w:eastAsia="Lato" w:cstheme="minorHAnsi"/>
                <w:color w:val="000000" w:themeColor="text1"/>
              </w:rPr>
              <w:t>zie</w:t>
            </w:r>
            <w:r w:rsidRPr="003E3747">
              <w:rPr>
                <w:rFonts w:eastAsia="Lato" w:cstheme="minorHAnsi"/>
                <w:color w:val="000000" w:themeColor="text1"/>
              </w:rPr>
              <w:t xml:space="preserve"> ograniczać możliwości inwestycyjnych sektora energetycznego, odgrywającego kluczową rolę </w:t>
            </w:r>
            <w:r w:rsidR="00FC05C9" w:rsidRPr="003E3747">
              <w:rPr>
                <w:rFonts w:eastAsia="Lato" w:cstheme="minorHAnsi"/>
                <w:color w:val="000000" w:themeColor="text1"/>
              </w:rPr>
              <w:br/>
            </w:r>
            <w:r w:rsidRPr="003E3747">
              <w:rPr>
                <w:rFonts w:eastAsia="Lato" w:cstheme="minorHAnsi"/>
                <w:color w:val="000000" w:themeColor="text1"/>
              </w:rPr>
              <w:t>w zapewnieniu bezpieczeństwa energetycznego oraz konkurencyjnych cen energii w długim okresie.</w:t>
            </w:r>
          </w:p>
          <w:p w14:paraId="07639D29" w14:textId="2F057FD6" w:rsidR="2F9B227B" w:rsidRPr="003E3747" w:rsidRDefault="2F9B227B" w:rsidP="00776836">
            <w:pPr>
              <w:spacing w:before="120" w:after="120"/>
              <w:jc w:val="both"/>
              <w:rPr>
                <w:rFonts w:eastAsia="Lato" w:cstheme="minorHAnsi"/>
              </w:rPr>
            </w:pPr>
            <w:r w:rsidRPr="003E3747">
              <w:rPr>
                <w:rFonts w:eastAsia="Lato" w:cstheme="minorHAnsi"/>
                <w:color w:val="000000" w:themeColor="text1"/>
              </w:rPr>
              <w:t xml:space="preserve">Podnosimy również zarzut nierównego traktowania podmiotów prowadzących działalność w zakresie operatora systemu dystrybucyjnego: jedynie 5 podmiotów OSD zostało objętych tymi regulacjami, </w:t>
            </w:r>
            <w:r w:rsidR="000F67D7" w:rsidRPr="003E3747">
              <w:rPr>
                <w:rFonts w:eastAsia="Lato" w:cstheme="minorHAnsi"/>
                <w:color w:val="000000" w:themeColor="text1"/>
              </w:rPr>
              <w:br/>
            </w:r>
            <w:r w:rsidRPr="003E3747">
              <w:rPr>
                <w:rFonts w:eastAsia="Lato" w:cstheme="minorHAnsi"/>
                <w:color w:val="000000" w:themeColor="text1"/>
              </w:rPr>
              <w:t>w Polsce działa ponad 200 takich podmiotów. Pozbawienie części zysków obejmie tylko 5 OSD i ich klientów, poprzez potencjalne obniżenie inwestycji i podwyższenie kosztów finansowania działalności inwestycyjnej w pozostałym zakresie.</w:t>
            </w:r>
          </w:p>
        </w:tc>
        <w:tc>
          <w:tcPr>
            <w:tcW w:w="4155" w:type="dxa"/>
            <w:vAlign w:val="center"/>
          </w:tcPr>
          <w:p w14:paraId="27E764D7" w14:textId="43E86FEE" w:rsidR="2F9B227B" w:rsidRPr="003E3747" w:rsidRDefault="00EC292B" w:rsidP="2F9B227B">
            <w:pPr>
              <w:rPr>
                <w:rFonts w:cstheme="minorHAnsi"/>
              </w:rPr>
            </w:pPr>
            <w:r w:rsidRPr="003E3747">
              <w:rPr>
                <w:rFonts w:cstheme="minorHAnsi"/>
              </w:rPr>
              <w:lastRenderedPageBreak/>
              <w:t>Postulujemy</w:t>
            </w:r>
            <w:r w:rsidR="00E114E4" w:rsidRPr="003E3747">
              <w:rPr>
                <w:rFonts w:cstheme="minorHAnsi"/>
              </w:rPr>
              <w:t xml:space="preserve"> </w:t>
            </w:r>
            <w:r w:rsidR="00171697" w:rsidRPr="003E3747">
              <w:rPr>
                <w:rFonts w:cstheme="minorHAnsi"/>
              </w:rPr>
              <w:t>wykreślenie art. 26</w:t>
            </w:r>
          </w:p>
        </w:tc>
        <w:tc>
          <w:tcPr>
            <w:tcW w:w="1900" w:type="dxa"/>
            <w:vAlign w:val="center"/>
          </w:tcPr>
          <w:p w14:paraId="70EAC6A0" w14:textId="0E29539D" w:rsidR="003807AC" w:rsidRPr="003E3747" w:rsidRDefault="003807AC" w:rsidP="003807AC">
            <w:pPr>
              <w:jc w:val="center"/>
              <w:rPr>
                <w:rFonts w:cstheme="minorHAnsi"/>
              </w:rPr>
            </w:pPr>
          </w:p>
        </w:tc>
      </w:tr>
      <w:tr w:rsidR="2F9B227B" w:rsidRPr="003E3747" w14:paraId="19F46FF1" w14:textId="77777777" w:rsidTr="00A05649">
        <w:trPr>
          <w:trHeight w:val="300"/>
        </w:trPr>
        <w:tc>
          <w:tcPr>
            <w:tcW w:w="562" w:type="dxa"/>
          </w:tcPr>
          <w:p w14:paraId="69EF87C9" w14:textId="5763485E" w:rsidR="2F9B227B" w:rsidRPr="003E3747" w:rsidRDefault="2F9B227B" w:rsidP="00A05649">
            <w:pPr>
              <w:pStyle w:val="Akapitzlist"/>
              <w:numPr>
                <w:ilvl w:val="0"/>
                <w:numId w:val="21"/>
              </w:numPr>
              <w:jc w:val="center"/>
              <w:rPr>
                <w:rFonts w:cstheme="minorHAnsi"/>
              </w:rPr>
            </w:pPr>
          </w:p>
        </w:tc>
        <w:tc>
          <w:tcPr>
            <w:tcW w:w="1560" w:type="dxa"/>
          </w:tcPr>
          <w:p w14:paraId="3F911DDC" w14:textId="693D71E1" w:rsidR="2F9B227B" w:rsidRPr="003E3747" w:rsidRDefault="00C206D0" w:rsidP="00A05649">
            <w:pPr>
              <w:ind w:left="34"/>
              <w:jc w:val="center"/>
              <w:rPr>
                <w:rFonts w:cstheme="minorHAnsi"/>
              </w:rPr>
            </w:pPr>
            <w:r w:rsidRPr="003E3747">
              <w:rPr>
                <w:rFonts w:cstheme="minorHAnsi"/>
              </w:rPr>
              <w:t>Konfederacja Lewiatan</w:t>
            </w:r>
          </w:p>
        </w:tc>
        <w:tc>
          <w:tcPr>
            <w:tcW w:w="1842" w:type="dxa"/>
          </w:tcPr>
          <w:p w14:paraId="190E1016" w14:textId="6B3650B6" w:rsidR="2F9B227B" w:rsidRPr="003E3747" w:rsidRDefault="2F9B227B" w:rsidP="00A05649">
            <w:pPr>
              <w:ind w:left="-20"/>
              <w:jc w:val="center"/>
              <w:rPr>
                <w:rFonts w:cstheme="minorHAnsi"/>
              </w:rPr>
            </w:pPr>
            <w:r w:rsidRPr="003E3747">
              <w:rPr>
                <w:rFonts w:eastAsia="Lato" w:cstheme="minorHAnsi"/>
              </w:rPr>
              <w:t>Uwaga ogólna</w:t>
            </w:r>
          </w:p>
        </w:tc>
        <w:tc>
          <w:tcPr>
            <w:tcW w:w="4988" w:type="dxa"/>
            <w:vAlign w:val="center"/>
          </w:tcPr>
          <w:p w14:paraId="5787677A" w14:textId="2E99C6C1" w:rsidR="2F9B227B" w:rsidRPr="003E3747" w:rsidRDefault="2F9B227B" w:rsidP="00776836">
            <w:pPr>
              <w:jc w:val="both"/>
              <w:rPr>
                <w:rFonts w:eastAsiaTheme="minorEastAsia" w:cstheme="minorHAnsi"/>
                <w:color w:val="000000" w:themeColor="text1"/>
              </w:rPr>
            </w:pPr>
            <w:r w:rsidRPr="003E3747">
              <w:rPr>
                <w:rFonts w:eastAsiaTheme="minorEastAsia" w:cstheme="minorHAnsi"/>
                <w:color w:val="000000" w:themeColor="text1"/>
              </w:rPr>
              <w:t>W warunkach utrzymujących się wysokich cen energii elektrycznej, stanowiących istotne obciążenie dla konkurencyjności polskiego przemysłu, stworzenie instrumentu czasowo ograniczającego koszty energii jest rozwiązaniem potrzebnym i oczekiwanym przez przedsiębiorstwa energochłonne. Jego szybkie uruchomienie ma znaczenie zarówno dla bieżącej sytuacji przemysłu, jak i dla ograniczenia ryzyka przenoszenia działalności inwestycyjnej i produkcyjnej poza Polskę.</w:t>
            </w:r>
          </w:p>
          <w:p w14:paraId="1A36C12F" w14:textId="0894ECD5" w:rsidR="2F9B227B" w:rsidRPr="003E3747" w:rsidRDefault="2F9B227B" w:rsidP="00776836">
            <w:pPr>
              <w:jc w:val="both"/>
              <w:rPr>
                <w:rFonts w:eastAsiaTheme="minorEastAsia" w:cstheme="minorHAnsi"/>
                <w:color w:val="000000" w:themeColor="text1"/>
              </w:rPr>
            </w:pPr>
            <w:r w:rsidRPr="003E3747">
              <w:rPr>
                <w:rFonts w:eastAsiaTheme="minorEastAsia" w:cstheme="minorHAnsi"/>
                <w:color w:val="000000" w:themeColor="text1"/>
              </w:rPr>
              <w:t xml:space="preserve">Potrzebę wdrożenia takiego mechanizmu potwierdzają dane dotyczące cen energii. Zgodnie </w:t>
            </w:r>
            <w:r w:rsidR="00B622FA" w:rsidRPr="003E3747">
              <w:rPr>
                <w:rFonts w:eastAsiaTheme="minorEastAsia" w:cstheme="minorHAnsi"/>
                <w:color w:val="000000" w:themeColor="text1"/>
              </w:rPr>
              <w:br/>
            </w:r>
            <w:r w:rsidRPr="003E3747">
              <w:rPr>
                <w:rFonts w:eastAsiaTheme="minorEastAsia" w:cstheme="minorHAnsi"/>
                <w:color w:val="000000" w:themeColor="text1"/>
              </w:rPr>
              <w:t>z danymi Eurostatu, przywołanymi przez projektodawcę, w drugiej połowie 2025 r. cena energii elektrycznej dla analizowanej grupy największych przedsiębiorstw wynosiła w Polsce 171,6 EUR/MWh, wobec 159,2 EUR/MWh w Irlandii i 158,5 EUR/MWh na Węgrzech. Komisja Europejska wskazuje również, że ceny energii dla odbiorców przemysłowych w Polsce pozostają powyżej średniej unijnej, podczas gdy w skali globalnej ceny energii w Europie są nadal 2–3-krotnie wyższe niż w części państw Azji oraz w Stanach Zjednoczonych.</w:t>
            </w:r>
          </w:p>
          <w:p w14:paraId="27FD59A1" w14:textId="34B0D057" w:rsidR="2F9B227B" w:rsidRPr="003E3747" w:rsidRDefault="2F9B227B" w:rsidP="00776836">
            <w:pPr>
              <w:jc w:val="both"/>
              <w:rPr>
                <w:rFonts w:eastAsiaTheme="minorEastAsia" w:cstheme="minorHAnsi"/>
                <w:color w:val="000000" w:themeColor="text1"/>
              </w:rPr>
            </w:pPr>
            <w:r w:rsidRPr="003E3747">
              <w:rPr>
                <w:rFonts w:eastAsiaTheme="minorEastAsia" w:cstheme="minorHAnsi"/>
                <w:color w:val="000000" w:themeColor="text1"/>
              </w:rPr>
              <w:t xml:space="preserve">Wprowadzenie krajowego instrumentu na podstawie sekcji 4.5 CISAF jest istotne także z punktu widzenia konkurencji wewnątrz Unii Europejskiej. Inne państwa członkowskie już wykorzystują możliwości przewidziane w CISAF, czego przykładem są Niemcy i zatwierdzony przez Komisję Europejską </w:t>
            </w:r>
            <w:r w:rsidRPr="003E3747">
              <w:rPr>
                <w:rFonts w:eastAsiaTheme="minorEastAsia" w:cstheme="minorHAnsi"/>
                <w:color w:val="000000" w:themeColor="text1"/>
              </w:rPr>
              <w:lastRenderedPageBreak/>
              <w:t>program </w:t>
            </w:r>
            <w:proofErr w:type="spellStart"/>
            <w:r w:rsidRPr="003E3747">
              <w:rPr>
                <w:rFonts w:eastAsiaTheme="minorEastAsia" w:cstheme="minorHAnsi"/>
                <w:i/>
                <w:iCs/>
                <w:color w:val="000000" w:themeColor="text1"/>
              </w:rPr>
              <w:t>Industriestrompreis</w:t>
            </w:r>
            <w:proofErr w:type="spellEnd"/>
            <w:r w:rsidRPr="003E3747">
              <w:rPr>
                <w:rFonts w:eastAsiaTheme="minorEastAsia" w:cstheme="minorHAnsi"/>
                <w:color w:val="000000" w:themeColor="text1"/>
              </w:rPr>
              <w:t> na lata 2026–2028. Brak porównywalnego mechanizmu w Polsce pogłębiałby różnice warunków konkurowania również wobec przedsiębiorstw z innych państw członkowskich.</w:t>
            </w:r>
          </w:p>
          <w:p w14:paraId="5F34C97E" w14:textId="3C7B1F62" w:rsidR="2F9B227B" w:rsidRPr="003E3747" w:rsidRDefault="2F9B227B" w:rsidP="00776836">
            <w:pPr>
              <w:jc w:val="both"/>
              <w:rPr>
                <w:rFonts w:eastAsiaTheme="minorEastAsia" w:cstheme="minorHAnsi"/>
                <w:color w:val="000000" w:themeColor="text1"/>
              </w:rPr>
            </w:pPr>
            <w:r w:rsidRPr="003E3747">
              <w:rPr>
                <w:rFonts w:eastAsiaTheme="minorEastAsia" w:cstheme="minorHAnsi"/>
                <w:color w:val="000000" w:themeColor="text1"/>
              </w:rPr>
              <w:t>Instrument przewidziany w UD459 jest szczególnie istotny dla przedsiębiorstw energochłonnych, które nie korzystają obecnie z rekompensat kosztów pośrednich emisji CO₂, a pozostają silnie narażone na skutki wysokich cen energii. Dla tych podmiotów projektowany program może stanowić podstawowy instrument ograniczający przewagę kosztową wynikającą z cen energii.</w:t>
            </w:r>
          </w:p>
          <w:p w14:paraId="1D365330" w14:textId="7D811918" w:rsidR="2F9B227B" w:rsidRPr="003E3747" w:rsidRDefault="2F9B227B" w:rsidP="00776836">
            <w:pPr>
              <w:jc w:val="both"/>
              <w:rPr>
                <w:rFonts w:eastAsiaTheme="minorEastAsia" w:cstheme="minorHAnsi"/>
                <w:color w:val="000000" w:themeColor="text1"/>
              </w:rPr>
            </w:pPr>
            <w:r w:rsidRPr="003E3747">
              <w:rPr>
                <w:rFonts w:eastAsiaTheme="minorEastAsia" w:cstheme="minorHAnsi"/>
                <w:color w:val="000000" w:themeColor="text1"/>
              </w:rPr>
              <w:t>Należy przy tym podkreślić, że projektowany mechanizm ma charakter czasowy, ukierunkowany i ograniczony budżetowo, a jego zastosowanie jest powiązane z obowiązkiem inwestycyjnym. Nie stanowi więc powszechnego subsydiowania cen energii, lecz celowany instrument, który ma jednocześnie wspierać inwestycje ograniczające w przyszłości ekspozycję przedsiębiorstw na wysokie ceny energii i wspomagające transformację przemysłu.</w:t>
            </w:r>
          </w:p>
          <w:p w14:paraId="59DE4D11" w14:textId="7BCDB590" w:rsidR="2F9B227B" w:rsidRPr="003E3747" w:rsidRDefault="2F9B227B" w:rsidP="00776836">
            <w:pPr>
              <w:jc w:val="both"/>
              <w:rPr>
                <w:rFonts w:eastAsiaTheme="minorEastAsia" w:cstheme="minorHAnsi"/>
                <w:color w:val="000000" w:themeColor="text1"/>
              </w:rPr>
            </w:pPr>
            <w:r w:rsidRPr="003E3747">
              <w:rPr>
                <w:rFonts w:eastAsiaTheme="minorEastAsia" w:cstheme="minorHAnsi"/>
                <w:color w:val="000000" w:themeColor="text1"/>
              </w:rPr>
              <w:t xml:space="preserve">Jednocześnie pozytywna ocena celu i zasadniczego kierunku projektu nie wyklucza potrzeby modyfikacji części zaproponowanych rozwiązań. W szczególności zasady dostępu do pomocy, jej kumulacji z innymi instrumentami wsparcia oraz finansowania programu powinny zostać ukształtowane w sposób pozwalający możliwie szeroko wykorzystać elastyczność CISAF, a </w:t>
            </w:r>
            <w:r w:rsidRPr="003E3747">
              <w:rPr>
                <w:rFonts w:eastAsiaTheme="minorEastAsia" w:cstheme="minorHAnsi"/>
                <w:color w:val="000000" w:themeColor="text1"/>
              </w:rPr>
              <w:lastRenderedPageBreak/>
              <w:t>zarazem nie osłabiać zdolności inwestycyjnych sektora energetycznego, od którego w dłuższej perspektywie zależy trwałe obniżenie kosztów energii w Polsce.</w:t>
            </w:r>
          </w:p>
        </w:tc>
        <w:tc>
          <w:tcPr>
            <w:tcW w:w="4155" w:type="dxa"/>
            <w:vAlign w:val="center"/>
          </w:tcPr>
          <w:p w14:paraId="47C3F98C" w14:textId="595C6161" w:rsidR="2F9B227B" w:rsidRPr="003E3747" w:rsidRDefault="2F9B227B" w:rsidP="2F9B227B">
            <w:pPr>
              <w:rPr>
                <w:rFonts w:eastAsia="Lato" w:cstheme="minorHAnsi"/>
                <w:i/>
                <w:iCs/>
              </w:rPr>
            </w:pPr>
          </w:p>
        </w:tc>
        <w:tc>
          <w:tcPr>
            <w:tcW w:w="1900" w:type="dxa"/>
            <w:vAlign w:val="center"/>
          </w:tcPr>
          <w:p w14:paraId="72F2A614" w14:textId="5CC6F7B2" w:rsidR="2F9B227B" w:rsidRPr="003E3747" w:rsidRDefault="2F9B227B" w:rsidP="2F9B227B">
            <w:pPr>
              <w:jc w:val="center"/>
              <w:rPr>
                <w:rFonts w:cstheme="minorHAnsi"/>
              </w:rPr>
            </w:pPr>
          </w:p>
        </w:tc>
      </w:tr>
      <w:tr w:rsidR="00FC53FD" w:rsidRPr="003E3747" w14:paraId="715CD34F" w14:textId="77777777" w:rsidTr="00A05649">
        <w:trPr>
          <w:trHeight w:val="300"/>
        </w:trPr>
        <w:tc>
          <w:tcPr>
            <w:tcW w:w="562" w:type="dxa"/>
          </w:tcPr>
          <w:p w14:paraId="30D02FFB" w14:textId="77777777" w:rsidR="00FC53FD" w:rsidRPr="003E3747" w:rsidRDefault="00FC53FD" w:rsidP="00A05649">
            <w:pPr>
              <w:pStyle w:val="Akapitzlist"/>
              <w:numPr>
                <w:ilvl w:val="0"/>
                <w:numId w:val="21"/>
              </w:numPr>
              <w:jc w:val="center"/>
              <w:rPr>
                <w:rFonts w:cstheme="minorHAnsi"/>
              </w:rPr>
            </w:pPr>
          </w:p>
        </w:tc>
        <w:tc>
          <w:tcPr>
            <w:tcW w:w="1560" w:type="dxa"/>
          </w:tcPr>
          <w:p w14:paraId="3DCD8082" w14:textId="56D1D51E" w:rsidR="00FC53FD" w:rsidRPr="003E3747" w:rsidRDefault="00C75D6B" w:rsidP="00A05649">
            <w:pPr>
              <w:ind w:left="34"/>
              <w:jc w:val="center"/>
              <w:rPr>
                <w:rFonts w:cstheme="minorHAnsi"/>
              </w:rPr>
            </w:pPr>
            <w:r w:rsidRPr="003E3747">
              <w:rPr>
                <w:rFonts w:cstheme="minorHAnsi"/>
              </w:rPr>
              <w:t>Konfederacja Lewiatan</w:t>
            </w:r>
          </w:p>
        </w:tc>
        <w:tc>
          <w:tcPr>
            <w:tcW w:w="1842" w:type="dxa"/>
          </w:tcPr>
          <w:p w14:paraId="0FC7CA47" w14:textId="1E456B98" w:rsidR="00FC53FD" w:rsidRPr="003E3747" w:rsidRDefault="00FC53FD" w:rsidP="00A05649">
            <w:pPr>
              <w:ind w:left="-20"/>
              <w:jc w:val="center"/>
              <w:rPr>
                <w:rFonts w:eastAsia="Lato" w:cstheme="minorHAnsi"/>
              </w:rPr>
            </w:pPr>
            <w:r w:rsidRPr="003E3747">
              <w:rPr>
                <w:rFonts w:eastAsia="Lato" w:cstheme="minorHAnsi"/>
              </w:rPr>
              <w:t>Uwaga ogólna</w:t>
            </w:r>
          </w:p>
        </w:tc>
        <w:tc>
          <w:tcPr>
            <w:tcW w:w="4988" w:type="dxa"/>
            <w:vAlign w:val="center"/>
          </w:tcPr>
          <w:p w14:paraId="18E9E0F2" w14:textId="3C0FEFA3" w:rsidR="00FC53FD" w:rsidRPr="003E3747" w:rsidRDefault="00FC53FD" w:rsidP="00FC53FD">
            <w:pPr>
              <w:pStyle w:val="Bezodstpw"/>
              <w:jc w:val="both"/>
              <w:rPr>
                <w:rFonts w:cstheme="minorHAnsi"/>
              </w:rPr>
            </w:pPr>
            <w:r w:rsidRPr="003E3747">
              <w:rPr>
                <w:rFonts w:cstheme="minorHAnsi"/>
              </w:rPr>
              <w:t>Zakres przedmiotowo-podmiotowy ustawy</w:t>
            </w:r>
          </w:p>
          <w:p w14:paraId="5F67591D" w14:textId="77777777" w:rsidR="00FC53FD" w:rsidRPr="003E3747" w:rsidRDefault="00FC53FD" w:rsidP="00FC53FD">
            <w:pPr>
              <w:pStyle w:val="Bezodstpw"/>
              <w:jc w:val="both"/>
              <w:rPr>
                <w:rFonts w:cstheme="minorHAnsi"/>
              </w:rPr>
            </w:pPr>
          </w:p>
          <w:p w14:paraId="1AD28607" w14:textId="77777777" w:rsidR="00FC53FD" w:rsidRPr="003E3747" w:rsidRDefault="00FC53FD" w:rsidP="00FC53FD">
            <w:pPr>
              <w:pStyle w:val="Bezodstpw"/>
              <w:numPr>
                <w:ilvl w:val="0"/>
                <w:numId w:val="17"/>
              </w:numPr>
              <w:ind w:left="426" w:hanging="426"/>
              <w:jc w:val="both"/>
              <w:rPr>
                <w:rFonts w:cstheme="minorHAnsi"/>
              </w:rPr>
            </w:pPr>
            <w:r w:rsidRPr="003E3747">
              <w:rPr>
                <w:rFonts w:cstheme="minorHAnsi"/>
              </w:rPr>
              <w:t>Podmioty komponujące paliwa ciekłe</w:t>
            </w:r>
          </w:p>
          <w:p w14:paraId="196C81E1" w14:textId="77777777" w:rsidR="00FC53FD" w:rsidRPr="003E3747" w:rsidRDefault="00FC53FD" w:rsidP="00FC53FD">
            <w:pPr>
              <w:pStyle w:val="Bezodstpw"/>
              <w:jc w:val="both"/>
              <w:rPr>
                <w:rFonts w:cstheme="minorHAnsi"/>
              </w:rPr>
            </w:pPr>
          </w:p>
          <w:p w14:paraId="72BF4537" w14:textId="77777777" w:rsidR="00FC53FD" w:rsidRPr="003E3747" w:rsidRDefault="00FC53FD" w:rsidP="00FC53FD">
            <w:pPr>
              <w:pStyle w:val="Bezodstpw"/>
              <w:jc w:val="both"/>
              <w:rPr>
                <w:rFonts w:cstheme="minorHAnsi"/>
              </w:rPr>
            </w:pPr>
            <w:r w:rsidRPr="003E3747">
              <w:rPr>
                <w:rFonts w:cstheme="minorHAnsi"/>
              </w:rPr>
              <w:t>Zgodnie z uzasadnieniem do projektu ustawy celem projektodawcy było „</w:t>
            </w:r>
            <w:r w:rsidRPr="003E3747">
              <w:rPr>
                <w:rFonts w:cstheme="minorHAnsi"/>
                <w:i/>
                <w:iCs/>
              </w:rPr>
              <w:t xml:space="preserve">skoncentrowanie regulacji na działalności rafineryjnej stanowiącej podstawowy segment krajowego sektora przetwórstwa ropy naftowej. Tym samym zamiarem projektodawcy </w:t>
            </w:r>
            <w:r w:rsidRPr="003E3747">
              <w:rPr>
                <w:rFonts w:cstheme="minorHAnsi"/>
                <w:i/>
              </w:rPr>
              <w:t>nie jest objęcie regulacją</w:t>
            </w:r>
            <w:r w:rsidRPr="003E3747">
              <w:rPr>
                <w:rFonts w:cstheme="minorHAnsi"/>
                <w:i/>
                <w:iCs/>
              </w:rPr>
              <w:t xml:space="preserve"> podmiotów, które wytwarzają paliwa ciekłe </w:t>
            </w:r>
            <w:r w:rsidRPr="003E3747">
              <w:rPr>
                <w:rFonts w:cstheme="minorHAnsi"/>
                <w:i/>
              </w:rPr>
              <w:t>w procesach innych niż przerób (rafinacja)</w:t>
            </w:r>
            <w:r w:rsidRPr="003E3747">
              <w:rPr>
                <w:rFonts w:cstheme="minorHAnsi"/>
                <w:i/>
                <w:iCs/>
              </w:rPr>
              <w:t xml:space="preserve"> ropy naftowej, w szczególności poprzez </w:t>
            </w:r>
            <w:r w:rsidRPr="003E3747">
              <w:rPr>
                <w:rFonts w:cstheme="minorHAnsi"/>
                <w:i/>
              </w:rPr>
              <w:t>mieszanie komponentów</w:t>
            </w:r>
            <w:r w:rsidRPr="003E3747">
              <w:rPr>
                <w:rFonts w:cstheme="minorHAnsi"/>
                <w:i/>
                <w:iCs/>
              </w:rPr>
              <w:t xml:space="preserve"> </w:t>
            </w:r>
            <w:r w:rsidRPr="003E3747">
              <w:rPr>
                <w:rFonts w:cstheme="minorHAnsi"/>
                <w:i/>
              </w:rPr>
              <w:t>paliwowych lub paliw ciekłych</w:t>
            </w:r>
            <w:r w:rsidRPr="003E3747">
              <w:rPr>
                <w:rFonts w:cstheme="minorHAnsi"/>
                <w:i/>
                <w:iCs/>
              </w:rPr>
              <w:t xml:space="preserve"> albo </w:t>
            </w:r>
            <w:r w:rsidRPr="003E3747">
              <w:rPr>
                <w:rFonts w:cstheme="minorHAnsi"/>
                <w:i/>
              </w:rPr>
              <w:t>mieszanie komponentów z paliwami</w:t>
            </w:r>
            <w:r w:rsidRPr="003E3747">
              <w:rPr>
                <w:rFonts w:cstheme="minorHAnsi"/>
                <w:i/>
                <w:iCs/>
              </w:rPr>
              <w:t xml:space="preserve"> ciekłymi, o którym mowa w art. 3 pkt 45 lit. b ustawy – Prawo energetyczne</w:t>
            </w:r>
            <w:r w:rsidRPr="003E3747">
              <w:rPr>
                <w:rFonts w:cstheme="minorHAnsi"/>
              </w:rPr>
              <w:t>”.</w:t>
            </w:r>
          </w:p>
          <w:p w14:paraId="2ECF3CD4" w14:textId="77777777" w:rsidR="00FC53FD" w:rsidRPr="003E3747" w:rsidRDefault="00FC53FD" w:rsidP="00FC53FD">
            <w:pPr>
              <w:pStyle w:val="Bezodstpw"/>
              <w:jc w:val="both"/>
              <w:rPr>
                <w:rFonts w:cstheme="minorHAnsi"/>
              </w:rPr>
            </w:pPr>
          </w:p>
          <w:p w14:paraId="5F5D4F94" w14:textId="77777777" w:rsidR="00FC53FD" w:rsidRPr="003E3747" w:rsidRDefault="6BF8556D" w:rsidP="00FC53FD">
            <w:pPr>
              <w:pStyle w:val="Bezodstpw"/>
              <w:jc w:val="both"/>
              <w:rPr>
                <w:rFonts w:cstheme="minorHAnsi"/>
              </w:rPr>
            </w:pPr>
            <w:r w:rsidRPr="003E3747">
              <w:rPr>
                <w:rFonts w:cstheme="minorHAnsi"/>
              </w:rPr>
              <w:t>Tymczasem zgodnie z projektowanym art. 38ae</w:t>
            </w:r>
            <w:r w:rsidR="00FC53FD" w:rsidRPr="003E3747">
              <w:rPr>
                <w:rStyle w:val="Odwoanieprzypisudolnego"/>
                <w:rFonts w:cstheme="minorHAnsi"/>
              </w:rPr>
              <w:footnoteReference w:id="1"/>
            </w:r>
            <w:r w:rsidRPr="003E3747">
              <w:rPr>
                <w:rFonts w:cstheme="minorHAnsi"/>
              </w:rPr>
              <w:t xml:space="preserve"> ust. 2 pkt 4 lit. b jest mowa o działalności w zakresie „</w:t>
            </w:r>
            <w:r w:rsidRPr="003E3747">
              <w:rPr>
                <w:rFonts w:cstheme="minorHAnsi"/>
                <w:i/>
                <w:iCs/>
              </w:rPr>
              <w:t>wytwarzania w rozumieniu art. 3 pkt 45 lit. b ustawy z dnia 10 kwietnia 1997 r. – Prawo energetyczne paliw ciekłych w rozumieniu art. 3 pkt 3b tej ustawy</w:t>
            </w:r>
            <w:r w:rsidRPr="003E3747">
              <w:rPr>
                <w:rFonts w:cstheme="minorHAnsi"/>
              </w:rPr>
              <w:t>”. Wspomniany zaś art. 3 pkt 45 lit. b ustawy Prawo energetyczne [„</w:t>
            </w:r>
            <w:proofErr w:type="spellStart"/>
            <w:r w:rsidRPr="003E3747">
              <w:rPr>
                <w:rFonts w:cstheme="minorHAnsi"/>
              </w:rPr>
              <w:t>u.p.e</w:t>
            </w:r>
            <w:proofErr w:type="spellEnd"/>
            <w:r w:rsidRPr="003E3747">
              <w:rPr>
                <w:rFonts w:cstheme="minorHAnsi"/>
              </w:rPr>
              <w:t xml:space="preserve">.”] jako wytwarzanie definiuje: </w:t>
            </w:r>
          </w:p>
          <w:p w14:paraId="19C2D44F" w14:textId="77777777" w:rsidR="00FC53FD" w:rsidRPr="003E3747" w:rsidRDefault="00FC53FD" w:rsidP="00FC53FD">
            <w:pPr>
              <w:pStyle w:val="Bezodstpw"/>
              <w:jc w:val="both"/>
              <w:rPr>
                <w:rFonts w:cstheme="minorHAnsi"/>
                <w:i/>
                <w:iCs/>
              </w:rPr>
            </w:pPr>
            <w:r w:rsidRPr="003E3747">
              <w:rPr>
                <w:rFonts w:cstheme="minorHAnsi"/>
                <w:i/>
                <w:iCs/>
              </w:rPr>
              <w:t>„produkcję paliw ciekłych w instalacjach wytwarzania paliw ciekłych, w procesach:</w:t>
            </w:r>
          </w:p>
          <w:p w14:paraId="6257919F" w14:textId="77777777" w:rsidR="00FC53FD" w:rsidRPr="003E3747" w:rsidRDefault="00FC53FD" w:rsidP="00FC53FD">
            <w:pPr>
              <w:pStyle w:val="Bezodstpw"/>
              <w:numPr>
                <w:ilvl w:val="0"/>
                <w:numId w:val="18"/>
              </w:numPr>
              <w:ind w:left="426" w:hanging="284"/>
              <w:jc w:val="both"/>
              <w:rPr>
                <w:rFonts w:cstheme="minorHAnsi"/>
                <w:i/>
                <w:iCs/>
              </w:rPr>
            </w:pPr>
            <w:r w:rsidRPr="003E3747">
              <w:rPr>
                <w:rFonts w:cstheme="minorHAnsi"/>
                <w:i/>
                <w:iCs/>
              </w:rPr>
              <w:lastRenderedPageBreak/>
              <w:t>przerobu ropy naftowej, kondensatu gazu ziemnego (NGL), półproduktów rafinacji ropy naftowej i innych węglowodorów albo przerobu biomasy,</w:t>
            </w:r>
          </w:p>
          <w:p w14:paraId="547A6012" w14:textId="77777777" w:rsidR="00FC53FD" w:rsidRPr="003E3747" w:rsidRDefault="00FC53FD" w:rsidP="00FC53FD">
            <w:pPr>
              <w:pStyle w:val="Bezodstpw"/>
              <w:numPr>
                <w:ilvl w:val="0"/>
                <w:numId w:val="18"/>
              </w:numPr>
              <w:ind w:left="426" w:hanging="284"/>
              <w:jc w:val="both"/>
              <w:rPr>
                <w:rFonts w:cstheme="minorHAnsi"/>
                <w:i/>
              </w:rPr>
            </w:pPr>
            <w:r w:rsidRPr="003E3747">
              <w:rPr>
                <w:rFonts w:cstheme="minorHAnsi"/>
                <w:i/>
              </w:rPr>
              <w:t>przetwarzania poprzez mieszanie komponentów lub paliw ciekłych lub poprzez mieszanie komponentów z paliwami ciekłymi,</w:t>
            </w:r>
          </w:p>
          <w:p w14:paraId="75C46E2C" w14:textId="77777777" w:rsidR="00FC53FD" w:rsidRPr="003E3747" w:rsidRDefault="00FC53FD" w:rsidP="00FC53FD">
            <w:pPr>
              <w:pStyle w:val="Bezodstpw"/>
              <w:numPr>
                <w:ilvl w:val="0"/>
                <w:numId w:val="18"/>
              </w:numPr>
              <w:ind w:left="426" w:hanging="284"/>
              <w:jc w:val="both"/>
              <w:rPr>
                <w:rFonts w:cstheme="minorHAnsi"/>
                <w:i/>
                <w:iCs/>
              </w:rPr>
            </w:pPr>
            <w:r w:rsidRPr="003E3747">
              <w:rPr>
                <w:rFonts w:cstheme="minorHAnsi"/>
                <w:i/>
              </w:rPr>
              <w:t>przeklasyfikowywania komponentów w paliwa ciekłe w rozumieniu przepisów o podatku akcyzowym</w:t>
            </w:r>
            <w:r w:rsidRPr="003E3747">
              <w:rPr>
                <w:rFonts w:cstheme="minorHAnsi"/>
                <w:i/>
                <w:iCs/>
              </w:rPr>
              <w:t>,</w:t>
            </w:r>
          </w:p>
          <w:p w14:paraId="0BC393CF" w14:textId="77777777" w:rsidR="00FC53FD" w:rsidRPr="003E3747" w:rsidRDefault="00FC53FD" w:rsidP="00FC53FD">
            <w:pPr>
              <w:pStyle w:val="Bezodstpw"/>
              <w:numPr>
                <w:ilvl w:val="0"/>
                <w:numId w:val="18"/>
              </w:numPr>
              <w:ind w:left="426" w:hanging="284"/>
              <w:jc w:val="both"/>
              <w:rPr>
                <w:rFonts w:cstheme="minorHAnsi"/>
                <w:i/>
                <w:iCs/>
              </w:rPr>
            </w:pPr>
            <w:r w:rsidRPr="003E3747">
              <w:rPr>
                <w:rFonts w:cstheme="minorHAnsi"/>
                <w:i/>
                <w:iCs/>
              </w:rPr>
              <w:t xml:space="preserve">przerobu pochodzących ze źródeł nieodnawialnych ciekłych i stałych strumieni odpadów […]” </w:t>
            </w:r>
          </w:p>
          <w:p w14:paraId="690A2F8F" w14:textId="77777777" w:rsidR="00FC53FD" w:rsidRPr="003E3747" w:rsidRDefault="00FC53FD" w:rsidP="00FC53FD">
            <w:pPr>
              <w:pStyle w:val="Bezodstpw"/>
              <w:jc w:val="both"/>
              <w:rPr>
                <w:rFonts w:cstheme="minorHAnsi"/>
              </w:rPr>
            </w:pPr>
          </w:p>
          <w:p w14:paraId="46CF661A" w14:textId="77777777" w:rsidR="00FC53FD" w:rsidRPr="003E3747" w:rsidRDefault="00FC53FD" w:rsidP="00FC53FD">
            <w:pPr>
              <w:pStyle w:val="Bezodstpw"/>
              <w:jc w:val="both"/>
              <w:rPr>
                <w:rFonts w:cstheme="minorHAnsi"/>
              </w:rPr>
            </w:pPr>
            <w:r w:rsidRPr="003E3747">
              <w:rPr>
                <w:rFonts w:cstheme="minorHAnsi"/>
              </w:rPr>
              <w:t xml:space="preserve">Proponowany w ust. 2 pkt 4 lit. b zapis jest więc sprzeczny z intencją wyrażoną w uzasadnieniu, bo wprost obejmuje opodatkowaniem według wyższej stawki również przedsiębiorców zajmujących się na istotną skalę np. komponowaniem paliw ciekłych (o ile jednocześnie, nawet na małą skalę prowadzą działalność z ust. 2 pkt 1 lit. a-e). Sprzeczność ta powinna być usunięta, jako że podatnicy nie mogą być stawiani przed dylematem, którą z dwóch niedających się pogodzić wykładni przepisu stosować – literalną czy celowościową. </w:t>
            </w:r>
          </w:p>
          <w:p w14:paraId="1D8CD587" w14:textId="77777777" w:rsidR="00FC53FD" w:rsidRPr="003E3747" w:rsidRDefault="00FC53FD" w:rsidP="00FC53FD">
            <w:pPr>
              <w:pStyle w:val="Bezodstpw"/>
              <w:jc w:val="both"/>
              <w:rPr>
                <w:rFonts w:cstheme="minorHAnsi"/>
              </w:rPr>
            </w:pPr>
          </w:p>
          <w:p w14:paraId="3EE86CF7" w14:textId="77777777" w:rsidR="00FC53FD" w:rsidRPr="003E3747" w:rsidRDefault="00FC53FD" w:rsidP="00FC53FD">
            <w:pPr>
              <w:pStyle w:val="Bezodstpw"/>
              <w:jc w:val="both"/>
              <w:rPr>
                <w:rFonts w:cstheme="minorHAnsi"/>
              </w:rPr>
            </w:pPr>
            <w:r w:rsidRPr="003E3747">
              <w:rPr>
                <w:rFonts w:cstheme="minorHAnsi"/>
              </w:rPr>
              <w:t xml:space="preserve">Nie jest również jasnym, czym generalnie spowodowane jest przywołanie definicji wytwarzania w ust. 2 pkt 4 lit b, wydaje się bowiem, że mamy w pkt 1 lit. a-e wymienione poszczególne rodzaje działalności i określenie wskaźnika przychodów powinno konsekwentnie odnosić się właśnie do tych rodzajów.  </w:t>
            </w:r>
          </w:p>
          <w:p w14:paraId="75A92029" w14:textId="77777777" w:rsidR="00FC53FD" w:rsidRPr="003E3747" w:rsidRDefault="00FC53FD" w:rsidP="00FC53FD">
            <w:pPr>
              <w:pStyle w:val="Bezodstpw"/>
              <w:jc w:val="both"/>
              <w:rPr>
                <w:rFonts w:cstheme="minorHAnsi"/>
              </w:rPr>
            </w:pPr>
          </w:p>
          <w:p w14:paraId="7443BC54" w14:textId="77777777" w:rsidR="00FC53FD" w:rsidRPr="003E3747" w:rsidRDefault="00FC53FD" w:rsidP="00FC53FD">
            <w:pPr>
              <w:pStyle w:val="Bezodstpw"/>
              <w:jc w:val="both"/>
              <w:rPr>
                <w:rFonts w:cstheme="minorHAnsi"/>
              </w:rPr>
            </w:pPr>
            <w:r w:rsidRPr="003E3747">
              <w:rPr>
                <w:rFonts w:cstheme="minorHAnsi"/>
              </w:rPr>
              <w:t xml:space="preserve">Tak nie jest – w ust. 2 pkt 4 lit. b zamiast działalności w zakresie produkcji paliw ciekłych (jak w ust. 2 pkt 1 lit. b) pojawia się wytwarzanie w rozumieniu </w:t>
            </w:r>
            <w:proofErr w:type="spellStart"/>
            <w:r w:rsidRPr="003E3747">
              <w:rPr>
                <w:rFonts w:cstheme="minorHAnsi"/>
              </w:rPr>
              <w:t>u.p.e</w:t>
            </w:r>
            <w:proofErr w:type="spellEnd"/>
            <w:r w:rsidRPr="003E3747">
              <w:rPr>
                <w:rFonts w:cstheme="minorHAnsi"/>
              </w:rPr>
              <w:t>. Warto w tym miejscu zwrócić uwagę na trudność w wykładni pojęcia „</w:t>
            </w:r>
            <w:r w:rsidRPr="003E3747">
              <w:rPr>
                <w:rFonts w:cstheme="minorHAnsi"/>
                <w:i/>
                <w:iCs/>
              </w:rPr>
              <w:t>przychody […] osiągnięte przez podatnika […] w zakresie wytwarzania […]”.</w:t>
            </w:r>
            <w:r w:rsidRPr="003E3747">
              <w:rPr>
                <w:rFonts w:cstheme="minorHAnsi"/>
              </w:rPr>
              <w:t xml:space="preserve"> Brak jest tu bowiem jakiejkolwiek referencji, jak określać przychód z wytwarzania, a tym samym używając wykładni literalnej możliwym jest przyjęcie, że podmiot produkujący i sprzedający swoje wyroby nie osiąga w ogóle przychodów z wytwarzania, gdyż ta czynność nie generuje bezpośrednio żadnego przychodu – poruszamy się tu przecież w środowisku ustawy i terminologii podatku dochodowego od osób prawnych, a nie klasyfikacji statystycznych bądź innych przepisów sprawozdawczych. Przychód generuje dopiero zbycie produktu.</w:t>
            </w:r>
          </w:p>
          <w:p w14:paraId="659CD108" w14:textId="77777777" w:rsidR="00FC53FD" w:rsidRPr="003E3747" w:rsidRDefault="00FC53FD" w:rsidP="00FC53FD">
            <w:pPr>
              <w:pStyle w:val="Bezodstpw"/>
              <w:jc w:val="both"/>
              <w:rPr>
                <w:rFonts w:cstheme="minorHAnsi"/>
              </w:rPr>
            </w:pPr>
          </w:p>
          <w:p w14:paraId="4C0C1D1C" w14:textId="1F10E2D4" w:rsidR="00FC53FD" w:rsidRPr="003E3747" w:rsidRDefault="00FC53FD" w:rsidP="00FC53FD">
            <w:pPr>
              <w:pStyle w:val="Bezodstpw"/>
              <w:jc w:val="both"/>
              <w:rPr>
                <w:rFonts w:cstheme="minorHAnsi"/>
              </w:rPr>
            </w:pPr>
            <w:r w:rsidRPr="003E3747">
              <w:rPr>
                <w:rFonts w:cstheme="minorHAnsi"/>
              </w:rPr>
              <w:t>Takimi dylematami nie była obciążona ustawa z dnia 3 lipca 2026 r. o podatku od nadzwyczajnych zysków osiągniętych w okresie od marca do grudnia 2026 r. ze zbycia paliw ciekłych [„</w:t>
            </w:r>
            <w:proofErr w:type="spellStart"/>
            <w:r w:rsidRPr="003E3747">
              <w:rPr>
                <w:rFonts w:cstheme="minorHAnsi"/>
              </w:rPr>
              <w:t>u.p.n.z</w:t>
            </w:r>
            <w:proofErr w:type="spellEnd"/>
            <w:r w:rsidRPr="003E3747">
              <w:rPr>
                <w:rFonts w:cstheme="minorHAnsi"/>
              </w:rPr>
              <w:t>.”]. Posługiwała się ona w treści pojęciem „</w:t>
            </w:r>
            <w:r w:rsidRPr="003E3747">
              <w:rPr>
                <w:rFonts w:cstheme="minorHAnsi"/>
                <w:i/>
                <w:iCs/>
              </w:rPr>
              <w:t>przychodów osiągniętych ze zbycia paliw ciekłych</w:t>
            </w:r>
            <w:r w:rsidRPr="003E3747">
              <w:rPr>
                <w:rFonts w:cstheme="minorHAnsi"/>
              </w:rPr>
              <w:t>”, co było precyzyjnym określeniem czynności generującej ten przychód. Samo pojęcie wytwarzania (referujące do paliw ciekłych określonych w ustawie o systemie monitorowania i kontrolowania jakości paliw [„</w:t>
            </w:r>
            <w:proofErr w:type="spellStart"/>
            <w:r w:rsidRPr="003E3747">
              <w:rPr>
                <w:rFonts w:cstheme="minorHAnsi"/>
              </w:rPr>
              <w:t>u.s.m.k.j.p</w:t>
            </w:r>
            <w:proofErr w:type="spellEnd"/>
            <w:r w:rsidRPr="003E3747">
              <w:rPr>
                <w:rFonts w:cstheme="minorHAnsi"/>
              </w:rPr>
              <w:t xml:space="preserve">.”]) służyło jedynie do zakreślenia katalogu przedsiębiorców, a nie wyliczania przychodów z tej czynności. </w:t>
            </w:r>
          </w:p>
          <w:p w14:paraId="07C5A905" w14:textId="77777777" w:rsidR="00FC53FD" w:rsidRPr="003E3747" w:rsidRDefault="00FC53FD" w:rsidP="00FC53FD">
            <w:pPr>
              <w:pStyle w:val="Bezodstpw"/>
              <w:jc w:val="both"/>
              <w:rPr>
                <w:rFonts w:cstheme="minorHAnsi"/>
              </w:rPr>
            </w:pPr>
          </w:p>
          <w:p w14:paraId="44F1E33B" w14:textId="77777777" w:rsidR="00FC53FD" w:rsidRPr="003E3747" w:rsidRDefault="00FC53FD" w:rsidP="00FC53FD">
            <w:pPr>
              <w:pStyle w:val="Bezodstpw"/>
              <w:jc w:val="both"/>
              <w:rPr>
                <w:rFonts w:cstheme="minorHAnsi"/>
              </w:rPr>
            </w:pPr>
            <w:r w:rsidRPr="003E3747">
              <w:rPr>
                <w:rFonts w:cstheme="minorHAnsi"/>
              </w:rPr>
              <w:lastRenderedPageBreak/>
              <w:t>Ta sama uwaga dotyczy pojęcia przychodów z wydobycia (ust. 2 pkt 1 lit a) – ta czynność jest neutralna przychodowo, dopiero zbycie wydobytych węglowodorów generuje przychody.</w:t>
            </w:r>
          </w:p>
          <w:p w14:paraId="0EA7340A" w14:textId="77777777" w:rsidR="00FC53FD" w:rsidRPr="003E3747" w:rsidRDefault="00FC53FD" w:rsidP="00FC53FD">
            <w:pPr>
              <w:pStyle w:val="Bezodstpw"/>
              <w:jc w:val="both"/>
              <w:rPr>
                <w:rFonts w:cstheme="minorHAnsi"/>
              </w:rPr>
            </w:pPr>
          </w:p>
          <w:p w14:paraId="3F8422CC" w14:textId="77777777" w:rsidR="00FC53FD" w:rsidRPr="003E3747" w:rsidRDefault="6BF8556D" w:rsidP="6F0EE229">
            <w:pPr>
              <w:pStyle w:val="Bezodstpw"/>
              <w:jc w:val="both"/>
              <w:rPr>
                <w:rFonts w:cstheme="minorHAnsi"/>
                <w:i/>
                <w:iCs/>
              </w:rPr>
            </w:pPr>
            <w:r w:rsidRPr="003E3747">
              <w:rPr>
                <w:rFonts w:cstheme="minorHAnsi"/>
              </w:rPr>
              <w:t>Tych wątpliwości nie rozwiewa w naszej ocenie fragment uzasadnienia stanowiący, że „</w:t>
            </w:r>
            <w:r w:rsidRPr="003E3747">
              <w:rPr>
                <w:rFonts w:cstheme="minorHAnsi"/>
                <w:i/>
                <w:iCs/>
              </w:rPr>
              <w:t>przyjęcie takiego rozwiązania ma na celu zapewnienie, aby przy ocenie spełnienia warunku udziału przychodów uwzględniany był pełny ekonomiczny zakres działalności związanej z przetwórstwem ropy naftowej ciekłych</w:t>
            </w:r>
            <w:r w:rsidR="00FC53FD" w:rsidRPr="003E3747">
              <w:rPr>
                <w:rStyle w:val="Odwoanieprzypisudolnego"/>
                <w:rFonts w:cstheme="minorHAnsi"/>
                <w:i/>
                <w:iCs/>
              </w:rPr>
              <w:footnoteReference w:id="2"/>
            </w:r>
            <w:r w:rsidRPr="003E3747">
              <w:rPr>
                <w:rFonts w:cstheme="minorHAnsi"/>
                <w:i/>
                <w:iCs/>
              </w:rPr>
              <w:t>, jak i sprzedażą paliw do klienta hurtowego albo detalicznego”.</w:t>
            </w:r>
          </w:p>
          <w:p w14:paraId="4B37CAAB" w14:textId="77777777" w:rsidR="00FC53FD" w:rsidRPr="003E3747" w:rsidRDefault="00FC53FD" w:rsidP="00FC53FD">
            <w:pPr>
              <w:pStyle w:val="Bezodstpw"/>
              <w:jc w:val="both"/>
              <w:rPr>
                <w:rFonts w:cstheme="minorHAnsi"/>
                <w:i/>
                <w:iCs/>
              </w:rPr>
            </w:pPr>
          </w:p>
          <w:p w14:paraId="3666E4CD" w14:textId="77777777" w:rsidR="00FC53FD" w:rsidRPr="003E3747" w:rsidRDefault="00FC53FD" w:rsidP="00FC53FD">
            <w:pPr>
              <w:pStyle w:val="Bezodstpw"/>
              <w:jc w:val="both"/>
              <w:rPr>
                <w:rFonts w:cstheme="minorHAnsi"/>
                <w:i/>
                <w:iCs/>
              </w:rPr>
            </w:pPr>
            <w:r w:rsidRPr="003E3747">
              <w:rPr>
                <w:rFonts w:cstheme="minorHAnsi"/>
              </w:rPr>
              <w:t xml:space="preserve">Potencjalnie wywołuje to nawet przypuszczenie, że chodzi tu także o działalność usługową a podmiotami, które faktycznie osiągają przychody z działalności usługowej w zakresie produkcji/wytwarzania mogą być rafinerie </w:t>
            </w:r>
            <w:proofErr w:type="spellStart"/>
            <w:r w:rsidRPr="003E3747">
              <w:rPr>
                <w:rFonts w:cstheme="minorHAnsi"/>
              </w:rPr>
              <w:t>processingowe</w:t>
            </w:r>
            <w:proofErr w:type="spellEnd"/>
            <w:r w:rsidRPr="003E3747">
              <w:rPr>
                <w:rFonts w:cstheme="minorHAnsi"/>
              </w:rPr>
              <w:t xml:space="preserve"> lub usługowe terminale paliw, ew. firmy wydobywające usługowo na zlecenie gaz/ropę – jednak zakładamy, że zakres omawianej ustawy nie dotyczy takich typów działalności.</w:t>
            </w:r>
          </w:p>
          <w:p w14:paraId="24646EC8" w14:textId="77777777" w:rsidR="00FC53FD" w:rsidRPr="003E3747" w:rsidRDefault="00FC53FD" w:rsidP="00FC53FD">
            <w:pPr>
              <w:pStyle w:val="Bezodstpw"/>
              <w:jc w:val="both"/>
              <w:rPr>
                <w:rFonts w:cstheme="minorHAnsi"/>
              </w:rPr>
            </w:pPr>
          </w:p>
          <w:p w14:paraId="3BFAAE1F" w14:textId="4ABD078D" w:rsidR="00FC53FD" w:rsidRPr="003E3747" w:rsidRDefault="00FC53FD" w:rsidP="00FC53FD">
            <w:pPr>
              <w:pStyle w:val="Bezodstpw"/>
              <w:jc w:val="both"/>
              <w:rPr>
                <w:rFonts w:cstheme="minorHAnsi"/>
              </w:rPr>
            </w:pPr>
            <w:r w:rsidRPr="003E3747">
              <w:rPr>
                <w:rFonts w:cstheme="minorHAnsi"/>
              </w:rPr>
              <w:t xml:space="preserve">Wydaje się więc, że sprzeczność </w:t>
            </w:r>
            <w:r w:rsidR="00D452C3" w:rsidRPr="003E3747">
              <w:rPr>
                <w:rFonts w:cstheme="minorHAnsi"/>
              </w:rPr>
              <w:t>między</w:t>
            </w:r>
            <w:r w:rsidRPr="003E3747">
              <w:rPr>
                <w:rFonts w:cstheme="minorHAnsi"/>
              </w:rPr>
              <w:t xml:space="preserve"> treścią projektu a uzasadnienia można usunąć jednocześnie mitygując wątpliwości poprzez np.:</w:t>
            </w:r>
          </w:p>
          <w:p w14:paraId="1AF6AF55" w14:textId="77777777" w:rsidR="00FC53FD" w:rsidRPr="003E3747" w:rsidRDefault="00FC53FD" w:rsidP="00FC53FD">
            <w:pPr>
              <w:pStyle w:val="Bezodstpw"/>
              <w:numPr>
                <w:ilvl w:val="0"/>
                <w:numId w:val="16"/>
              </w:numPr>
              <w:ind w:left="567" w:hanging="425"/>
              <w:jc w:val="both"/>
              <w:rPr>
                <w:rFonts w:cstheme="minorHAnsi"/>
              </w:rPr>
            </w:pPr>
            <w:r w:rsidRPr="003E3747">
              <w:rPr>
                <w:rFonts w:cstheme="minorHAnsi"/>
              </w:rPr>
              <w:t xml:space="preserve">w ust. 2 pkt 4 lit. b odwołanie się do produkcji paliw ciekłych w rozumieniu art. 2 ust. 1 pkt 4 </w:t>
            </w:r>
            <w:proofErr w:type="spellStart"/>
            <w:r w:rsidRPr="003E3747">
              <w:rPr>
                <w:rFonts w:cstheme="minorHAnsi"/>
              </w:rPr>
              <w:t>u.s.m.k.j.p</w:t>
            </w:r>
            <w:proofErr w:type="spellEnd"/>
            <w:r w:rsidRPr="003E3747">
              <w:rPr>
                <w:rFonts w:cstheme="minorHAnsi"/>
              </w:rPr>
              <w:t>., dokładnie tak jak wskazane jest w ust. 2 pkt 1 lit. b albo</w:t>
            </w:r>
          </w:p>
          <w:p w14:paraId="04B12214" w14:textId="77777777" w:rsidR="00FC53FD" w:rsidRPr="003E3747" w:rsidRDefault="00FC53FD" w:rsidP="00FC53FD">
            <w:pPr>
              <w:pStyle w:val="Bezodstpw"/>
              <w:numPr>
                <w:ilvl w:val="0"/>
                <w:numId w:val="16"/>
              </w:numPr>
              <w:ind w:left="567" w:hanging="425"/>
              <w:jc w:val="both"/>
              <w:rPr>
                <w:rFonts w:cstheme="minorHAnsi"/>
              </w:rPr>
            </w:pPr>
            <w:r w:rsidRPr="003E3747">
              <w:rPr>
                <w:rFonts w:cstheme="minorHAnsi"/>
              </w:rPr>
              <w:lastRenderedPageBreak/>
              <w:t xml:space="preserve">po prostu w całym ust. 2 pkt 4 odwołać się do zakresu działalności określonego w pkt 1 lit. a-e. </w:t>
            </w:r>
          </w:p>
          <w:p w14:paraId="1A7516B6" w14:textId="77777777" w:rsidR="00FC53FD" w:rsidRPr="003E3747" w:rsidRDefault="00FC53FD" w:rsidP="00FC53FD">
            <w:pPr>
              <w:pStyle w:val="Bezodstpw"/>
              <w:jc w:val="both"/>
              <w:rPr>
                <w:rFonts w:cstheme="minorHAnsi"/>
              </w:rPr>
            </w:pPr>
          </w:p>
          <w:p w14:paraId="18F4F57F" w14:textId="77777777" w:rsidR="00FC53FD" w:rsidRPr="003E3747" w:rsidRDefault="00FC53FD" w:rsidP="00FC53FD">
            <w:pPr>
              <w:pStyle w:val="Bezodstpw"/>
              <w:jc w:val="both"/>
              <w:rPr>
                <w:rFonts w:cstheme="minorHAnsi"/>
              </w:rPr>
            </w:pPr>
            <w:r w:rsidRPr="003E3747">
              <w:rPr>
                <w:rFonts w:cstheme="minorHAnsi"/>
              </w:rPr>
              <w:t xml:space="preserve">Dodatkowo dla większej precyzji ust. 2 pkt 4 lit b. winien stanowić – analogicznie jak w </w:t>
            </w:r>
            <w:proofErr w:type="spellStart"/>
            <w:r w:rsidRPr="003E3747">
              <w:rPr>
                <w:rFonts w:cstheme="minorHAnsi"/>
              </w:rPr>
              <w:t>u.p.n.z</w:t>
            </w:r>
            <w:proofErr w:type="spellEnd"/>
            <w:r w:rsidRPr="003E3747">
              <w:rPr>
                <w:rFonts w:cstheme="minorHAnsi"/>
              </w:rPr>
              <w:t xml:space="preserve">. – o przychodach ze zbycia wyprodukowanych paliw ciekłych w rozumieniu </w:t>
            </w:r>
            <w:proofErr w:type="spellStart"/>
            <w:r w:rsidRPr="003E3747">
              <w:rPr>
                <w:rFonts w:cstheme="minorHAnsi"/>
              </w:rPr>
              <w:t>u.s.m.k.j.p</w:t>
            </w:r>
            <w:proofErr w:type="spellEnd"/>
            <w:r w:rsidRPr="003E3747">
              <w:rPr>
                <w:rFonts w:cstheme="minorHAnsi"/>
              </w:rPr>
              <w:t>, a ust. 2 pkt 1 lit. a – o przychodach ze zbycia wydobytego gazu ziemnego i ropy naftowej.</w:t>
            </w:r>
          </w:p>
          <w:p w14:paraId="6BAA9647" w14:textId="0553838F" w:rsidR="00FC53FD" w:rsidRPr="003E3747" w:rsidRDefault="00FC53FD" w:rsidP="00FC53FD">
            <w:pPr>
              <w:pStyle w:val="Bezodstpw"/>
              <w:jc w:val="both"/>
              <w:rPr>
                <w:rFonts w:cstheme="minorHAnsi"/>
              </w:rPr>
            </w:pPr>
            <w:r w:rsidRPr="003E3747">
              <w:rPr>
                <w:rFonts w:cstheme="minorHAnsi"/>
              </w:rPr>
              <w:t xml:space="preserve">       </w:t>
            </w:r>
          </w:p>
          <w:p w14:paraId="0A540BE5" w14:textId="77777777" w:rsidR="00FC53FD" w:rsidRPr="003E3747" w:rsidRDefault="00FC53FD" w:rsidP="00FC53FD">
            <w:pPr>
              <w:pStyle w:val="Bezodstpw"/>
              <w:numPr>
                <w:ilvl w:val="0"/>
                <w:numId w:val="17"/>
              </w:numPr>
              <w:ind w:left="426" w:hanging="426"/>
              <w:jc w:val="both"/>
              <w:rPr>
                <w:rFonts w:cstheme="minorHAnsi"/>
              </w:rPr>
            </w:pPr>
            <w:r w:rsidRPr="003E3747">
              <w:rPr>
                <w:rFonts w:cstheme="minorHAnsi"/>
              </w:rPr>
              <w:t xml:space="preserve">Podmioty sprzedające smary, biopaliwa, itp. </w:t>
            </w:r>
          </w:p>
          <w:p w14:paraId="55590B75" w14:textId="77777777" w:rsidR="00FC53FD" w:rsidRPr="003E3747" w:rsidRDefault="00FC53FD" w:rsidP="00FC53FD">
            <w:pPr>
              <w:pStyle w:val="Bezodstpw"/>
              <w:jc w:val="both"/>
              <w:rPr>
                <w:rFonts w:cstheme="minorHAnsi"/>
              </w:rPr>
            </w:pPr>
          </w:p>
          <w:p w14:paraId="54197B58" w14:textId="77777777" w:rsidR="00FC53FD" w:rsidRPr="003E3747" w:rsidRDefault="00FC53FD" w:rsidP="00FC53FD">
            <w:pPr>
              <w:pStyle w:val="Bezodstpw"/>
              <w:jc w:val="both"/>
              <w:rPr>
                <w:rFonts w:cstheme="minorHAnsi"/>
                <w:i/>
                <w:iCs/>
              </w:rPr>
            </w:pPr>
            <w:r w:rsidRPr="003E3747">
              <w:rPr>
                <w:rFonts w:cstheme="minorHAnsi"/>
              </w:rPr>
              <w:t xml:space="preserve">W projektowanym ust. 2 pkt 1 zawarte są odwołania do dwóch różnych zakresowo definicji paliw ciekłych – w lit. b do dość precyzyjnej definicji z </w:t>
            </w:r>
            <w:proofErr w:type="spellStart"/>
            <w:r w:rsidRPr="003E3747">
              <w:rPr>
                <w:rFonts w:cstheme="minorHAnsi"/>
              </w:rPr>
              <w:t>u.s.m.k.j.p</w:t>
            </w:r>
            <w:proofErr w:type="spellEnd"/>
            <w:r w:rsidRPr="003E3747">
              <w:rPr>
                <w:rFonts w:cstheme="minorHAnsi"/>
              </w:rPr>
              <w:t xml:space="preserve">. (obejmującej benzyny silnikowe i oleje napędowe), zaś w lit. c do szerokiej definicji z art. 3 pkt. 3b </w:t>
            </w:r>
            <w:proofErr w:type="spellStart"/>
            <w:r w:rsidRPr="003E3747">
              <w:rPr>
                <w:rFonts w:cstheme="minorHAnsi"/>
              </w:rPr>
              <w:t>u.p.e</w:t>
            </w:r>
            <w:proofErr w:type="spellEnd"/>
            <w:r w:rsidRPr="003E3747">
              <w:rPr>
                <w:rFonts w:cstheme="minorHAnsi"/>
              </w:rPr>
              <w:t>, zgodnie z którą paliwa ciekłe są to: „</w:t>
            </w:r>
            <w:r w:rsidRPr="003E3747">
              <w:rPr>
                <w:rFonts w:cstheme="minorHAnsi"/>
                <w:i/>
                <w:iCs/>
              </w:rPr>
              <w:t>ciekłe nośniki energii, w tym zawierające dodatki:</w:t>
            </w:r>
          </w:p>
          <w:p w14:paraId="709DB1C3" w14:textId="77777777" w:rsidR="00FC53FD" w:rsidRPr="003E3747" w:rsidRDefault="00FC53FD" w:rsidP="00FC53FD">
            <w:pPr>
              <w:pStyle w:val="Bezodstpw"/>
              <w:ind w:left="426" w:hanging="284"/>
              <w:jc w:val="both"/>
              <w:rPr>
                <w:rFonts w:cstheme="minorHAnsi"/>
                <w:i/>
                <w:iCs/>
              </w:rPr>
            </w:pPr>
            <w:r w:rsidRPr="003E3747">
              <w:rPr>
                <w:rFonts w:cstheme="minorHAnsi"/>
                <w:i/>
                <w:iCs/>
              </w:rPr>
              <w:t>a)</w:t>
            </w:r>
            <w:r w:rsidRPr="003E3747">
              <w:rPr>
                <w:rFonts w:cstheme="minorHAnsi"/>
                <w:i/>
                <w:iCs/>
              </w:rPr>
              <w:tab/>
              <w:t xml:space="preserve"> półprodukty rafineryjne,</w:t>
            </w:r>
          </w:p>
          <w:p w14:paraId="6CB97B06" w14:textId="77777777" w:rsidR="00FC53FD" w:rsidRPr="003E3747" w:rsidRDefault="00FC53FD" w:rsidP="00FC53FD">
            <w:pPr>
              <w:pStyle w:val="Bezodstpw"/>
              <w:ind w:left="426" w:hanging="284"/>
              <w:jc w:val="both"/>
              <w:rPr>
                <w:rFonts w:cstheme="minorHAnsi"/>
                <w:i/>
                <w:iCs/>
              </w:rPr>
            </w:pPr>
            <w:r w:rsidRPr="003E3747">
              <w:rPr>
                <w:rFonts w:cstheme="minorHAnsi"/>
                <w:i/>
                <w:iCs/>
              </w:rPr>
              <w:t>b)</w:t>
            </w:r>
            <w:r w:rsidRPr="003E3747">
              <w:rPr>
                <w:rFonts w:cstheme="minorHAnsi"/>
                <w:i/>
                <w:iCs/>
              </w:rPr>
              <w:tab/>
              <w:t xml:space="preserve"> gaz płynny LPG,</w:t>
            </w:r>
          </w:p>
          <w:p w14:paraId="22B198AE" w14:textId="77777777" w:rsidR="00FC53FD" w:rsidRPr="003E3747" w:rsidRDefault="00FC53FD" w:rsidP="00FC53FD">
            <w:pPr>
              <w:pStyle w:val="Bezodstpw"/>
              <w:ind w:left="426" w:hanging="284"/>
              <w:jc w:val="both"/>
              <w:rPr>
                <w:rFonts w:cstheme="minorHAnsi"/>
                <w:i/>
                <w:iCs/>
              </w:rPr>
            </w:pPr>
            <w:r w:rsidRPr="003E3747">
              <w:rPr>
                <w:rFonts w:cstheme="minorHAnsi"/>
                <w:i/>
                <w:iCs/>
              </w:rPr>
              <w:t>c)</w:t>
            </w:r>
            <w:r w:rsidRPr="003E3747">
              <w:rPr>
                <w:rFonts w:cstheme="minorHAnsi"/>
                <w:i/>
                <w:iCs/>
              </w:rPr>
              <w:tab/>
              <w:t xml:space="preserve"> benzyny ciężkie,</w:t>
            </w:r>
          </w:p>
          <w:p w14:paraId="123B1CA9" w14:textId="77777777" w:rsidR="00FC53FD" w:rsidRPr="003E3747" w:rsidRDefault="00FC53FD" w:rsidP="00FC53FD">
            <w:pPr>
              <w:pStyle w:val="Bezodstpw"/>
              <w:ind w:left="426" w:hanging="284"/>
              <w:jc w:val="both"/>
              <w:rPr>
                <w:rFonts w:cstheme="minorHAnsi"/>
                <w:i/>
                <w:iCs/>
              </w:rPr>
            </w:pPr>
            <w:r w:rsidRPr="003E3747">
              <w:rPr>
                <w:rFonts w:cstheme="minorHAnsi"/>
                <w:i/>
                <w:iCs/>
              </w:rPr>
              <w:t>d)</w:t>
            </w:r>
            <w:r w:rsidRPr="003E3747">
              <w:rPr>
                <w:rFonts w:cstheme="minorHAnsi"/>
                <w:i/>
                <w:iCs/>
              </w:rPr>
              <w:tab/>
              <w:t xml:space="preserve"> benzyny silnikowe,</w:t>
            </w:r>
          </w:p>
          <w:p w14:paraId="00C743E2" w14:textId="77777777" w:rsidR="00FC53FD" w:rsidRPr="003E3747" w:rsidRDefault="00FC53FD" w:rsidP="00FC53FD">
            <w:pPr>
              <w:pStyle w:val="Bezodstpw"/>
              <w:ind w:left="426" w:hanging="284"/>
              <w:jc w:val="both"/>
              <w:rPr>
                <w:rFonts w:cstheme="minorHAnsi"/>
                <w:i/>
                <w:iCs/>
              </w:rPr>
            </w:pPr>
            <w:r w:rsidRPr="003E3747">
              <w:rPr>
                <w:rFonts w:cstheme="minorHAnsi"/>
                <w:i/>
                <w:iCs/>
              </w:rPr>
              <w:t>e)</w:t>
            </w:r>
            <w:r w:rsidRPr="003E3747">
              <w:rPr>
                <w:rFonts w:cstheme="minorHAnsi"/>
                <w:i/>
                <w:iCs/>
              </w:rPr>
              <w:tab/>
              <w:t xml:space="preserve"> benzyny lotnicze,</w:t>
            </w:r>
          </w:p>
          <w:p w14:paraId="7783E953" w14:textId="77777777" w:rsidR="00FC53FD" w:rsidRPr="003E3747" w:rsidRDefault="00FC53FD" w:rsidP="00FC53FD">
            <w:pPr>
              <w:pStyle w:val="Bezodstpw"/>
              <w:ind w:left="426" w:hanging="284"/>
              <w:jc w:val="both"/>
              <w:rPr>
                <w:rFonts w:cstheme="minorHAnsi"/>
                <w:i/>
                <w:iCs/>
              </w:rPr>
            </w:pPr>
            <w:r w:rsidRPr="003E3747">
              <w:rPr>
                <w:rFonts w:cstheme="minorHAnsi"/>
                <w:i/>
                <w:iCs/>
              </w:rPr>
              <w:t>f)</w:t>
            </w:r>
            <w:r w:rsidRPr="003E3747">
              <w:rPr>
                <w:rFonts w:cstheme="minorHAnsi"/>
                <w:i/>
                <w:iCs/>
              </w:rPr>
              <w:tab/>
              <w:t xml:space="preserve"> paliwa typu benzynowego do silników odrzutowych,</w:t>
            </w:r>
          </w:p>
          <w:p w14:paraId="1A9B0626" w14:textId="77777777" w:rsidR="00FC53FD" w:rsidRPr="003E3747" w:rsidRDefault="00FC53FD" w:rsidP="00FC53FD">
            <w:pPr>
              <w:pStyle w:val="Bezodstpw"/>
              <w:ind w:left="426" w:hanging="284"/>
              <w:jc w:val="both"/>
              <w:rPr>
                <w:rFonts w:cstheme="minorHAnsi"/>
                <w:i/>
                <w:iCs/>
              </w:rPr>
            </w:pPr>
            <w:r w:rsidRPr="003E3747">
              <w:rPr>
                <w:rFonts w:cstheme="minorHAnsi"/>
                <w:i/>
                <w:iCs/>
              </w:rPr>
              <w:t>g)</w:t>
            </w:r>
            <w:r w:rsidRPr="003E3747">
              <w:rPr>
                <w:rFonts w:cstheme="minorHAnsi"/>
                <w:i/>
                <w:iCs/>
              </w:rPr>
              <w:tab/>
              <w:t xml:space="preserve"> paliwa typu nafty do silników odrzutowych,</w:t>
            </w:r>
          </w:p>
          <w:p w14:paraId="48479B86" w14:textId="77777777" w:rsidR="00FC53FD" w:rsidRPr="003E3747" w:rsidRDefault="00FC53FD" w:rsidP="00FC53FD">
            <w:pPr>
              <w:pStyle w:val="Bezodstpw"/>
              <w:ind w:left="426" w:hanging="284"/>
              <w:jc w:val="both"/>
              <w:rPr>
                <w:rFonts w:cstheme="minorHAnsi"/>
                <w:i/>
                <w:iCs/>
              </w:rPr>
            </w:pPr>
            <w:r w:rsidRPr="003E3747">
              <w:rPr>
                <w:rFonts w:cstheme="minorHAnsi"/>
                <w:i/>
                <w:iCs/>
              </w:rPr>
              <w:t>h)</w:t>
            </w:r>
            <w:r w:rsidRPr="003E3747">
              <w:rPr>
                <w:rFonts w:cstheme="minorHAnsi"/>
                <w:i/>
                <w:iCs/>
              </w:rPr>
              <w:tab/>
              <w:t xml:space="preserve"> inne rodzaje nafty,</w:t>
            </w:r>
          </w:p>
          <w:p w14:paraId="7E263499" w14:textId="77777777" w:rsidR="00FC53FD" w:rsidRPr="003E3747" w:rsidRDefault="00FC53FD" w:rsidP="00FC53FD">
            <w:pPr>
              <w:pStyle w:val="Bezodstpw"/>
              <w:ind w:left="426" w:hanging="284"/>
              <w:jc w:val="both"/>
              <w:rPr>
                <w:rFonts w:cstheme="minorHAnsi"/>
                <w:i/>
                <w:iCs/>
              </w:rPr>
            </w:pPr>
            <w:r w:rsidRPr="003E3747">
              <w:rPr>
                <w:rFonts w:cstheme="minorHAnsi"/>
                <w:i/>
                <w:iCs/>
              </w:rPr>
              <w:t>i)</w:t>
            </w:r>
            <w:r w:rsidRPr="003E3747">
              <w:rPr>
                <w:rFonts w:cstheme="minorHAnsi"/>
                <w:i/>
                <w:iCs/>
              </w:rPr>
              <w:tab/>
              <w:t xml:space="preserve"> oleje napędowe, w tym lekkie oleje opałowe,</w:t>
            </w:r>
          </w:p>
          <w:p w14:paraId="1ABCD861" w14:textId="77777777" w:rsidR="00FC53FD" w:rsidRPr="003E3747" w:rsidRDefault="00FC53FD" w:rsidP="00FC53FD">
            <w:pPr>
              <w:pStyle w:val="Bezodstpw"/>
              <w:ind w:left="426" w:hanging="284"/>
              <w:jc w:val="both"/>
              <w:rPr>
                <w:rFonts w:cstheme="minorHAnsi"/>
                <w:i/>
                <w:iCs/>
              </w:rPr>
            </w:pPr>
            <w:r w:rsidRPr="003E3747">
              <w:rPr>
                <w:rFonts w:cstheme="minorHAnsi"/>
                <w:i/>
                <w:iCs/>
              </w:rPr>
              <w:t>j)</w:t>
            </w:r>
            <w:r w:rsidRPr="003E3747">
              <w:rPr>
                <w:rFonts w:cstheme="minorHAnsi"/>
                <w:i/>
                <w:iCs/>
              </w:rPr>
              <w:tab/>
              <w:t xml:space="preserve"> ciężkie oleje opałowe,</w:t>
            </w:r>
          </w:p>
          <w:p w14:paraId="59C5D262" w14:textId="77777777" w:rsidR="00FC53FD" w:rsidRPr="003E3747" w:rsidRDefault="00FC53FD" w:rsidP="00FC53FD">
            <w:pPr>
              <w:pStyle w:val="Bezodstpw"/>
              <w:ind w:left="426" w:hanging="284"/>
              <w:jc w:val="both"/>
              <w:rPr>
                <w:rFonts w:cstheme="minorHAnsi"/>
                <w:i/>
                <w:iCs/>
              </w:rPr>
            </w:pPr>
            <w:r w:rsidRPr="003E3747">
              <w:rPr>
                <w:rFonts w:cstheme="minorHAnsi"/>
                <w:i/>
                <w:iCs/>
              </w:rPr>
              <w:t>k)</w:t>
            </w:r>
            <w:r w:rsidRPr="003E3747">
              <w:rPr>
                <w:rFonts w:cstheme="minorHAnsi"/>
                <w:i/>
                <w:iCs/>
              </w:rPr>
              <w:tab/>
              <w:t xml:space="preserve"> benzyny lakowe i przemysłowe,</w:t>
            </w:r>
          </w:p>
          <w:p w14:paraId="1524EEF1" w14:textId="77777777" w:rsidR="00FC53FD" w:rsidRPr="003E3747" w:rsidRDefault="00FC53FD" w:rsidP="00FC53FD">
            <w:pPr>
              <w:pStyle w:val="Bezodstpw"/>
              <w:ind w:left="426" w:hanging="284"/>
              <w:jc w:val="both"/>
              <w:rPr>
                <w:rFonts w:cstheme="minorHAnsi"/>
                <w:i/>
                <w:iCs/>
              </w:rPr>
            </w:pPr>
            <w:r w:rsidRPr="003E3747">
              <w:rPr>
                <w:rFonts w:cstheme="minorHAnsi"/>
                <w:i/>
                <w:iCs/>
              </w:rPr>
              <w:t>l)</w:t>
            </w:r>
            <w:r w:rsidRPr="003E3747">
              <w:rPr>
                <w:rFonts w:cstheme="minorHAnsi"/>
                <w:i/>
                <w:iCs/>
              </w:rPr>
              <w:tab/>
              <w:t xml:space="preserve"> biopaliwa ciekłe,</w:t>
            </w:r>
          </w:p>
          <w:p w14:paraId="44EF5843" w14:textId="77777777" w:rsidR="00FC53FD" w:rsidRPr="003E3747" w:rsidRDefault="00FC53FD" w:rsidP="00FC53FD">
            <w:pPr>
              <w:pStyle w:val="Bezodstpw"/>
              <w:ind w:left="426" w:hanging="284"/>
              <w:jc w:val="both"/>
              <w:rPr>
                <w:rFonts w:cstheme="minorHAnsi"/>
              </w:rPr>
            </w:pPr>
            <w:r w:rsidRPr="003E3747">
              <w:rPr>
                <w:rFonts w:cstheme="minorHAnsi"/>
                <w:i/>
                <w:iCs/>
              </w:rPr>
              <w:lastRenderedPageBreak/>
              <w:t>m)</w:t>
            </w:r>
            <w:r w:rsidRPr="003E3747">
              <w:rPr>
                <w:rFonts w:cstheme="minorHAnsi"/>
                <w:i/>
                <w:iCs/>
              </w:rPr>
              <w:tab/>
              <w:t xml:space="preserve"> smary</w:t>
            </w:r>
            <w:r w:rsidRPr="003E3747">
              <w:rPr>
                <w:rFonts w:cstheme="minorHAnsi"/>
              </w:rPr>
              <w:t>”.</w:t>
            </w:r>
          </w:p>
          <w:p w14:paraId="2D19CB79" w14:textId="77777777" w:rsidR="00FC53FD" w:rsidRPr="003E3747" w:rsidRDefault="00FC53FD" w:rsidP="00FC53FD">
            <w:pPr>
              <w:pStyle w:val="Bezodstpw"/>
              <w:jc w:val="both"/>
              <w:rPr>
                <w:rFonts w:cstheme="minorHAnsi"/>
              </w:rPr>
            </w:pPr>
          </w:p>
          <w:p w14:paraId="519F9F39" w14:textId="77777777" w:rsidR="00FC53FD" w:rsidRPr="003E3747" w:rsidRDefault="00FC53FD" w:rsidP="00FC53FD">
            <w:pPr>
              <w:pStyle w:val="Bezodstpw"/>
              <w:jc w:val="both"/>
              <w:rPr>
                <w:rFonts w:cstheme="minorHAnsi"/>
              </w:rPr>
            </w:pPr>
            <w:r w:rsidRPr="003E3747">
              <w:rPr>
                <w:rFonts w:cstheme="minorHAnsi"/>
              </w:rPr>
              <w:t xml:space="preserve">Rodzi to zasadniczą wątpliwość, czy taki był zamysł projektodawcy, że np. przedsiębiorcy prowadzący działalność w zakresie produkcji smarów, biopaliw, nafty etc. nie byliby objęci wyższą stawką opodatkowania, a ci dokonujący obrotu tymi towarami – już tak. </w:t>
            </w:r>
          </w:p>
          <w:p w14:paraId="73AC255F" w14:textId="77777777" w:rsidR="00FC53FD" w:rsidRPr="003E3747" w:rsidRDefault="00FC53FD" w:rsidP="00FC53FD">
            <w:pPr>
              <w:pStyle w:val="Bezodstpw"/>
              <w:jc w:val="both"/>
              <w:rPr>
                <w:rFonts w:cstheme="minorHAnsi"/>
              </w:rPr>
            </w:pPr>
          </w:p>
          <w:p w14:paraId="7EA7D178" w14:textId="3A7670F7" w:rsidR="00FC53FD" w:rsidRPr="003E3747" w:rsidRDefault="00FC53FD" w:rsidP="00FC53FD">
            <w:pPr>
              <w:pStyle w:val="Bezodstpw"/>
              <w:jc w:val="both"/>
              <w:rPr>
                <w:rFonts w:cstheme="minorHAnsi"/>
              </w:rPr>
            </w:pPr>
            <w:r w:rsidRPr="003E3747">
              <w:rPr>
                <w:rFonts w:cstheme="minorHAnsi"/>
              </w:rPr>
              <w:t xml:space="preserve">Sądzimy, że dla konsekwencji powinno się te definicje paliw ciekłych w ust. 2 pkt 1 lit. b i c ujednolicić, odwołując się w obu do definicji zawartej w </w:t>
            </w:r>
            <w:proofErr w:type="spellStart"/>
            <w:r w:rsidRPr="003E3747">
              <w:rPr>
                <w:rFonts w:cstheme="minorHAnsi"/>
              </w:rPr>
              <w:t>u.s.m.k.j.p</w:t>
            </w:r>
            <w:proofErr w:type="spellEnd"/>
            <w:r w:rsidRPr="003E3747">
              <w:rPr>
                <w:rFonts w:cstheme="minorHAnsi"/>
              </w:rPr>
              <w:t xml:space="preserve">. </w:t>
            </w:r>
          </w:p>
        </w:tc>
        <w:tc>
          <w:tcPr>
            <w:tcW w:w="4155" w:type="dxa"/>
            <w:vAlign w:val="center"/>
          </w:tcPr>
          <w:p w14:paraId="071BD3F8" w14:textId="77777777" w:rsidR="00FC53FD" w:rsidRPr="003E3747" w:rsidRDefault="00FC53FD" w:rsidP="2F9B227B">
            <w:pPr>
              <w:rPr>
                <w:rFonts w:eastAsia="Lato" w:cstheme="minorHAnsi"/>
                <w:i/>
                <w:iCs/>
              </w:rPr>
            </w:pPr>
          </w:p>
        </w:tc>
        <w:tc>
          <w:tcPr>
            <w:tcW w:w="1900" w:type="dxa"/>
            <w:vAlign w:val="center"/>
          </w:tcPr>
          <w:p w14:paraId="519F8FCF" w14:textId="77777777" w:rsidR="00FC53FD" w:rsidRPr="003E3747" w:rsidRDefault="00FC53FD" w:rsidP="2F9B227B">
            <w:pPr>
              <w:jc w:val="center"/>
              <w:rPr>
                <w:rFonts w:cstheme="minorHAnsi"/>
              </w:rPr>
            </w:pPr>
          </w:p>
        </w:tc>
      </w:tr>
      <w:tr w:rsidR="00220114" w:rsidRPr="003E3747" w14:paraId="3DBAF209" w14:textId="77777777" w:rsidTr="00A05649">
        <w:trPr>
          <w:trHeight w:val="300"/>
        </w:trPr>
        <w:tc>
          <w:tcPr>
            <w:tcW w:w="562" w:type="dxa"/>
          </w:tcPr>
          <w:p w14:paraId="47ADAE58" w14:textId="4FD7F416" w:rsidR="00220114" w:rsidRPr="003E3747" w:rsidRDefault="00220114" w:rsidP="00A05649">
            <w:pPr>
              <w:pStyle w:val="Akapitzlist"/>
              <w:numPr>
                <w:ilvl w:val="0"/>
                <w:numId w:val="21"/>
              </w:numPr>
              <w:jc w:val="center"/>
              <w:rPr>
                <w:rFonts w:cstheme="minorHAnsi"/>
              </w:rPr>
            </w:pPr>
          </w:p>
        </w:tc>
        <w:tc>
          <w:tcPr>
            <w:tcW w:w="1560" w:type="dxa"/>
          </w:tcPr>
          <w:p w14:paraId="6D063B03" w14:textId="11D7F293" w:rsidR="00220114" w:rsidRPr="003E3747" w:rsidRDefault="00CC0F00"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2312C226" w14:textId="0C420607" w:rsidR="00220114" w:rsidRPr="003E3747" w:rsidRDefault="00220114" w:rsidP="00A05649">
            <w:pPr>
              <w:ind w:left="-20"/>
              <w:jc w:val="center"/>
              <w:rPr>
                <w:rFonts w:eastAsia="Lato" w:cstheme="minorHAnsi"/>
              </w:rPr>
            </w:pPr>
            <w:r w:rsidRPr="003E3747">
              <w:rPr>
                <w:rFonts w:eastAsia="Lato" w:cstheme="minorHAnsi"/>
                <w:color w:val="000000" w:themeColor="text1"/>
              </w:rPr>
              <w:t>Art. 3 ust. 2</w:t>
            </w:r>
          </w:p>
        </w:tc>
        <w:tc>
          <w:tcPr>
            <w:tcW w:w="4988" w:type="dxa"/>
            <w:vAlign w:val="center"/>
          </w:tcPr>
          <w:p w14:paraId="21AF008D" w14:textId="5BEDF2BD" w:rsidR="00220114" w:rsidRPr="003E3747" w:rsidRDefault="00220114" w:rsidP="00220114">
            <w:pPr>
              <w:jc w:val="both"/>
              <w:rPr>
                <w:rFonts w:eastAsiaTheme="minorEastAsia" w:cstheme="minorHAnsi"/>
                <w:color w:val="000000" w:themeColor="text1"/>
              </w:rPr>
            </w:pPr>
            <w:r w:rsidRPr="003E3747">
              <w:rPr>
                <w:rFonts w:eastAsia="Lato" w:cstheme="minorHAnsi"/>
                <w:color w:val="000000" w:themeColor="text1"/>
              </w:rPr>
              <w:t>Okres wsparcia ograniczony do 3 lat jest niewystarczający dla przedsiębiorstw energochłonnych. Utrzymująca się różnica pomiędzy cenami energii w Polsce a cenami energii u głównych konkurentów poza UE może utrzymywać się dłużej niż do 2030 r. Wsparcie powinno obowiązywać do czasu trwałej poprawy konkurencyjności kosztowej przemysłu.</w:t>
            </w:r>
          </w:p>
        </w:tc>
        <w:tc>
          <w:tcPr>
            <w:tcW w:w="4155" w:type="dxa"/>
            <w:vAlign w:val="center"/>
          </w:tcPr>
          <w:p w14:paraId="51B4E568" w14:textId="56257525" w:rsidR="00220114" w:rsidRPr="003E3747" w:rsidRDefault="00CC0F00" w:rsidP="00CB435F">
            <w:pPr>
              <w:jc w:val="both"/>
              <w:rPr>
                <w:rFonts w:eastAsia="Lato" w:cstheme="minorHAnsi"/>
                <w:i/>
                <w:iCs/>
              </w:rPr>
            </w:pPr>
            <w:r w:rsidRPr="003E3747">
              <w:rPr>
                <w:rFonts w:eastAsia="Lato" w:cstheme="minorHAnsi"/>
                <w:color w:val="000000" w:themeColor="text1"/>
              </w:rPr>
              <w:t>Proponuje się w</w:t>
            </w:r>
            <w:r w:rsidR="00220114" w:rsidRPr="003E3747">
              <w:rPr>
                <w:rFonts w:eastAsia="Lato" w:cstheme="minorHAnsi"/>
                <w:color w:val="000000" w:themeColor="text1"/>
              </w:rPr>
              <w:t>ydłużenie okresu wsparcia lub uzależnienie jego zakończenia od określonych wskaźników cen energii elektrycznej.</w:t>
            </w:r>
          </w:p>
        </w:tc>
        <w:tc>
          <w:tcPr>
            <w:tcW w:w="1900" w:type="dxa"/>
            <w:vAlign w:val="center"/>
          </w:tcPr>
          <w:p w14:paraId="23D1ABDD" w14:textId="77777777" w:rsidR="00220114" w:rsidRPr="003E3747" w:rsidRDefault="00220114" w:rsidP="00220114">
            <w:pPr>
              <w:jc w:val="center"/>
              <w:rPr>
                <w:rFonts w:cstheme="minorHAnsi"/>
              </w:rPr>
            </w:pPr>
          </w:p>
        </w:tc>
      </w:tr>
      <w:tr w:rsidR="00080923" w:rsidRPr="003E3747" w14:paraId="77FA0A3C" w14:textId="77777777" w:rsidTr="00A05649">
        <w:trPr>
          <w:trHeight w:val="300"/>
        </w:trPr>
        <w:tc>
          <w:tcPr>
            <w:tcW w:w="562" w:type="dxa"/>
          </w:tcPr>
          <w:p w14:paraId="1970FEAA" w14:textId="5304E86B" w:rsidR="00080923" w:rsidRPr="003E3747" w:rsidRDefault="00080923" w:rsidP="00A05649">
            <w:pPr>
              <w:pStyle w:val="Akapitzlist"/>
              <w:numPr>
                <w:ilvl w:val="0"/>
                <w:numId w:val="21"/>
              </w:numPr>
              <w:jc w:val="center"/>
              <w:rPr>
                <w:rFonts w:cstheme="minorHAnsi"/>
              </w:rPr>
            </w:pPr>
          </w:p>
        </w:tc>
        <w:tc>
          <w:tcPr>
            <w:tcW w:w="1560" w:type="dxa"/>
          </w:tcPr>
          <w:p w14:paraId="1EE685F8" w14:textId="0751F332" w:rsidR="00080923" w:rsidRPr="003E3747" w:rsidRDefault="00CC0F00" w:rsidP="00A05649">
            <w:pPr>
              <w:ind w:left="34"/>
              <w:jc w:val="center"/>
              <w:rPr>
                <w:rFonts w:eastAsia="Lato" w:cstheme="minorHAnsi"/>
                <w:color w:val="000000" w:themeColor="text1"/>
              </w:rPr>
            </w:pPr>
            <w:r w:rsidRPr="003E3747">
              <w:rPr>
                <w:rFonts w:eastAsia="Lato" w:cstheme="minorHAnsi"/>
                <w:color w:val="000000" w:themeColor="text1"/>
              </w:rPr>
              <w:t>Konfederacja Lewiatan</w:t>
            </w:r>
          </w:p>
        </w:tc>
        <w:tc>
          <w:tcPr>
            <w:tcW w:w="1842" w:type="dxa"/>
          </w:tcPr>
          <w:p w14:paraId="0CAE3624" w14:textId="53E29CC1" w:rsidR="00080923" w:rsidRPr="003E3747" w:rsidRDefault="00080923" w:rsidP="00A05649">
            <w:pPr>
              <w:ind w:left="-20"/>
              <w:jc w:val="center"/>
              <w:rPr>
                <w:rFonts w:eastAsia="Lato" w:cstheme="minorHAnsi"/>
                <w:color w:val="000000" w:themeColor="text1"/>
              </w:rPr>
            </w:pPr>
            <w:r w:rsidRPr="003E3747">
              <w:rPr>
                <w:rFonts w:cstheme="minorHAnsi"/>
              </w:rPr>
              <w:t>Art. 3 ust. 3</w:t>
            </w:r>
          </w:p>
        </w:tc>
        <w:tc>
          <w:tcPr>
            <w:tcW w:w="4988" w:type="dxa"/>
            <w:vAlign w:val="center"/>
          </w:tcPr>
          <w:p w14:paraId="1A68564A" w14:textId="77777777" w:rsidR="00080923" w:rsidRPr="003E3747" w:rsidRDefault="00080923" w:rsidP="00080923">
            <w:pPr>
              <w:spacing w:before="120" w:after="120"/>
              <w:jc w:val="both"/>
              <w:rPr>
                <w:rFonts w:cstheme="minorHAnsi"/>
                <w:color w:val="000000"/>
              </w:rPr>
            </w:pPr>
            <w:r w:rsidRPr="003E3747">
              <w:rPr>
                <w:rFonts w:cstheme="minorHAnsi"/>
                <w:color w:val="000000"/>
              </w:rPr>
              <w:t xml:space="preserve">Art. 3 ust. 3 projektu uzależnia maksymalną wysokość wsparcia w przeliczeniu na jedną megawatogodzinę kwalifikującego się zużycia poprzez odniesienie do 50% średniej arytmetycznej ceny RCE w okresie kwalifikowanym. </w:t>
            </w:r>
          </w:p>
          <w:p w14:paraId="2FC30B48" w14:textId="77777777" w:rsidR="00080923" w:rsidRPr="003E3747" w:rsidRDefault="00080923" w:rsidP="00080923">
            <w:pPr>
              <w:spacing w:before="120" w:after="120"/>
              <w:jc w:val="both"/>
              <w:rPr>
                <w:rFonts w:cstheme="minorHAnsi"/>
                <w:color w:val="000000"/>
              </w:rPr>
            </w:pPr>
            <w:r w:rsidRPr="003E3747">
              <w:rPr>
                <w:rFonts w:cstheme="minorHAnsi"/>
                <w:color w:val="000000"/>
              </w:rPr>
              <w:t xml:space="preserve">Proponujemy zmianę art. 3 ust. 3 projektu poprzez zastąpienie odwołania do średniej arytmetycznej rynkowej ceny energii elektrycznej (RCE), ustalanej zgodnie z art. 4b ust. 4–5 ustawy o odnawialnych </w:t>
            </w:r>
            <w:r w:rsidRPr="003E3747">
              <w:rPr>
                <w:rFonts w:cstheme="minorHAnsi"/>
                <w:color w:val="000000"/>
              </w:rPr>
              <w:lastRenderedPageBreak/>
              <w:t>źródłach energii, prostą średnią arytmetyczną cen rozliczeniowych wyznaczonych w procesie jednolitego łączenia rynków dnia następnego dla polskiego obszaru rynkowego w okresie kwalifikowanym.</w:t>
            </w:r>
          </w:p>
          <w:p w14:paraId="68949E0C" w14:textId="77777777" w:rsidR="00080923" w:rsidRPr="003E3747" w:rsidRDefault="00080923" w:rsidP="00080923">
            <w:pPr>
              <w:spacing w:before="120" w:after="120"/>
              <w:jc w:val="both"/>
              <w:rPr>
                <w:rFonts w:cstheme="minorHAnsi"/>
                <w:color w:val="000000"/>
              </w:rPr>
            </w:pPr>
            <w:r w:rsidRPr="003E3747">
              <w:rPr>
                <w:rFonts w:cstheme="minorHAnsi"/>
                <w:color w:val="000000"/>
              </w:rPr>
              <w:t>Proponowane rozwiązanie pozostaje zgodne z pkt 120 CISAF, zgodnie z którym maksymalna wysokość pomocy jest odnoszona do rocznej średniej hurtowej ceny rynkowej w strefie cenowej, do której przyłączony jest beneficjent („</w:t>
            </w:r>
            <w:proofErr w:type="spellStart"/>
            <w:r w:rsidRPr="003E3747">
              <w:rPr>
                <w:rFonts w:cstheme="minorHAnsi"/>
                <w:color w:val="000000"/>
              </w:rPr>
              <w:t>yearly</w:t>
            </w:r>
            <w:proofErr w:type="spellEnd"/>
            <w:r w:rsidRPr="003E3747">
              <w:rPr>
                <w:rFonts w:cstheme="minorHAnsi"/>
                <w:color w:val="000000"/>
              </w:rPr>
              <w:t xml:space="preserve"> </w:t>
            </w:r>
            <w:proofErr w:type="spellStart"/>
            <w:r w:rsidRPr="003E3747">
              <w:rPr>
                <w:rFonts w:cstheme="minorHAnsi"/>
                <w:color w:val="000000"/>
              </w:rPr>
              <w:t>average</w:t>
            </w:r>
            <w:proofErr w:type="spellEnd"/>
            <w:r w:rsidRPr="003E3747">
              <w:rPr>
                <w:rFonts w:cstheme="minorHAnsi"/>
                <w:color w:val="000000"/>
              </w:rPr>
              <w:t xml:space="preserve"> </w:t>
            </w:r>
            <w:proofErr w:type="spellStart"/>
            <w:r w:rsidRPr="003E3747">
              <w:rPr>
                <w:rFonts w:cstheme="minorHAnsi"/>
                <w:color w:val="000000"/>
              </w:rPr>
              <w:t>wholesale</w:t>
            </w:r>
            <w:proofErr w:type="spellEnd"/>
            <w:r w:rsidRPr="003E3747">
              <w:rPr>
                <w:rFonts w:cstheme="minorHAnsi"/>
                <w:color w:val="000000"/>
              </w:rPr>
              <w:t xml:space="preserve"> market </w:t>
            </w:r>
            <w:proofErr w:type="spellStart"/>
            <w:r w:rsidRPr="003E3747">
              <w:rPr>
                <w:rFonts w:cstheme="minorHAnsi"/>
                <w:color w:val="000000"/>
              </w:rPr>
              <w:t>price</w:t>
            </w:r>
            <w:proofErr w:type="spellEnd"/>
            <w:r w:rsidRPr="003E3747">
              <w:rPr>
                <w:rFonts w:cstheme="minorHAnsi"/>
                <w:color w:val="000000"/>
              </w:rPr>
              <w:t xml:space="preserve"> in the </w:t>
            </w:r>
            <w:proofErr w:type="spellStart"/>
            <w:r w:rsidRPr="003E3747">
              <w:rPr>
                <w:rFonts w:cstheme="minorHAnsi"/>
                <w:color w:val="000000"/>
              </w:rPr>
              <w:t>bidding</w:t>
            </w:r>
            <w:proofErr w:type="spellEnd"/>
            <w:r w:rsidRPr="003E3747">
              <w:rPr>
                <w:rFonts w:cstheme="minorHAnsi"/>
                <w:color w:val="000000"/>
              </w:rPr>
              <w:t xml:space="preserve"> </w:t>
            </w:r>
            <w:proofErr w:type="spellStart"/>
            <w:r w:rsidRPr="003E3747">
              <w:rPr>
                <w:rFonts w:cstheme="minorHAnsi"/>
                <w:color w:val="000000"/>
              </w:rPr>
              <w:t>zone</w:t>
            </w:r>
            <w:proofErr w:type="spellEnd"/>
            <w:r w:rsidRPr="003E3747">
              <w:rPr>
                <w:rFonts w:cstheme="minorHAnsi"/>
                <w:color w:val="000000"/>
              </w:rPr>
              <w:t>”). CISAF nie wskazuje jednego obowiązkowego indeksu ani jednej metodologii ustalania tej ceny. Dotychczasowa praktyka wdrażania sekcji 4.5 CISAF pokazuje natomiast, że państwa członkowskie stosują różne reprezentatywne benchmarki hurtowe właściwe dla danej strefy cenowej.</w:t>
            </w:r>
          </w:p>
          <w:p w14:paraId="28802AD9" w14:textId="77777777" w:rsidR="00080923" w:rsidRPr="003E3747" w:rsidRDefault="00080923" w:rsidP="00080923">
            <w:pPr>
              <w:spacing w:before="120" w:after="120"/>
              <w:jc w:val="both"/>
              <w:rPr>
                <w:rFonts w:cstheme="minorHAnsi"/>
                <w:color w:val="000000"/>
              </w:rPr>
            </w:pPr>
            <w:r w:rsidRPr="003E3747">
              <w:rPr>
                <w:rFonts w:cstheme="minorHAnsi"/>
                <w:color w:val="000000"/>
              </w:rPr>
              <w:t xml:space="preserve">W Niemczech roczna średnia hurtowa cena referencyjna jest ustalana jako prosta średnia arytmetyczna dziennych cen zamknięcia produktu German Power Base </w:t>
            </w:r>
            <w:proofErr w:type="spellStart"/>
            <w:r w:rsidRPr="003E3747">
              <w:rPr>
                <w:rFonts w:cstheme="minorHAnsi"/>
                <w:color w:val="000000"/>
              </w:rPr>
              <w:t>Year</w:t>
            </w:r>
            <w:proofErr w:type="spellEnd"/>
            <w:r w:rsidRPr="003E3747">
              <w:rPr>
                <w:rFonts w:cstheme="minorHAnsi"/>
                <w:color w:val="000000"/>
              </w:rPr>
              <w:t xml:space="preserve"> </w:t>
            </w:r>
            <w:proofErr w:type="spellStart"/>
            <w:r w:rsidRPr="003E3747">
              <w:rPr>
                <w:rFonts w:cstheme="minorHAnsi"/>
                <w:color w:val="000000"/>
              </w:rPr>
              <w:t>Future</w:t>
            </w:r>
            <w:proofErr w:type="spellEnd"/>
            <w:r w:rsidRPr="003E3747">
              <w:rPr>
                <w:rFonts w:cstheme="minorHAnsi"/>
                <w:color w:val="000000"/>
              </w:rPr>
              <w:t xml:space="preserve"> notowanego na European Energy Exchange (EEX) w odpowiednim roku. W Słowenii cena referencyjna jest ustalana jako prosta średnia arytmetyczna cen zamknięcia wszystkich dni handlowych w poprzednim roku kalendarzowym dla produktu EEX-PXE </w:t>
            </w:r>
            <w:proofErr w:type="spellStart"/>
            <w:r w:rsidRPr="003E3747">
              <w:rPr>
                <w:rFonts w:cstheme="minorHAnsi"/>
                <w:color w:val="000000"/>
              </w:rPr>
              <w:t>Slovenian</w:t>
            </w:r>
            <w:proofErr w:type="spellEnd"/>
            <w:r w:rsidRPr="003E3747">
              <w:rPr>
                <w:rFonts w:cstheme="minorHAnsi"/>
                <w:color w:val="000000"/>
              </w:rPr>
              <w:t xml:space="preserve"> Power Base </w:t>
            </w:r>
            <w:proofErr w:type="spellStart"/>
            <w:r w:rsidRPr="003E3747">
              <w:rPr>
                <w:rFonts w:cstheme="minorHAnsi"/>
                <w:color w:val="000000"/>
              </w:rPr>
              <w:t>Year</w:t>
            </w:r>
            <w:proofErr w:type="spellEnd"/>
            <w:r w:rsidRPr="003E3747">
              <w:rPr>
                <w:rFonts w:cstheme="minorHAnsi"/>
                <w:color w:val="000000"/>
              </w:rPr>
              <w:t xml:space="preserve"> </w:t>
            </w:r>
            <w:proofErr w:type="spellStart"/>
            <w:r w:rsidRPr="003E3747">
              <w:rPr>
                <w:rFonts w:cstheme="minorHAnsi"/>
                <w:color w:val="000000"/>
              </w:rPr>
              <w:t>Future</w:t>
            </w:r>
            <w:proofErr w:type="spellEnd"/>
            <w:r w:rsidRPr="003E3747">
              <w:rPr>
                <w:rFonts w:cstheme="minorHAnsi"/>
                <w:color w:val="000000"/>
              </w:rPr>
              <w:t>.</w:t>
            </w:r>
          </w:p>
          <w:p w14:paraId="57F87D4E" w14:textId="77777777" w:rsidR="00080923" w:rsidRPr="003E3747" w:rsidRDefault="00080923" w:rsidP="00080923">
            <w:pPr>
              <w:spacing w:before="120" w:after="120"/>
              <w:jc w:val="both"/>
              <w:rPr>
                <w:rFonts w:cstheme="minorHAnsi"/>
                <w:color w:val="000000"/>
              </w:rPr>
            </w:pPr>
            <w:r w:rsidRPr="003E3747">
              <w:rPr>
                <w:rFonts w:cstheme="minorHAnsi"/>
                <w:color w:val="000000" w:themeColor="text1"/>
              </w:rPr>
              <w:t xml:space="preserve">Irlandia zastosowała natomiast rozwiązanie oparte bezpośrednio na rynku dnia następnego. Roczna </w:t>
            </w:r>
            <w:r w:rsidRPr="003E3747">
              <w:rPr>
                <w:rFonts w:cstheme="minorHAnsi"/>
                <w:color w:val="000000" w:themeColor="text1"/>
              </w:rPr>
              <w:lastRenderedPageBreak/>
              <w:t xml:space="preserve">średnia hurtowa cena jest ustalana jako prosta średnia cen Day-Ahead market </w:t>
            </w:r>
            <w:proofErr w:type="spellStart"/>
            <w:r w:rsidRPr="003E3747">
              <w:rPr>
                <w:rFonts w:cstheme="minorHAnsi"/>
                <w:color w:val="000000" w:themeColor="text1"/>
              </w:rPr>
              <w:t>coupling</w:t>
            </w:r>
            <w:proofErr w:type="spellEnd"/>
            <w:r w:rsidRPr="003E3747">
              <w:rPr>
                <w:rFonts w:cstheme="minorHAnsi"/>
                <w:color w:val="000000" w:themeColor="text1"/>
              </w:rPr>
              <w:t xml:space="preserve"> dla wszystkich okresów rozliczeniowych rynku w Republice Irlandii i Irlandii Północnej. Bułgaria również wykorzystuje do kalkulacji bezpośrednio rynek dnia następnego – cena referencyjna jest tam ustalana jako prosta średnia arytmetyczna cen </w:t>
            </w:r>
            <w:proofErr w:type="spellStart"/>
            <w:r w:rsidRPr="003E3747">
              <w:rPr>
                <w:rFonts w:cstheme="minorHAnsi"/>
                <w:color w:val="000000" w:themeColor="text1"/>
              </w:rPr>
              <w:t>baseload</w:t>
            </w:r>
            <w:proofErr w:type="spellEnd"/>
            <w:r w:rsidRPr="003E3747">
              <w:rPr>
                <w:rFonts w:cstheme="minorHAnsi"/>
                <w:color w:val="000000" w:themeColor="text1"/>
              </w:rPr>
              <w:t xml:space="preserve"> ze wszystkich 15-minutowych okresów rynku dnia następnego na Independent </w:t>
            </w:r>
            <w:proofErr w:type="spellStart"/>
            <w:r w:rsidRPr="003E3747">
              <w:rPr>
                <w:rFonts w:cstheme="minorHAnsi"/>
                <w:color w:val="000000" w:themeColor="text1"/>
              </w:rPr>
              <w:t>Bulgarian</w:t>
            </w:r>
            <w:proofErr w:type="spellEnd"/>
            <w:r w:rsidRPr="003E3747">
              <w:rPr>
                <w:rFonts w:cstheme="minorHAnsi"/>
                <w:color w:val="000000" w:themeColor="text1"/>
              </w:rPr>
              <w:t xml:space="preserve"> </w:t>
            </w:r>
            <w:proofErr w:type="spellStart"/>
            <w:r w:rsidRPr="003E3747">
              <w:rPr>
                <w:rFonts w:cstheme="minorHAnsi"/>
                <w:color w:val="000000" w:themeColor="text1"/>
              </w:rPr>
              <w:t>Electricity</w:t>
            </w:r>
            <w:proofErr w:type="spellEnd"/>
            <w:r w:rsidRPr="003E3747">
              <w:rPr>
                <w:rFonts w:cstheme="minorHAnsi"/>
                <w:color w:val="000000" w:themeColor="text1"/>
              </w:rPr>
              <w:t xml:space="preserve"> Exchange (IBEX) w odpowiednim okresie. </w:t>
            </w:r>
          </w:p>
          <w:p w14:paraId="72EBF532" w14:textId="77777777" w:rsidR="00080923" w:rsidRPr="003E3747" w:rsidRDefault="00080923" w:rsidP="00080923">
            <w:pPr>
              <w:spacing w:before="120" w:after="120"/>
              <w:jc w:val="both"/>
              <w:rPr>
                <w:rFonts w:cstheme="minorHAnsi"/>
                <w:color w:val="000000"/>
              </w:rPr>
            </w:pPr>
            <w:r w:rsidRPr="003E3747">
              <w:rPr>
                <w:rFonts w:cstheme="minorHAnsi"/>
                <w:color w:val="000000"/>
              </w:rPr>
              <w:t>Analiza tych rozwiązań pokazuje, że państwa członkowskie stosują różne rodzaje benchmarków – oparte zarówno na rynku terminowym, jak i rynku dnia następnego. Ich wspólną cechą jest jednak bezpośrednie oparcie ceny referencyjnej na cenach hurtowego rynku energii właściwych dla danego obszaru. Szczególnie istotne z perspektywy proponowanej zmiany są rozwiązania przyjęte w Irlandii i Bułgarii, w których zastosowano prostą średnią cen rynku dnia następnego, bez ważenia poszczególnych cen wolumenem obrotu.</w:t>
            </w:r>
          </w:p>
          <w:p w14:paraId="612A7387" w14:textId="77777777" w:rsidR="00080923" w:rsidRPr="003E3747" w:rsidRDefault="00080923" w:rsidP="00080923">
            <w:pPr>
              <w:spacing w:before="120" w:after="120"/>
              <w:jc w:val="both"/>
              <w:rPr>
                <w:rFonts w:cstheme="minorHAnsi"/>
                <w:color w:val="000000"/>
              </w:rPr>
            </w:pPr>
            <w:r w:rsidRPr="003E3747">
              <w:rPr>
                <w:rFonts w:cstheme="minorHAnsi"/>
                <w:color w:val="000000"/>
              </w:rPr>
              <w:t xml:space="preserve">Na tym tle projekt UD459 przewiduje odmienną metodologię. Art. 3 ust. 3 pkt 1 odwołuje się do RCE ustalanej zgodnie z art. 4b ust. 4–5 ustawy o odnawialnych źródłach energii. RCE jest wprawdzie wyznaczana na podstawie cen energii elektrycznej określonych dla polskiego obszaru rynkowego na rynku dnia następnego, jednak przy jej ustalaniu poszczególne ceny są ważone odpowiadającymi im wolumenami obrotu. W rezultacie na wysokość </w:t>
            </w:r>
            <w:r w:rsidRPr="003E3747">
              <w:rPr>
                <w:rFonts w:cstheme="minorHAnsi"/>
                <w:color w:val="000000"/>
              </w:rPr>
              <w:lastRenderedPageBreak/>
              <w:t>benchmarku wpływa nie tylko poziom cen energii elektrycznej, lecz również struktura wolumenów obrotu na poszczególnych sesjach.</w:t>
            </w:r>
          </w:p>
          <w:p w14:paraId="349EDF54" w14:textId="340D23E3" w:rsidR="00080923" w:rsidRPr="003E3747" w:rsidRDefault="00080923" w:rsidP="00080923">
            <w:pPr>
              <w:spacing w:before="120" w:after="120"/>
              <w:jc w:val="both"/>
              <w:rPr>
                <w:rFonts w:cstheme="minorHAnsi"/>
                <w:color w:val="000000"/>
              </w:rPr>
            </w:pPr>
            <w:r w:rsidRPr="003E3747">
              <w:rPr>
                <w:rFonts w:cstheme="minorHAnsi"/>
                <w:color w:val="000000"/>
              </w:rPr>
              <w:t>W naszej ocenie brak jest dostatecznego uzasadnienia dla wprowadzania tej dodatkowej specyfiki metodologicznej na potrzeby programu wsparcia przedsiębiorstw energochłonnych. RCE jest wskaźnikiem funkcjonującym na gruncie ustawy o odnawialnych źródłach energii i został skonstruowan</w:t>
            </w:r>
            <w:r w:rsidR="009F5A5E" w:rsidRPr="003E3747">
              <w:rPr>
                <w:rFonts w:cstheme="minorHAnsi"/>
                <w:color w:val="000000"/>
              </w:rPr>
              <w:t>y</w:t>
            </w:r>
            <w:r w:rsidRPr="003E3747">
              <w:rPr>
                <w:rFonts w:cstheme="minorHAnsi"/>
                <w:color w:val="000000"/>
              </w:rPr>
              <w:t xml:space="preserve"> dla innego celu regulacyjnego. Jednocześnie rozwiązania przyjęte w Irlandii i Bułgarii pokazują, że na potrzeby wdrożenia sekcji 4.5 CISAF możliwe jest bezpośrednie zastosowanie prostej średniej cen rynku dnia następnego.</w:t>
            </w:r>
          </w:p>
          <w:p w14:paraId="4DEA78D3" w14:textId="77777777" w:rsidR="00080923" w:rsidRPr="003E3747" w:rsidRDefault="00080923" w:rsidP="00080923">
            <w:pPr>
              <w:spacing w:before="120" w:after="120"/>
              <w:jc w:val="both"/>
              <w:rPr>
                <w:rFonts w:cstheme="minorHAnsi"/>
                <w:color w:val="000000"/>
              </w:rPr>
            </w:pPr>
            <w:r w:rsidRPr="003E3747">
              <w:rPr>
                <w:rFonts w:cstheme="minorHAnsi"/>
                <w:color w:val="000000"/>
              </w:rPr>
              <w:t>Proponowane odwołanie do cen rozliczeniowych wyznaczonych w procesie jednolitego łączenia rynków dnia następnego dla polskiego obszaru rynkowego pozwala przy tym jednoznacznie określić zarówno źródło danych cenowych, jak i obszar, dla którego cena jest wyznaczana. Nie prowadzi zatem do odejścia od wynikającego z pkt 120 CISAF wymogu odnoszenia wysokości wsparcia do hurtowej ceny rynkowej właściwej dla strefy cenowej, do której przyłączony jest beneficjent.</w:t>
            </w:r>
          </w:p>
          <w:p w14:paraId="372A124A" w14:textId="77777777" w:rsidR="00080923" w:rsidRPr="003E3747" w:rsidRDefault="00080923" w:rsidP="00080923">
            <w:pPr>
              <w:spacing w:before="120" w:after="120"/>
              <w:jc w:val="both"/>
              <w:rPr>
                <w:rFonts w:cstheme="minorHAnsi"/>
                <w:color w:val="000000"/>
              </w:rPr>
            </w:pPr>
            <w:r w:rsidRPr="003E3747">
              <w:rPr>
                <w:rFonts w:cstheme="minorHAnsi"/>
                <w:color w:val="000000"/>
              </w:rPr>
              <w:t xml:space="preserve">Zastosowanie RCE ma znaczenie dla rzeczywistej wartości pomocy otrzymywanej przez przedsiębiorstwa energochłonne. Ważenie cen wolumenem wprowadza dodatkowy czynnik wpływający na wysokość benchmarku, co może </w:t>
            </w:r>
            <w:r w:rsidRPr="003E3747">
              <w:rPr>
                <w:rFonts w:cstheme="minorHAnsi"/>
                <w:color w:val="000000"/>
              </w:rPr>
              <w:lastRenderedPageBreak/>
              <w:t>ograniczać przejrzystość i przewidywalność wartości wsparcia. Ma to szczególne znaczenie w przypadku projektu UD459, ponieważ otrzymanie pomocy jest powiązane z obowiązkiem przeznaczenia części wsparcia na inwestycje. Przedsiębiorstwa podejmujące decyzje inwestycyjne powinny mieć możliwość możliwie przejrzystego oszacowania skali pomocy, z której będą mogły skorzystać.</w:t>
            </w:r>
          </w:p>
          <w:p w14:paraId="640C8057" w14:textId="77777777" w:rsidR="00080923" w:rsidRPr="003E3747" w:rsidRDefault="00080923" w:rsidP="00080923">
            <w:pPr>
              <w:spacing w:before="120" w:after="120"/>
              <w:jc w:val="both"/>
              <w:rPr>
                <w:rFonts w:cstheme="minorHAnsi"/>
                <w:color w:val="000000"/>
              </w:rPr>
            </w:pPr>
            <w:r w:rsidRPr="003E3747">
              <w:rPr>
                <w:rFonts w:cstheme="minorHAnsi"/>
                <w:color w:val="000000"/>
              </w:rPr>
              <w:t xml:space="preserve">Odmienna metodologia może ponadto wpływać na rzeczywistą intensywność wsparcia przedsiębiorstw konkurujących na jednolitym rynku UE. Nominalnie programy poszczególnych państw mogą przewidywać ten sam maksymalny poziom wsparcia wynikający z CISAF, jednak jego ekonomiczna wartość zależy również od sposobu wyznaczenia ceny stanowiącej podstawę kalkulacji. W konsekwencji różnice w metodologii ustalania benchmarku mogą przekładać się na różnice w faktycznej wartości pomocy dostępnej dla przedsiębiorstw energochłonnych w poszczególnych państwach członkowskich. </w:t>
            </w:r>
          </w:p>
          <w:p w14:paraId="125FBBA7" w14:textId="3007B9D7" w:rsidR="00080923" w:rsidRPr="003E3747" w:rsidRDefault="00080923" w:rsidP="00C664BB">
            <w:pPr>
              <w:spacing w:before="120" w:after="120"/>
              <w:jc w:val="both"/>
              <w:rPr>
                <w:rFonts w:cstheme="minorHAnsi"/>
                <w:color w:val="000000"/>
              </w:rPr>
            </w:pPr>
            <w:r w:rsidRPr="003E3747">
              <w:rPr>
                <w:rFonts w:cstheme="minorHAnsi"/>
                <w:color w:val="000000"/>
              </w:rPr>
              <w:t xml:space="preserve">W konsekwencji proponujemy zastąpienie RCE prostą średnią arytmetyczną cen rozliczeniowych wyznaczonych w procesie jednolitego łączenia rynków dnia następnego dla polskiego obszaru rynkowego w okresie kwalifikowanym. Rozwiązanie to jest bardziej przejrzyste, eliminuje wpływ struktury wolumenów obrotu na wysokość benchmarku oraz znajduje oparcie w metodologii rynku dnia następnego zaakceptowanej przez Komisję </w:t>
            </w:r>
            <w:r w:rsidRPr="003E3747">
              <w:rPr>
                <w:rFonts w:cstheme="minorHAnsi"/>
                <w:color w:val="000000"/>
              </w:rPr>
              <w:lastRenderedPageBreak/>
              <w:t>Europejską w ramach wdrażania sekcji 4.5 CISAF w innych państwach członkowskich.</w:t>
            </w:r>
          </w:p>
        </w:tc>
        <w:tc>
          <w:tcPr>
            <w:tcW w:w="4155" w:type="dxa"/>
            <w:vAlign w:val="center"/>
          </w:tcPr>
          <w:p w14:paraId="5A444DE2" w14:textId="546EF498" w:rsidR="00080923" w:rsidRPr="003E3747" w:rsidRDefault="00080923" w:rsidP="00080923">
            <w:pPr>
              <w:rPr>
                <w:rFonts w:cstheme="minorHAnsi"/>
              </w:rPr>
            </w:pPr>
            <w:r w:rsidRPr="003E3747">
              <w:rPr>
                <w:rFonts w:cstheme="minorHAnsi"/>
              </w:rPr>
              <w:lastRenderedPageBreak/>
              <w:t>3. Wysokość wsparcia w przeliczeniu na jedną megawatogodzinę kwalifikującego się zużycia nie może:</w:t>
            </w:r>
          </w:p>
          <w:p w14:paraId="096CBD75" w14:textId="17A86DA3" w:rsidR="00080923" w:rsidRPr="003E3747" w:rsidRDefault="00080923" w:rsidP="00080923">
            <w:pPr>
              <w:pStyle w:val="Akapitzlist"/>
              <w:numPr>
                <w:ilvl w:val="0"/>
                <w:numId w:val="14"/>
              </w:numPr>
              <w:spacing w:after="0"/>
              <w:rPr>
                <w:rFonts w:cstheme="minorHAnsi"/>
              </w:rPr>
            </w:pPr>
            <w:r w:rsidRPr="003E3747">
              <w:rPr>
                <w:rFonts w:cstheme="minorHAnsi"/>
              </w:rPr>
              <w:t>przekroczyć 50%</w:t>
            </w:r>
            <w:r w:rsidR="00C664BB" w:rsidRPr="003E3747">
              <w:rPr>
                <w:rFonts w:cstheme="minorHAnsi"/>
              </w:rPr>
              <w:t xml:space="preserve"> </w:t>
            </w:r>
            <w:r w:rsidR="00C664BB" w:rsidRPr="003E3747">
              <w:rPr>
                <w:rFonts w:cstheme="minorHAnsi"/>
                <w:strike/>
              </w:rPr>
              <w:t>średniej arytmetycznej ceny RCE</w:t>
            </w:r>
            <w:r w:rsidR="00C664BB" w:rsidRPr="003E3747">
              <w:rPr>
                <w:rFonts w:cstheme="minorHAnsi"/>
              </w:rPr>
              <w:t xml:space="preserve"> </w:t>
            </w:r>
            <w:r w:rsidRPr="003E3747">
              <w:rPr>
                <w:rFonts w:cstheme="minorHAnsi"/>
              </w:rPr>
              <w:t xml:space="preserve">prostej średniej arytmetycznej cen rozliczeniowych wyznaczonych w procesie jednolitego łączenia rynków dnia następnego </w:t>
            </w:r>
            <w:r w:rsidRPr="003E3747">
              <w:rPr>
                <w:rFonts w:cstheme="minorHAnsi"/>
              </w:rPr>
              <w:lastRenderedPageBreak/>
              <w:t>dla polskiego obszaru rynkowego w okresie kwalifikowanym;</w:t>
            </w:r>
          </w:p>
          <w:p w14:paraId="2BACE9A0" w14:textId="77777777" w:rsidR="00080923" w:rsidRPr="003E3747" w:rsidRDefault="00080923" w:rsidP="00080923">
            <w:pPr>
              <w:pStyle w:val="Akapitzlist"/>
              <w:rPr>
                <w:rFonts w:cstheme="minorHAnsi"/>
              </w:rPr>
            </w:pPr>
          </w:p>
          <w:p w14:paraId="238B7AD7" w14:textId="77777777" w:rsidR="00080923" w:rsidRPr="003E3747" w:rsidRDefault="00080923" w:rsidP="00080923">
            <w:pPr>
              <w:pStyle w:val="Akapitzlist"/>
              <w:numPr>
                <w:ilvl w:val="0"/>
                <w:numId w:val="14"/>
              </w:numPr>
              <w:spacing w:after="0"/>
              <w:rPr>
                <w:rFonts w:cstheme="minorHAnsi"/>
              </w:rPr>
            </w:pPr>
            <w:r w:rsidRPr="003E3747">
              <w:rPr>
                <w:rFonts w:cstheme="minorHAnsi"/>
              </w:rPr>
              <w:t>skutkować uzyskaniem ceny poniżej 50 euro za megawatogodzinę na kwalifikujące się zużycie.</w:t>
            </w:r>
          </w:p>
          <w:p w14:paraId="38F44A2B" w14:textId="77777777" w:rsidR="00080923" w:rsidRPr="003E3747" w:rsidRDefault="00080923" w:rsidP="00080923">
            <w:pPr>
              <w:pStyle w:val="Akapitzlist"/>
              <w:rPr>
                <w:rFonts w:cstheme="minorHAnsi"/>
              </w:rPr>
            </w:pPr>
          </w:p>
          <w:p w14:paraId="7DAEAE76" w14:textId="77777777" w:rsidR="00080923" w:rsidRPr="003E3747" w:rsidRDefault="00080923" w:rsidP="00080923">
            <w:pPr>
              <w:jc w:val="both"/>
              <w:rPr>
                <w:rFonts w:eastAsia="Lato" w:cstheme="minorHAnsi"/>
                <w:color w:val="000000" w:themeColor="text1"/>
              </w:rPr>
            </w:pPr>
          </w:p>
        </w:tc>
        <w:tc>
          <w:tcPr>
            <w:tcW w:w="1900" w:type="dxa"/>
            <w:vAlign w:val="center"/>
          </w:tcPr>
          <w:p w14:paraId="3167D8EF" w14:textId="77777777" w:rsidR="00080923" w:rsidRPr="003E3747" w:rsidRDefault="00080923" w:rsidP="00080923">
            <w:pPr>
              <w:jc w:val="center"/>
              <w:rPr>
                <w:rFonts w:cstheme="minorHAnsi"/>
              </w:rPr>
            </w:pPr>
          </w:p>
        </w:tc>
      </w:tr>
      <w:tr w:rsidR="00220114" w:rsidRPr="003E3747" w14:paraId="54F8F9FE" w14:textId="77777777" w:rsidTr="00A05649">
        <w:trPr>
          <w:trHeight w:val="300"/>
        </w:trPr>
        <w:tc>
          <w:tcPr>
            <w:tcW w:w="562" w:type="dxa"/>
          </w:tcPr>
          <w:p w14:paraId="331F75F7" w14:textId="0123C317" w:rsidR="00220114" w:rsidRPr="003E3747" w:rsidRDefault="00220114" w:rsidP="00A05649">
            <w:pPr>
              <w:pStyle w:val="Akapitzlist"/>
              <w:numPr>
                <w:ilvl w:val="0"/>
                <w:numId w:val="21"/>
              </w:numPr>
              <w:jc w:val="center"/>
              <w:rPr>
                <w:rFonts w:cstheme="minorHAnsi"/>
              </w:rPr>
            </w:pPr>
          </w:p>
        </w:tc>
        <w:tc>
          <w:tcPr>
            <w:tcW w:w="1560" w:type="dxa"/>
          </w:tcPr>
          <w:p w14:paraId="58FD6383" w14:textId="7B31F8BB" w:rsidR="00220114" w:rsidRPr="003E3747" w:rsidRDefault="00646516"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0BDF902E" w14:textId="450CA41A" w:rsidR="00220114" w:rsidRPr="003E3747" w:rsidRDefault="00220114" w:rsidP="00A05649">
            <w:pPr>
              <w:ind w:left="-20"/>
              <w:jc w:val="center"/>
              <w:rPr>
                <w:rFonts w:eastAsia="Lato" w:cstheme="minorHAnsi"/>
              </w:rPr>
            </w:pPr>
            <w:r w:rsidRPr="003E3747">
              <w:rPr>
                <w:rFonts w:eastAsia="Lato" w:cstheme="minorHAnsi"/>
                <w:color w:val="000000" w:themeColor="text1"/>
              </w:rPr>
              <w:t>Art. 3 ust. 5</w:t>
            </w:r>
          </w:p>
        </w:tc>
        <w:tc>
          <w:tcPr>
            <w:tcW w:w="4988" w:type="dxa"/>
            <w:vAlign w:val="center"/>
          </w:tcPr>
          <w:p w14:paraId="1AAAE44B" w14:textId="1100529D" w:rsidR="00220114" w:rsidRPr="003E3747" w:rsidRDefault="00220114" w:rsidP="00220114">
            <w:pPr>
              <w:jc w:val="both"/>
              <w:rPr>
                <w:rFonts w:eastAsiaTheme="minorEastAsia" w:cstheme="minorHAnsi"/>
                <w:color w:val="000000" w:themeColor="text1"/>
              </w:rPr>
            </w:pPr>
            <w:r w:rsidRPr="003E3747">
              <w:rPr>
                <w:rFonts w:eastAsia="Lato" w:cstheme="minorHAnsi"/>
                <w:color w:val="000000" w:themeColor="text1"/>
              </w:rPr>
              <w:t>Ograniczenie wysokości wsparcia w kolejnych latach do poziomu wsparcia przyznanego w pierwszym roku nie odzwierciedla sytuacji rynkowej. Wsparcie powinno zależeć od aktualnych cen energii elektrycznej oraz rzeczywistych kosztów ponoszonych przez przedsiębiorstwo.</w:t>
            </w:r>
          </w:p>
        </w:tc>
        <w:tc>
          <w:tcPr>
            <w:tcW w:w="4155" w:type="dxa"/>
            <w:vAlign w:val="center"/>
          </w:tcPr>
          <w:p w14:paraId="2904D1D6" w14:textId="397CA833" w:rsidR="00220114" w:rsidRPr="003E3747" w:rsidRDefault="00220114" w:rsidP="00CB435F">
            <w:pPr>
              <w:jc w:val="both"/>
              <w:rPr>
                <w:rFonts w:eastAsia="Lato" w:cstheme="minorHAnsi"/>
                <w:i/>
                <w:iCs/>
              </w:rPr>
            </w:pPr>
            <w:r w:rsidRPr="003E3747">
              <w:rPr>
                <w:rFonts w:eastAsia="Lato" w:cstheme="minorHAnsi"/>
                <w:color w:val="000000" w:themeColor="text1"/>
              </w:rPr>
              <w:t xml:space="preserve">Wysokość wsparcia w kolejnych latach </w:t>
            </w:r>
            <w:r w:rsidR="00672795" w:rsidRPr="003E3747">
              <w:rPr>
                <w:rFonts w:eastAsia="Lato" w:cstheme="minorHAnsi"/>
                <w:color w:val="000000" w:themeColor="text1"/>
              </w:rPr>
              <w:t xml:space="preserve">powinna być </w:t>
            </w:r>
            <w:r w:rsidRPr="003E3747">
              <w:rPr>
                <w:rFonts w:eastAsia="Lato" w:cstheme="minorHAnsi"/>
                <w:color w:val="000000" w:themeColor="text1"/>
              </w:rPr>
              <w:t>ustalana na podstawie aktualnych parametrów rynkowych, bez limitu wynikającego z pierwszego roku.</w:t>
            </w:r>
          </w:p>
        </w:tc>
        <w:tc>
          <w:tcPr>
            <w:tcW w:w="1900" w:type="dxa"/>
            <w:vAlign w:val="center"/>
          </w:tcPr>
          <w:p w14:paraId="38F2C83F" w14:textId="77777777" w:rsidR="00220114" w:rsidRPr="003E3747" w:rsidRDefault="00220114" w:rsidP="00220114">
            <w:pPr>
              <w:jc w:val="center"/>
              <w:rPr>
                <w:rFonts w:cstheme="minorHAnsi"/>
              </w:rPr>
            </w:pPr>
          </w:p>
        </w:tc>
      </w:tr>
      <w:tr w:rsidR="00304A9D" w:rsidRPr="003E3747" w14:paraId="0420C57F" w14:textId="77777777" w:rsidTr="00A05649">
        <w:trPr>
          <w:trHeight w:val="300"/>
        </w:trPr>
        <w:tc>
          <w:tcPr>
            <w:tcW w:w="562" w:type="dxa"/>
          </w:tcPr>
          <w:p w14:paraId="1BDEF2BE" w14:textId="77777777" w:rsidR="00304A9D" w:rsidRPr="003E3747" w:rsidRDefault="00304A9D" w:rsidP="00A05649">
            <w:pPr>
              <w:pStyle w:val="Akapitzlist"/>
              <w:numPr>
                <w:ilvl w:val="0"/>
                <w:numId w:val="21"/>
              </w:numPr>
              <w:jc w:val="center"/>
              <w:rPr>
                <w:rFonts w:cstheme="minorHAnsi"/>
              </w:rPr>
            </w:pPr>
          </w:p>
        </w:tc>
        <w:tc>
          <w:tcPr>
            <w:tcW w:w="1560" w:type="dxa"/>
          </w:tcPr>
          <w:p w14:paraId="531335BE" w14:textId="04A2C480" w:rsidR="00304A9D" w:rsidRPr="003E3747" w:rsidRDefault="00646516" w:rsidP="00A05649">
            <w:pPr>
              <w:ind w:left="34"/>
              <w:jc w:val="center"/>
              <w:rPr>
                <w:rFonts w:eastAsia="Lato" w:cstheme="minorHAnsi"/>
                <w:color w:val="000000" w:themeColor="text1"/>
              </w:rPr>
            </w:pPr>
            <w:r w:rsidRPr="003E3747">
              <w:rPr>
                <w:rFonts w:eastAsia="Lato" w:cstheme="minorHAnsi"/>
                <w:color w:val="000000" w:themeColor="text1"/>
              </w:rPr>
              <w:t>Konfederacja Lewiatan</w:t>
            </w:r>
          </w:p>
        </w:tc>
        <w:tc>
          <w:tcPr>
            <w:tcW w:w="1842" w:type="dxa"/>
          </w:tcPr>
          <w:p w14:paraId="2301A83F" w14:textId="23FC5EA6" w:rsidR="00304A9D" w:rsidRPr="003E3747" w:rsidRDefault="00304A9D" w:rsidP="00A05649">
            <w:pPr>
              <w:ind w:left="-20"/>
              <w:jc w:val="center"/>
              <w:rPr>
                <w:rFonts w:eastAsia="Lato" w:cstheme="minorHAnsi"/>
                <w:color w:val="000000" w:themeColor="text1"/>
              </w:rPr>
            </w:pPr>
            <w:r w:rsidRPr="003E3747">
              <w:rPr>
                <w:rFonts w:eastAsia="Lato" w:cstheme="minorHAnsi"/>
                <w:color w:val="000000" w:themeColor="text1"/>
              </w:rPr>
              <w:t>Art. 3 ust. 7</w:t>
            </w:r>
          </w:p>
        </w:tc>
        <w:tc>
          <w:tcPr>
            <w:tcW w:w="4988" w:type="dxa"/>
            <w:vAlign w:val="center"/>
          </w:tcPr>
          <w:p w14:paraId="403E3B44" w14:textId="77777777" w:rsidR="00304A9D" w:rsidRPr="003E3747" w:rsidRDefault="00304A9D" w:rsidP="00304A9D">
            <w:pPr>
              <w:spacing w:line="276" w:lineRule="auto"/>
              <w:jc w:val="both"/>
              <w:rPr>
                <w:rFonts w:cstheme="minorHAnsi"/>
              </w:rPr>
            </w:pPr>
            <w:r w:rsidRPr="003E3747">
              <w:rPr>
                <w:rFonts w:eastAsia="Aptos" w:cstheme="minorHAnsi"/>
                <w:color w:val="000000" w:themeColor="text1"/>
              </w:rPr>
              <w:t>Art. 3 ust. 7 projektu określa rodzaje inwestycji, na które beneficjent może przeznaczyć środki w ramach obowiązku inwestycyjnego związanego z uzyskaniem wsparcia. Katalog ten ma charakter otwarty.</w:t>
            </w:r>
          </w:p>
          <w:p w14:paraId="2E747725" w14:textId="77777777" w:rsidR="00304A9D" w:rsidRPr="003E3747" w:rsidRDefault="00304A9D" w:rsidP="00304A9D">
            <w:pPr>
              <w:spacing w:line="276" w:lineRule="auto"/>
              <w:jc w:val="both"/>
              <w:rPr>
                <w:rFonts w:cstheme="minorHAnsi"/>
              </w:rPr>
            </w:pPr>
            <w:r w:rsidRPr="003E3747">
              <w:rPr>
                <w:rFonts w:eastAsia="Aptos" w:cstheme="minorHAnsi"/>
                <w:color w:val="000000" w:themeColor="text1"/>
              </w:rPr>
              <w:t>Proponujemy uzupełnienie katalogu określonego w art. 3 ust. 7 o inwestycje w rozwiązania w zakresie magazynowania energii oraz inwestycje w elektrolizery służące do produkcji wodoru odnawialnego lub niskoemisyjnego.</w:t>
            </w:r>
          </w:p>
          <w:p w14:paraId="450B9F4E" w14:textId="77777777" w:rsidR="00304A9D" w:rsidRPr="003E3747" w:rsidRDefault="00304A9D" w:rsidP="00304A9D">
            <w:pPr>
              <w:spacing w:line="276" w:lineRule="auto"/>
              <w:jc w:val="both"/>
              <w:rPr>
                <w:rFonts w:cstheme="minorHAnsi"/>
              </w:rPr>
            </w:pPr>
            <w:r w:rsidRPr="003E3747">
              <w:rPr>
                <w:rFonts w:eastAsia="Aptos" w:cstheme="minorHAnsi"/>
                <w:color w:val="000000" w:themeColor="text1"/>
              </w:rPr>
              <w:t xml:space="preserve">Proponowana zmiana odpowiada bezpośrednio pkt 121 CISAF, zgodnie z którym beneficjenci pomocy udzielanej na podstawie sekcji 4.5 powinni przeznaczyć co najmniej 50% kwoty pomocy na inwestycje w nowe lub zmodernizowane aktywa, które w sposób mierzalny przyczyniają się do ograniczenia kosztów systemu elektroenergetycznego, odpowiadają potrzebom rynku i systemu danego państwa członkowskiego oraz nie prowadzą do zwiększenia zużycia paliw kopalnych. </w:t>
            </w:r>
            <w:r w:rsidRPr="003E3747">
              <w:rPr>
                <w:rFonts w:eastAsia="Aptos" w:cstheme="minorHAnsi"/>
                <w:color w:val="000000" w:themeColor="text1"/>
              </w:rPr>
              <w:lastRenderedPageBreak/>
              <w:t>Wśród przykładowych inwestycji kwalifikowanych Komisja Europejska wymienia wprost m.in. rozwiązania w zakresie magazynowania energii oraz rozwój elektrolizerów do produkcji wodoru odnawialnego lub niskoemisyjnego.</w:t>
            </w:r>
          </w:p>
          <w:p w14:paraId="69EB5D82" w14:textId="77777777" w:rsidR="00304A9D" w:rsidRPr="003E3747" w:rsidRDefault="00304A9D" w:rsidP="00304A9D">
            <w:pPr>
              <w:spacing w:line="276" w:lineRule="auto"/>
              <w:jc w:val="both"/>
              <w:rPr>
                <w:rFonts w:cstheme="minorHAnsi"/>
              </w:rPr>
            </w:pPr>
            <w:r w:rsidRPr="003E3747">
              <w:rPr>
                <w:rFonts w:eastAsia="Aptos" w:cstheme="minorHAnsi"/>
                <w:color w:val="000000" w:themeColor="text1"/>
              </w:rPr>
              <w:t xml:space="preserve">Projektowany art. 3 ust. 7 odzwierciedla znaczną część katalogu inwestycji wskazanego w pkt 121 CISAF, nie wymienia jednak wprost rozwiązań w zakresie magazynowania energii ani elektrolizerów służących do produkcji wodoru odnawialnego lub niskoemisyjnego. Wyraźne wskazanie w ustawie tych inwestycji zwiększyłoby pewność regulacyjną po stronie potencjalnych beneficjentów, ograniczyłoby ryzyko rozbieżności interpretacyjnych i stanowiłoby pełniejsze odzwierciedlenie w przepisach krajowych katalogu inwestycji wskazanego przez Komisję Europejską. Ma to szczególne znaczenie ze względu na konstrukcję projektowanego mechanizmu wsparcia i fakt, że przedsiębiorca ubiegający się o pomoc powinien mieć możliwość odpowiednio wczesnego zaplanowania inwestycji służącej realizacji obowiązku inwestycyjnego. </w:t>
            </w:r>
          </w:p>
          <w:p w14:paraId="056F2CD5" w14:textId="77777777" w:rsidR="00304A9D" w:rsidRPr="003E3747" w:rsidRDefault="00304A9D" w:rsidP="00304A9D">
            <w:pPr>
              <w:spacing w:line="276" w:lineRule="auto"/>
              <w:jc w:val="both"/>
              <w:rPr>
                <w:rFonts w:cstheme="minorHAnsi"/>
              </w:rPr>
            </w:pPr>
            <w:r w:rsidRPr="003E3747">
              <w:rPr>
                <w:rFonts w:eastAsia="Aptos" w:cstheme="minorHAnsi"/>
                <w:color w:val="000000" w:themeColor="text1"/>
              </w:rPr>
              <w:t xml:space="preserve">Rozwiązania w zakresie magazynowania energii mają szczególne znaczenie dla realizacji celów określonych w pkt 121 CISAF i w art. 3 ust. 7 projektu poprzez zwiększanie elastyczności zużycia energii przez przedsiębiorstwa, umożliwianie przesuwania poboru </w:t>
            </w:r>
            <w:r w:rsidRPr="003E3747">
              <w:rPr>
                <w:rFonts w:eastAsia="Aptos" w:cstheme="minorHAnsi"/>
                <w:color w:val="000000" w:themeColor="text1"/>
              </w:rPr>
              <w:lastRenderedPageBreak/>
              <w:t>energii pomiędzy okresami o różnej sytuacji rynkowej i różnym obciążeniu systemu oraz zwiększanie możliwości wykorzystania energii ze źródeł odnawialnych. Ich wyraźne wskazanie pozwoli również wyeliminować ewentualne wątpliwości co do możliwości uznania za inwestycję kwalifikowaną samodzielnego rozwiązania w zakresie magazynowania energii, niezależnie od jego realizacji łącznie z inwestycją w OZE. Samodzielne rozwiązania w zakresie magazynowania energii mogą bowiem zwiększać elastyczność przedsiębiorcy i jego zdolność do reagowania na sygnały rynkowe oraz potrzeby systemu elektroenergetycznego.</w:t>
            </w:r>
          </w:p>
          <w:p w14:paraId="15178A60" w14:textId="77777777" w:rsidR="00304A9D" w:rsidRPr="003E3747" w:rsidRDefault="00304A9D" w:rsidP="00304A9D">
            <w:pPr>
              <w:spacing w:line="276" w:lineRule="auto"/>
              <w:jc w:val="both"/>
              <w:rPr>
                <w:rFonts w:cstheme="minorHAnsi"/>
              </w:rPr>
            </w:pPr>
            <w:r w:rsidRPr="003E3747">
              <w:rPr>
                <w:rFonts w:eastAsia="Aptos" w:cstheme="minorHAnsi"/>
                <w:color w:val="000000" w:themeColor="text1"/>
              </w:rPr>
              <w:t>Zasadność wyraźnego wskazania magazynów energii znajduje potwierdzenie również w dotychczasowej praktyce wdrażania sekcji 4.5 CISAF. W zatwierdzonym przez Komisję Europejską programie niemieckim systemy magazynowania energii zostały wprost wskazane jako inwestycje kwalifikowane w ramach działań zwiększających elastyczność popytu, a infrastruktura służąca integracji magazynów została objęta kategorią inwestycji w elektryfikację.</w:t>
            </w:r>
          </w:p>
          <w:p w14:paraId="11A033C9" w14:textId="432431AF" w:rsidR="00304A9D" w:rsidRPr="003E3747" w:rsidRDefault="00304A9D" w:rsidP="00304A9D">
            <w:pPr>
              <w:jc w:val="both"/>
              <w:rPr>
                <w:rFonts w:eastAsia="Lato" w:cstheme="minorHAnsi"/>
                <w:color w:val="000000" w:themeColor="text1"/>
              </w:rPr>
            </w:pPr>
            <w:r w:rsidRPr="003E3747">
              <w:rPr>
                <w:rFonts w:eastAsia="Aptos" w:cstheme="minorHAnsi"/>
                <w:color w:val="000000" w:themeColor="text1"/>
              </w:rPr>
              <w:t xml:space="preserve">Elektrolizery do produkcji wodoru odnawialnego lub niskoemisyjnego mogą natomiast odgrywać istotną rolę w dekarbonizacji procesów przemysłowych, w szczególności w sektorach i procesach, w których możliwości bezpośredniej elektryfikacji są ograniczone ze względów technicznych lub </w:t>
            </w:r>
            <w:r w:rsidRPr="003E3747">
              <w:rPr>
                <w:rFonts w:eastAsia="Aptos" w:cstheme="minorHAnsi"/>
                <w:color w:val="000000" w:themeColor="text1"/>
              </w:rPr>
              <w:lastRenderedPageBreak/>
              <w:t>technologicznych. W takich przypadkach wodór odnawialny lub niskoemisyjny może stanowić jedno z rozwiązań umożliwiających ograniczenie wykorzystania paliw kopalnych w procesach produkcyjnych.</w:t>
            </w:r>
          </w:p>
        </w:tc>
        <w:tc>
          <w:tcPr>
            <w:tcW w:w="4155" w:type="dxa"/>
            <w:vAlign w:val="center"/>
          </w:tcPr>
          <w:p w14:paraId="61577548" w14:textId="77777777" w:rsidR="005D7CF8" w:rsidRPr="003E3747" w:rsidRDefault="005D7CF8" w:rsidP="005D7CF8">
            <w:pPr>
              <w:jc w:val="both"/>
              <w:rPr>
                <w:rFonts w:eastAsia="Lato" w:cstheme="minorHAnsi"/>
                <w:color w:val="000000" w:themeColor="text1"/>
              </w:rPr>
            </w:pPr>
            <w:r w:rsidRPr="003E3747">
              <w:rPr>
                <w:rFonts w:eastAsia="Lato" w:cstheme="minorHAnsi"/>
                <w:color w:val="000000" w:themeColor="text1"/>
              </w:rPr>
              <w:lastRenderedPageBreak/>
              <w:t>7. Wsparcie w wysokości co najmniej 50 % uzyskanej przez przedsiębiorcę kwoty wsparcia jest przeznaczane na sfinansowanie inwestycji, oddanej do użytkowania nie później niż w terminie 48 miesięcy od dnia udzielenia wsparcia, w nowe lub zmodernizowane aktywa, które przyczyniają się do obniżenia kosztów funkcjonowania systemu elektroenergetycznego, odpowiadają potrzebom rynku energii elektrycznej i systemu elektroenergetycznego oraz nie prowadzą do zwiększenia zużycia paliw kopalnych, w tym:</w:t>
            </w:r>
          </w:p>
          <w:p w14:paraId="733B4450" w14:textId="77777777" w:rsidR="005D7CF8" w:rsidRPr="003E3747" w:rsidRDefault="005D7CF8" w:rsidP="005D7CF8">
            <w:pPr>
              <w:jc w:val="both"/>
              <w:rPr>
                <w:rFonts w:eastAsia="Lato" w:cstheme="minorHAnsi"/>
                <w:color w:val="000000" w:themeColor="text1"/>
              </w:rPr>
            </w:pPr>
            <w:r w:rsidRPr="003E3747">
              <w:rPr>
                <w:rFonts w:eastAsia="Lato" w:cstheme="minorHAnsi"/>
                <w:color w:val="000000" w:themeColor="text1"/>
              </w:rPr>
              <w:t>1)         inwestycje zwiększające elastyczność po stronie popytu, umożliwiające dostosowanie poboru energii elektrycznej do sygnałów rynkowych lub sygnałów operatorów systemu elektroenergetycznego;</w:t>
            </w:r>
          </w:p>
          <w:p w14:paraId="43B8A640" w14:textId="77777777" w:rsidR="005D7CF8" w:rsidRPr="003E3747" w:rsidRDefault="005D7CF8" w:rsidP="005D7CF8">
            <w:pPr>
              <w:jc w:val="both"/>
              <w:rPr>
                <w:rFonts w:eastAsia="Lato" w:cstheme="minorHAnsi"/>
                <w:color w:val="000000" w:themeColor="text1"/>
              </w:rPr>
            </w:pPr>
            <w:r w:rsidRPr="003E3747">
              <w:rPr>
                <w:rFonts w:eastAsia="Lato" w:cstheme="minorHAnsi"/>
                <w:color w:val="000000" w:themeColor="text1"/>
              </w:rPr>
              <w:lastRenderedPageBreak/>
              <w:t>2)         inwestycje w elektryfikację i efektywność energetyczną;</w:t>
            </w:r>
          </w:p>
          <w:p w14:paraId="1DCEC263" w14:textId="77777777" w:rsidR="005D7CF8" w:rsidRPr="003E3747" w:rsidRDefault="005D7CF8" w:rsidP="005D7CF8">
            <w:pPr>
              <w:jc w:val="both"/>
              <w:rPr>
                <w:rFonts w:eastAsia="Lato" w:cstheme="minorHAnsi"/>
                <w:color w:val="000000" w:themeColor="text1"/>
              </w:rPr>
            </w:pPr>
            <w:r w:rsidRPr="003E3747">
              <w:rPr>
                <w:rFonts w:eastAsia="Lato" w:cstheme="minorHAnsi"/>
                <w:color w:val="000000" w:themeColor="text1"/>
              </w:rPr>
              <w:t>3)         inwestycje w odnawialne źródła energii i ich integrację z profilem zużycia przedsiębiorcy;</w:t>
            </w:r>
          </w:p>
          <w:p w14:paraId="20042157" w14:textId="77777777" w:rsidR="005D7CF8" w:rsidRPr="003E3747" w:rsidRDefault="005D7CF8" w:rsidP="005D7CF8">
            <w:pPr>
              <w:jc w:val="both"/>
              <w:rPr>
                <w:rFonts w:eastAsia="Lato" w:cstheme="minorHAnsi"/>
                <w:color w:val="000000" w:themeColor="text1"/>
              </w:rPr>
            </w:pPr>
            <w:r w:rsidRPr="003E3747">
              <w:rPr>
                <w:rFonts w:eastAsia="Lato" w:cstheme="minorHAnsi"/>
                <w:color w:val="000000" w:themeColor="text1"/>
              </w:rPr>
              <w:t>4)         inwestycje w infrastrukturę umożliwiającą elastyczną i bezpieczną pracę instalacji przedsiębiorcy;</w:t>
            </w:r>
          </w:p>
          <w:p w14:paraId="597FC41F" w14:textId="77777777" w:rsidR="005D7CF8" w:rsidRPr="003E3747" w:rsidRDefault="005D7CF8" w:rsidP="005D7CF8">
            <w:pPr>
              <w:jc w:val="both"/>
              <w:rPr>
                <w:rFonts w:eastAsia="Lato" w:cstheme="minorHAnsi"/>
                <w:b/>
                <w:bCs/>
                <w:color w:val="000000" w:themeColor="text1"/>
              </w:rPr>
            </w:pPr>
            <w:r w:rsidRPr="003E3747">
              <w:rPr>
                <w:rFonts w:eastAsia="Lato" w:cstheme="minorHAnsi"/>
                <w:b/>
                <w:bCs/>
                <w:color w:val="000000" w:themeColor="text1"/>
              </w:rPr>
              <w:t>5) inwestycje w rozwiązania w zakresie magazynowania energii;</w:t>
            </w:r>
          </w:p>
          <w:p w14:paraId="1593B7F9" w14:textId="77777777" w:rsidR="005D7CF8" w:rsidRPr="003E3747" w:rsidRDefault="005D7CF8" w:rsidP="005D7CF8">
            <w:pPr>
              <w:jc w:val="both"/>
              <w:rPr>
                <w:rFonts w:eastAsia="Lato" w:cstheme="minorHAnsi"/>
                <w:b/>
                <w:bCs/>
                <w:color w:val="000000" w:themeColor="text1"/>
              </w:rPr>
            </w:pPr>
            <w:r w:rsidRPr="003E3747">
              <w:rPr>
                <w:rFonts w:eastAsia="Lato" w:cstheme="minorHAnsi"/>
                <w:b/>
                <w:bCs/>
                <w:color w:val="000000" w:themeColor="text1"/>
              </w:rPr>
              <w:t>6) inwestycje w elektrolizery służące do produkcji wodoru odnawialnego lub niskoemisyjnego.</w:t>
            </w:r>
          </w:p>
          <w:p w14:paraId="5F0595B6" w14:textId="77777777" w:rsidR="005D7CF8" w:rsidRPr="003E3747" w:rsidRDefault="005D7CF8" w:rsidP="005D7CF8">
            <w:pPr>
              <w:jc w:val="both"/>
              <w:rPr>
                <w:rFonts w:eastAsia="Lato" w:cstheme="minorHAnsi"/>
                <w:color w:val="000000" w:themeColor="text1"/>
              </w:rPr>
            </w:pPr>
          </w:p>
          <w:p w14:paraId="49EF50A7" w14:textId="77777777" w:rsidR="00304A9D" w:rsidRPr="003E3747" w:rsidRDefault="00304A9D" w:rsidP="00304A9D">
            <w:pPr>
              <w:jc w:val="both"/>
              <w:rPr>
                <w:rFonts w:eastAsia="Lato" w:cstheme="minorHAnsi"/>
                <w:color w:val="000000" w:themeColor="text1"/>
              </w:rPr>
            </w:pPr>
          </w:p>
        </w:tc>
        <w:tc>
          <w:tcPr>
            <w:tcW w:w="1900" w:type="dxa"/>
            <w:vAlign w:val="center"/>
          </w:tcPr>
          <w:p w14:paraId="7CF5FE11" w14:textId="77777777" w:rsidR="00304A9D" w:rsidRPr="003E3747" w:rsidRDefault="00304A9D" w:rsidP="00304A9D">
            <w:pPr>
              <w:jc w:val="center"/>
              <w:rPr>
                <w:rFonts w:cstheme="minorHAnsi"/>
              </w:rPr>
            </w:pPr>
          </w:p>
        </w:tc>
      </w:tr>
      <w:tr w:rsidR="00304A9D" w:rsidRPr="003E3747" w14:paraId="76F1367B" w14:textId="77777777" w:rsidTr="00A769E2">
        <w:trPr>
          <w:trHeight w:val="300"/>
        </w:trPr>
        <w:tc>
          <w:tcPr>
            <w:tcW w:w="562" w:type="dxa"/>
          </w:tcPr>
          <w:p w14:paraId="4A75B0F1" w14:textId="1DB31324" w:rsidR="00304A9D" w:rsidRPr="003E3747" w:rsidRDefault="00304A9D" w:rsidP="00A05649">
            <w:pPr>
              <w:pStyle w:val="Akapitzlist"/>
              <w:numPr>
                <w:ilvl w:val="0"/>
                <w:numId w:val="21"/>
              </w:numPr>
              <w:jc w:val="center"/>
              <w:rPr>
                <w:rFonts w:cstheme="minorHAnsi"/>
              </w:rPr>
            </w:pPr>
          </w:p>
        </w:tc>
        <w:tc>
          <w:tcPr>
            <w:tcW w:w="1560" w:type="dxa"/>
          </w:tcPr>
          <w:p w14:paraId="2011F39B" w14:textId="731BF274" w:rsidR="00304A9D" w:rsidRPr="003E3747" w:rsidRDefault="007F6AF7"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6BBB43EB" w14:textId="4D1319F9" w:rsidR="00304A9D" w:rsidRPr="003E3747" w:rsidRDefault="00304A9D" w:rsidP="00A05649">
            <w:pPr>
              <w:ind w:left="-20"/>
              <w:jc w:val="center"/>
              <w:rPr>
                <w:rFonts w:eastAsia="Lato" w:cstheme="minorHAnsi"/>
              </w:rPr>
            </w:pPr>
            <w:r w:rsidRPr="003E3747">
              <w:rPr>
                <w:rFonts w:eastAsia="Lato" w:cstheme="minorHAnsi"/>
                <w:color w:val="000000" w:themeColor="text1"/>
              </w:rPr>
              <w:t>Art. 4 ust. 1-2</w:t>
            </w:r>
          </w:p>
        </w:tc>
        <w:tc>
          <w:tcPr>
            <w:tcW w:w="4988" w:type="dxa"/>
            <w:vAlign w:val="center"/>
          </w:tcPr>
          <w:p w14:paraId="0A297A92" w14:textId="70D8516D" w:rsidR="00304A9D" w:rsidRPr="003E3747" w:rsidRDefault="00304A9D" w:rsidP="00304A9D">
            <w:pPr>
              <w:jc w:val="both"/>
              <w:rPr>
                <w:rFonts w:eastAsiaTheme="minorEastAsia" w:cstheme="minorHAnsi"/>
                <w:color w:val="000000" w:themeColor="text1"/>
              </w:rPr>
            </w:pPr>
            <w:r w:rsidRPr="003E3747">
              <w:rPr>
                <w:rFonts w:eastAsia="Lato" w:cstheme="minorHAnsi"/>
                <w:color w:val="000000" w:themeColor="text1"/>
              </w:rPr>
              <w:t>Mechanizm pomniejszania wsparcia o wartość otrzymanych rekompensat sektorowych znacząco ogranicza realną wartość nowego instrumentu pomocowego dla przedsiębiorstw energochłonnych. Oba mechanizmy wsparcia realizują odmienne cele i nie powinny wzajemnie ograniczać swojej skuteczności.</w:t>
            </w:r>
          </w:p>
        </w:tc>
        <w:tc>
          <w:tcPr>
            <w:tcW w:w="4155" w:type="dxa"/>
          </w:tcPr>
          <w:p w14:paraId="744FF19A" w14:textId="0207A909" w:rsidR="00304A9D" w:rsidRPr="003E3747" w:rsidRDefault="00A769E2" w:rsidP="00A769E2">
            <w:pPr>
              <w:jc w:val="both"/>
              <w:rPr>
                <w:rFonts w:eastAsia="Lato" w:cstheme="minorHAnsi"/>
                <w:i/>
                <w:iCs/>
              </w:rPr>
            </w:pPr>
            <w:r w:rsidRPr="003E3747">
              <w:rPr>
                <w:rFonts w:eastAsia="Lato" w:cstheme="minorHAnsi"/>
                <w:color w:val="000000" w:themeColor="text1"/>
              </w:rPr>
              <w:t>Proponuje się rezygnację</w:t>
            </w:r>
            <w:r w:rsidR="26E3BC16" w:rsidRPr="003E3747">
              <w:rPr>
                <w:rFonts w:eastAsia="Lato" w:cstheme="minorHAnsi"/>
                <w:color w:val="000000" w:themeColor="text1"/>
              </w:rPr>
              <w:t xml:space="preserve"> z pomniejszania wsparcia o wartość otrzymanych rekompensat sektorowych.</w:t>
            </w:r>
          </w:p>
        </w:tc>
        <w:tc>
          <w:tcPr>
            <w:tcW w:w="1900" w:type="dxa"/>
            <w:vAlign w:val="center"/>
          </w:tcPr>
          <w:p w14:paraId="39F4947C" w14:textId="77777777" w:rsidR="00304A9D" w:rsidRPr="003E3747" w:rsidRDefault="00304A9D" w:rsidP="00304A9D">
            <w:pPr>
              <w:jc w:val="center"/>
              <w:rPr>
                <w:rFonts w:cstheme="minorHAnsi"/>
              </w:rPr>
            </w:pPr>
          </w:p>
        </w:tc>
      </w:tr>
      <w:tr w:rsidR="00304A9D" w:rsidRPr="003E3747" w14:paraId="6796D2FF" w14:textId="77777777" w:rsidTr="00A05649">
        <w:trPr>
          <w:trHeight w:val="300"/>
        </w:trPr>
        <w:tc>
          <w:tcPr>
            <w:tcW w:w="562" w:type="dxa"/>
          </w:tcPr>
          <w:p w14:paraId="7AAA5938" w14:textId="3CF5F5B9" w:rsidR="00304A9D" w:rsidRPr="003E3747" w:rsidRDefault="00304A9D" w:rsidP="00A05649">
            <w:pPr>
              <w:pStyle w:val="Akapitzlist"/>
              <w:numPr>
                <w:ilvl w:val="0"/>
                <w:numId w:val="21"/>
              </w:numPr>
              <w:jc w:val="center"/>
              <w:rPr>
                <w:rFonts w:cstheme="minorHAnsi"/>
              </w:rPr>
            </w:pPr>
          </w:p>
        </w:tc>
        <w:tc>
          <w:tcPr>
            <w:tcW w:w="1560" w:type="dxa"/>
          </w:tcPr>
          <w:p w14:paraId="742DC3A9" w14:textId="677C318D" w:rsidR="00304A9D" w:rsidRPr="003E3747" w:rsidRDefault="001A7F00"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1AB8103A" w14:textId="35E3270B" w:rsidR="00304A9D" w:rsidRPr="003E3747" w:rsidRDefault="00304A9D" w:rsidP="00A05649">
            <w:pPr>
              <w:ind w:left="-20"/>
              <w:jc w:val="center"/>
              <w:rPr>
                <w:rFonts w:eastAsia="Lato" w:cstheme="minorHAnsi"/>
              </w:rPr>
            </w:pPr>
            <w:r w:rsidRPr="003E3747">
              <w:rPr>
                <w:rFonts w:eastAsia="Lato" w:cstheme="minorHAnsi"/>
                <w:color w:val="000000" w:themeColor="text1"/>
              </w:rPr>
              <w:t>Art. 8 ust. 1 pkt 2</w:t>
            </w:r>
          </w:p>
        </w:tc>
        <w:tc>
          <w:tcPr>
            <w:tcW w:w="4988" w:type="dxa"/>
            <w:vAlign w:val="center"/>
          </w:tcPr>
          <w:p w14:paraId="22532EDB" w14:textId="665D9DB8" w:rsidR="00304A9D" w:rsidRPr="003E3747" w:rsidRDefault="00304A9D" w:rsidP="00304A9D">
            <w:pPr>
              <w:jc w:val="both"/>
              <w:rPr>
                <w:rFonts w:eastAsiaTheme="minorEastAsia" w:cstheme="minorHAnsi"/>
                <w:color w:val="000000" w:themeColor="text1"/>
              </w:rPr>
            </w:pPr>
            <w:r w:rsidRPr="003E3747">
              <w:rPr>
                <w:rFonts w:eastAsia="Lato" w:cstheme="minorHAnsi"/>
                <w:color w:val="000000" w:themeColor="text1"/>
              </w:rPr>
              <w:t>Wymóg ustanowienia zabezpieczenia zwrotu wsparcia na poziomie 120% wartości pomocy może istotnie obciążyć zdolność finansową przedsiębiorstw oraz zwiększyć koszt udziału w programie.</w:t>
            </w:r>
          </w:p>
        </w:tc>
        <w:tc>
          <w:tcPr>
            <w:tcW w:w="4155" w:type="dxa"/>
            <w:vAlign w:val="center"/>
          </w:tcPr>
          <w:p w14:paraId="6C393A5C" w14:textId="1549F8E8" w:rsidR="00304A9D" w:rsidRPr="003E3747" w:rsidRDefault="003B3A4B" w:rsidP="00304A9D">
            <w:pPr>
              <w:jc w:val="both"/>
              <w:rPr>
                <w:rFonts w:eastAsia="Lato" w:cstheme="minorHAnsi"/>
                <w:i/>
                <w:iCs/>
              </w:rPr>
            </w:pPr>
            <w:r w:rsidRPr="003E3747">
              <w:rPr>
                <w:rFonts w:eastAsia="Lato" w:cstheme="minorHAnsi"/>
                <w:color w:val="000000" w:themeColor="text1"/>
              </w:rPr>
              <w:t>Proponujemy o</w:t>
            </w:r>
            <w:r w:rsidR="00304A9D" w:rsidRPr="003E3747">
              <w:rPr>
                <w:rFonts w:eastAsia="Lato" w:cstheme="minorHAnsi"/>
                <w:color w:val="000000" w:themeColor="text1"/>
              </w:rPr>
              <w:t>bniżenie zabezpieczenia do 100% wartości udzielonego wsparcia.</w:t>
            </w:r>
          </w:p>
        </w:tc>
        <w:tc>
          <w:tcPr>
            <w:tcW w:w="1900" w:type="dxa"/>
            <w:vAlign w:val="center"/>
          </w:tcPr>
          <w:p w14:paraId="6A80BB1A" w14:textId="77777777" w:rsidR="00304A9D" w:rsidRPr="003E3747" w:rsidRDefault="00304A9D" w:rsidP="00304A9D">
            <w:pPr>
              <w:jc w:val="center"/>
              <w:rPr>
                <w:rFonts w:cstheme="minorHAnsi"/>
              </w:rPr>
            </w:pPr>
          </w:p>
        </w:tc>
      </w:tr>
      <w:tr w:rsidR="00304A9D" w:rsidRPr="003E3747" w14:paraId="35113949" w14:textId="77777777" w:rsidTr="00A05649">
        <w:trPr>
          <w:trHeight w:val="300"/>
        </w:trPr>
        <w:tc>
          <w:tcPr>
            <w:tcW w:w="562" w:type="dxa"/>
          </w:tcPr>
          <w:p w14:paraId="4F750729" w14:textId="3CCD3FD5" w:rsidR="00304A9D" w:rsidRPr="003E3747" w:rsidRDefault="00304A9D" w:rsidP="00A05649">
            <w:pPr>
              <w:pStyle w:val="Akapitzlist"/>
              <w:numPr>
                <w:ilvl w:val="0"/>
                <w:numId w:val="21"/>
              </w:numPr>
              <w:jc w:val="center"/>
              <w:rPr>
                <w:rFonts w:cstheme="minorHAnsi"/>
              </w:rPr>
            </w:pPr>
          </w:p>
        </w:tc>
        <w:tc>
          <w:tcPr>
            <w:tcW w:w="1560" w:type="dxa"/>
          </w:tcPr>
          <w:p w14:paraId="57A08FF4" w14:textId="1568DCDD" w:rsidR="00304A9D" w:rsidRPr="003E3747" w:rsidRDefault="003B3A4B"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45BF583C" w14:textId="3055A7D6" w:rsidR="00304A9D" w:rsidRPr="003E3747" w:rsidRDefault="00304A9D" w:rsidP="00A05649">
            <w:pPr>
              <w:ind w:left="-20"/>
              <w:jc w:val="center"/>
              <w:rPr>
                <w:rFonts w:eastAsia="Lato" w:cstheme="minorHAnsi"/>
              </w:rPr>
            </w:pPr>
            <w:r w:rsidRPr="003E3747">
              <w:rPr>
                <w:rFonts w:eastAsia="Lato" w:cstheme="minorHAnsi"/>
                <w:color w:val="000000" w:themeColor="text1"/>
              </w:rPr>
              <w:t>Art. 5 ust. 2; art. 9 ust. 3 pkt 3 i ust. 5</w:t>
            </w:r>
          </w:p>
        </w:tc>
        <w:tc>
          <w:tcPr>
            <w:tcW w:w="4988" w:type="dxa"/>
            <w:vAlign w:val="center"/>
          </w:tcPr>
          <w:p w14:paraId="58A8D268" w14:textId="6114887E" w:rsidR="00304A9D" w:rsidRPr="003E3747" w:rsidRDefault="00304A9D" w:rsidP="00304A9D">
            <w:pPr>
              <w:jc w:val="both"/>
              <w:rPr>
                <w:rFonts w:eastAsiaTheme="minorEastAsia" w:cstheme="minorHAnsi"/>
                <w:color w:val="000000" w:themeColor="text1"/>
              </w:rPr>
            </w:pPr>
            <w:r w:rsidRPr="003E3747">
              <w:rPr>
                <w:rFonts w:eastAsia="Lato" w:cstheme="minorHAnsi"/>
                <w:color w:val="000000" w:themeColor="text1"/>
              </w:rPr>
              <w:t>Projekt pozostawia szczegółowe rodzaje inwestycji, kryteria i warunki udzielenia wsparcia oraz część zasad naboru do późniejszego programu rządowego i regulaminu przygotowywanego przez operatora. Utrudnia to przedsiębiorcom pełną ocenę warunków i opłacalności udziału na etapie konsultacji ustawy.</w:t>
            </w:r>
          </w:p>
        </w:tc>
        <w:tc>
          <w:tcPr>
            <w:tcW w:w="4155" w:type="dxa"/>
            <w:vAlign w:val="center"/>
          </w:tcPr>
          <w:p w14:paraId="5F9CCD1A" w14:textId="50D892A1" w:rsidR="00304A9D" w:rsidRPr="003E3747" w:rsidRDefault="006C6374" w:rsidP="00304A9D">
            <w:pPr>
              <w:jc w:val="both"/>
              <w:rPr>
                <w:rFonts w:eastAsia="Lato" w:cstheme="minorHAnsi"/>
                <w:i/>
                <w:iCs/>
              </w:rPr>
            </w:pPr>
            <w:r w:rsidRPr="003E3747">
              <w:rPr>
                <w:rFonts w:eastAsia="Lato" w:cstheme="minorHAnsi"/>
                <w:color w:val="000000" w:themeColor="text1"/>
              </w:rPr>
              <w:t>Postulujemy o</w:t>
            </w:r>
            <w:r w:rsidR="00304A9D" w:rsidRPr="003E3747">
              <w:rPr>
                <w:rFonts w:eastAsia="Lato" w:cstheme="minorHAnsi"/>
                <w:color w:val="000000" w:themeColor="text1"/>
              </w:rPr>
              <w:t>kreślenie podstawowych kryteriów kwalifikacji, katalogu inwestycji i zasad oceny bezpośrednio w ustawie.</w:t>
            </w:r>
          </w:p>
        </w:tc>
        <w:tc>
          <w:tcPr>
            <w:tcW w:w="1900" w:type="dxa"/>
            <w:vAlign w:val="center"/>
          </w:tcPr>
          <w:p w14:paraId="1D7538D0" w14:textId="77777777" w:rsidR="00304A9D" w:rsidRPr="003E3747" w:rsidRDefault="00304A9D" w:rsidP="00304A9D">
            <w:pPr>
              <w:jc w:val="center"/>
              <w:rPr>
                <w:rFonts w:cstheme="minorHAnsi"/>
              </w:rPr>
            </w:pPr>
          </w:p>
        </w:tc>
      </w:tr>
      <w:tr w:rsidR="00304A9D" w:rsidRPr="003E3747" w14:paraId="7347AE8C" w14:textId="77777777" w:rsidTr="00A05649">
        <w:trPr>
          <w:trHeight w:val="300"/>
        </w:trPr>
        <w:tc>
          <w:tcPr>
            <w:tcW w:w="562" w:type="dxa"/>
          </w:tcPr>
          <w:p w14:paraId="75CFC23B" w14:textId="64268129" w:rsidR="00304A9D" w:rsidRPr="003E3747" w:rsidRDefault="00304A9D" w:rsidP="00A05649">
            <w:pPr>
              <w:pStyle w:val="Akapitzlist"/>
              <w:numPr>
                <w:ilvl w:val="0"/>
                <w:numId w:val="21"/>
              </w:numPr>
              <w:jc w:val="center"/>
              <w:rPr>
                <w:rFonts w:cstheme="minorHAnsi"/>
              </w:rPr>
            </w:pPr>
          </w:p>
        </w:tc>
        <w:tc>
          <w:tcPr>
            <w:tcW w:w="1560" w:type="dxa"/>
          </w:tcPr>
          <w:p w14:paraId="3E5B4C51" w14:textId="76B695A3" w:rsidR="00304A9D" w:rsidRPr="003E3747" w:rsidRDefault="0078231A"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4F8B9511" w14:textId="61BDE7D7" w:rsidR="00304A9D" w:rsidRPr="003E3747" w:rsidRDefault="00304A9D" w:rsidP="00A05649">
            <w:pPr>
              <w:ind w:left="-20"/>
              <w:jc w:val="center"/>
              <w:rPr>
                <w:rFonts w:eastAsia="Lato" w:cstheme="minorHAnsi"/>
              </w:rPr>
            </w:pPr>
            <w:r w:rsidRPr="003E3747">
              <w:rPr>
                <w:rFonts w:eastAsia="Lato" w:cstheme="minorHAnsi"/>
                <w:color w:val="000000" w:themeColor="text1"/>
              </w:rPr>
              <w:t>Art. 6; art. 11 ust. 1</w:t>
            </w:r>
          </w:p>
        </w:tc>
        <w:tc>
          <w:tcPr>
            <w:tcW w:w="4988" w:type="dxa"/>
            <w:vAlign w:val="center"/>
          </w:tcPr>
          <w:p w14:paraId="38E29E9E" w14:textId="4D74106D" w:rsidR="00304A9D" w:rsidRPr="003E3747" w:rsidRDefault="00304A9D" w:rsidP="00304A9D">
            <w:pPr>
              <w:jc w:val="both"/>
              <w:rPr>
                <w:rFonts w:eastAsiaTheme="minorEastAsia" w:cstheme="minorHAnsi"/>
                <w:color w:val="000000" w:themeColor="text1"/>
              </w:rPr>
            </w:pPr>
            <w:r w:rsidRPr="003E3747">
              <w:rPr>
                <w:rFonts w:eastAsia="Lato" w:cstheme="minorHAnsi"/>
                <w:color w:val="000000" w:themeColor="text1"/>
              </w:rPr>
              <w:t>Wsparcie jest udzielane tylko do wyczerpania środków, a lista beneficjentów jest przygotowywana w trybie konkursowym. Oznacza to, że samo spełnienie warunków nie gwarantuje otrzymania pomocy, mimo kosztów przygotowania wniosku i dokumentacji inwestycyjnej.</w:t>
            </w:r>
          </w:p>
        </w:tc>
        <w:tc>
          <w:tcPr>
            <w:tcW w:w="4155" w:type="dxa"/>
            <w:vAlign w:val="center"/>
          </w:tcPr>
          <w:p w14:paraId="68EBED63" w14:textId="6E87554B" w:rsidR="00304A9D" w:rsidRPr="003E3747" w:rsidRDefault="009A3FBD" w:rsidP="00304A9D">
            <w:pPr>
              <w:jc w:val="both"/>
              <w:rPr>
                <w:rFonts w:eastAsia="Lato" w:cstheme="minorHAnsi"/>
                <w:i/>
                <w:iCs/>
              </w:rPr>
            </w:pPr>
            <w:r w:rsidRPr="003E3747">
              <w:rPr>
                <w:rFonts w:eastAsia="Lato" w:cstheme="minorHAnsi"/>
                <w:color w:val="000000" w:themeColor="text1"/>
              </w:rPr>
              <w:t>Konieczne jest z</w:t>
            </w:r>
            <w:r w:rsidR="00304A9D" w:rsidRPr="003E3747">
              <w:rPr>
                <w:rFonts w:eastAsia="Lato" w:cstheme="minorHAnsi"/>
                <w:color w:val="000000" w:themeColor="text1"/>
              </w:rPr>
              <w:t>apewnienie wsparcia projektom spełniającym kryteria albo przejrzystej alokacji środków i listy rezerwowej.</w:t>
            </w:r>
          </w:p>
        </w:tc>
        <w:tc>
          <w:tcPr>
            <w:tcW w:w="1900" w:type="dxa"/>
            <w:vAlign w:val="center"/>
          </w:tcPr>
          <w:p w14:paraId="3DFECE93" w14:textId="77777777" w:rsidR="00304A9D" w:rsidRPr="003E3747" w:rsidRDefault="00304A9D" w:rsidP="00304A9D">
            <w:pPr>
              <w:jc w:val="center"/>
              <w:rPr>
                <w:rFonts w:cstheme="minorHAnsi"/>
              </w:rPr>
            </w:pPr>
          </w:p>
        </w:tc>
      </w:tr>
      <w:tr w:rsidR="00304A9D" w:rsidRPr="003E3747" w14:paraId="18546FFF" w14:textId="77777777" w:rsidTr="00A05649">
        <w:trPr>
          <w:trHeight w:val="300"/>
        </w:trPr>
        <w:tc>
          <w:tcPr>
            <w:tcW w:w="562" w:type="dxa"/>
          </w:tcPr>
          <w:p w14:paraId="0B10823A" w14:textId="662ED348" w:rsidR="00304A9D" w:rsidRPr="003E3747" w:rsidRDefault="00304A9D" w:rsidP="00A05649">
            <w:pPr>
              <w:pStyle w:val="Akapitzlist"/>
              <w:numPr>
                <w:ilvl w:val="0"/>
                <w:numId w:val="21"/>
              </w:numPr>
              <w:jc w:val="center"/>
              <w:rPr>
                <w:rFonts w:cstheme="minorHAnsi"/>
              </w:rPr>
            </w:pPr>
          </w:p>
        </w:tc>
        <w:tc>
          <w:tcPr>
            <w:tcW w:w="1560" w:type="dxa"/>
          </w:tcPr>
          <w:p w14:paraId="1360B22E" w14:textId="289E2ECC" w:rsidR="00304A9D" w:rsidRPr="003E3747" w:rsidRDefault="009A3FBD"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7FA050A5" w14:textId="0968CA15" w:rsidR="00304A9D" w:rsidRPr="003E3747" w:rsidRDefault="00304A9D" w:rsidP="00A05649">
            <w:pPr>
              <w:ind w:left="-20"/>
              <w:jc w:val="center"/>
              <w:rPr>
                <w:rFonts w:eastAsia="Lato" w:cstheme="minorHAnsi"/>
              </w:rPr>
            </w:pPr>
            <w:r w:rsidRPr="003E3747">
              <w:rPr>
                <w:rFonts w:eastAsia="Lato" w:cstheme="minorHAnsi"/>
                <w:color w:val="000000" w:themeColor="text1"/>
              </w:rPr>
              <w:t>Art. 3 ust. 7; art. 9 ust. 3 pkt 6-7; art. 13 ust. 3</w:t>
            </w:r>
          </w:p>
        </w:tc>
        <w:tc>
          <w:tcPr>
            <w:tcW w:w="4988" w:type="dxa"/>
            <w:vAlign w:val="center"/>
          </w:tcPr>
          <w:p w14:paraId="4442C426" w14:textId="6701BB7A" w:rsidR="00304A9D" w:rsidRPr="003E3747" w:rsidRDefault="00304A9D" w:rsidP="00304A9D">
            <w:pPr>
              <w:jc w:val="both"/>
              <w:rPr>
                <w:rFonts w:eastAsiaTheme="minorEastAsia" w:cstheme="minorHAnsi"/>
                <w:color w:val="000000" w:themeColor="text1"/>
              </w:rPr>
            </w:pPr>
            <w:r w:rsidRPr="003E3747">
              <w:rPr>
                <w:rFonts w:eastAsia="Lato" w:cstheme="minorHAnsi"/>
                <w:color w:val="000000" w:themeColor="text1"/>
              </w:rPr>
              <w:t>Obowiązek przeznaczenia co najmniej 50% pomocy na inwestycje, wraz z raportem oceny technicznej, dokumentacją, kontrolami i ryzykiem zwrotu, zwiększa koszty oraz ryzyko udziału w programie. Warunki te wymagają wcześniejszej oceny ekonomicznej i mogą ograniczać dostępność wsparcia.</w:t>
            </w:r>
          </w:p>
        </w:tc>
        <w:tc>
          <w:tcPr>
            <w:tcW w:w="4155" w:type="dxa"/>
            <w:vAlign w:val="center"/>
          </w:tcPr>
          <w:p w14:paraId="506BC989" w14:textId="59F4B266" w:rsidR="00304A9D" w:rsidRPr="003E3747" w:rsidRDefault="00BE658D" w:rsidP="00304A9D">
            <w:pPr>
              <w:jc w:val="both"/>
              <w:rPr>
                <w:rFonts w:eastAsia="Lato" w:cstheme="minorHAnsi"/>
                <w:i/>
                <w:iCs/>
              </w:rPr>
            </w:pPr>
            <w:r w:rsidRPr="003E3747">
              <w:rPr>
                <w:rFonts w:eastAsia="Lato" w:cstheme="minorHAnsi"/>
                <w:color w:val="000000" w:themeColor="text1"/>
              </w:rPr>
              <w:t>Konieczne jest u</w:t>
            </w:r>
            <w:r w:rsidR="00304A9D" w:rsidRPr="003E3747">
              <w:rPr>
                <w:rFonts w:eastAsia="Lato" w:cstheme="minorHAnsi"/>
                <w:color w:val="000000" w:themeColor="text1"/>
              </w:rPr>
              <w:t>proszczenie dokumentacji i rozliczeń oraz proporcjonalne zasady kontroli i zwrotu wsparcia.</w:t>
            </w:r>
          </w:p>
        </w:tc>
        <w:tc>
          <w:tcPr>
            <w:tcW w:w="1900" w:type="dxa"/>
            <w:vAlign w:val="center"/>
          </w:tcPr>
          <w:p w14:paraId="521F5D8B" w14:textId="77777777" w:rsidR="00304A9D" w:rsidRPr="003E3747" w:rsidRDefault="00304A9D" w:rsidP="00304A9D">
            <w:pPr>
              <w:jc w:val="center"/>
              <w:rPr>
                <w:rFonts w:cstheme="minorHAnsi"/>
              </w:rPr>
            </w:pPr>
          </w:p>
        </w:tc>
      </w:tr>
      <w:tr w:rsidR="00304A9D" w:rsidRPr="003E3747" w14:paraId="58F7AD3F" w14:textId="77777777" w:rsidTr="00A05649">
        <w:trPr>
          <w:trHeight w:val="300"/>
        </w:trPr>
        <w:tc>
          <w:tcPr>
            <w:tcW w:w="562" w:type="dxa"/>
          </w:tcPr>
          <w:p w14:paraId="01DEFA27" w14:textId="2EF04586" w:rsidR="00304A9D" w:rsidRPr="003E3747" w:rsidRDefault="00304A9D" w:rsidP="00A05649">
            <w:pPr>
              <w:pStyle w:val="Akapitzlist"/>
              <w:numPr>
                <w:ilvl w:val="0"/>
                <w:numId w:val="21"/>
              </w:numPr>
              <w:jc w:val="center"/>
              <w:rPr>
                <w:rFonts w:cstheme="minorHAnsi"/>
              </w:rPr>
            </w:pPr>
          </w:p>
        </w:tc>
        <w:tc>
          <w:tcPr>
            <w:tcW w:w="1560" w:type="dxa"/>
          </w:tcPr>
          <w:p w14:paraId="622F4CA2" w14:textId="6013F156" w:rsidR="00304A9D" w:rsidRPr="003E3747" w:rsidRDefault="006F15B8"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4B9BD1F9" w14:textId="3A26F29A" w:rsidR="00304A9D" w:rsidRPr="003E3747" w:rsidRDefault="00304A9D" w:rsidP="00A05649">
            <w:pPr>
              <w:ind w:left="-20"/>
              <w:jc w:val="center"/>
              <w:rPr>
                <w:rFonts w:eastAsia="Lato" w:cstheme="minorHAnsi"/>
              </w:rPr>
            </w:pPr>
            <w:r w:rsidRPr="003E3747">
              <w:rPr>
                <w:rFonts w:eastAsia="Lato" w:cstheme="minorHAnsi"/>
                <w:color w:val="000000" w:themeColor="text1"/>
              </w:rPr>
              <w:t>Art. 3 ust. 7-8; art. 4 ust. 3</w:t>
            </w:r>
          </w:p>
        </w:tc>
        <w:tc>
          <w:tcPr>
            <w:tcW w:w="4988" w:type="dxa"/>
            <w:vAlign w:val="center"/>
          </w:tcPr>
          <w:p w14:paraId="33D31640" w14:textId="0335D29E" w:rsidR="00304A9D" w:rsidRPr="003E3747" w:rsidRDefault="00304A9D" w:rsidP="00304A9D">
            <w:pPr>
              <w:jc w:val="both"/>
              <w:rPr>
                <w:rFonts w:eastAsiaTheme="minorEastAsia" w:cstheme="minorHAnsi"/>
                <w:color w:val="000000" w:themeColor="text1"/>
              </w:rPr>
            </w:pPr>
            <w:r w:rsidRPr="003E3747">
              <w:rPr>
                <w:rFonts w:eastAsia="Lato" w:cstheme="minorHAnsi"/>
                <w:color w:val="000000" w:themeColor="text1"/>
              </w:rPr>
              <w:t>Projekt nie określa wystarczająco jasno zasad kwalifikowania inwestycji rozpoczętych lub przygotowywanych przed przyznaniem pomocy. Nie doprecyzowuje również zasad realizacji inwestycji przez podmioty trzecie, mimo że uzasadnienie projektu przewiduje taką możliwość. Powoduje to niepewność inwestycyjną po stronie przedsiębiorców.</w:t>
            </w:r>
          </w:p>
        </w:tc>
        <w:tc>
          <w:tcPr>
            <w:tcW w:w="4155" w:type="dxa"/>
            <w:vAlign w:val="center"/>
          </w:tcPr>
          <w:p w14:paraId="44095218" w14:textId="7186F932" w:rsidR="00304A9D" w:rsidRPr="003E3747" w:rsidRDefault="006F15B8" w:rsidP="00304A9D">
            <w:pPr>
              <w:jc w:val="both"/>
              <w:rPr>
                <w:rFonts w:eastAsia="Lato" w:cstheme="minorHAnsi"/>
                <w:i/>
                <w:iCs/>
              </w:rPr>
            </w:pPr>
            <w:r w:rsidRPr="003E3747">
              <w:rPr>
                <w:rFonts w:eastAsia="Lato" w:cstheme="minorHAnsi"/>
                <w:color w:val="000000" w:themeColor="text1"/>
              </w:rPr>
              <w:t>Postulujemy d</w:t>
            </w:r>
            <w:r w:rsidR="00304A9D" w:rsidRPr="003E3747">
              <w:rPr>
                <w:rFonts w:eastAsia="Lato" w:cstheme="minorHAnsi"/>
                <w:color w:val="000000" w:themeColor="text1"/>
              </w:rPr>
              <w:t xml:space="preserve">oprecyzowanie kwalifikowalności inwestycji rozpoczętych wcześniej oraz zasad realizacji </w:t>
            </w:r>
            <w:r w:rsidR="00172652" w:rsidRPr="003E3747">
              <w:rPr>
                <w:rFonts w:eastAsia="Lato" w:cstheme="minorHAnsi"/>
                <w:color w:val="000000" w:themeColor="text1"/>
              </w:rPr>
              <w:t xml:space="preserve">projektów inwestycyjnych </w:t>
            </w:r>
            <w:r w:rsidR="00304A9D" w:rsidRPr="003E3747">
              <w:rPr>
                <w:rFonts w:eastAsia="Lato" w:cstheme="minorHAnsi"/>
                <w:color w:val="000000" w:themeColor="text1"/>
              </w:rPr>
              <w:t>przez podmioty trzecie</w:t>
            </w:r>
            <w:r w:rsidRPr="003E3747">
              <w:rPr>
                <w:rFonts w:eastAsia="Lato" w:cstheme="minorHAnsi"/>
                <w:color w:val="000000" w:themeColor="text1"/>
              </w:rPr>
              <w:t>.</w:t>
            </w:r>
          </w:p>
        </w:tc>
        <w:tc>
          <w:tcPr>
            <w:tcW w:w="1900" w:type="dxa"/>
            <w:vAlign w:val="center"/>
          </w:tcPr>
          <w:p w14:paraId="349F2914" w14:textId="77777777" w:rsidR="00304A9D" w:rsidRPr="003E3747" w:rsidRDefault="00304A9D" w:rsidP="00304A9D">
            <w:pPr>
              <w:jc w:val="center"/>
              <w:rPr>
                <w:rFonts w:cstheme="minorHAnsi"/>
              </w:rPr>
            </w:pPr>
          </w:p>
        </w:tc>
      </w:tr>
      <w:tr w:rsidR="004D4E26" w:rsidRPr="003E3747" w14:paraId="67159685" w14:textId="77777777" w:rsidTr="00A05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0286DEA" w14:textId="77777777" w:rsidR="004D4E26" w:rsidRPr="003E3747" w:rsidRDefault="004D4E26" w:rsidP="00A05649">
            <w:pPr>
              <w:pStyle w:val="Akapitzlist"/>
              <w:numPr>
                <w:ilvl w:val="0"/>
                <w:numId w:val="21"/>
              </w:numPr>
              <w:jc w:val="center"/>
              <w:rPr>
                <w:rFonts w:cstheme="minorHAnsi"/>
              </w:rPr>
            </w:pPr>
          </w:p>
        </w:tc>
        <w:tc>
          <w:tcPr>
            <w:tcW w:w="1560"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A0D7D2E" w14:textId="2F220D24" w:rsidR="004D4E26" w:rsidRPr="003E3747" w:rsidRDefault="00172652" w:rsidP="00A05649">
            <w:pPr>
              <w:ind w:left="34"/>
              <w:jc w:val="center"/>
              <w:rPr>
                <w:rFonts w:cstheme="minorHAnsi"/>
              </w:rPr>
            </w:pPr>
            <w:r w:rsidRPr="003E3747">
              <w:rPr>
                <w:rFonts w:eastAsia="Lato" w:cstheme="minorHAnsi"/>
                <w:color w:val="000000" w:themeColor="text1"/>
              </w:rPr>
              <w:t>Konfederacja Lewiatan</w:t>
            </w:r>
          </w:p>
        </w:tc>
        <w:tc>
          <w:tcPr>
            <w:tcW w:w="1842"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2881905" w14:textId="10E1D032" w:rsidR="004D4E26" w:rsidRPr="003E3747" w:rsidRDefault="000C60D6" w:rsidP="00A05649">
            <w:pPr>
              <w:ind w:left="-20"/>
              <w:jc w:val="center"/>
              <w:rPr>
                <w:rFonts w:eastAsia="Lato" w:cstheme="minorHAnsi"/>
              </w:rPr>
            </w:pPr>
            <w:r w:rsidRPr="003E3747">
              <w:rPr>
                <w:rFonts w:eastAsia="Lato" w:cstheme="minorHAnsi"/>
              </w:rPr>
              <w:t>Art. 7 ust 1 pkt 2</w:t>
            </w:r>
          </w:p>
        </w:tc>
        <w:tc>
          <w:tcPr>
            <w:tcW w:w="498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10BEFDB" w14:textId="0A1DE559" w:rsidR="004D4E26" w:rsidRPr="003E3747" w:rsidRDefault="004D4E26" w:rsidP="004D4E26">
            <w:pPr>
              <w:spacing w:before="120" w:after="120"/>
              <w:jc w:val="both"/>
              <w:rPr>
                <w:rFonts w:eastAsia="Lato" w:cstheme="minorHAnsi"/>
                <w:color w:val="000000" w:themeColor="text1"/>
              </w:rPr>
            </w:pPr>
            <w:r w:rsidRPr="003E3747">
              <w:rPr>
                <w:rFonts w:eastAsia="Lato" w:cstheme="minorHAnsi"/>
                <w:color w:val="000000" w:themeColor="text1"/>
              </w:rPr>
              <w:t>Postulujemy usunięcie art. 7 ust. 1 pkt 2 projektu ustawy, który stawia wymóg przed potencjalnymi beneficjantami wpisu do wykazu odbiorców przemysłowych, o którym mowa w art. 52 ust. 4 ustawy z dnia 20 lutego 2015 o odnawialnych źródłach energii.</w:t>
            </w:r>
          </w:p>
          <w:p w14:paraId="3A3476FC" w14:textId="465FD55B" w:rsidR="004D4E26" w:rsidRPr="003E3747" w:rsidRDefault="004D4E26" w:rsidP="004D4E26">
            <w:pPr>
              <w:spacing w:before="120" w:after="120"/>
              <w:jc w:val="both"/>
              <w:rPr>
                <w:rFonts w:eastAsia="Lato" w:cstheme="minorHAnsi"/>
                <w:color w:val="000000" w:themeColor="text1"/>
              </w:rPr>
            </w:pPr>
            <w:r w:rsidRPr="003E3747">
              <w:rPr>
                <w:rFonts w:eastAsia="Lato" w:cstheme="minorHAnsi"/>
                <w:color w:val="000000" w:themeColor="text1"/>
              </w:rPr>
              <w:t xml:space="preserve">W naszej ocenie wymóg wskazany </w:t>
            </w:r>
            <w:proofErr w:type="gramStart"/>
            <w:r w:rsidRPr="003E3747">
              <w:rPr>
                <w:rFonts w:eastAsia="Lato" w:cstheme="minorHAnsi"/>
                <w:color w:val="000000" w:themeColor="text1"/>
              </w:rPr>
              <w:t>w  art.</w:t>
            </w:r>
            <w:proofErr w:type="gramEnd"/>
            <w:r w:rsidRPr="003E3747">
              <w:rPr>
                <w:rFonts w:eastAsia="Lato" w:cstheme="minorHAnsi"/>
                <w:color w:val="000000" w:themeColor="text1"/>
              </w:rPr>
              <w:t xml:space="preserve"> 7 ust. 1 pkt 2 jest nadmiarowy w stosunku do zasad stosowania pomocy określonych w wytycznych CISAF. Projekt w art. 7 ust. 1 pkt 1 przewiduje już obowiązek prowadzenia działalności gospodarczej w sektorach określonych odpowiednimi kodami PKD. Jednocześnie zgodnie z motywem 116 sekcji 4.5.2 CISAF dotyczącym zakresu i kwalifikowalności pomocy </w:t>
            </w:r>
            <w:r w:rsidRPr="003E3747">
              <w:rPr>
                <w:rFonts w:eastAsia="Lato" w:cstheme="minorHAnsi"/>
                <w:color w:val="000000" w:themeColor="text1"/>
              </w:rPr>
              <w:lastRenderedPageBreak/>
              <w:t xml:space="preserve">publicznej w ramach Tymczasowego obniżenia cen energii elektrycznej dla odbiorców energochłonnych beneficjentami wsparcia mogą być przedsiębiorstwa prowadzące działalność w sektorach wymienionych w załączniku nr 1 do CEEAG. Identyfikacja uprawnionych podmiotów powinna następować w naszej opinii zgodnie z CISAF i nie wprowadzać jednocześnie </w:t>
            </w:r>
            <w:proofErr w:type="spellStart"/>
            <w:r w:rsidRPr="003E3747">
              <w:rPr>
                <w:rFonts w:eastAsia="Lato" w:cstheme="minorHAnsi"/>
                <w:color w:val="000000" w:themeColor="text1"/>
              </w:rPr>
              <w:t>nadregulacji</w:t>
            </w:r>
            <w:proofErr w:type="spellEnd"/>
            <w:r w:rsidRPr="003E3747">
              <w:rPr>
                <w:rFonts w:eastAsia="Lato" w:cstheme="minorHAnsi"/>
                <w:color w:val="000000" w:themeColor="text1"/>
              </w:rPr>
              <w:t xml:space="preserve"> w zakresie dodatkowych wymogów stawianych przed polskim przemysłem.</w:t>
            </w:r>
          </w:p>
        </w:tc>
        <w:tc>
          <w:tcPr>
            <w:tcW w:w="4155"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B562801" w14:textId="77777777" w:rsidR="000C41B1" w:rsidRPr="003E3747" w:rsidRDefault="000C41B1" w:rsidP="00D002DD">
            <w:pPr>
              <w:jc w:val="both"/>
              <w:rPr>
                <w:rFonts w:eastAsia="Lato" w:cstheme="minorHAnsi"/>
              </w:rPr>
            </w:pPr>
            <w:r w:rsidRPr="003E3747">
              <w:rPr>
                <w:rFonts w:eastAsia="Lato" w:cstheme="minorHAnsi"/>
              </w:rPr>
              <w:lastRenderedPageBreak/>
              <w:t>Art. 7. 1. Wsparcie może być udzielone przedsiębiorcy, który:</w:t>
            </w:r>
          </w:p>
          <w:p w14:paraId="3349B1A4" w14:textId="77777777" w:rsidR="000C41B1" w:rsidRPr="003E3747" w:rsidRDefault="000C41B1" w:rsidP="00D002DD">
            <w:pPr>
              <w:jc w:val="both"/>
              <w:rPr>
                <w:rFonts w:eastAsia="Lato" w:cstheme="minorHAnsi"/>
              </w:rPr>
            </w:pPr>
            <w:r w:rsidRPr="003E3747">
              <w:rPr>
                <w:rFonts w:eastAsia="Lato" w:cstheme="minorHAnsi"/>
              </w:rPr>
              <w:t>1)         ponad 50 % przychodu z działalności gospodarczej uzyskanego w okresie kwalifikowanym osiąga z działalności określonej w Polskiej Klasyfikacji Działalności (PKD) i oznaczonej kodami wymienionymi w załączniku do ustawy;</w:t>
            </w:r>
          </w:p>
          <w:p w14:paraId="09C574CC" w14:textId="2D309D0C" w:rsidR="004D4E26" w:rsidRPr="003E3747" w:rsidRDefault="000C41B1" w:rsidP="00D002DD">
            <w:pPr>
              <w:jc w:val="both"/>
              <w:rPr>
                <w:rFonts w:eastAsia="Lato" w:cstheme="minorHAnsi"/>
                <w:strike/>
              </w:rPr>
            </w:pPr>
            <w:r w:rsidRPr="003E3747">
              <w:rPr>
                <w:rFonts w:eastAsia="Lato" w:cstheme="minorHAnsi"/>
                <w:strike/>
              </w:rPr>
              <w:t>2)         jest odbiorcą przemysłowym wpisanym do wykazu odbiorców przemysłowych, o którym mowa w art. 52 ust. 4 ustawy z dnia 20 lutego 2015 o odnawialnych źródłach energii;</w:t>
            </w:r>
          </w:p>
        </w:tc>
        <w:tc>
          <w:tcPr>
            <w:tcW w:w="1900"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71E7904" w14:textId="77777777" w:rsidR="004D4E26" w:rsidRPr="003E3747" w:rsidRDefault="004D4E26" w:rsidP="00304A9D">
            <w:pPr>
              <w:jc w:val="center"/>
              <w:rPr>
                <w:rFonts w:cstheme="minorHAnsi"/>
              </w:rPr>
            </w:pPr>
          </w:p>
        </w:tc>
      </w:tr>
      <w:tr w:rsidR="00304A9D" w:rsidRPr="003E3747" w14:paraId="574FF95B" w14:textId="79D2CCFA" w:rsidTr="00A05649">
        <w:tc>
          <w:tcPr>
            <w:tcW w:w="562" w:type="dxa"/>
          </w:tcPr>
          <w:p w14:paraId="590D690B" w14:textId="5D15A284" w:rsidR="00304A9D" w:rsidRPr="003E3747" w:rsidRDefault="00304A9D" w:rsidP="00A05649">
            <w:pPr>
              <w:pStyle w:val="Akapitzlist"/>
              <w:numPr>
                <w:ilvl w:val="0"/>
                <w:numId w:val="21"/>
              </w:numPr>
              <w:jc w:val="center"/>
              <w:rPr>
                <w:rFonts w:cstheme="minorHAnsi"/>
              </w:rPr>
            </w:pPr>
          </w:p>
        </w:tc>
        <w:tc>
          <w:tcPr>
            <w:tcW w:w="1560" w:type="dxa"/>
          </w:tcPr>
          <w:p w14:paraId="7283C367" w14:textId="1A0290B4" w:rsidR="00304A9D" w:rsidRPr="003E3747" w:rsidRDefault="009A02EC"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664401F1" w14:textId="45CC04B1" w:rsidR="00304A9D" w:rsidRPr="003E3747" w:rsidRDefault="00304A9D" w:rsidP="00A05649">
            <w:pPr>
              <w:ind w:left="-20"/>
              <w:jc w:val="center"/>
              <w:rPr>
                <w:rFonts w:cstheme="minorHAnsi"/>
              </w:rPr>
            </w:pPr>
            <w:r w:rsidRPr="003E3747">
              <w:rPr>
                <w:rFonts w:eastAsia="Lato" w:cstheme="minorHAnsi"/>
              </w:rPr>
              <w:t>Art. 11</w:t>
            </w:r>
          </w:p>
        </w:tc>
        <w:tc>
          <w:tcPr>
            <w:tcW w:w="4988" w:type="dxa"/>
            <w:vAlign w:val="center"/>
          </w:tcPr>
          <w:p w14:paraId="145656DB" w14:textId="730640E4" w:rsidR="00304A9D" w:rsidRPr="003E3747" w:rsidRDefault="00304A9D" w:rsidP="00304A9D">
            <w:pPr>
              <w:spacing w:before="120" w:after="120"/>
              <w:jc w:val="both"/>
              <w:rPr>
                <w:rFonts w:cstheme="minorHAnsi"/>
              </w:rPr>
            </w:pPr>
            <w:r w:rsidRPr="003E3747">
              <w:rPr>
                <w:rFonts w:eastAsia="Lato" w:cstheme="minorHAnsi"/>
                <w:color w:val="000000" w:themeColor="text1"/>
              </w:rPr>
              <w:t xml:space="preserve">Wskazane wydaje się ponowne rozważenie składu komisji konkursowej, w szczególności udziału w niej przedstawiciela Polskich Sieci Elektroenergetycznych S.A. albo odpowiednie uzasadnienie jego udziału. PSE jest podmiotem objętym projektowaną podwyższoną stawką CIT i jednocześnie wskazanym członkiem komisji oceniającej projekty finansowane ze środków pozyskanych m.in. od podmiotów objętych nowym opodatkowaniem. Żaden przedstawiciel pozostałych grup przedsiębiorców objętych podwyższonym CIT nie został przewidziany w składzie komisji. Może to budzić wątpliwości co do zachowania równowagi interesów oraz przejrzystości procesu wyboru projektów. Jednocześnie obecny model uprzywilejowuje jedną kategorię podmiotów objętych dodatkowym opodatkowaniem pomimo tego, że wpływy z podwyższonego CIT od tego podmiotu wcale nie stanowią najwyższego udziału we wpływach spośród pozostałych przedsiębiorstw objętych tym obowiązkiem. </w:t>
            </w:r>
          </w:p>
          <w:p w14:paraId="1294F3F3" w14:textId="7B4D33AC" w:rsidR="00304A9D" w:rsidRPr="003E3747" w:rsidRDefault="00304A9D" w:rsidP="00304A9D">
            <w:pPr>
              <w:spacing w:before="120" w:after="120"/>
              <w:jc w:val="both"/>
              <w:rPr>
                <w:rFonts w:cstheme="minorHAnsi"/>
              </w:rPr>
            </w:pPr>
            <w:r w:rsidRPr="003E3747">
              <w:rPr>
                <w:rFonts w:eastAsia="Lato" w:cstheme="minorHAnsi"/>
                <w:color w:val="000000" w:themeColor="text1"/>
              </w:rPr>
              <w:lastRenderedPageBreak/>
              <w:t>Należy poszerzyć skład komisji o przedstawicieli innych grup podmiotów finansujących program albo ograniczyć skład do podmiotów administracji publicznej i operatora programu, co ograniczyłoby ryzyko zarzutów dotyczących potencjalnego konfliktu interesów.</w:t>
            </w:r>
          </w:p>
        </w:tc>
        <w:tc>
          <w:tcPr>
            <w:tcW w:w="4155" w:type="dxa"/>
            <w:vAlign w:val="center"/>
          </w:tcPr>
          <w:p w14:paraId="230DA132" w14:textId="6D655984" w:rsidR="00304A9D" w:rsidRPr="003E3747" w:rsidRDefault="00304A9D" w:rsidP="00D002DD">
            <w:pPr>
              <w:jc w:val="both"/>
              <w:rPr>
                <w:rFonts w:cstheme="minorHAnsi"/>
              </w:rPr>
            </w:pPr>
            <w:r w:rsidRPr="003E3747">
              <w:rPr>
                <w:rFonts w:eastAsia="Lato" w:cstheme="minorHAnsi"/>
              </w:rPr>
              <w:lastRenderedPageBreak/>
              <w:t>3. W skład komisji wchodzą:</w:t>
            </w:r>
          </w:p>
          <w:p w14:paraId="63CA3F02" w14:textId="2A6F286A" w:rsidR="00304A9D" w:rsidRPr="003E3747" w:rsidRDefault="00304A9D" w:rsidP="00D002DD">
            <w:pPr>
              <w:jc w:val="both"/>
              <w:rPr>
                <w:rFonts w:cstheme="minorHAnsi"/>
              </w:rPr>
            </w:pPr>
            <w:r w:rsidRPr="003E3747">
              <w:rPr>
                <w:rFonts w:eastAsia="Lato" w:cstheme="minorHAnsi"/>
              </w:rPr>
              <w:t>1) przewodniczący komisji – sekretarz stanu albo podsekretarz stanu w urzędzie obsługującym ministra właściwego do spraw gospodarki;</w:t>
            </w:r>
          </w:p>
          <w:p w14:paraId="21258B05" w14:textId="601C3E99" w:rsidR="00304A9D" w:rsidRPr="003E3747" w:rsidRDefault="00304A9D" w:rsidP="00D002DD">
            <w:pPr>
              <w:jc w:val="both"/>
              <w:rPr>
                <w:rFonts w:cstheme="minorHAnsi"/>
              </w:rPr>
            </w:pPr>
            <w:r w:rsidRPr="003E3747">
              <w:rPr>
                <w:rFonts w:eastAsia="Lato" w:cstheme="minorHAnsi"/>
              </w:rPr>
              <w:t>2) zastępca przewodniczącego komisji;</w:t>
            </w:r>
          </w:p>
          <w:p w14:paraId="3ACE621D" w14:textId="005291FD" w:rsidR="00304A9D" w:rsidRPr="003E3747" w:rsidRDefault="00304A9D" w:rsidP="00D002DD">
            <w:pPr>
              <w:jc w:val="both"/>
              <w:rPr>
                <w:rFonts w:cstheme="minorHAnsi"/>
              </w:rPr>
            </w:pPr>
            <w:r w:rsidRPr="003E3747">
              <w:rPr>
                <w:rFonts w:eastAsia="Lato" w:cstheme="minorHAnsi"/>
              </w:rPr>
              <w:t>3) sekretarz komisji;</w:t>
            </w:r>
          </w:p>
          <w:p w14:paraId="319F39B6" w14:textId="600E7475" w:rsidR="00304A9D" w:rsidRPr="003E3747" w:rsidRDefault="00304A9D" w:rsidP="00D002DD">
            <w:pPr>
              <w:jc w:val="both"/>
              <w:rPr>
                <w:rFonts w:cstheme="minorHAnsi"/>
              </w:rPr>
            </w:pPr>
            <w:r w:rsidRPr="003E3747">
              <w:rPr>
                <w:rFonts w:eastAsia="Lato" w:cstheme="minorHAnsi"/>
              </w:rPr>
              <w:t xml:space="preserve">4) pozostali członkowie komisji – po jednym przedstawicielu wskazanym przez ministra właściwego do spraw energii, ministra właściwego do spraw gospodarki, Pełnomocnika Rządu do spraw Strategicznej Infrastruktury </w:t>
            </w:r>
            <w:proofErr w:type="gramStart"/>
            <w:r w:rsidRPr="003E3747">
              <w:rPr>
                <w:rFonts w:eastAsia="Lato" w:cstheme="minorHAnsi"/>
              </w:rPr>
              <w:t>Energetycznej</w:t>
            </w:r>
            <w:r w:rsidRPr="003E3747">
              <w:rPr>
                <w:rFonts w:eastAsia="Lato" w:cstheme="minorHAnsi"/>
                <w:strike/>
                <w:color w:val="FF0000"/>
              </w:rPr>
              <w:t>,</w:t>
            </w:r>
            <w:proofErr w:type="gramEnd"/>
            <w:r w:rsidRPr="003E3747">
              <w:rPr>
                <w:rFonts w:eastAsia="Lato" w:cstheme="minorHAnsi"/>
                <w:color w:val="FF0000"/>
              </w:rPr>
              <w:t xml:space="preserve"> i</w:t>
            </w:r>
            <w:r w:rsidRPr="003E3747">
              <w:rPr>
                <w:rFonts w:eastAsia="Lato" w:cstheme="minorHAnsi"/>
              </w:rPr>
              <w:t xml:space="preserve"> Prezesa Banku Gospodarstwa Krajowego</w:t>
            </w:r>
            <w:r w:rsidRPr="003E3747">
              <w:rPr>
                <w:rFonts w:eastAsia="Lato" w:cstheme="minorHAnsi"/>
                <w:color w:val="FF0000"/>
              </w:rPr>
              <w:t>.</w:t>
            </w:r>
            <w:r w:rsidRPr="003E3747">
              <w:rPr>
                <w:rFonts w:eastAsia="Lato" w:cstheme="minorHAnsi"/>
              </w:rPr>
              <w:t xml:space="preserve"> </w:t>
            </w:r>
            <w:r w:rsidRPr="003E3747">
              <w:rPr>
                <w:rFonts w:eastAsia="Lato" w:cstheme="minorHAnsi"/>
                <w:strike/>
                <w:color w:val="FF0000"/>
              </w:rPr>
              <w:t>i Prezesa Polskich Sieci Elektroenergetycznych Spółka Akcyjna z siedzibą w Konstancinie-Jeziornie</w:t>
            </w:r>
            <w:r w:rsidRPr="003E3747">
              <w:rPr>
                <w:rFonts w:eastAsia="Lato" w:cstheme="minorHAnsi"/>
              </w:rPr>
              <w:t>.</w:t>
            </w:r>
          </w:p>
          <w:p w14:paraId="5F58D326" w14:textId="7BFF714A" w:rsidR="00304A9D" w:rsidRPr="003E3747" w:rsidRDefault="00304A9D" w:rsidP="00D002DD">
            <w:pPr>
              <w:jc w:val="both"/>
              <w:rPr>
                <w:rFonts w:cstheme="minorHAnsi"/>
              </w:rPr>
            </w:pPr>
            <w:r w:rsidRPr="003E3747">
              <w:rPr>
                <w:rFonts w:eastAsia="Lato" w:cstheme="minorHAnsi"/>
              </w:rPr>
              <w:t>Alternatywnie:</w:t>
            </w:r>
          </w:p>
          <w:p w14:paraId="11F1B40A" w14:textId="74E2A131" w:rsidR="00304A9D" w:rsidRPr="003E3747" w:rsidRDefault="00304A9D" w:rsidP="00D002DD">
            <w:pPr>
              <w:jc w:val="both"/>
              <w:rPr>
                <w:rFonts w:cstheme="minorHAnsi"/>
              </w:rPr>
            </w:pPr>
            <w:r w:rsidRPr="003E3747">
              <w:rPr>
                <w:rFonts w:eastAsia="Lato" w:cstheme="minorHAnsi"/>
              </w:rPr>
              <w:lastRenderedPageBreak/>
              <w:t>3. W skład komisji wchodzą:</w:t>
            </w:r>
          </w:p>
          <w:p w14:paraId="4B7C588C" w14:textId="3F66EE01" w:rsidR="00304A9D" w:rsidRPr="003E3747" w:rsidRDefault="00304A9D" w:rsidP="00D002DD">
            <w:pPr>
              <w:jc w:val="both"/>
              <w:rPr>
                <w:rFonts w:cstheme="minorHAnsi"/>
              </w:rPr>
            </w:pPr>
            <w:r w:rsidRPr="003E3747">
              <w:rPr>
                <w:rFonts w:eastAsia="Lato" w:cstheme="minorHAnsi"/>
              </w:rPr>
              <w:t>1) przewodniczący komisji – sekretarz stanu albo podsekretarz stanu w urzędzie obsługującym ministra właściwego do spraw gospodarki;</w:t>
            </w:r>
          </w:p>
          <w:p w14:paraId="42EEEF31" w14:textId="2B3E065B" w:rsidR="00304A9D" w:rsidRPr="003E3747" w:rsidRDefault="00304A9D" w:rsidP="00D002DD">
            <w:pPr>
              <w:jc w:val="both"/>
              <w:rPr>
                <w:rFonts w:cstheme="minorHAnsi"/>
              </w:rPr>
            </w:pPr>
            <w:r w:rsidRPr="003E3747">
              <w:rPr>
                <w:rFonts w:eastAsia="Lato" w:cstheme="minorHAnsi"/>
              </w:rPr>
              <w:t>2) zastępca przewodniczącego komisji;</w:t>
            </w:r>
          </w:p>
          <w:p w14:paraId="6AD211C8" w14:textId="12D20EB5" w:rsidR="00304A9D" w:rsidRPr="003E3747" w:rsidRDefault="00304A9D" w:rsidP="00D002DD">
            <w:pPr>
              <w:jc w:val="both"/>
              <w:rPr>
                <w:rFonts w:cstheme="minorHAnsi"/>
              </w:rPr>
            </w:pPr>
            <w:r w:rsidRPr="003E3747">
              <w:rPr>
                <w:rFonts w:eastAsia="Lato" w:cstheme="minorHAnsi"/>
              </w:rPr>
              <w:t>3) sekretarz komisji;</w:t>
            </w:r>
          </w:p>
          <w:p w14:paraId="7D56E5D2" w14:textId="463370CE" w:rsidR="00304A9D" w:rsidRPr="003E3747" w:rsidRDefault="00304A9D" w:rsidP="00D002DD">
            <w:pPr>
              <w:jc w:val="both"/>
              <w:rPr>
                <w:rFonts w:cstheme="minorHAnsi"/>
              </w:rPr>
            </w:pPr>
            <w:r w:rsidRPr="003E3747">
              <w:rPr>
                <w:rFonts w:eastAsia="Lato" w:cstheme="minorHAnsi"/>
              </w:rPr>
              <w:t xml:space="preserve">4) pozostali członkowie komisji – po jednym przedstawicielu wskazanym przez ministra właściwego do spraw energii, ministra właściwego do spraw gospodarki, Pełnomocnika Rządu do spraw Strategicznej Infrastruktury Energetycznej, Prezesa Banku Gospodarstwa Krajowego </w:t>
            </w:r>
            <w:r w:rsidRPr="003E3747">
              <w:rPr>
                <w:rFonts w:eastAsia="Lato" w:cstheme="minorHAnsi"/>
                <w:strike/>
                <w:color w:val="FF0000"/>
              </w:rPr>
              <w:t>i Prezesa Polskich Sieci Elektroenergetycznych Spółka Akcyjna z siedzibą w Konstancinie-Jeziornie</w:t>
            </w:r>
            <w:r w:rsidRPr="003E3747">
              <w:rPr>
                <w:rFonts w:eastAsia="Lato" w:cstheme="minorHAnsi"/>
                <w:color w:val="FF0000"/>
              </w:rPr>
              <w:t xml:space="preserve"> i</w:t>
            </w:r>
            <w:r w:rsidRPr="003E3747">
              <w:rPr>
                <w:rFonts w:eastAsia="Lato" w:cstheme="minorHAnsi"/>
              </w:rPr>
              <w:t xml:space="preserve"> </w:t>
            </w:r>
            <w:r w:rsidRPr="003E3747">
              <w:rPr>
                <w:rFonts w:eastAsia="Lato" w:cstheme="minorHAnsi"/>
                <w:color w:val="FF0000"/>
              </w:rPr>
              <w:t>podmioty</w:t>
            </w:r>
            <w:r w:rsidRPr="003E3747">
              <w:rPr>
                <w:rFonts w:eastAsia="Lato" w:cstheme="minorHAnsi"/>
              </w:rPr>
              <w:t xml:space="preserve"> </w:t>
            </w:r>
            <w:r w:rsidRPr="003E3747">
              <w:rPr>
                <w:rFonts w:eastAsia="Lato" w:cstheme="minorHAnsi"/>
                <w:color w:val="FF0000"/>
              </w:rPr>
              <w:t>wymienione w art. 26 niniejszej ustawy</w:t>
            </w:r>
            <w:r w:rsidRPr="003E3747">
              <w:rPr>
                <w:rFonts w:eastAsia="Lato" w:cstheme="minorHAnsi"/>
              </w:rPr>
              <w:t>.</w:t>
            </w:r>
          </w:p>
        </w:tc>
        <w:tc>
          <w:tcPr>
            <w:tcW w:w="1900" w:type="dxa"/>
            <w:vAlign w:val="center"/>
          </w:tcPr>
          <w:p w14:paraId="270E7F8B" w14:textId="40F19160" w:rsidR="00304A9D" w:rsidRPr="003E3747" w:rsidRDefault="00304A9D" w:rsidP="00304A9D">
            <w:pPr>
              <w:jc w:val="center"/>
              <w:rPr>
                <w:rFonts w:cstheme="minorHAnsi"/>
              </w:rPr>
            </w:pPr>
          </w:p>
        </w:tc>
      </w:tr>
      <w:tr w:rsidR="005760D8" w:rsidRPr="003E3747" w14:paraId="13908A30" w14:textId="77777777" w:rsidTr="00A05649">
        <w:tc>
          <w:tcPr>
            <w:tcW w:w="562" w:type="dxa"/>
          </w:tcPr>
          <w:p w14:paraId="28FDABD6" w14:textId="77777777" w:rsidR="005760D8" w:rsidRPr="003E3747" w:rsidRDefault="005760D8" w:rsidP="00A05649">
            <w:pPr>
              <w:pStyle w:val="Akapitzlist"/>
              <w:numPr>
                <w:ilvl w:val="0"/>
                <w:numId w:val="21"/>
              </w:numPr>
              <w:jc w:val="center"/>
              <w:rPr>
                <w:rFonts w:cstheme="minorHAnsi"/>
              </w:rPr>
            </w:pPr>
          </w:p>
        </w:tc>
        <w:tc>
          <w:tcPr>
            <w:tcW w:w="1560" w:type="dxa"/>
          </w:tcPr>
          <w:p w14:paraId="26B60663" w14:textId="2AD62BFA" w:rsidR="005760D8" w:rsidRPr="003E3747" w:rsidRDefault="00184D05"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301FCF0B" w14:textId="285B4590" w:rsidR="005760D8" w:rsidRPr="003E3747" w:rsidRDefault="0012284A" w:rsidP="00A05649">
            <w:pPr>
              <w:ind w:left="-20"/>
              <w:jc w:val="center"/>
              <w:rPr>
                <w:rFonts w:eastAsia="Lato" w:cstheme="minorHAnsi"/>
              </w:rPr>
            </w:pPr>
            <w:r w:rsidRPr="003E3747">
              <w:rPr>
                <w:rFonts w:eastAsia="Lato" w:cstheme="minorHAnsi"/>
              </w:rPr>
              <w:t>Art. 31</w:t>
            </w:r>
          </w:p>
        </w:tc>
        <w:tc>
          <w:tcPr>
            <w:tcW w:w="4988" w:type="dxa"/>
            <w:vAlign w:val="center"/>
          </w:tcPr>
          <w:p w14:paraId="4F56B2FC" w14:textId="12B5BAA6" w:rsidR="005760D8" w:rsidRPr="003E3747" w:rsidRDefault="005760D8" w:rsidP="0012284A">
            <w:pPr>
              <w:spacing w:before="120" w:after="120"/>
              <w:jc w:val="both"/>
              <w:rPr>
                <w:rFonts w:cstheme="minorHAnsi"/>
                <w:color w:val="000000"/>
              </w:rPr>
            </w:pPr>
            <w:r w:rsidRPr="003E3747">
              <w:rPr>
                <w:rFonts w:cstheme="minorHAnsi"/>
                <w:color w:val="000000"/>
              </w:rPr>
              <w:t xml:space="preserve">Nie </w:t>
            </w:r>
            <w:r w:rsidR="0012284A" w:rsidRPr="003E3747">
              <w:rPr>
                <w:rFonts w:cstheme="minorHAnsi"/>
                <w:color w:val="000000"/>
              </w:rPr>
              <w:t>jest zrozumiałe</w:t>
            </w:r>
            <w:r w:rsidRPr="003E3747">
              <w:rPr>
                <w:rFonts w:cstheme="minorHAnsi"/>
                <w:color w:val="000000"/>
              </w:rPr>
              <w:t xml:space="preserve"> tak </w:t>
            </w:r>
            <w:r w:rsidR="00E92C11" w:rsidRPr="003E3747">
              <w:rPr>
                <w:rFonts w:cstheme="minorHAnsi"/>
                <w:color w:val="000000"/>
              </w:rPr>
              <w:t>znaczące</w:t>
            </w:r>
            <w:r w:rsidRPr="003E3747">
              <w:rPr>
                <w:rFonts w:cstheme="minorHAnsi"/>
                <w:color w:val="000000"/>
              </w:rPr>
              <w:t xml:space="preserve"> zróżnicowanie limitów kwotowych pomocy pomiędzy poszczególnymi latami obowiązywania Programu. Jeżeli program spotka się z dużym zainteresowaniem już w </w:t>
            </w:r>
            <w:proofErr w:type="gramStart"/>
            <w:r w:rsidRPr="003E3747">
              <w:rPr>
                <w:rFonts w:cstheme="minorHAnsi"/>
                <w:color w:val="000000"/>
              </w:rPr>
              <w:t>2027r.</w:t>
            </w:r>
            <w:proofErr w:type="gramEnd"/>
            <w:r w:rsidRPr="003E3747">
              <w:rPr>
                <w:rFonts w:cstheme="minorHAnsi"/>
                <w:color w:val="000000"/>
              </w:rPr>
              <w:t xml:space="preserve"> to limit roczny 800 mln bezpośrednio, sztucznie zaniży niezbędne wsparcie w roku 2027 i pośrednio zaniży takie wsparcie w latach następnych w tym poprzez mechanizm z Art. 3 ust. 5.</w:t>
            </w:r>
          </w:p>
        </w:tc>
        <w:tc>
          <w:tcPr>
            <w:tcW w:w="4155" w:type="dxa"/>
            <w:vAlign w:val="center"/>
          </w:tcPr>
          <w:p w14:paraId="4C1D4D28" w14:textId="77777777" w:rsidR="005760D8" w:rsidRPr="003E3747" w:rsidRDefault="005760D8" w:rsidP="00304A9D">
            <w:pPr>
              <w:rPr>
                <w:rFonts w:cstheme="minorHAnsi"/>
              </w:rPr>
            </w:pPr>
          </w:p>
        </w:tc>
        <w:tc>
          <w:tcPr>
            <w:tcW w:w="1900" w:type="dxa"/>
            <w:vAlign w:val="center"/>
          </w:tcPr>
          <w:p w14:paraId="1B25C8AE" w14:textId="77777777" w:rsidR="005760D8" w:rsidRPr="003E3747" w:rsidRDefault="005760D8" w:rsidP="00304A9D">
            <w:pPr>
              <w:jc w:val="center"/>
              <w:rPr>
                <w:rFonts w:cstheme="minorHAnsi"/>
              </w:rPr>
            </w:pPr>
          </w:p>
        </w:tc>
      </w:tr>
      <w:tr w:rsidR="00304A9D" w:rsidRPr="003E3747" w14:paraId="020BD965" w14:textId="723FC08C" w:rsidTr="00A05649">
        <w:tc>
          <w:tcPr>
            <w:tcW w:w="562" w:type="dxa"/>
          </w:tcPr>
          <w:p w14:paraId="786BF69C" w14:textId="1F3A0007" w:rsidR="00304A9D" w:rsidRPr="003E3747" w:rsidRDefault="00304A9D" w:rsidP="00A05649">
            <w:pPr>
              <w:pStyle w:val="Akapitzlist"/>
              <w:numPr>
                <w:ilvl w:val="0"/>
                <w:numId w:val="21"/>
              </w:numPr>
              <w:jc w:val="center"/>
              <w:rPr>
                <w:rFonts w:cstheme="minorHAnsi"/>
              </w:rPr>
            </w:pPr>
          </w:p>
        </w:tc>
        <w:tc>
          <w:tcPr>
            <w:tcW w:w="1560" w:type="dxa"/>
          </w:tcPr>
          <w:p w14:paraId="60E0C7B7" w14:textId="66B64C85" w:rsidR="00304A9D" w:rsidRPr="003E3747" w:rsidRDefault="00A05649"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540555B2" w14:textId="33189137" w:rsidR="00304A9D" w:rsidRPr="003E3747" w:rsidRDefault="00304A9D" w:rsidP="00A05649">
            <w:pPr>
              <w:ind w:left="-20"/>
              <w:jc w:val="center"/>
              <w:rPr>
                <w:rFonts w:cstheme="minorHAnsi"/>
              </w:rPr>
            </w:pPr>
            <w:r w:rsidRPr="003E3747">
              <w:rPr>
                <w:rFonts w:eastAsia="Lato" w:cstheme="minorHAnsi"/>
              </w:rPr>
              <w:t>Art. 31 ust. 2 w związku z OSR</w:t>
            </w:r>
          </w:p>
        </w:tc>
        <w:tc>
          <w:tcPr>
            <w:tcW w:w="4988" w:type="dxa"/>
            <w:vAlign w:val="center"/>
          </w:tcPr>
          <w:p w14:paraId="69C28F81" w14:textId="76097CB1" w:rsidR="00304A9D" w:rsidRPr="003E3747" w:rsidRDefault="00304A9D" w:rsidP="00304A9D">
            <w:pPr>
              <w:spacing w:before="120" w:after="120"/>
              <w:jc w:val="both"/>
              <w:rPr>
                <w:rFonts w:cstheme="minorHAnsi"/>
              </w:rPr>
            </w:pPr>
            <w:r w:rsidRPr="003E3747">
              <w:rPr>
                <w:rFonts w:eastAsia="Lato" w:cstheme="minorHAnsi"/>
                <w:color w:val="000000" w:themeColor="text1"/>
              </w:rPr>
              <w:t>Zasadne wydaje się przedstawienie szczegółowej kalkulacji kosztów funkcjonowania operatora programu (BGK). Projekt przewiduje finansowanie operatora na poziomie ok. 11,4 mln zł rocznie przez dziewięć lat co daje łączną kwotę 102,4 mln zł, niezależnie od malejącej aktywności programu po 2030 r. Uzasadnienie ogranicza się do wskazania, że kwota opiera się na kalkulacji przedstawionej przez BGK, bez ujawnienia struktury kosztów. Uniemożliwia to rzetelną ocenę proporcjonalności wynagrodzenia operatora.</w:t>
            </w:r>
          </w:p>
          <w:p w14:paraId="0B4A0E19" w14:textId="58350353" w:rsidR="00304A9D" w:rsidRPr="003E3747" w:rsidRDefault="00304A9D" w:rsidP="00304A9D">
            <w:pPr>
              <w:spacing w:before="120" w:after="120"/>
              <w:jc w:val="both"/>
              <w:rPr>
                <w:rFonts w:cstheme="minorHAnsi"/>
              </w:rPr>
            </w:pPr>
            <w:r w:rsidRPr="003E3747">
              <w:rPr>
                <w:rFonts w:eastAsia="Lato" w:cstheme="minorHAnsi"/>
                <w:color w:val="000000" w:themeColor="text1"/>
              </w:rPr>
              <w:t>Przedstawienie takiej kalkulacji jest szczególnie istotne z uwagi na fakt, że w ostatnich latach podmioty publiczne, w tym przede wszystkim Prezes URE, realizują coraz większą liczbę obowiązków związanych z polityką energetyczną, transformacją energetyczną i raportowaniem przy ograniczonych zasobach finansowych lub zasobach podwyższanych nieznacznie i istotnie niższych niż to to jest proponowane w niniejszej ustawie.</w:t>
            </w:r>
          </w:p>
          <w:p w14:paraId="7CF0D81E" w14:textId="0E34EFAF" w:rsidR="00304A9D" w:rsidRPr="003E3747" w:rsidRDefault="00304A9D" w:rsidP="00304A9D">
            <w:pPr>
              <w:spacing w:before="120" w:after="120"/>
              <w:jc w:val="both"/>
              <w:rPr>
                <w:rFonts w:cstheme="minorHAnsi"/>
              </w:rPr>
            </w:pPr>
            <w:r w:rsidRPr="003E3747">
              <w:rPr>
                <w:rFonts w:eastAsia="Lato" w:cstheme="minorHAnsi"/>
                <w:color w:val="000000" w:themeColor="text1"/>
              </w:rPr>
              <w:t>Tymczasem projekt przewiduje istotne finansowanie operatora programu bez porównania kosztów alternatywnych modeli realizacji zadań związanych z realizacją ustawy.</w:t>
            </w:r>
          </w:p>
        </w:tc>
        <w:tc>
          <w:tcPr>
            <w:tcW w:w="4155" w:type="dxa"/>
            <w:vAlign w:val="center"/>
          </w:tcPr>
          <w:p w14:paraId="1F6345D8" w14:textId="760D1935" w:rsidR="00304A9D" w:rsidRPr="003E3747" w:rsidRDefault="00304A9D" w:rsidP="00304A9D">
            <w:pPr>
              <w:rPr>
                <w:rFonts w:cstheme="minorHAnsi"/>
              </w:rPr>
            </w:pPr>
          </w:p>
        </w:tc>
        <w:tc>
          <w:tcPr>
            <w:tcW w:w="1900" w:type="dxa"/>
            <w:vAlign w:val="center"/>
          </w:tcPr>
          <w:p w14:paraId="12CABEE3" w14:textId="41680577" w:rsidR="00304A9D" w:rsidRPr="003E3747" w:rsidRDefault="00304A9D" w:rsidP="00304A9D">
            <w:pPr>
              <w:jc w:val="center"/>
              <w:rPr>
                <w:rFonts w:cstheme="minorHAnsi"/>
              </w:rPr>
            </w:pPr>
          </w:p>
        </w:tc>
      </w:tr>
      <w:tr w:rsidR="000A03E4" w:rsidRPr="003E3747" w14:paraId="36A921F1" w14:textId="77777777" w:rsidTr="00A05649">
        <w:tc>
          <w:tcPr>
            <w:tcW w:w="562" w:type="dxa"/>
          </w:tcPr>
          <w:p w14:paraId="01B92C01" w14:textId="6B113361" w:rsidR="000A03E4" w:rsidRPr="003E3747" w:rsidRDefault="000A03E4" w:rsidP="00A05649">
            <w:pPr>
              <w:pStyle w:val="Akapitzlist"/>
              <w:numPr>
                <w:ilvl w:val="0"/>
                <w:numId w:val="21"/>
              </w:numPr>
              <w:jc w:val="center"/>
              <w:rPr>
                <w:rFonts w:cstheme="minorHAnsi"/>
              </w:rPr>
            </w:pPr>
          </w:p>
        </w:tc>
        <w:tc>
          <w:tcPr>
            <w:tcW w:w="1560" w:type="dxa"/>
          </w:tcPr>
          <w:p w14:paraId="37D9DD55" w14:textId="06F4284B" w:rsidR="000A03E4" w:rsidRPr="003E3747" w:rsidRDefault="3F4DADC9" w:rsidP="00A05649">
            <w:pPr>
              <w:spacing w:before="120" w:after="120"/>
              <w:ind w:left="34"/>
              <w:jc w:val="center"/>
              <w:rPr>
                <w:rFonts w:cstheme="minorHAnsi"/>
              </w:rPr>
            </w:pPr>
            <w:r w:rsidRPr="003E3747">
              <w:rPr>
                <w:rFonts w:eastAsia="Lato" w:cstheme="minorHAnsi"/>
                <w:color w:val="000000" w:themeColor="text1"/>
              </w:rPr>
              <w:t>Konfederacja Lewiatan</w:t>
            </w:r>
          </w:p>
        </w:tc>
        <w:tc>
          <w:tcPr>
            <w:tcW w:w="1842" w:type="dxa"/>
          </w:tcPr>
          <w:p w14:paraId="3C0CDDD9" w14:textId="27CBD6E3" w:rsidR="000A03E4" w:rsidRPr="003E3747" w:rsidRDefault="00A05649" w:rsidP="00A05649">
            <w:pPr>
              <w:ind w:left="-20"/>
              <w:jc w:val="center"/>
              <w:rPr>
                <w:rFonts w:eastAsia="Lato" w:cstheme="minorHAnsi"/>
                <w:color w:val="000000" w:themeColor="text1"/>
              </w:rPr>
            </w:pPr>
            <w:r w:rsidRPr="003E3747">
              <w:rPr>
                <w:rFonts w:cstheme="minorHAnsi"/>
              </w:rPr>
              <w:t>Art.</w:t>
            </w:r>
            <w:r w:rsidR="000A03E4" w:rsidRPr="003E3747">
              <w:rPr>
                <w:rFonts w:cstheme="minorHAnsi"/>
              </w:rPr>
              <w:t xml:space="preserve"> 38ae ust. 1 ustawy CIT</w:t>
            </w:r>
          </w:p>
        </w:tc>
        <w:tc>
          <w:tcPr>
            <w:tcW w:w="4988" w:type="dxa"/>
          </w:tcPr>
          <w:p w14:paraId="54A7A1C0" w14:textId="0F829B8B" w:rsidR="000A03E4" w:rsidRPr="003E3747" w:rsidRDefault="153DD2FA" w:rsidP="7CB7EA47">
            <w:pPr>
              <w:spacing w:before="120" w:after="120"/>
              <w:jc w:val="both"/>
              <w:rPr>
                <w:rFonts w:eastAsia="Lato" w:cstheme="minorHAnsi"/>
                <w:color w:val="000000" w:themeColor="text1"/>
              </w:rPr>
            </w:pPr>
            <w:r w:rsidRPr="003E3747">
              <w:rPr>
                <w:rFonts w:eastAsiaTheme="minorEastAsia" w:cstheme="minorHAnsi"/>
                <w:color w:val="000000" w:themeColor="text1"/>
              </w:rPr>
              <w:t>Projektowana podwyższona stawka CIT nie jest powiązana z rzeczywistym wystąpieniem nadzwyczajnych zysków</w:t>
            </w:r>
            <w:r w:rsidR="000A03E4" w:rsidRPr="003E3747">
              <w:rPr>
                <w:rFonts w:eastAsiaTheme="minorEastAsia" w:cstheme="minorHAnsi"/>
              </w:rPr>
              <w:t>.</w:t>
            </w:r>
            <w:r w:rsidR="000A03E4" w:rsidRPr="003E3747">
              <w:rPr>
                <w:rFonts w:cstheme="minorHAnsi"/>
              </w:rPr>
              <w:t xml:space="preserve"> Projekt przewiduje stawki CIT w wysokości 30%, 26% i 23%, w zależności od roku </w:t>
            </w:r>
            <w:r w:rsidR="000A03E4" w:rsidRPr="003E3747">
              <w:rPr>
                <w:rFonts w:cstheme="minorHAnsi"/>
              </w:rPr>
              <w:lastRenderedPageBreak/>
              <w:t>podatkowego, jednak ich zastosowanie nie jest uzależnione od osiągnięcia przez konkretnego podatnika ponadprzeciętnej rentowności ani od wzrostu dochodu w porównaniu z reprezentatywnym okresem referencyjnym. W rezultacie podwyższona stawka będzie miała zastosowanie również do zwykłych zysków osiąganych w toku normalnej działalności gospodarczej. Jeżeli uzasadnieniem szczególnego reżimu jest osiąganie przez określone podmioty nadzwyczajnych zysków, mechanizm powinien umożliwiać identyfikację i pomiar takich zysków, a nie opierać podwyższone opodatkowanie wyłącznie na przynależności podatnika do określonej kategorii. Ponadto przedsiębiorstwa działające w tym samym sektorze mogą osiągać istotnie różne poziomy rentowności ze względu na odmienne modele biznesowe, warunki kontraktowe, struktury finansowania, strategie zabezpieczające, kapitałochłonność, ekspozycję rynkową czy efektywność operacyjną. Zastosowanie tej samej podwyższonej stawki do wszystkich podmiotów spełniających kryteria formalne może prowadzić do jednakowego traktowania podatników znajdujących się w istotnie różnych sytuacjach ekonomicznych, przy jednoczesnym braku rozróżnienia pomiędzy zwykłym zyskiem a rzeczywiście nadzwyczajnym zyskiem. W konsekwencji proponowany mechanizm może nie realizować deklarowanego celu objęcia zwiększonym ciężarem podatkowym podmiotów uzyskujących niestandardowo znaczące zyski.</w:t>
            </w:r>
          </w:p>
        </w:tc>
        <w:tc>
          <w:tcPr>
            <w:tcW w:w="4155" w:type="dxa"/>
            <w:vAlign w:val="center"/>
          </w:tcPr>
          <w:p w14:paraId="3DF52D60" w14:textId="50E66A04" w:rsidR="000A03E4" w:rsidRPr="003E3747" w:rsidRDefault="7210BF83" w:rsidP="00A05649">
            <w:pPr>
              <w:jc w:val="both"/>
              <w:rPr>
                <w:rFonts w:eastAsiaTheme="minorEastAsia" w:cstheme="minorHAnsi"/>
                <w:color w:val="000000" w:themeColor="text1"/>
              </w:rPr>
            </w:pPr>
            <w:r w:rsidRPr="003E3747">
              <w:rPr>
                <w:rFonts w:eastAsiaTheme="minorEastAsia" w:cstheme="minorHAnsi"/>
                <w:color w:val="242424"/>
              </w:rPr>
              <w:lastRenderedPageBreak/>
              <w:t xml:space="preserve">Zakres regulacji powinien zostać ograniczony do rzeczywistych nadzwyczajnych zysków, osiąganych przez podmioty z określonych sektorów. Przesłanki działalności w danym sektorze i </w:t>
            </w:r>
            <w:r w:rsidRPr="003E3747">
              <w:rPr>
                <w:rFonts w:eastAsiaTheme="minorEastAsia" w:cstheme="minorHAnsi"/>
                <w:color w:val="242424"/>
              </w:rPr>
              <w:lastRenderedPageBreak/>
              <w:t xml:space="preserve">osiągania </w:t>
            </w:r>
            <w:r w:rsidR="00A05649" w:rsidRPr="003E3747">
              <w:rPr>
                <w:rFonts w:eastAsiaTheme="minorEastAsia" w:cstheme="minorHAnsi"/>
                <w:color w:val="242424"/>
              </w:rPr>
              <w:t>nadzwyczajnych</w:t>
            </w:r>
            <w:r w:rsidRPr="003E3747">
              <w:rPr>
                <w:rFonts w:eastAsiaTheme="minorEastAsia" w:cstheme="minorHAnsi"/>
                <w:color w:val="242424"/>
              </w:rPr>
              <w:t xml:space="preserve"> zysków powinny być spełnione łącznie.</w:t>
            </w:r>
          </w:p>
        </w:tc>
        <w:tc>
          <w:tcPr>
            <w:tcW w:w="1900" w:type="dxa"/>
            <w:vAlign w:val="center"/>
          </w:tcPr>
          <w:p w14:paraId="01DA8190" w14:textId="77777777" w:rsidR="000A03E4" w:rsidRPr="003E3747" w:rsidRDefault="000A03E4" w:rsidP="000A03E4">
            <w:pPr>
              <w:jc w:val="center"/>
              <w:rPr>
                <w:rFonts w:cstheme="minorHAnsi"/>
              </w:rPr>
            </w:pPr>
          </w:p>
        </w:tc>
      </w:tr>
      <w:tr w:rsidR="00E224C6" w:rsidRPr="003E3747" w14:paraId="3E2595CE" w14:textId="77777777" w:rsidTr="00A05649">
        <w:tc>
          <w:tcPr>
            <w:tcW w:w="562" w:type="dxa"/>
          </w:tcPr>
          <w:p w14:paraId="5DB159FE" w14:textId="77777777" w:rsidR="00E224C6" w:rsidRPr="003E3747" w:rsidRDefault="00E224C6" w:rsidP="00A05649">
            <w:pPr>
              <w:pStyle w:val="Akapitzlist"/>
              <w:numPr>
                <w:ilvl w:val="0"/>
                <w:numId w:val="21"/>
              </w:numPr>
              <w:jc w:val="center"/>
              <w:rPr>
                <w:rFonts w:cstheme="minorHAnsi"/>
              </w:rPr>
            </w:pPr>
          </w:p>
        </w:tc>
        <w:tc>
          <w:tcPr>
            <w:tcW w:w="1560" w:type="dxa"/>
          </w:tcPr>
          <w:p w14:paraId="2271819D" w14:textId="06F4284B" w:rsidR="00E224C6" w:rsidRPr="003E3747" w:rsidRDefault="214AE564" w:rsidP="00A05649">
            <w:pPr>
              <w:spacing w:before="120" w:after="120"/>
              <w:ind w:left="34"/>
              <w:jc w:val="center"/>
              <w:rPr>
                <w:rFonts w:cstheme="minorHAnsi"/>
              </w:rPr>
            </w:pPr>
            <w:r w:rsidRPr="003E3747">
              <w:rPr>
                <w:rFonts w:eastAsia="Lato" w:cstheme="minorHAnsi"/>
                <w:color w:val="000000" w:themeColor="text1"/>
              </w:rPr>
              <w:t>Konfederacja Lewiatan</w:t>
            </w:r>
          </w:p>
          <w:p w14:paraId="77D64B66" w14:textId="60F27D4B" w:rsidR="00E224C6" w:rsidRPr="003E3747" w:rsidRDefault="00E224C6" w:rsidP="00A05649">
            <w:pPr>
              <w:spacing w:before="120" w:after="120"/>
              <w:ind w:left="34"/>
              <w:jc w:val="center"/>
              <w:rPr>
                <w:rFonts w:eastAsia="Lato" w:cstheme="minorHAnsi"/>
                <w:color w:val="000000" w:themeColor="text1"/>
              </w:rPr>
            </w:pPr>
          </w:p>
        </w:tc>
        <w:tc>
          <w:tcPr>
            <w:tcW w:w="1842" w:type="dxa"/>
          </w:tcPr>
          <w:p w14:paraId="731777FF" w14:textId="4CDA255C" w:rsidR="00E224C6" w:rsidRPr="003E3747" w:rsidRDefault="00E224C6" w:rsidP="00A05649">
            <w:pPr>
              <w:ind w:left="-20"/>
              <w:jc w:val="center"/>
              <w:rPr>
                <w:rFonts w:cstheme="minorHAnsi"/>
              </w:rPr>
            </w:pPr>
            <w:r w:rsidRPr="003E3747">
              <w:rPr>
                <w:rFonts w:cstheme="minorHAnsi"/>
              </w:rPr>
              <w:t>art. 38ae ust. 2 pkt 1 ustawy CIT</w:t>
            </w:r>
          </w:p>
        </w:tc>
        <w:tc>
          <w:tcPr>
            <w:tcW w:w="4988" w:type="dxa"/>
          </w:tcPr>
          <w:p w14:paraId="666359DC" w14:textId="67D81AA1" w:rsidR="00E224C6" w:rsidRPr="003E3747" w:rsidRDefault="00E224C6" w:rsidP="00E224C6">
            <w:pPr>
              <w:spacing w:before="120" w:after="120"/>
              <w:jc w:val="both"/>
              <w:rPr>
                <w:rFonts w:cstheme="minorHAnsi"/>
              </w:rPr>
            </w:pPr>
            <w:r w:rsidRPr="003E3747">
              <w:rPr>
                <w:rFonts w:cstheme="minorHAnsi"/>
              </w:rPr>
              <w:t>Zasada równości i uzasadnienie sektorowego zakresu regulacji. Projekt różnicuje wysokość stawki CIT w zależności od rodzaju prowadzonej działalności, obejmując podwyższonym opodatkowaniem m.in. podmioty prowadzące działalność w zakresie obrotu paliwami gazowymi lub ciekłymi, przesyłania energii elektrycznej oraz dystrybucji energii elektrycznej. Jednocześnie regulacja nie zawiera mechanizmu pozwalającego ustalić, czy podatnik wykonujący daną działalność rzeczywiście osiągnął nadzwyczajny zysk. Konieczne jest zatem przedstawienie obiektywnego uzasadnienia, dlaczego sam fakt prowadzenia określonego rodzaju działalności ma stanowić adekwatne kryterium identyfikacji podmiotów osiągających nadzwyczajne zyski. Podmioty działające w sektorach objętych regulacją mogą osiągać bardzo różne poziomy rentowności, podczas gdy przedsiębiorstwa działające w innych sektorach mogą uzyskiwać porównywalne lub wyższe stopy zwrotu, pozostając przy podstawowej stawce CIT. Projekt może zatem prowadzić zarówno do odmiennego traktowania podatników znajdujących się w porównywalnej sytuacji ekonomicznej, jak i do jednakowego traktowania podmiotów z tego samego sektora, których rzeczywista sytuacja ekonomiczna istotnie się różni.</w:t>
            </w:r>
          </w:p>
        </w:tc>
        <w:tc>
          <w:tcPr>
            <w:tcW w:w="4155" w:type="dxa"/>
          </w:tcPr>
          <w:p w14:paraId="65AA36E9" w14:textId="7479C393" w:rsidR="00E224C6" w:rsidRPr="003E3747" w:rsidRDefault="5E494380" w:rsidP="00A05649">
            <w:pPr>
              <w:jc w:val="both"/>
              <w:rPr>
                <w:rFonts w:eastAsiaTheme="minorEastAsia" w:cstheme="minorHAnsi"/>
                <w:color w:val="242424"/>
              </w:rPr>
            </w:pPr>
            <w:r w:rsidRPr="003E3747">
              <w:rPr>
                <w:rFonts w:eastAsiaTheme="minorEastAsia" w:cstheme="minorHAnsi"/>
                <w:color w:val="242424"/>
              </w:rPr>
              <w:t xml:space="preserve">Zakres regulacji powinien zostać ograniczony do rzeczywistych nadzwyczajnych zysków, osiąganych przez podmioty z określonych sektorów. Przesłanki działalności w danym sektorze i osiągania </w:t>
            </w:r>
            <w:r w:rsidR="007F6AF7" w:rsidRPr="003E3747">
              <w:rPr>
                <w:rFonts w:eastAsiaTheme="minorEastAsia" w:cstheme="minorHAnsi"/>
                <w:color w:val="242424"/>
              </w:rPr>
              <w:t>nadzwyczajnych</w:t>
            </w:r>
            <w:r w:rsidRPr="003E3747">
              <w:rPr>
                <w:rFonts w:eastAsiaTheme="minorEastAsia" w:cstheme="minorHAnsi"/>
                <w:color w:val="242424"/>
              </w:rPr>
              <w:t xml:space="preserve"> zysków powinny być spełnione łącznie.</w:t>
            </w:r>
          </w:p>
          <w:p w14:paraId="0C7B403D" w14:textId="17546A37" w:rsidR="00E224C6" w:rsidRPr="003E3747" w:rsidRDefault="00E224C6" w:rsidP="00A05649">
            <w:pPr>
              <w:jc w:val="both"/>
              <w:rPr>
                <w:rFonts w:cstheme="minorHAnsi"/>
              </w:rPr>
            </w:pPr>
          </w:p>
        </w:tc>
        <w:tc>
          <w:tcPr>
            <w:tcW w:w="1900" w:type="dxa"/>
            <w:vAlign w:val="center"/>
          </w:tcPr>
          <w:p w14:paraId="6F5C2C8A" w14:textId="77777777" w:rsidR="00E224C6" w:rsidRPr="003E3747" w:rsidRDefault="00E224C6" w:rsidP="00E224C6">
            <w:pPr>
              <w:jc w:val="center"/>
              <w:rPr>
                <w:rFonts w:cstheme="minorHAnsi"/>
              </w:rPr>
            </w:pPr>
          </w:p>
        </w:tc>
      </w:tr>
      <w:tr w:rsidR="00E224C6" w:rsidRPr="003E3747" w14:paraId="6FC2AA0E" w14:textId="77777777" w:rsidTr="00A05649">
        <w:tc>
          <w:tcPr>
            <w:tcW w:w="562" w:type="dxa"/>
          </w:tcPr>
          <w:p w14:paraId="27E83B8F" w14:textId="77777777" w:rsidR="00E224C6" w:rsidRPr="003E3747" w:rsidRDefault="00E224C6" w:rsidP="00A05649">
            <w:pPr>
              <w:pStyle w:val="Akapitzlist"/>
              <w:numPr>
                <w:ilvl w:val="0"/>
                <w:numId w:val="21"/>
              </w:numPr>
              <w:jc w:val="center"/>
              <w:rPr>
                <w:rFonts w:cstheme="minorHAnsi"/>
              </w:rPr>
            </w:pPr>
          </w:p>
        </w:tc>
        <w:tc>
          <w:tcPr>
            <w:tcW w:w="1560" w:type="dxa"/>
          </w:tcPr>
          <w:p w14:paraId="7ABFAD42" w14:textId="06F4284B" w:rsidR="00E224C6" w:rsidRPr="003E3747" w:rsidRDefault="72097A86" w:rsidP="00A05649">
            <w:pPr>
              <w:spacing w:before="120" w:after="120"/>
              <w:ind w:left="34"/>
              <w:jc w:val="center"/>
              <w:rPr>
                <w:rFonts w:cstheme="minorHAnsi"/>
              </w:rPr>
            </w:pPr>
            <w:r w:rsidRPr="003E3747">
              <w:rPr>
                <w:rFonts w:eastAsia="Lato" w:cstheme="minorHAnsi"/>
                <w:color w:val="000000" w:themeColor="text1"/>
              </w:rPr>
              <w:t>Konfederacja Lewiatan</w:t>
            </w:r>
          </w:p>
          <w:p w14:paraId="134196B9" w14:textId="38E68E58" w:rsidR="00E224C6" w:rsidRPr="003E3747" w:rsidRDefault="00E224C6" w:rsidP="00A05649">
            <w:pPr>
              <w:spacing w:before="120" w:after="120"/>
              <w:ind w:left="34"/>
              <w:jc w:val="center"/>
              <w:rPr>
                <w:rFonts w:eastAsia="Lato" w:cstheme="minorHAnsi"/>
                <w:color w:val="000000" w:themeColor="text1"/>
              </w:rPr>
            </w:pPr>
          </w:p>
        </w:tc>
        <w:tc>
          <w:tcPr>
            <w:tcW w:w="1842" w:type="dxa"/>
          </w:tcPr>
          <w:p w14:paraId="563FEC68" w14:textId="6FD0152F" w:rsidR="00E224C6" w:rsidRPr="003E3747" w:rsidRDefault="00E224C6" w:rsidP="00A05649">
            <w:pPr>
              <w:ind w:left="-20"/>
              <w:jc w:val="center"/>
              <w:rPr>
                <w:rFonts w:cstheme="minorHAnsi"/>
              </w:rPr>
            </w:pPr>
            <w:r w:rsidRPr="003E3747">
              <w:rPr>
                <w:rFonts w:cstheme="minorHAnsi"/>
              </w:rPr>
              <w:lastRenderedPageBreak/>
              <w:t>art. 38ae ust. 2 pkt 2 ustawy CIT</w:t>
            </w:r>
          </w:p>
        </w:tc>
        <w:tc>
          <w:tcPr>
            <w:tcW w:w="4988" w:type="dxa"/>
          </w:tcPr>
          <w:p w14:paraId="6D5D2A45" w14:textId="42780053" w:rsidR="00E224C6" w:rsidRPr="003E3747" w:rsidRDefault="4DA1EB2D" w:rsidP="6F0EE229">
            <w:pPr>
              <w:spacing w:before="120" w:after="120"/>
              <w:jc w:val="both"/>
              <w:rPr>
                <w:rFonts w:eastAsia="Lato" w:cstheme="minorHAnsi"/>
                <w:color w:val="000000" w:themeColor="text1"/>
              </w:rPr>
            </w:pPr>
            <w:r w:rsidRPr="003E3747">
              <w:rPr>
                <w:rFonts w:cstheme="minorHAnsi"/>
              </w:rPr>
              <w:t>Powiązanie podwyższonej stawki ze statusem jednostki składowej grupy objętej przepisami o globalnym podatku minimalnym wymaga</w:t>
            </w:r>
            <w:r w:rsidR="6A27BF43" w:rsidRPr="003E3747">
              <w:rPr>
                <w:rFonts w:cstheme="minorHAnsi"/>
              </w:rPr>
              <w:t xml:space="preserve"> rezygnacji </w:t>
            </w:r>
            <w:r w:rsidR="6A27BF43" w:rsidRPr="003E3747">
              <w:rPr>
                <w:rFonts w:cstheme="minorHAnsi"/>
              </w:rPr>
              <w:lastRenderedPageBreak/>
              <w:t>albo</w:t>
            </w:r>
            <w:r w:rsidRPr="003E3747">
              <w:rPr>
                <w:rFonts w:cstheme="minorHAnsi"/>
              </w:rPr>
              <w:t xml:space="preserve"> dodatkowego uzasadnienia. Jednym z warunków zastosowania podwyższonej stawki CIT jest posiadanie przez podatnika statusu jednostki składowej grupy krajowej lub międzynarodowej objętej przepisami o opodatkowaniu wyrównawczym. Kryterium to nie pozostaje jednak w oczywistym związku z osiąganiem nadzwyczajnych zysków. Status </w:t>
            </w:r>
            <w:proofErr w:type="spellStart"/>
            <w:r w:rsidRPr="003E3747">
              <w:rPr>
                <w:rFonts w:cstheme="minorHAnsi"/>
              </w:rPr>
              <w:t>GloBE</w:t>
            </w:r>
            <w:proofErr w:type="spellEnd"/>
            <w:r w:rsidRPr="003E3747">
              <w:rPr>
                <w:rFonts w:cstheme="minorHAnsi"/>
              </w:rPr>
              <w:t xml:space="preserve"> służy zasadniczo identyfikacji dużych grup objętych systemem globalnego minimalnego opodatkowania, a nie identyfikacji przedsiębiorstw uzyskujących ponadprzeciętną rentowność. W rezultacie dwa przedsiębiorstwa prowadzące identyczną działalność, działające na tym samym rynku i osiągające porównywalny poziom dochodu oraz rentowności mogą zostać opodatkowane odmiennie wyłącznie z tego względu, że jedno z nich należy do grupy spełniającej kryteria </w:t>
            </w:r>
            <w:proofErr w:type="spellStart"/>
            <w:r w:rsidRPr="003E3747">
              <w:rPr>
                <w:rFonts w:cstheme="minorHAnsi"/>
              </w:rPr>
              <w:t>GloBE</w:t>
            </w:r>
            <w:proofErr w:type="spellEnd"/>
            <w:r w:rsidRPr="003E3747">
              <w:rPr>
                <w:rFonts w:cstheme="minorHAnsi"/>
              </w:rPr>
              <w:t>, a drugie nie. Sam status jednostki składowej dużej grupy nie dowodzi, że dany podatnik osiągnął ponadprzeciętną rentowność lub odniósł szczególne korzyści z wyjątkowych warunków rynkowych.</w:t>
            </w:r>
            <w:r w:rsidR="1AB25FD7" w:rsidRPr="003E3747">
              <w:rPr>
                <w:rFonts w:eastAsia="Lato" w:cstheme="minorHAnsi"/>
                <w:color w:val="000000" w:themeColor="text1"/>
              </w:rPr>
              <w:t xml:space="preserve"> Takie rozwiązanie i tego rodzaju kryterium różnicujące nie wydaje się uzasadnione w świetle konstytucyjnej zasady równości, wyrażającej się na gruncie podatkowym w nakazie równego traktowania podmiotów znajdujących się w podobnych sytuacjach podatkowo-prawnych, tj. zasadzie równości opodatkowania. Kryterium wielkości grupy, w skład której wchodzi podatnik, zasadniczo nie ma wpływu na poziom osiąganych przez niego nadzwyczajnych </w:t>
            </w:r>
            <w:r w:rsidR="1AB25FD7" w:rsidRPr="003E3747">
              <w:rPr>
                <w:rFonts w:eastAsia="Lato" w:cstheme="minorHAnsi"/>
                <w:color w:val="000000" w:themeColor="text1"/>
              </w:rPr>
              <w:lastRenderedPageBreak/>
              <w:t>zysków czy rentowności z działalności objętej regulacjami projektowanej ustawy i może prowadzić do nieuzasadnionego zróżnicowania warunków konkurencji pomiędzy podmiotami prowadzącymi działalność na tym samym rynku</w:t>
            </w:r>
            <w:r w:rsidR="42089F7F" w:rsidRPr="003E3747">
              <w:rPr>
                <w:rFonts w:eastAsia="Lato" w:cstheme="minorHAnsi"/>
                <w:color w:val="000000" w:themeColor="text1"/>
              </w:rPr>
              <w:t>.</w:t>
            </w:r>
          </w:p>
        </w:tc>
        <w:tc>
          <w:tcPr>
            <w:tcW w:w="4155" w:type="dxa"/>
            <w:vAlign w:val="center"/>
          </w:tcPr>
          <w:p w14:paraId="2A2B86C3" w14:textId="7D2B50D5" w:rsidR="00E224C6" w:rsidRPr="003E3747" w:rsidRDefault="00E224C6" w:rsidP="007F6AF7">
            <w:pPr>
              <w:jc w:val="both"/>
              <w:rPr>
                <w:rFonts w:cstheme="minorHAnsi"/>
              </w:rPr>
            </w:pPr>
            <w:r w:rsidRPr="003E3747">
              <w:rPr>
                <w:rFonts w:cstheme="minorHAnsi"/>
              </w:rPr>
              <w:lastRenderedPageBreak/>
              <w:t xml:space="preserve">Rekomenduje się rezygnację z kryterium </w:t>
            </w:r>
            <w:proofErr w:type="spellStart"/>
            <w:r w:rsidRPr="003E3747">
              <w:rPr>
                <w:rFonts w:cstheme="minorHAnsi"/>
              </w:rPr>
              <w:t>GloBE</w:t>
            </w:r>
            <w:proofErr w:type="spellEnd"/>
            <w:r w:rsidRPr="003E3747">
              <w:rPr>
                <w:rFonts w:cstheme="minorHAnsi"/>
              </w:rPr>
              <w:t xml:space="preserve"> jako samodzielnego warunku różnicującego wysokość opodatkowania albo przedstawienie szczegółowego </w:t>
            </w:r>
            <w:r w:rsidRPr="003E3747">
              <w:rPr>
                <w:rFonts w:cstheme="minorHAnsi"/>
              </w:rPr>
              <w:lastRenderedPageBreak/>
              <w:t>uzasadnienia jego bezpośredniego związku z celem regulacji.</w:t>
            </w:r>
          </w:p>
        </w:tc>
        <w:tc>
          <w:tcPr>
            <w:tcW w:w="1900" w:type="dxa"/>
            <w:vAlign w:val="center"/>
          </w:tcPr>
          <w:p w14:paraId="62DDBDAE" w14:textId="77777777" w:rsidR="00E224C6" w:rsidRPr="003E3747" w:rsidRDefault="00E224C6" w:rsidP="00E224C6">
            <w:pPr>
              <w:jc w:val="center"/>
              <w:rPr>
                <w:rFonts w:cstheme="minorHAnsi"/>
              </w:rPr>
            </w:pPr>
          </w:p>
        </w:tc>
      </w:tr>
      <w:tr w:rsidR="004A7A6B" w:rsidRPr="003E3747" w14:paraId="34185957" w14:textId="77777777" w:rsidTr="007F6AF7">
        <w:tc>
          <w:tcPr>
            <w:tcW w:w="562" w:type="dxa"/>
          </w:tcPr>
          <w:p w14:paraId="4AA6EC9B" w14:textId="77777777" w:rsidR="004A7A6B" w:rsidRPr="003E3747" w:rsidRDefault="004A7A6B" w:rsidP="00A05649">
            <w:pPr>
              <w:pStyle w:val="Akapitzlist"/>
              <w:numPr>
                <w:ilvl w:val="0"/>
                <w:numId w:val="21"/>
              </w:numPr>
              <w:jc w:val="center"/>
              <w:rPr>
                <w:rFonts w:cstheme="minorHAnsi"/>
              </w:rPr>
            </w:pPr>
          </w:p>
        </w:tc>
        <w:tc>
          <w:tcPr>
            <w:tcW w:w="1560" w:type="dxa"/>
          </w:tcPr>
          <w:p w14:paraId="5FB9C38F" w14:textId="06F4284B" w:rsidR="004A7A6B" w:rsidRPr="003E3747" w:rsidRDefault="2AE3EFF0" w:rsidP="00A05649">
            <w:pPr>
              <w:spacing w:before="120" w:after="120"/>
              <w:ind w:left="34"/>
              <w:jc w:val="center"/>
              <w:rPr>
                <w:rFonts w:cstheme="minorHAnsi"/>
              </w:rPr>
            </w:pPr>
            <w:r w:rsidRPr="003E3747">
              <w:rPr>
                <w:rFonts w:eastAsia="Lato" w:cstheme="minorHAnsi"/>
                <w:color w:val="000000" w:themeColor="text1"/>
              </w:rPr>
              <w:t>Konfederacja Lewiatan</w:t>
            </w:r>
          </w:p>
          <w:p w14:paraId="00CFD373" w14:textId="1E0EC558" w:rsidR="004A7A6B" w:rsidRPr="003E3747" w:rsidRDefault="004A7A6B" w:rsidP="00A05649">
            <w:pPr>
              <w:spacing w:before="120" w:after="120"/>
              <w:ind w:left="34"/>
              <w:jc w:val="center"/>
              <w:rPr>
                <w:rFonts w:cstheme="minorHAnsi"/>
              </w:rPr>
            </w:pPr>
          </w:p>
        </w:tc>
        <w:tc>
          <w:tcPr>
            <w:tcW w:w="1842" w:type="dxa"/>
          </w:tcPr>
          <w:p w14:paraId="642FDBA4" w14:textId="77869C6E" w:rsidR="004A7A6B" w:rsidRPr="003E3747" w:rsidRDefault="004A7A6B" w:rsidP="00A05649">
            <w:pPr>
              <w:ind w:left="-20"/>
              <w:jc w:val="center"/>
              <w:rPr>
                <w:rFonts w:eastAsia="Lato" w:cstheme="minorHAnsi"/>
                <w:color w:val="000000" w:themeColor="text1"/>
              </w:rPr>
            </w:pPr>
            <w:r w:rsidRPr="003E3747">
              <w:rPr>
                <w:rFonts w:eastAsia="Lato" w:cstheme="minorHAnsi"/>
              </w:rPr>
              <w:t xml:space="preserve">Art. </w:t>
            </w:r>
            <w:r w:rsidR="00B569FB" w:rsidRPr="003E3747">
              <w:rPr>
                <w:rFonts w:eastAsia="Lato" w:cstheme="minorHAnsi"/>
              </w:rPr>
              <w:t xml:space="preserve">38ae ust. </w:t>
            </w:r>
            <w:r w:rsidRPr="003E3747">
              <w:rPr>
                <w:rFonts w:eastAsia="Lato" w:cstheme="minorHAnsi"/>
              </w:rPr>
              <w:t xml:space="preserve">2 </w:t>
            </w:r>
            <w:r w:rsidR="00B569FB" w:rsidRPr="003E3747">
              <w:rPr>
                <w:rFonts w:eastAsia="Lato" w:cstheme="minorHAnsi"/>
              </w:rPr>
              <w:t xml:space="preserve">pkt </w:t>
            </w:r>
            <w:r w:rsidRPr="003E3747">
              <w:rPr>
                <w:rFonts w:eastAsia="Lato" w:cstheme="minorHAnsi"/>
              </w:rPr>
              <w:t>4</w:t>
            </w:r>
            <w:r w:rsidR="275B87FA" w:rsidRPr="003E3747">
              <w:rPr>
                <w:rFonts w:eastAsia="Lato" w:cstheme="minorHAnsi"/>
              </w:rPr>
              <w:t xml:space="preserve"> oraz art. 38ae </w:t>
            </w:r>
            <w:r w:rsidR="275B87FA" w:rsidRPr="003E3747">
              <w:rPr>
                <w:rFonts w:cstheme="minorHAnsi"/>
              </w:rPr>
              <w:t xml:space="preserve">ust. 4 pkt 1 lit. </w:t>
            </w:r>
            <w:r w:rsidR="32C7360F" w:rsidRPr="003E3747">
              <w:rPr>
                <w:rFonts w:cstheme="minorHAnsi"/>
              </w:rPr>
              <w:t>b ustawy CIT</w:t>
            </w:r>
          </w:p>
          <w:p w14:paraId="3FEF8DC9" w14:textId="0D1D0AA7" w:rsidR="004A7A6B" w:rsidRPr="003E3747" w:rsidRDefault="004A7A6B" w:rsidP="00A05649">
            <w:pPr>
              <w:ind w:left="-20"/>
              <w:jc w:val="center"/>
              <w:rPr>
                <w:rFonts w:eastAsia="Lato" w:cstheme="minorHAnsi"/>
              </w:rPr>
            </w:pPr>
          </w:p>
        </w:tc>
        <w:tc>
          <w:tcPr>
            <w:tcW w:w="4988" w:type="dxa"/>
            <w:vAlign w:val="center"/>
          </w:tcPr>
          <w:p w14:paraId="4F1E3015" w14:textId="268D8CA9" w:rsidR="573D4746" w:rsidRPr="003E3747" w:rsidRDefault="573D4746" w:rsidP="573D4746">
            <w:pPr>
              <w:spacing w:after="0"/>
              <w:jc w:val="both"/>
              <w:rPr>
                <w:rFonts w:cstheme="minorHAnsi"/>
              </w:rPr>
            </w:pPr>
            <w:r w:rsidRPr="003E3747">
              <w:rPr>
                <w:rFonts w:eastAsia="Calibri" w:cstheme="minorHAnsi"/>
              </w:rPr>
              <w:t>Należy ujednolicić mianownik wskaźnika przychodowego z art. 38ae ust. 2 pkt 4 oraz art. 38ae ust. 4 pkt 1 lit. b. Licznik w art. 38ae ust. 2 pkt 4 odnosi się do przychodów z działalności kwalifikowanej innych niż zyski kapitałowe, natomiast mianownik określono jako „przychody tego podatnika za ten rok”, co może obejmować także przychody z zysków kapitałowych. Z kolei art. 38ae ust. 4 pkt 1 lit. b odwołuje się do przychodów ze źródeł innych niż zyski kapitałowe. Powoduje to niespójność metodologiczną i ryzyko odmiennego ustalania wskaźnika przez podatników. Jeżeli zamiarem projektodawcy jest badanie udziału działalności operacyjnej, mianownik w obu przepisach powinien zostać określony jednolicie jako łączna wysokość przychodów podatkowych ze źródeł innych niż zyski kapitałowe.</w:t>
            </w:r>
          </w:p>
          <w:p w14:paraId="3799668D" w14:textId="3F01B0B1" w:rsidR="573D4746" w:rsidRPr="003E3747" w:rsidRDefault="573D4746" w:rsidP="573D4746">
            <w:pPr>
              <w:pStyle w:val="Bezodstpw"/>
              <w:jc w:val="both"/>
              <w:rPr>
                <w:rFonts w:cstheme="minorHAnsi"/>
              </w:rPr>
            </w:pPr>
            <w:r w:rsidRPr="003E3747">
              <w:rPr>
                <w:rFonts w:eastAsia="Calibri" w:cstheme="minorHAnsi"/>
              </w:rPr>
              <w:t xml:space="preserve"> </w:t>
            </w:r>
          </w:p>
          <w:p w14:paraId="54A36565" w14:textId="523850A8" w:rsidR="573D4746" w:rsidRPr="003E3747" w:rsidRDefault="573D4746" w:rsidP="573D4746">
            <w:pPr>
              <w:pStyle w:val="Bezodstpw"/>
              <w:jc w:val="both"/>
              <w:rPr>
                <w:rFonts w:cstheme="minorHAnsi"/>
              </w:rPr>
            </w:pPr>
            <w:r w:rsidRPr="003E3747">
              <w:rPr>
                <w:rFonts w:eastAsia="Calibri" w:cstheme="minorHAnsi"/>
              </w:rPr>
              <w:t>Zapis może nie być w zgodzie z uzasadnieniem, które stanowi</w:t>
            </w:r>
            <w:r w:rsidR="4E9085AF" w:rsidRPr="003E3747">
              <w:rPr>
                <w:rFonts w:eastAsia="Calibri" w:cstheme="minorHAnsi"/>
              </w:rPr>
              <w:t>: "</w:t>
            </w:r>
            <w:r w:rsidRPr="003E3747">
              <w:rPr>
                <w:rFonts w:eastAsia="Calibri" w:cstheme="minorHAnsi"/>
                <w:i/>
                <w:iCs/>
              </w:rPr>
              <w:t>Warunek określony w art. 38ae ust. 2 pkt 4 przewiduje, że przychody osiągnięte przez podatnika z działalności objętej zakresem regulacji muszą stanowić co najmniej 75% przychodów podatnika za dany rok podatkowy, z wyłączeniem przychodów z zysków kapitałowych”.</w:t>
            </w:r>
          </w:p>
          <w:p w14:paraId="6710DA53" w14:textId="454E8715" w:rsidR="573D4746" w:rsidRPr="003E3747" w:rsidRDefault="573D4746" w:rsidP="573D4746">
            <w:pPr>
              <w:pStyle w:val="Bezodstpw"/>
              <w:jc w:val="both"/>
              <w:rPr>
                <w:rFonts w:cstheme="minorHAnsi"/>
              </w:rPr>
            </w:pPr>
            <w:r w:rsidRPr="003E3747">
              <w:rPr>
                <w:rFonts w:eastAsia="Calibri" w:cstheme="minorHAnsi"/>
              </w:rPr>
              <w:t xml:space="preserve"> </w:t>
            </w:r>
          </w:p>
          <w:p w14:paraId="388B88F9" w14:textId="673AE9A3" w:rsidR="573D4746" w:rsidRPr="003E3747" w:rsidRDefault="573D4746" w:rsidP="573D4746">
            <w:pPr>
              <w:pStyle w:val="Bezodstpw"/>
              <w:jc w:val="both"/>
              <w:rPr>
                <w:rFonts w:cstheme="minorHAnsi"/>
              </w:rPr>
            </w:pPr>
            <w:r w:rsidRPr="003E3747">
              <w:rPr>
                <w:rFonts w:eastAsia="Calibri" w:cstheme="minorHAnsi"/>
              </w:rPr>
              <w:lastRenderedPageBreak/>
              <w:t>Zasadniczo te źródła przychodów generują wyłącznie przychody inne niż przychody z zysków kapitałowych, co ma np. odzwierciedlenie w innym zabiegu legislacyjnym w ust. 4 pkt 1 lit a i b, gdzie określamy proporcję tych dochodów (bez literalnego wyłączenia źródła kapitałowego) do łącznej wysokości dochodów/przychodów ze źródeł innych niż zyski kapitałowe.</w:t>
            </w:r>
          </w:p>
          <w:p w14:paraId="6F38E82B" w14:textId="2914BB09" w:rsidR="573D4746" w:rsidRPr="003E3747" w:rsidRDefault="573D4746" w:rsidP="573D4746">
            <w:pPr>
              <w:pStyle w:val="Bezodstpw"/>
              <w:jc w:val="both"/>
              <w:rPr>
                <w:rFonts w:cstheme="minorHAnsi"/>
              </w:rPr>
            </w:pPr>
            <w:r w:rsidRPr="003E3747">
              <w:rPr>
                <w:rFonts w:eastAsia="Calibri" w:cstheme="minorHAnsi"/>
              </w:rPr>
              <w:t xml:space="preserve"> </w:t>
            </w:r>
          </w:p>
          <w:p w14:paraId="314FF55F" w14:textId="1D1C7596" w:rsidR="573D4746" w:rsidRPr="003E3747" w:rsidRDefault="573D4746" w:rsidP="573D4746">
            <w:pPr>
              <w:spacing w:after="0"/>
              <w:jc w:val="both"/>
              <w:rPr>
                <w:rFonts w:eastAsia="Calibri" w:cstheme="minorHAnsi"/>
                <w:b/>
                <w:bCs/>
              </w:rPr>
            </w:pPr>
            <w:r w:rsidRPr="003E3747">
              <w:rPr>
                <w:rFonts w:eastAsia="Calibri" w:cstheme="minorHAnsi"/>
              </w:rPr>
              <w:t>Jeżeli więc zamierzeniem projektu jest określanie wskaźnika wyłącznie na przychodach innych niż zyski kapitałowe, zapis ust. 2 pkt 4 winien wskazywać na proporcję przychodów z określonej działalności do całości przychodów podatnika, z wyłączeniem przychodów z zysków kapitałowych.</w:t>
            </w:r>
          </w:p>
        </w:tc>
        <w:tc>
          <w:tcPr>
            <w:tcW w:w="4155" w:type="dxa"/>
          </w:tcPr>
          <w:p w14:paraId="1D49D0BB" w14:textId="201F992A" w:rsidR="004A7A6B" w:rsidRPr="003E3747" w:rsidRDefault="632354AB" w:rsidP="007F6AF7">
            <w:pPr>
              <w:jc w:val="both"/>
              <w:rPr>
                <w:rFonts w:eastAsia="Calibri" w:cstheme="minorHAnsi"/>
              </w:rPr>
            </w:pPr>
            <w:r w:rsidRPr="003E3747">
              <w:rPr>
                <w:rFonts w:eastAsiaTheme="minorEastAsia" w:cstheme="minorHAnsi"/>
              </w:rPr>
              <w:lastRenderedPageBreak/>
              <w:t>Należy ujednolicić mianownik. Jeżeli zamiarem jest badanie udziału działalności operacyjnej, proponowane byłoby użycie w obu przypadkach łącznej wysokości przychodów podatkowych ze źródeł innych niż zyski kapitałowe.</w:t>
            </w:r>
          </w:p>
        </w:tc>
        <w:tc>
          <w:tcPr>
            <w:tcW w:w="1900" w:type="dxa"/>
            <w:vAlign w:val="center"/>
          </w:tcPr>
          <w:p w14:paraId="33D9582C" w14:textId="77777777" w:rsidR="004A7A6B" w:rsidRPr="003E3747" w:rsidRDefault="004A7A6B" w:rsidP="004A7A6B">
            <w:pPr>
              <w:jc w:val="center"/>
              <w:rPr>
                <w:rFonts w:cstheme="minorHAnsi"/>
              </w:rPr>
            </w:pPr>
          </w:p>
        </w:tc>
      </w:tr>
      <w:tr w:rsidR="009765F3" w:rsidRPr="003E3747" w14:paraId="46E31F75" w14:textId="77777777" w:rsidTr="007F6AF7">
        <w:tc>
          <w:tcPr>
            <w:tcW w:w="562" w:type="dxa"/>
          </w:tcPr>
          <w:p w14:paraId="7D77C4DA" w14:textId="77777777" w:rsidR="009765F3" w:rsidRPr="003E3747" w:rsidRDefault="009765F3" w:rsidP="00A05649">
            <w:pPr>
              <w:pStyle w:val="Akapitzlist"/>
              <w:numPr>
                <w:ilvl w:val="0"/>
                <w:numId w:val="21"/>
              </w:numPr>
              <w:jc w:val="center"/>
              <w:rPr>
                <w:rFonts w:cstheme="minorHAnsi"/>
              </w:rPr>
            </w:pPr>
          </w:p>
        </w:tc>
        <w:tc>
          <w:tcPr>
            <w:tcW w:w="1560" w:type="dxa"/>
          </w:tcPr>
          <w:p w14:paraId="3A2A1F4F" w14:textId="35FADFD8" w:rsidR="009765F3" w:rsidRPr="003E3747" w:rsidRDefault="1459F285" w:rsidP="00A05649">
            <w:pPr>
              <w:spacing w:before="120" w:after="120"/>
              <w:ind w:left="34"/>
              <w:jc w:val="center"/>
              <w:rPr>
                <w:rFonts w:cstheme="minorHAnsi"/>
              </w:rPr>
            </w:pPr>
            <w:r w:rsidRPr="003E3747">
              <w:rPr>
                <w:rFonts w:eastAsia="Lato" w:cstheme="minorHAnsi"/>
                <w:color w:val="000000" w:themeColor="text1"/>
              </w:rPr>
              <w:t>Konfederacja Lewiatan</w:t>
            </w:r>
          </w:p>
          <w:p w14:paraId="76C7E90F" w14:textId="1F9416DF" w:rsidR="009765F3" w:rsidRPr="003E3747" w:rsidRDefault="009765F3" w:rsidP="00A05649">
            <w:pPr>
              <w:spacing w:before="120" w:after="120"/>
              <w:ind w:left="34"/>
              <w:jc w:val="center"/>
              <w:rPr>
                <w:rFonts w:eastAsia="Lato" w:cstheme="minorHAnsi"/>
                <w:color w:val="000000" w:themeColor="text1"/>
              </w:rPr>
            </w:pPr>
          </w:p>
        </w:tc>
        <w:tc>
          <w:tcPr>
            <w:tcW w:w="1842" w:type="dxa"/>
          </w:tcPr>
          <w:p w14:paraId="6E44ED0A" w14:textId="4743A582" w:rsidR="009765F3" w:rsidRPr="003E3747" w:rsidRDefault="009765F3" w:rsidP="00A05649">
            <w:pPr>
              <w:ind w:left="-20"/>
              <w:jc w:val="center"/>
              <w:rPr>
                <w:rFonts w:eastAsia="Lato" w:cstheme="minorHAnsi"/>
                <w:color w:val="000000" w:themeColor="text1"/>
              </w:rPr>
            </w:pPr>
            <w:r w:rsidRPr="003E3747">
              <w:rPr>
                <w:rFonts w:cstheme="minorHAnsi"/>
              </w:rPr>
              <w:t>art. 38ae ust. 2 pkt 1 lit. e oraz ust. 2 pkt 4</w:t>
            </w:r>
            <w:r w:rsidR="6233A03C" w:rsidRPr="003E3747">
              <w:rPr>
                <w:rFonts w:cstheme="minorHAnsi"/>
              </w:rPr>
              <w:t xml:space="preserve"> ustawy CIT</w:t>
            </w:r>
          </w:p>
        </w:tc>
        <w:tc>
          <w:tcPr>
            <w:tcW w:w="4988" w:type="dxa"/>
          </w:tcPr>
          <w:p w14:paraId="65469DEE" w14:textId="1D57C676" w:rsidR="009765F3" w:rsidRPr="003E3747" w:rsidRDefault="009765F3" w:rsidP="009765F3">
            <w:pPr>
              <w:spacing w:before="120" w:after="120"/>
              <w:jc w:val="both"/>
              <w:rPr>
                <w:rFonts w:cstheme="minorHAnsi"/>
              </w:rPr>
            </w:pPr>
            <w:r w:rsidRPr="003E3747">
              <w:rPr>
                <w:rFonts w:cstheme="minorHAnsi"/>
              </w:rPr>
              <w:t xml:space="preserve">Brak jednoznacznych zasad kwalifikacji opłat dystrybucyjnych przenoszonych przez sprzedawców energii na odbiorców. Spółki prowadzące działalność w zakresie obrotu energią elektryczną, w szczególności w ramach umów kompleksowych, mogą pobierać od klientów należności odpowiadające kosztom usług dystrybucyjnych świadczonych faktycznie przez właściwego OSD. Sam fakt wykazania takich należności w rozliczeniu z klientem nie oznacza, że sprzedawca prowadzi działalność w zakresie dystrybucji energii elektrycznej w rozumieniu art. 3 pkt 5 lit. a Prawa energetycznego. Brak jednoznacznego uregulowania może prowadzić do sztucznego zwiększenia udziału przychodów kwalifikowanych i objęcia podwyższoną stawką spółek obrotu, które same nie prowadzą działalności </w:t>
            </w:r>
            <w:r w:rsidRPr="003E3747">
              <w:rPr>
                <w:rFonts w:cstheme="minorHAnsi"/>
              </w:rPr>
              <w:lastRenderedPageBreak/>
              <w:t>dystrybucyjnej. Jest to szczególnie istotne, ponieważ koszty dystrybucji mogą stanowić znaczącą część wartości faktury wystawianej odbiorcy, mimo że sprzedawca nie uzyskuje na nich marży.</w:t>
            </w:r>
          </w:p>
        </w:tc>
        <w:tc>
          <w:tcPr>
            <w:tcW w:w="4155" w:type="dxa"/>
          </w:tcPr>
          <w:p w14:paraId="612592B1" w14:textId="4B655DD4" w:rsidR="009765F3" w:rsidRPr="003E3747" w:rsidRDefault="009765F3" w:rsidP="007F6AF7">
            <w:pPr>
              <w:jc w:val="both"/>
              <w:rPr>
                <w:rFonts w:cstheme="minorHAnsi"/>
              </w:rPr>
            </w:pPr>
            <w:r w:rsidRPr="003E3747">
              <w:rPr>
                <w:rFonts w:cstheme="minorHAnsi"/>
              </w:rPr>
              <w:lastRenderedPageBreak/>
              <w:t>Należy jednoznacznie wskazać, że przychodów odpowiadających kosztom usług przesyłania lub dystrybucji świadczonych przez operatora systemu i przenoszonych przez sprzedawcę energii na odbiorcę nie uznaje się za przychody z działalności, o której mowa w art. 38ae ust. 2 pkt 1 lit. d lub e.</w:t>
            </w:r>
          </w:p>
        </w:tc>
        <w:tc>
          <w:tcPr>
            <w:tcW w:w="1900" w:type="dxa"/>
            <w:vAlign w:val="center"/>
          </w:tcPr>
          <w:p w14:paraId="79798B54" w14:textId="77777777" w:rsidR="009765F3" w:rsidRPr="003E3747" w:rsidRDefault="009765F3" w:rsidP="009765F3">
            <w:pPr>
              <w:jc w:val="center"/>
              <w:rPr>
                <w:rFonts w:cstheme="minorHAnsi"/>
              </w:rPr>
            </w:pPr>
          </w:p>
        </w:tc>
      </w:tr>
      <w:tr w:rsidR="00C23DDC" w:rsidRPr="003E3747" w14:paraId="7E6E5C21" w14:textId="77777777" w:rsidTr="007F6AF7">
        <w:tc>
          <w:tcPr>
            <w:tcW w:w="562" w:type="dxa"/>
          </w:tcPr>
          <w:p w14:paraId="104295A5" w14:textId="77777777" w:rsidR="00C23DDC" w:rsidRPr="003E3747" w:rsidRDefault="00C23DDC" w:rsidP="00A05649">
            <w:pPr>
              <w:pStyle w:val="Akapitzlist"/>
              <w:numPr>
                <w:ilvl w:val="0"/>
                <w:numId w:val="21"/>
              </w:numPr>
              <w:jc w:val="center"/>
              <w:rPr>
                <w:rFonts w:cstheme="minorHAnsi"/>
              </w:rPr>
            </w:pPr>
          </w:p>
        </w:tc>
        <w:tc>
          <w:tcPr>
            <w:tcW w:w="1560" w:type="dxa"/>
          </w:tcPr>
          <w:p w14:paraId="03D4F7AF" w14:textId="35FADFD8" w:rsidR="00C23DDC" w:rsidRPr="003E3747" w:rsidRDefault="3D4ABBE3" w:rsidP="00A05649">
            <w:pPr>
              <w:spacing w:before="120" w:after="120"/>
              <w:ind w:left="34"/>
              <w:jc w:val="center"/>
              <w:rPr>
                <w:rFonts w:cstheme="minorHAnsi"/>
              </w:rPr>
            </w:pPr>
            <w:r w:rsidRPr="003E3747">
              <w:rPr>
                <w:rFonts w:eastAsia="Lato" w:cstheme="minorHAnsi"/>
                <w:color w:val="000000" w:themeColor="text1"/>
              </w:rPr>
              <w:t>Konfederacja Lewiatan</w:t>
            </w:r>
          </w:p>
          <w:p w14:paraId="65739190" w14:textId="42192AB4" w:rsidR="00C23DDC" w:rsidRPr="003E3747" w:rsidRDefault="00C23DDC" w:rsidP="00A05649">
            <w:pPr>
              <w:ind w:left="34"/>
              <w:jc w:val="center"/>
              <w:rPr>
                <w:rFonts w:eastAsia="Lato" w:cstheme="minorHAnsi"/>
                <w:color w:val="000000" w:themeColor="text1"/>
              </w:rPr>
            </w:pPr>
          </w:p>
        </w:tc>
        <w:tc>
          <w:tcPr>
            <w:tcW w:w="1842" w:type="dxa"/>
          </w:tcPr>
          <w:p w14:paraId="1DA42B1D" w14:textId="75720803" w:rsidR="00C23DDC" w:rsidRPr="003E3747" w:rsidRDefault="00C23DDC" w:rsidP="00A05649">
            <w:pPr>
              <w:ind w:left="-20"/>
              <w:jc w:val="center"/>
              <w:rPr>
                <w:rFonts w:eastAsia="Lato" w:cstheme="minorHAnsi"/>
              </w:rPr>
            </w:pPr>
            <w:r w:rsidRPr="003E3747">
              <w:rPr>
                <w:rFonts w:cstheme="minorHAnsi"/>
              </w:rPr>
              <w:t xml:space="preserve">art. 38ae ust. 2–4 </w:t>
            </w:r>
            <w:r w:rsidR="35B1D536" w:rsidRPr="003E3747">
              <w:rPr>
                <w:rFonts w:cstheme="minorHAnsi"/>
              </w:rPr>
              <w:t>ustawy CIT</w:t>
            </w:r>
            <w:r w:rsidRPr="003E3747">
              <w:rPr>
                <w:rFonts w:cstheme="minorHAnsi"/>
              </w:rPr>
              <w:t xml:space="preserve"> – zasada ogólna</w:t>
            </w:r>
          </w:p>
        </w:tc>
        <w:tc>
          <w:tcPr>
            <w:tcW w:w="4988" w:type="dxa"/>
            <w:vAlign w:val="center"/>
          </w:tcPr>
          <w:p w14:paraId="3E16BD4B" w14:textId="460F96A7" w:rsidR="00C23DDC" w:rsidRPr="003E3747" w:rsidRDefault="00C23DDC" w:rsidP="00C23DDC">
            <w:pPr>
              <w:spacing w:before="120" w:after="120"/>
              <w:jc w:val="both"/>
              <w:rPr>
                <w:rFonts w:eastAsia="Lato" w:cstheme="minorHAnsi"/>
                <w:color w:val="000000" w:themeColor="text1"/>
              </w:rPr>
            </w:pPr>
            <w:r w:rsidRPr="003E3747">
              <w:rPr>
                <w:rFonts w:cstheme="minorHAnsi"/>
                <w:color w:val="000000"/>
              </w:rPr>
              <w:t>Konstrukcja podatku nie odpowiada w pełni deklarowanemu celowi opodatkowania „nadzwyczajnych zysków”. Z uzasadnienia projektu wynika, że podwyżka jest odpowiedzią na ponadprzeciętne wyniki i niestandardowo znaczące zyski sektora paliwowego i energetycznego. Projekt nie zawiera jednak żadnego testu nadzwyczajnej rentowności. Podwyższonej stawce może podlegać przedsiębiorstwo o bardzo niskiej marży, jeżeli przekracza progi przychodowe, natomiast podmiot osiągający rzeczywiście nadzwyczajne zyski, lecz niespełniający kryterium sektorowego lub grupowego, pozostanie przy 19% CIT. Dla porównania, unijna składka solidarnościowa z rozporządzenia 2022/1854 obejmowała wyłącznie nadwyżkę dochodu podatkowego przekraczającą o 20% średni dochód z czterech wcześniejszych lat, a więc bezpośrednio odnosiła ciężar do „</w:t>
            </w:r>
            <w:proofErr w:type="spellStart"/>
            <w:r w:rsidRPr="003E3747">
              <w:rPr>
                <w:rFonts w:cstheme="minorHAnsi"/>
                <w:color w:val="000000"/>
              </w:rPr>
              <w:t>surplus</w:t>
            </w:r>
            <w:proofErr w:type="spellEnd"/>
            <w:r w:rsidRPr="003E3747">
              <w:rPr>
                <w:rFonts w:cstheme="minorHAnsi"/>
                <w:color w:val="000000"/>
              </w:rPr>
              <w:t xml:space="preserve"> </w:t>
            </w:r>
            <w:proofErr w:type="spellStart"/>
            <w:r w:rsidRPr="003E3747">
              <w:rPr>
                <w:rFonts w:cstheme="minorHAnsi"/>
                <w:color w:val="000000"/>
              </w:rPr>
              <w:t>profits</w:t>
            </w:r>
            <w:proofErr w:type="spellEnd"/>
            <w:r w:rsidRPr="003E3747">
              <w:rPr>
                <w:rFonts w:cstheme="minorHAnsi"/>
                <w:color w:val="000000"/>
              </w:rPr>
              <w:t>”.</w:t>
            </w:r>
          </w:p>
        </w:tc>
        <w:tc>
          <w:tcPr>
            <w:tcW w:w="4155" w:type="dxa"/>
          </w:tcPr>
          <w:p w14:paraId="2F407461" w14:textId="7E0022EB" w:rsidR="00C23DDC" w:rsidRPr="003E3747" w:rsidRDefault="224355F0" w:rsidP="007F6AF7">
            <w:pPr>
              <w:spacing w:after="0" w:line="300" w:lineRule="auto"/>
              <w:jc w:val="both"/>
              <w:rPr>
                <w:rFonts w:eastAsiaTheme="minorEastAsia" w:cstheme="minorHAnsi"/>
              </w:rPr>
            </w:pPr>
            <w:r w:rsidRPr="003E3747">
              <w:rPr>
                <w:rFonts w:eastAsiaTheme="minorEastAsia" w:cstheme="minorHAnsi"/>
              </w:rPr>
              <w:t xml:space="preserve">Zakres regulacji powinien zostać ograniczony do rzeczywistych nadzwyczajnych zysków, osiąganych przez podmioty z określonych sektorów. Przesłanki działalności w danym sektorze i osiągania </w:t>
            </w:r>
            <w:r w:rsidR="007F6AF7" w:rsidRPr="003E3747">
              <w:rPr>
                <w:rFonts w:eastAsiaTheme="minorEastAsia" w:cstheme="minorHAnsi"/>
              </w:rPr>
              <w:t>nadzwyczajnych</w:t>
            </w:r>
            <w:r w:rsidRPr="003E3747">
              <w:rPr>
                <w:rFonts w:eastAsiaTheme="minorEastAsia" w:cstheme="minorHAnsi"/>
              </w:rPr>
              <w:t xml:space="preserve"> zysków muszą być spełnione łącznie.</w:t>
            </w:r>
          </w:p>
          <w:p w14:paraId="7AFD1205" w14:textId="538C03FD" w:rsidR="00C23DDC" w:rsidRPr="003E3747" w:rsidRDefault="00C23DDC" w:rsidP="007F6AF7">
            <w:pPr>
              <w:spacing w:after="0" w:line="300" w:lineRule="auto"/>
              <w:jc w:val="both"/>
              <w:rPr>
                <w:rFonts w:cstheme="minorHAnsi"/>
              </w:rPr>
            </w:pPr>
          </w:p>
          <w:p w14:paraId="0968C436" w14:textId="32C83482" w:rsidR="00C23DDC" w:rsidRPr="003E3747" w:rsidRDefault="00C23DDC" w:rsidP="007F6AF7">
            <w:pPr>
              <w:jc w:val="both"/>
              <w:rPr>
                <w:rFonts w:cstheme="minorHAnsi"/>
              </w:rPr>
            </w:pPr>
          </w:p>
        </w:tc>
        <w:tc>
          <w:tcPr>
            <w:tcW w:w="1900" w:type="dxa"/>
            <w:vAlign w:val="center"/>
          </w:tcPr>
          <w:p w14:paraId="133BF68E" w14:textId="77777777" w:rsidR="00C23DDC" w:rsidRPr="003E3747" w:rsidRDefault="00C23DDC" w:rsidP="00C23DDC">
            <w:pPr>
              <w:jc w:val="center"/>
              <w:rPr>
                <w:rFonts w:cstheme="minorHAnsi"/>
              </w:rPr>
            </w:pPr>
          </w:p>
        </w:tc>
      </w:tr>
      <w:tr w:rsidR="002B3399" w:rsidRPr="003E3747" w14:paraId="4B4F116E" w14:textId="77777777" w:rsidTr="007F6AF7">
        <w:tc>
          <w:tcPr>
            <w:tcW w:w="562" w:type="dxa"/>
          </w:tcPr>
          <w:p w14:paraId="064AADE0" w14:textId="09618204" w:rsidR="002B3399" w:rsidRPr="003E3747" w:rsidRDefault="002B3399" w:rsidP="00A05649">
            <w:pPr>
              <w:pStyle w:val="Akapitzlist"/>
              <w:numPr>
                <w:ilvl w:val="0"/>
                <w:numId w:val="21"/>
              </w:numPr>
              <w:jc w:val="center"/>
              <w:rPr>
                <w:rFonts w:cstheme="minorHAnsi"/>
              </w:rPr>
            </w:pPr>
          </w:p>
        </w:tc>
        <w:tc>
          <w:tcPr>
            <w:tcW w:w="1560" w:type="dxa"/>
          </w:tcPr>
          <w:p w14:paraId="28E7BAD3" w14:textId="35FADFD8" w:rsidR="002B3399" w:rsidRPr="003E3747" w:rsidRDefault="0B7AE5C3" w:rsidP="00A05649">
            <w:pPr>
              <w:spacing w:before="120" w:after="120"/>
              <w:ind w:left="34"/>
              <w:jc w:val="center"/>
              <w:rPr>
                <w:rFonts w:cstheme="minorHAnsi"/>
              </w:rPr>
            </w:pPr>
            <w:r w:rsidRPr="003E3747">
              <w:rPr>
                <w:rFonts w:eastAsia="Lato" w:cstheme="minorHAnsi"/>
                <w:color w:val="000000" w:themeColor="text1"/>
              </w:rPr>
              <w:t>Konfederacja Lewiatan</w:t>
            </w:r>
          </w:p>
          <w:p w14:paraId="79FD2C02" w14:textId="43C7C710" w:rsidR="002B3399" w:rsidRPr="003E3747" w:rsidRDefault="002B3399" w:rsidP="00A05649">
            <w:pPr>
              <w:ind w:left="34"/>
              <w:jc w:val="center"/>
              <w:rPr>
                <w:rFonts w:eastAsia="Lato" w:cstheme="minorHAnsi"/>
                <w:color w:val="000000" w:themeColor="text1"/>
              </w:rPr>
            </w:pPr>
          </w:p>
        </w:tc>
        <w:tc>
          <w:tcPr>
            <w:tcW w:w="1842" w:type="dxa"/>
          </w:tcPr>
          <w:p w14:paraId="008E4D6E" w14:textId="2D18754F" w:rsidR="002B3399" w:rsidRPr="003E3747" w:rsidRDefault="002B3399" w:rsidP="00A05649">
            <w:pPr>
              <w:ind w:left="-20"/>
              <w:jc w:val="center"/>
              <w:rPr>
                <w:rFonts w:eastAsia="Lato" w:cstheme="minorHAnsi"/>
                <w:color w:val="000000" w:themeColor="text1"/>
              </w:rPr>
            </w:pPr>
            <w:r w:rsidRPr="003E3747">
              <w:rPr>
                <w:rFonts w:cstheme="minorHAnsi"/>
              </w:rPr>
              <w:t>art. 38ae ust. 2 pkt 3 w zw. z ust. 1 pkt 2 lit. a i pkt 3 lit. a</w:t>
            </w:r>
            <w:r w:rsidR="64FCDEE8" w:rsidRPr="003E3747">
              <w:rPr>
                <w:rFonts w:cstheme="minorHAnsi"/>
              </w:rPr>
              <w:t xml:space="preserve"> ustawy CIT</w:t>
            </w:r>
          </w:p>
        </w:tc>
        <w:tc>
          <w:tcPr>
            <w:tcW w:w="4988" w:type="dxa"/>
            <w:vAlign w:val="center"/>
          </w:tcPr>
          <w:p w14:paraId="6E3D1C72" w14:textId="68EA3E5C" w:rsidR="002B3399" w:rsidRPr="003E3747" w:rsidRDefault="002B3399" w:rsidP="002B3399">
            <w:pPr>
              <w:spacing w:before="120" w:after="120"/>
              <w:jc w:val="both"/>
              <w:rPr>
                <w:rFonts w:cstheme="minorHAnsi"/>
                <w:color w:val="000000"/>
              </w:rPr>
            </w:pPr>
            <w:r w:rsidRPr="003E3747">
              <w:rPr>
                <w:rFonts w:cstheme="minorHAnsi"/>
                <w:color w:val="000000"/>
              </w:rPr>
              <w:t xml:space="preserve">Możliwa niespójność dotycząca nowych podatników. Ust. 1 wprost reguluje stawki dla podatników „utworzonych po” 31 grudnia 2027 r. lub 31 grudnia 2028 r. Jednocześnie ust. 2 pkt 3 wymaga, aby przychody podatnika w roku podatkowym poprzedzającym bezpośrednio dany rok przekroczyły </w:t>
            </w:r>
            <w:r w:rsidRPr="003E3747">
              <w:rPr>
                <w:rFonts w:cstheme="minorHAnsi"/>
                <w:color w:val="000000"/>
              </w:rPr>
              <w:lastRenderedPageBreak/>
              <w:t>50 mln EUR. Podmiot nowo utworzony w 2028 r. nie ma wcześniejszego roku podatkowego, więc literalnie nie jest w stanie spełnić warunku ust. 2 pkt 3 w swoim pierwszym roku, mimo że ust. 1 przewiduje dla niego specjalną stawkę.</w:t>
            </w:r>
          </w:p>
        </w:tc>
        <w:tc>
          <w:tcPr>
            <w:tcW w:w="4155" w:type="dxa"/>
          </w:tcPr>
          <w:p w14:paraId="3979370E" w14:textId="732F7F25" w:rsidR="002B3399" w:rsidRPr="003E3747" w:rsidRDefault="007F6AF7" w:rsidP="007F6AF7">
            <w:pPr>
              <w:jc w:val="both"/>
              <w:rPr>
                <w:rFonts w:cstheme="minorHAnsi"/>
              </w:rPr>
            </w:pPr>
            <w:r w:rsidRPr="003E3747">
              <w:rPr>
                <w:rFonts w:cstheme="minorHAnsi"/>
              </w:rPr>
              <w:lastRenderedPageBreak/>
              <w:t>Należy w</w:t>
            </w:r>
            <w:r w:rsidR="002B3399" w:rsidRPr="003E3747">
              <w:rPr>
                <w:rFonts w:cstheme="minorHAnsi"/>
              </w:rPr>
              <w:t xml:space="preserve">prowadzić odrębne zasady dla podatników rozpoczynających działalność, np. próg ustalany na podstawie przychodów osiągniętych w pierwszym roku po odpowiednim przeliczeniu do 12 miesięcy </w:t>
            </w:r>
            <w:r w:rsidR="002B3399" w:rsidRPr="003E3747">
              <w:rPr>
                <w:rFonts w:cstheme="minorHAnsi"/>
              </w:rPr>
              <w:lastRenderedPageBreak/>
              <w:t>lub szczególną regułę dotyczącą reorganizacji/sukcesji.</w:t>
            </w:r>
          </w:p>
        </w:tc>
        <w:tc>
          <w:tcPr>
            <w:tcW w:w="1900" w:type="dxa"/>
            <w:vAlign w:val="center"/>
          </w:tcPr>
          <w:p w14:paraId="7A41D9D7" w14:textId="77777777" w:rsidR="002B3399" w:rsidRPr="003E3747" w:rsidRDefault="002B3399" w:rsidP="002B3399">
            <w:pPr>
              <w:jc w:val="center"/>
              <w:rPr>
                <w:rFonts w:cstheme="minorHAnsi"/>
              </w:rPr>
            </w:pPr>
          </w:p>
        </w:tc>
      </w:tr>
      <w:tr w:rsidR="00B2598E" w:rsidRPr="003E3747" w14:paraId="15867A60" w14:textId="77777777" w:rsidTr="007F6AF7">
        <w:tc>
          <w:tcPr>
            <w:tcW w:w="562" w:type="dxa"/>
          </w:tcPr>
          <w:p w14:paraId="34AC3768" w14:textId="77777777" w:rsidR="00B2598E" w:rsidRPr="003E3747" w:rsidRDefault="00B2598E" w:rsidP="00A05649">
            <w:pPr>
              <w:pStyle w:val="Akapitzlist"/>
              <w:numPr>
                <w:ilvl w:val="0"/>
                <w:numId w:val="21"/>
              </w:numPr>
              <w:jc w:val="center"/>
              <w:rPr>
                <w:rFonts w:cstheme="minorHAnsi"/>
              </w:rPr>
            </w:pPr>
          </w:p>
        </w:tc>
        <w:tc>
          <w:tcPr>
            <w:tcW w:w="1560" w:type="dxa"/>
          </w:tcPr>
          <w:p w14:paraId="47F947A3" w14:textId="35FADFD8" w:rsidR="00B2598E" w:rsidRPr="003E3747" w:rsidRDefault="568E863F" w:rsidP="00A05649">
            <w:pPr>
              <w:spacing w:before="120" w:after="120"/>
              <w:ind w:left="34"/>
              <w:jc w:val="center"/>
              <w:rPr>
                <w:rFonts w:cstheme="minorHAnsi"/>
              </w:rPr>
            </w:pPr>
            <w:r w:rsidRPr="003E3747">
              <w:rPr>
                <w:rFonts w:eastAsia="Lato" w:cstheme="minorHAnsi"/>
                <w:color w:val="000000" w:themeColor="text1"/>
              </w:rPr>
              <w:t>Konfederacja Lewiatan</w:t>
            </w:r>
          </w:p>
          <w:p w14:paraId="4DD65DBB" w14:textId="1190E309" w:rsidR="00B2598E" w:rsidRPr="003E3747" w:rsidRDefault="00B2598E" w:rsidP="00A05649">
            <w:pPr>
              <w:ind w:left="34"/>
              <w:jc w:val="center"/>
              <w:rPr>
                <w:rFonts w:eastAsia="Lato" w:cstheme="minorHAnsi"/>
                <w:color w:val="000000" w:themeColor="text1"/>
              </w:rPr>
            </w:pPr>
          </w:p>
        </w:tc>
        <w:tc>
          <w:tcPr>
            <w:tcW w:w="1842" w:type="dxa"/>
          </w:tcPr>
          <w:p w14:paraId="33D6BDAE" w14:textId="164524C2" w:rsidR="00B2598E" w:rsidRPr="003E3747" w:rsidRDefault="00976711" w:rsidP="00A05649">
            <w:pPr>
              <w:ind w:left="-20"/>
              <w:jc w:val="center"/>
              <w:rPr>
                <w:rFonts w:eastAsia="Lato" w:cstheme="minorHAnsi"/>
                <w:color w:val="000000" w:themeColor="text1"/>
              </w:rPr>
            </w:pPr>
            <w:r w:rsidRPr="003E3747">
              <w:rPr>
                <w:rFonts w:cstheme="minorHAnsi"/>
              </w:rPr>
              <w:t>art. 38ae ust. 2 pkt 4 i ust. 4</w:t>
            </w:r>
            <w:r w:rsidR="1ED6C1C9" w:rsidRPr="003E3747">
              <w:rPr>
                <w:rFonts w:cstheme="minorHAnsi"/>
              </w:rPr>
              <w:t xml:space="preserve"> ustawy CIT</w:t>
            </w:r>
          </w:p>
        </w:tc>
        <w:tc>
          <w:tcPr>
            <w:tcW w:w="4988" w:type="dxa"/>
            <w:vAlign w:val="center"/>
          </w:tcPr>
          <w:p w14:paraId="50378185" w14:textId="166BA109" w:rsidR="00B2598E" w:rsidRPr="003E3747" w:rsidRDefault="62A394AD" w:rsidP="00B2598E">
            <w:pPr>
              <w:spacing w:before="120" w:after="120"/>
              <w:jc w:val="both"/>
              <w:rPr>
                <w:rFonts w:eastAsiaTheme="minorEastAsia" w:cstheme="minorHAnsi"/>
              </w:rPr>
            </w:pPr>
            <w:r w:rsidRPr="003E3747">
              <w:rPr>
                <w:rFonts w:eastAsiaTheme="minorEastAsia" w:cstheme="minorHAnsi"/>
                <w:color w:val="000000" w:themeColor="text1"/>
              </w:rPr>
              <w:t xml:space="preserve">Projekt powinien określać zasady przypisywania przychodów i kosztów do działalności kwalifikowanej. Brak takich reguł powoduje niepewność co do sposobu ustalania dochodu objętego podwyższoną stawką CIT, w szczególności w przypadku podatników prowadzących jednocześnie działalność kwalifikowaną i niekwalifikowaną. Problem dotyczy zarówno kosztów wspólnych, jak i pozycji pośrednich, takich jak finansowanie, usługi wspólne, różnice kursowe, instrumenty zabezpieczające, bilansowanie, refakturowane usługi </w:t>
            </w:r>
            <w:proofErr w:type="spellStart"/>
            <w:r w:rsidRPr="003E3747">
              <w:rPr>
                <w:rFonts w:eastAsiaTheme="minorEastAsia" w:cstheme="minorHAnsi"/>
                <w:color w:val="000000" w:themeColor="text1"/>
              </w:rPr>
              <w:t>przesyłu</w:t>
            </w:r>
            <w:proofErr w:type="spellEnd"/>
            <w:r w:rsidRPr="003E3747">
              <w:rPr>
                <w:rFonts w:eastAsiaTheme="minorEastAsia" w:cstheme="minorHAnsi"/>
                <w:color w:val="000000" w:themeColor="text1"/>
              </w:rPr>
              <w:t xml:space="preserve"> lub magazynowania, kary, odszkodowania czy korekty cenowe. Bez jednoznacznych zasad alokacji podatnicy o zbliżonym profilu gospodarczym mogą odmiennie ustalać dochód z działalności kwalifikowanej, co zwiększa ryzyko sporów oraz naruszenia zasady określoności zobowiązań podatkowych.</w:t>
            </w:r>
          </w:p>
        </w:tc>
        <w:tc>
          <w:tcPr>
            <w:tcW w:w="4155" w:type="dxa"/>
          </w:tcPr>
          <w:p w14:paraId="7C70A5D4" w14:textId="4A86EE19" w:rsidR="00B2598E" w:rsidRPr="003E3747" w:rsidRDefault="00DA79EA" w:rsidP="007F6AF7">
            <w:pPr>
              <w:jc w:val="both"/>
              <w:rPr>
                <w:rFonts w:cstheme="minorHAnsi"/>
              </w:rPr>
            </w:pPr>
            <w:r w:rsidRPr="003E3747">
              <w:rPr>
                <w:rFonts w:cstheme="minorHAnsi"/>
              </w:rPr>
              <w:t>Należy uzupełnić przepis o definicję przychodów i kosztów działalności kwalifikowanej albo delegować szczegółowe reguły do przepisu ustawowego wskazującego, że uwzględnia się przychody oraz odpowiadające im koszty podatkowe pozostające w bezpośrednim związku z daną działalnością, wraz z regułą dla pozycji pośrednich i zabezpieczających.</w:t>
            </w:r>
          </w:p>
        </w:tc>
        <w:tc>
          <w:tcPr>
            <w:tcW w:w="1900" w:type="dxa"/>
            <w:vAlign w:val="center"/>
          </w:tcPr>
          <w:p w14:paraId="0896A00B" w14:textId="77777777" w:rsidR="00B2598E" w:rsidRPr="003E3747" w:rsidRDefault="00B2598E" w:rsidP="00B2598E">
            <w:pPr>
              <w:jc w:val="center"/>
              <w:rPr>
                <w:rFonts w:cstheme="minorHAnsi"/>
              </w:rPr>
            </w:pPr>
          </w:p>
        </w:tc>
      </w:tr>
      <w:tr w:rsidR="00B2598E" w:rsidRPr="003E3747" w14:paraId="4D08A631" w14:textId="77777777" w:rsidTr="002209BA">
        <w:trPr>
          <w:trHeight w:val="300"/>
        </w:trPr>
        <w:tc>
          <w:tcPr>
            <w:tcW w:w="562" w:type="dxa"/>
          </w:tcPr>
          <w:p w14:paraId="0F295009" w14:textId="65D042F4" w:rsidR="00B2598E" w:rsidRPr="003E3747" w:rsidRDefault="00B2598E" w:rsidP="00A05649">
            <w:pPr>
              <w:pStyle w:val="Akapitzlist"/>
              <w:numPr>
                <w:ilvl w:val="0"/>
                <w:numId w:val="21"/>
              </w:numPr>
              <w:spacing w:before="120" w:after="120"/>
              <w:jc w:val="center"/>
              <w:rPr>
                <w:rFonts w:eastAsia="Lato" w:cstheme="minorHAnsi"/>
                <w:color w:val="000000" w:themeColor="text1"/>
              </w:rPr>
            </w:pPr>
          </w:p>
        </w:tc>
        <w:tc>
          <w:tcPr>
            <w:tcW w:w="1560" w:type="dxa"/>
          </w:tcPr>
          <w:p w14:paraId="0E0EC129" w14:textId="35FADFD8" w:rsidR="00B2598E" w:rsidRPr="003E3747" w:rsidRDefault="55B4F621" w:rsidP="00A05649">
            <w:pPr>
              <w:spacing w:before="120" w:after="120"/>
              <w:ind w:left="34"/>
              <w:jc w:val="center"/>
              <w:rPr>
                <w:rFonts w:cstheme="minorHAnsi"/>
              </w:rPr>
            </w:pPr>
            <w:r w:rsidRPr="003E3747">
              <w:rPr>
                <w:rFonts w:eastAsia="Lato" w:cstheme="minorHAnsi"/>
                <w:color w:val="000000" w:themeColor="text1"/>
              </w:rPr>
              <w:t>Konfederacja Lewiatan</w:t>
            </w:r>
          </w:p>
          <w:p w14:paraId="3EF03446" w14:textId="1C11C50D" w:rsidR="00B2598E" w:rsidRPr="003E3747" w:rsidRDefault="00B2598E" w:rsidP="00A05649">
            <w:pPr>
              <w:spacing w:before="120" w:after="120"/>
              <w:ind w:left="34"/>
              <w:jc w:val="center"/>
              <w:rPr>
                <w:rFonts w:eastAsia="Lato" w:cstheme="minorHAnsi"/>
                <w:color w:val="000000" w:themeColor="text1"/>
              </w:rPr>
            </w:pPr>
          </w:p>
        </w:tc>
        <w:tc>
          <w:tcPr>
            <w:tcW w:w="1842" w:type="dxa"/>
          </w:tcPr>
          <w:p w14:paraId="20123474" w14:textId="78358116" w:rsidR="00B2598E" w:rsidRPr="003E3747" w:rsidRDefault="00B2598E" w:rsidP="00A05649">
            <w:pPr>
              <w:spacing w:before="120" w:after="120"/>
              <w:ind w:left="-20"/>
              <w:jc w:val="center"/>
              <w:rPr>
                <w:rFonts w:eastAsia="Lato" w:cstheme="minorHAnsi"/>
                <w:color w:val="000000" w:themeColor="text1"/>
              </w:rPr>
            </w:pPr>
            <w:r w:rsidRPr="003E3747">
              <w:rPr>
                <w:rFonts w:cstheme="minorHAnsi"/>
              </w:rPr>
              <w:t>art. 38ae ust. 3 pkt 1</w:t>
            </w:r>
            <w:r w:rsidR="1EE1FDD1" w:rsidRPr="003E3747">
              <w:rPr>
                <w:rFonts w:cstheme="minorHAnsi"/>
              </w:rPr>
              <w:t xml:space="preserve"> ustawy CIT</w:t>
            </w:r>
          </w:p>
        </w:tc>
        <w:tc>
          <w:tcPr>
            <w:tcW w:w="4988" w:type="dxa"/>
            <w:vAlign w:val="center"/>
          </w:tcPr>
          <w:p w14:paraId="75730381" w14:textId="61BAEE53" w:rsidR="00B2598E" w:rsidRPr="003E3747" w:rsidRDefault="00B2598E" w:rsidP="00B2598E">
            <w:pPr>
              <w:spacing w:before="120" w:after="120"/>
              <w:jc w:val="both"/>
              <w:rPr>
                <w:rFonts w:eastAsia="Lato" w:cstheme="minorHAnsi"/>
                <w:color w:val="000000" w:themeColor="text1"/>
              </w:rPr>
            </w:pPr>
            <w:r w:rsidRPr="003E3747">
              <w:rPr>
                <w:rFonts w:cstheme="minorHAnsi"/>
                <w:color w:val="000000" w:themeColor="text1"/>
              </w:rPr>
              <w:t xml:space="preserve">Brak wskazania, że podatnicy z udziałem przychodów 33–75% muszą również spełnić warunki z ust. 2 pkt 1–3. Ust. 3 pkt 1 obejmuje literalnie „podatników, u których wskaźnik określony w ust. 2 pkt 4” wynosi co najmniej 33%, ale nie odsyła do warunków sektorowych, statusu jednostki składowej grupy oraz progu 50 mln EUR. Tymczasem ust. 3 pkt 2 dotyczący </w:t>
            </w:r>
            <w:r w:rsidRPr="003E3747">
              <w:rPr>
                <w:rFonts w:cstheme="minorHAnsi"/>
                <w:color w:val="000000" w:themeColor="text1"/>
              </w:rPr>
              <w:lastRenderedPageBreak/>
              <w:t xml:space="preserve">PGK takie odesłanie zawiera wprost. Powstaje więc możliwość interpretacji, zgodnie z którą podatnik mieszczący się w przedziale 33–75% podlega podwyższonej stawce nawet wtedy, gdy nie przekracza 50 mln EUR lub nie jest jednostką składową grupy objętej </w:t>
            </w:r>
            <w:proofErr w:type="spellStart"/>
            <w:r w:rsidRPr="003E3747">
              <w:rPr>
                <w:rFonts w:cstheme="minorHAnsi"/>
                <w:color w:val="000000" w:themeColor="text1"/>
              </w:rPr>
              <w:t>Pillar</w:t>
            </w:r>
            <w:proofErr w:type="spellEnd"/>
            <w:r w:rsidRPr="003E3747">
              <w:rPr>
                <w:rFonts w:cstheme="minorHAnsi"/>
                <w:color w:val="000000" w:themeColor="text1"/>
              </w:rPr>
              <w:t xml:space="preserve"> 2. Wydaje się to sprzeczne z deklarowanym celem projektu, który mówi o „największych podmiotach” z przychodami przekraczającymi 50 mln EUR.</w:t>
            </w:r>
          </w:p>
        </w:tc>
        <w:tc>
          <w:tcPr>
            <w:tcW w:w="4155" w:type="dxa"/>
          </w:tcPr>
          <w:p w14:paraId="585A6300" w14:textId="798224B0" w:rsidR="00B2598E" w:rsidRPr="003E3747" w:rsidRDefault="002209BA" w:rsidP="002209BA">
            <w:pPr>
              <w:spacing w:after="120"/>
              <w:jc w:val="both"/>
              <w:rPr>
                <w:rFonts w:eastAsia="Lato" w:cstheme="minorHAnsi"/>
                <w:color w:val="000000" w:themeColor="text1"/>
              </w:rPr>
            </w:pPr>
            <w:r w:rsidRPr="003E3747">
              <w:rPr>
                <w:rFonts w:cstheme="minorHAnsi"/>
              </w:rPr>
              <w:lastRenderedPageBreak/>
              <w:t>Należy u</w:t>
            </w:r>
            <w:r w:rsidR="00B2598E" w:rsidRPr="003E3747">
              <w:rPr>
                <w:rFonts w:cstheme="minorHAnsi"/>
              </w:rPr>
              <w:t>zupełnić pkt 1: „podatników spełniających warunki określone w ust. 2 pkt 1–3, u których wskaźnik określony w ust. 2 pkt 4 stanowił co najmniej 33%, lecz mniej niż 75%”.</w:t>
            </w:r>
          </w:p>
        </w:tc>
        <w:tc>
          <w:tcPr>
            <w:tcW w:w="1900" w:type="dxa"/>
            <w:vAlign w:val="center"/>
          </w:tcPr>
          <w:p w14:paraId="1E94C9A6" w14:textId="77777777" w:rsidR="00B2598E" w:rsidRPr="003E3747" w:rsidRDefault="00B2598E" w:rsidP="00B2598E">
            <w:pPr>
              <w:jc w:val="center"/>
              <w:rPr>
                <w:rFonts w:cstheme="minorHAnsi"/>
              </w:rPr>
            </w:pPr>
          </w:p>
        </w:tc>
      </w:tr>
      <w:tr w:rsidR="00B2598E" w:rsidRPr="003E3747" w14:paraId="5DD1AD82" w14:textId="77777777" w:rsidTr="002209BA">
        <w:tc>
          <w:tcPr>
            <w:tcW w:w="562" w:type="dxa"/>
          </w:tcPr>
          <w:p w14:paraId="231AD04B" w14:textId="7E4205FA" w:rsidR="00B2598E" w:rsidRPr="003E3747" w:rsidRDefault="00B2598E" w:rsidP="00A05649">
            <w:pPr>
              <w:pStyle w:val="Akapitzlist"/>
              <w:numPr>
                <w:ilvl w:val="0"/>
                <w:numId w:val="21"/>
              </w:numPr>
              <w:jc w:val="center"/>
              <w:rPr>
                <w:rFonts w:cstheme="minorHAnsi"/>
              </w:rPr>
            </w:pPr>
          </w:p>
        </w:tc>
        <w:tc>
          <w:tcPr>
            <w:tcW w:w="1560" w:type="dxa"/>
          </w:tcPr>
          <w:p w14:paraId="36FA38A2" w14:textId="35FADFD8" w:rsidR="00B2598E" w:rsidRPr="003E3747" w:rsidRDefault="230DA56C" w:rsidP="00A05649">
            <w:pPr>
              <w:spacing w:before="120" w:after="120"/>
              <w:ind w:left="34"/>
              <w:jc w:val="center"/>
              <w:rPr>
                <w:rFonts w:cstheme="minorHAnsi"/>
              </w:rPr>
            </w:pPr>
            <w:r w:rsidRPr="003E3747">
              <w:rPr>
                <w:rFonts w:eastAsia="Lato" w:cstheme="minorHAnsi"/>
                <w:color w:val="000000" w:themeColor="text1"/>
              </w:rPr>
              <w:t>Konfederacja Lewiatan</w:t>
            </w:r>
          </w:p>
          <w:p w14:paraId="56B586F1" w14:textId="2CB66E27" w:rsidR="00B2598E" w:rsidRPr="003E3747" w:rsidRDefault="00B2598E" w:rsidP="00A05649">
            <w:pPr>
              <w:spacing w:before="120" w:after="120"/>
              <w:ind w:left="34"/>
              <w:jc w:val="center"/>
              <w:rPr>
                <w:rFonts w:eastAsia="Lato" w:cstheme="minorHAnsi"/>
                <w:color w:val="000000" w:themeColor="text1"/>
              </w:rPr>
            </w:pPr>
          </w:p>
        </w:tc>
        <w:tc>
          <w:tcPr>
            <w:tcW w:w="1842" w:type="dxa"/>
          </w:tcPr>
          <w:p w14:paraId="0D06A026" w14:textId="13C47402" w:rsidR="00B2598E" w:rsidRPr="003E3747" w:rsidRDefault="00B2598E" w:rsidP="00A05649">
            <w:pPr>
              <w:spacing w:before="120" w:after="120"/>
              <w:ind w:left="-20"/>
              <w:jc w:val="center"/>
              <w:rPr>
                <w:rFonts w:eastAsia="Lato" w:cstheme="minorHAnsi"/>
                <w:color w:val="000000" w:themeColor="text1"/>
              </w:rPr>
            </w:pPr>
            <w:r w:rsidRPr="003E3747">
              <w:rPr>
                <w:rFonts w:cstheme="minorHAnsi"/>
              </w:rPr>
              <w:t>art. 38ae ust. 4</w:t>
            </w:r>
            <w:r w:rsidR="1609CE69" w:rsidRPr="003E3747">
              <w:rPr>
                <w:rFonts w:cstheme="minorHAnsi"/>
              </w:rPr>
              <w:t xml:space="preserve"> ustawy CIT</w:t>
            </w:r>
          </w:p>
        </w:tc>
        <w:tc>
          <w:tcPr>
            <w:tcW w:w="4988" w:type="dxa"/>
            <w:vAlign w:val="center"/>
          </w:tcPr>
          <w:p w14:paraId="523A880D" w14:textId="2516E9B8" w:rsidR="00B2598E" w:rsidRPr="003E3747" w:rsidRDefault="00B2598E" w:rsidP="00B2598E">
            <w:pPr>
              <w:spacing w:before="120" w:after="120"/>
              <w:jc w:val="both"/>
              <w:rPr>
                <w:rFonts w:eastAsia="Lato" w:cstheme="minorHAnsi"/>
                <w:color w:val="000000" w:themeColor="text1"/>
              </w:rPr>
            </w:pPr>
            <w:r w:rsidRPr="003E3747">
              <w:rPr>
                <w:rFonts w:cstheme="minorHAnsi"/>
                <w:color w:val="000000"/>
              </w:rPr>
              <w:t>Nie określono, kiedy i w jaki sposób podatnik dokonuje wyboru między metodą dochodową i przychodową. Nie wiadomo, czy wyboru dokonuje się na początku roku, przy obliczaniu pierwszej zaliczki, w zeznaniu rocznym, czy też podatnik może wybrać ex post wariant korzystniejszy. Nie określono również, czy wybór jest wiążący przez cały rok podatkowy i czy może być zmieniany pomiędzy poszczególnymi miesiącami. Ma to bezpośredni wpływ na wysokość zaliczek.</w:t>
            </w:r>
          </w:p>
        </w:tc>
        <w:tc>
          <w:tcPr>
            <w:tcW w:w="4155" w:type="dxa"/>
          </w:tcPr>
          <w:p w14:paraId="2A82480B" w14:textId="15DD2786" w:rsidR="00B2598E" w:rsidRPr="003E3747" w:rsidRDefault="002209BA" w:rsidP="002209BA">
            <w:pPr>
              <w:spacing w:before="120" w:after="120"/>
              <w:jc w:val="both"/>
              <w:rPr>
                <w:rFonts w:eastAsia="Lato" w:cstheme="minorHAnsi"/>
                <w:color w:val="000000" w:themeColor="text1"/>
              </w:rPr>
            </w:pPr>
            <w:r w:rsidRPr="003E3747">
              <w:rPr>
                <w:rFonts w:cstheme="minorHAnsi"/>
              </w:rPr>
              <w:t>Należy określić</w:t>
            </w:r>
            <w:r w:rsidR="00B2598E" w:rsidRPr="003E3747">
              <w:rPr>
                <w:rFonts w:cstheme="minorHAnsi"/>
              </w:rPr>
              <w:t xml:space="preserve"> termin i formę wyboru, np. wybór dokonywany za dany rok podatkowy w zeznaniu CIT-8, przy czym dla zaliczek stosowana jest jedna wybrana metoda przez cały rok, albo wprowadzić obowiązek zawiadomienia naczelnika US do określonego terminu.</w:t>
            </w:r>
          </w:p>
        </w:tc>
        <w:tc>
          <w:tcPr>
            <w:tcW w:w="1900" w:type="dxa"/>
            <w:vAlign w:val="center"/>
          </w:tcPr>
          <w:p w14:paraId="6312A85C" w14:textId="77777777" w:rsidR="00B2598E" w:rsidRPr="003E3747" w:rsidRDefault="00B2598E" w:rsidP="00B2598E">
            <w:pPr>
              <w:jc w:val="center"/>
              <w:rPr>
                <w:rFonts w:cstheme="minorHAnsi"/>
              </w:rPr>
            </w:pPr>
          </w:p>
        </w:tc>
      </w:tr>
      <w:tr w:rsidR="004F1001" w:rsidRPr="003E3747" w14:paraId="75E987A6" w14:textId="77777777" w:rsidTr="002209BA">
        <w:tc>
          <w:tcPr>
            <w:tcW w:w="562" w:type="dxa"/>
          </w:tcPr>
          <w:p w14:paraId="046DC190" w14:textId="05589796" w:rsidR="004F1001" w:rsidRPr="003E3747" w:rsidRDefault="004F1001" w:rsidP="00A05649">
            <w:pPr>
              <w:pStyle w:val="Akapitzlist"/>
              <w:numPr>
                <w:ilvl w:val="0"/>
                <w:numId w:val="21"/>
              </w:numPr>
              <w:jc w:val="center"/>
              <w:rPr>
                <w:rFonts w:cstheme="minorHAnsi"/>
              </w:rPr>
            </w:pPr>
          </w:p>
        </w:tc>
        <w:tc>
          <w:tcPr>
            <w:tcW w:w="1560" w:type="dxa"/>
          </w:tcPr>
          <w:p w14:paraId="5A9E8ACB" w14:textId="35FADFD8" w:rsidR="004F1001" w:rsidRPr="003E3747" w:rsidRDefault="64B34B5D" w:rsidP="00A05649">
            <w:pPr>
              <w:spacing w:before="120" w:after="120"/>
              <w:ind w:left="34"/>
              <w:jc w:val="center"/>
              <w:rPr>
                <w:rFonts w:cstheme="minorHAnsi"/>
              </w:rPr>
            </w:pPr>
            <w:r w:rsidRPr="003E3747">
              <w:rPr>
                <w:rFonts w:eastAsia="Lato" w:cstheme="minorHAnsi"/>
                <w:color w:val="000000" w:themeColor="text1"/>
              </w:rPr>
              <w:t>Konfederacja Lewiatan</w:t>
            </w:r>
          </w:p>
          <w:p w14:paraId="01A75D4D" w14:textId="363B7F8A" w:rsidR="004F1001" w:rsidRPr="003E3747" w:rsidRDefault="004F1001" w:rsidP="00A05649">
            <w:pPr>
              <w:spacing w:before="120" w:after="120"/>
              <w:ind w:left="34"/>
              <w:jc w:val="center"/>
              <w:rPr>
                <w:rFonts w:eastAsia="Lato" w:cstheme="minorHAnsi"/>
                <w:color w:val="000000" w:themeColor="text1"/>
              </w:rPr>
            </w:pPr>
          </w:p>
        </w:tc>
        <w:tc>
          <w:tcPr>
            <w:tcW w:w="1842" w:type="dxa"/>
          </w:tcPr>
          <w:p w14:paraId="0CB2F7FE" w14:textId="09DE5B59" w:rsidR="004F1001" w:rsidRPr="003E3747" w:rsidRDefault="004F1001" w:rsidP="00A05649">
            <w:pPr>
              <w:spacing w:before="120" w:after="120"/>
              <w:ind w:left="-20"/>
              <w:jc w:val="center"/>
              <w:rPr>
                <w:rFonts w:eastAsia="Lato" w:cstheme="minorHAnsi"/>
                <w:color w:val="000000" w:themeColor="text1"/>
              </w:rPr>
            </w:pPr>
            <w:r w:rsidRPr="003E3747">
              <w:rPr>
                <w:rFonts w:cstheme="minorHAnsi"/>
              </w:rPr>
              <w:t>art. 38ae ust. 4 pkt 1</w:t>
            </w:r>
            <w:r w:rsidR="00A89BD1" w:rsidRPr="003E3747">
              <w:rPr>
                <w:rFonts w:cstheme="minorHAnsi"/>
              </w:rPr>
              <w:t xml:space="preserve"> ustawy CIT</w:t>
            </w:r>
          </w:p>
        </w:tc>
        <w:tc>
          <w:tcPr>
            <w:tcW w:w="4988" w:type="dxa"/>
            <w:vAlign w:val="center"/>
          </w:tcPr>
          <w:p w14:paraId="48E07469" w14:textId="2606AA01" w:rsidR="004F1001" w:rsidRPr="003E3747" w:rsidRDefault="004F1001" w:rsidP="004F1001">
            <w:pPr>
              <w:spacing w:before="120" w:after="120"/>
              <w:jc w:val="both"/>
              <w:rPr>
                <w:rFonts w:cstheme="minorHAnsi"/>
                <w:color w:val="000000"/>
              </w:rPr>
            </w:pPr>
            <w:r w:rsidRPr="003E3747">
              <w:rPr>
                <w:rFonts w:cstheme="minorHAnsi"/>
                <w:color w:val="000000" w:themeColor="text1"/>
              </w:rPr>
              <w:t xml:space="preserve">Nie jest </w:t>
            </w:r>
            <w:proofErr w:type="gramStart"/>
            <w:r w:rsidRPr="003E3747">
              <w:rPr>
                <w:rFonts w:cstheme="minorHAnsi"/>
                <w:color w:val="000000" w:themeColor="text1"/>
              </w:rPr>
              <w:t>jasne,</w:t>
            </w:r>
            <w:proofErr w:type="gramEnd"/>
            <w:r w:rsidRPr="003E3747">
              <w:rPr>
                <w:rFonts w:cstheme="minorHAnsi"/>
                <w:color w:val="000000" w:themeColor="text1"/>
              </w:rPr>
              <w:t xml:space="preserve"> czy podwyższoną stawką może zostać objęta część podstawy opodatkowania przypadająca na zyski kapitałowe. Proporcje z lit. a i b konstruowane są wyłącznie w odniesieniu do działalności należącej do źródła innego niż zyski kapitałowe, natomiast wynik stosuje się do „części podstawy opodatkowania”. Podstawa opodatkowania CIT może natomiast obejmować również dochód z zysków kapitałowych. W konsekwencji literalne zastosowanie proporcji do całej podstawy może pośrednio </w:t>
            </w:r>
            <w:r w:rsidRPr="003E3747">
              <w:rPr>
                <w:rFonts w:cstheme="minorHAnsi"/>
                <w:color w:val="000000" w:themeColor="text1"/>
              </w:rPr>
              <w:lastRenderedPageBreak/>
              <w:t>prowadzić do opodatkowania podwyższoną stawką także dochodów kapitałowych, które nie mają związku z działalnością wskazaną w ust. 2 pkt 4.</w:t>
            </w:r>
          </w:p>
        </w:tc>
        <w:tc>
          <w:tcPr>
            <w:tcW w:w="4155" w:type="dxa"/>
          </w:tcPr>
          <w:p w14:paraId="65DEBAC5" w14:textId="68B4BE01" w:rsidR="004F1001" w:rsidRPr="003E3747" w:rsidRDefault="004F1001" w:rsidP="002209BA">
            <w:pPr>
              <w:spacing w:before="120" w:after="120"/>
              <w:jc w:val="both"/>
              <w:rPr>
                <w:rFonts w:cstheme="minorHAnsi"/>
              </w:rPr>
            </w:pPr>
            <w:r w:rsidRPr="003E3747">
              <w:rPr>
                <w:rFonts w:cstheme="minorHAnsi"/>
              </w:rPr>
              <w:lastRenderedPageBreak/>
              <w:t>Doprecyzować, że stawka podwyższona ma zastosowanie wyłącznie do części podstawy opodatkowania odpowiadającej dochodowi ze źródeł innych niż zyski kapitałowe, natomiast dochód z zysków kapitałowych podlega stawce z art. 19 ust. 1 pkt 1.</w:t>
            </w:r>
          </w:p>
        </w:tc>
        <w:tc>
          <w:tcPr>
            <w:tcW w:w="1900" w:type="dxa"/>
            <w:vAlign w:val="center"/>
          </w:tcPr>
          <w:p w14:paraId="2CAFF8D3" w14:textId="77777777" w:rsidR="004F1001" w:rsidRPr="003E3747" w:rsidRDefault="004F1001" w:rsidP="004F1001">
            <w:pPr>
              <w:jc w:val="center"/>
              <w:rPr>
                <w:rFonts w:cstheme="minorHAnsi"/>
              </w:rPr>
            </w:pPr>
          </w:p>
        </w:tc>
      </w:tr>
      <w:tr w:rsidR="00B2598E" w:rsidRPr="003E3747" w14:paraId="2DF21F2B" w14:textId="77777777" w:rsidTr="002209BA">
        <w:tc>
          <w:tcPr>
            <w:tcW w:w="562" w:type="dxa"/>
          </w:tcPr>
          <w:p w14:paraId="16534F54" w14:textId="5E2E0AC9" w:rsidR="00B2598E" w:rsidRPr="003E3747" w:rsidRDefault="00B2598E" w:rsidP="00A05649">
            <w:pPr>
              <w:pStyle w:val="Akapitzlist"/>
              <w:numPr>
                <w:ilvl w:val="0"/>
                <w:numId w:val="21"/>
              </w:numPr>
              <w:jc w:val="center"/>
              <w:rPr>
                <w:rFonts w:cstheme="minorHAnsi"/>
              </w:rPr>
            </w:pPr>
          </w:p>
        </w:tc>
        <w:tc>
          <w:tcPr>
            <w:tcW w:w="1560" w:type="dxa"/>
          </w:tcPr>
          <w:p w14:paraId="061691B7" w14:textId="35FADFD8" w:rsidR="00B2598E" w:rsidRPr="003E3747" w:rsidRDefault="1A30BC51" w:rsidP="00A05649">
            <w:pPr>
              <w:spacing w:before="120" w:after="120"/>
              <w:ind w:left="34"/>
              <w:jc w:val="center"/>
              <w:rPr>
                <w:rFonts w:cstheme="minorHAnsi"/>
              </w:rPr>
            </w:pPr>
            <w:r w:rsidRPr="003E3747">
              <w:rPr>
                <w:rFonts w:eastAsia="Lato" w:cstheme="minorHAnsi"/>
                <w:color w:val="000000" w:themeColor="text1"/>
              </w:rPr>
              <w:t>Konfederacja Lewiatan</w:t>
            </w:r>
          </w:p>
          <w:p w14:paraId="15170E9A" w14:textId="3F4C5FB7" w:rsidR="00B2598E" w:rsidRPr="003E3747" w:rsidRDefault="00B2598E" w:rsidP="00A05649">
            <w:pPr>
              <w:spacing w:before="120" w:after="120"/>
              <w:ind w:left="34"/>
              <w:jc w:val="center"/>
              <w:rPr>
                <w:rFonts w:eastAsia="Lato" w:cstheme="minorHAnsi"/>
                <w:color w:val="000000" w:themeColor="text1"/>
              </w:rPr>
            </w:pPr>
          </w:p>
        </w:tc>
        <w:tc>
          <w:tcPr>
            <w:tcW w:w="1842" w:type="dxa"/>
          </w:tcPr>
          <w:p w14:paraId="3097EF8E" w14:textId="4D58A3F3" w:rsidR="00B2598E" w:rsidRPr="003E3747" w:rsidRDefault="00B2598E" w:rsidP="00A05649">
            <w:pPr>
              <w:spacing w:before="120" w:after="120"/>
              <w:ind w:left="-20"/>
              <w:jc w:val="center"/>
              <w:rPr>
                <w:rFonts w:eastAsia="Lato" w:cstheme="minorHAnsi"/>
                <w:color w:val="000000" w:themeColor="text1"/>
                <w:lang w:val="en-US"/>
              </w:rPr>
            </w:pPr>
            <w:r w:rsidRPr="003E3747">
              <w:rPr>
                <w:rFonts w:cstheme="minorHAnsi"/>
                <w:lang w:val="en-US"/>
              </w:rPr>
              <w:t xml:space="preserve">art. 38ae ust. 4 pkt 1 lit. </w:t>
            </w:r>
            <w:r w:rsidR="07F1C264" w:rsidRPr="003E3747">
              <w:rPr>
                <w:rFonts w:cstheme="minorHAnsi"/>
                <w:lang w:val="en-US"/>
              </w:rPr>
              <w:t>a</w:t>
            </w:r>
            <w:r w:rsidR="07F1C264" w:rsidRPr="003E3747">
              <w:rPr>
                <w:rFonts w:cstheme="minorHAnsi"/>
              </w:rPr>
              <w:t xml:space="preserve"> ustawy CIT</w:t>
            </w:r>
          </w:p>
        </w:tc>
        <w:tc>
          <w:tcPr>
            <w:tcW w:w="4988" w:type="dxa"/>
            <w:vAlign w:val="center"/>
          </w:tcPr>
          <w:p w14:paraId="4FCDEA9C" w14:textId="365128F7" w:rsidR="00B2598E" w:rsidRPr="003E3747" w:rsidRDefault="00B2598E" w:rsidP="00B2598E">
            <w:pPr>
              <w:spacing w:before="120" w:after="120"/>
              <w:jc w:val="both"/>
              <w:rPr>
                <w:rFonts w:eastAsia="Lato" w:cstheme="minorHAnsi"/>
                <w:color w:val="000000" w:themeColor="text1"/>
              </w:rPr>
            </w:pPr>
            <w:r w:rsidRPr="003E3747">
              <w:rPr>
                <w:rFonts w:cstheme="minorHAnsi"/>
                <w:color w:val="000000" w:themeColor="text1"/>
              </w:rPr>
              <w:t xml:space="preserve">Nie wiadomo jednoznacznie, czym jest „dochód osiągnięty z działalności” kwalifikowanej. Ustawa CIT zna dochód ze źródła „zyski kapitałowe” i dochód z „innych źródeł przychodów”, ale nie ustanawia odrębnego źródła obejmującego handel gazem, paliwami albo </w:t>
            </w:r>
            <w:proofErr w:type="spellStart"/>
            <w:r w:rsidRPr="003E3747">
              <w:rPr>
                <w:rFonts w:cstheme="minorHAnsi"/>
                <w:color w:val="000000" w:themeColor="text1"/>
              </w:rPr>
              <w:t>przesył</w:t>
            </w:r>
            <w:proofErr w:type="spellEnd"/>
            <w:r w:rsidRPr="003E3747">
              <w:rPr>
                <w:rFonts w:cstheme="minorHAnsi"/>
                <w:color w:val="000000" w:themeColor="text1"/>
              </w:rPr>
              <w:t xml:space="preserve"> energii. Art. 7 ust. 2 CIT definiuje dochód podatkowy jako nadwyżkę przychodów podatkowych nad kosztami ich uzyskania. Z systematyki ustawy wynika więc raczej, że powinien chodzić o dochód podatkowy, a nie wynik rachunkowy, jednak projekt nie mówi tego wprost. </w:t>
            </w:r>
          </w:p>
        </w:tc>
        <w:tc>
          <w:tcPr>
            <w:tcW w:w="4155" w:type="dxa"/>
          </w:tcPr>
          <w:p w14:paraId="29AE3C36" w14:textId="2D0E5DD9" w:rsidR="00B2598E" w:rsidRPr="003E3747" w:rsidRDefault="002209BA" w:rsidP="002209BA">
            <w:pPr>
              <w:spacing w:before="120" w:after="120"/>
              <w:jc w:val="both"/>
              <w:rPr>
                <w:rFonts w:eastAsia="Lato" w:cstheme="minorHAnsi"/>
                <w:iCs/>
                <w:color w:val="000000" w:themeColor="text1"/>
              </w:rPr>
            </w:pPr>
            <w:r w:rsidRPr="003E3747">
              <w:rPr>
                <w:rFonts w:cstheme="minorHAnsi"/>
                <w:iCs/>
              </w:rPr>
              <w:t>Należy w</w:t>
            </w:r>
            <w:r w:rsidR="00B2598E" w:rsidRPr="003E3747">
              <w:rPr>
                <w:rFonts w:cstheme="minorHAnsi"/>
                <w:iCs/>
              </w:rPr>
              <w:t>skazać wprost, że chodzi o dochód ustalony zgodnie z przepisami ustawy CIT. Np.: „dochód podatkowy z działalności, o której mowa w ust. 2 pkt 4, ustalony jako nadwyżka przychodów podatkowych z tej działalności nad przypisanymi do nich kosztami uzyskania przychodów”.</w:t>
            </w:r>
          </w:p>
        </w:tc>
        <w:tc>
          <w:tcPr>
            <w:tcW w:w="1900" w:type="dxa"/>
            <w:vAlign w:val="center"/>
          </w:tcPr>
          <w:p w14:paraId="1C48BFC8" w14:textId="77777777" w:rsidR="00B2598E" w:rsidRPr="003E3747" w:rsidRDefault="00B2598E" w:rsidP="00B2598E">
            <w:pPr>
              <w:jc w:val="center"/>
              <w:rPr>
                <w:rFonts w:cstheme="minorHAnsi"/>
              </w:rPr>
            </w:pPr>
          </w:p>
        </w:tc>
      </w:tr>
      <w:tr w:rsidR="00B2598E" w:rsidRPr="003E3747" w14:paraId="7AC93EB5" w14:textId="77777777" w:rsidTr="00A05649">
        <w:tc>
          <w:tcPr>
            <w:tcW w:w="562" w:type="dxa"/>
          </w:tcPr>
          <w:p w14:paraId="139176BE" w14:textId="1520FC2D" w:rsidR="00B2598E" w:rsidRPr="003E3747" w:rsidRDefault="00B2598E" w:rsidP="00A05649">
            <w:pPr>
              <w:pStyle w:val="Akapitzlist"/>
              <w:numPr>
                <w:ilvl w:val="0"/>
                <w:numId w:val="21"/>
              </w:numPr>
              <w:jc w:val="center"/>
              <w:rPr>
                <w:rFonts w:cstheme="minorHAnsi"/>
              </w:rPr>
            </w:pPr>
          </w:p>
        </w:tc>
        <w:tc>
          <w:tcPr>
            <w:tcW w:w="1560" w:type="dxa"/>
          </w:tcPr>
          <w:p w14:paraId="2D78D0DC" w14:textId="35FADFD8" w:rsidR="00B2598E" w:rsidRPr="003E3747" w:rsidRDefault="38C614C9" w:rsidP="00A05649">
            <w:pPr>
              <w:spacing w:before="120" w:after="120"/>
              <w:ind w:left="34"/>
              <w:jc w:val="center"/>
              <w:rPr>
                <w:rFonts w:cstheme="minorHAnsi"/>
              </w:rPr>
            </w:pPr>
            <w:r w:rsidRPr="003E3747">
              <w:rPr>
                <w:rFonts w:eastAsia="Lato" w:cstheme="minorHAnsi"/>
                <w:color w:val="000000" w:themeColor="text1"/>
              </w:rPr>
              <w:t>Konfederacja Lewiatan</w:t>
            </w:r>
          </w:p>
          <w:p w14:paraId="4E85118B" w14:textId="37D07D0B" w:rsidR="00B2598E" w:rsidRPr="003E3747" w:rsidRDefault="00B2598E" w:rsidP="00A05649">
            <w:pPr>
              <w:spacing w:before="120" w:after="120"/>
              <w:ind w:left="34"/>
              <w:jc w:val="center"/>
              <w:rPr>
                <w:rFonts w:eastAsia="Lato" w:cstheme="minorHAnsi"/>
                <w:color w:val="000000" w:themeColor="text1"/>
              </w:rPr>
            </w:pPr>
          </w:p>
        </w:tc>
        <w:tc>
          <w:tcPr>
            <w:tcW w:w="1842" w:type="dxa"/>
          </w:tcPr>
          <w:p w14:paraId="61FED603" w14:textId="7D398E86" w:rsidR="00B2598E" w:rsidRPr="003E3747" w:rsidRDefault="00B2598E" w:rsidP="00A05649">
            <w:pPr>
              <w:spacing w:before="120" w:after="120"/>
              <w:ind w:left="-20"/>
              <w:jc w:val="center"/>
              <w:rPr>
                <w:rFonts w:eastAsia="Lato" w:cstheme="minorHAnsi"/>
                <w:color w:val="000000" w:themeColor="text1"/>
                <w:lang w:val="en-US"/>
              </w:rPr>
            </w:pPr>
            <w:r w:rsidRPr="003E3747">
              <w:rPr>
                <w:rFonts w:cstheme="minorHAnsi"/>
                <w:lang w:val="en-US"/>
              </w:rPr>
              <w:t xml:space="preserve">art. 38ae ust. 4 pkt 1 lit. </w:t>
            </w:r>
            <w:r w:rsidR="328CBD8D" w:rsidRPr="003E3747">
              <w:rPr>
                <w:rFonts w:cstheme="minorHAnsi"/>
                <w:lang w:val="en-US"/>
              </w:rPr>
              <w:t>a</w:t>
            </w:r>
            <w:r w:rsidR="185D66BB" w:rsidRPr="003E3747">
              <w:rPr>
                <w:rFonts w:cstheme="minorHAnsi"/>
              </w:rPr>
              <w:t xml:space="preserve"> ustawy CIT</w:t>
            </w:r>
          </w:p>
        </w:tc>
        <w:tc>
          <w:tcPr>
            <w:tcW w:w="4988" w:type="dxa"/>
            <w:vAlign w:val="center"/>
          </w:tcPr>
          <w:p w14:paraId="08652D1A" w14:textId="65857A22" w:rsidR="00B2598E" w:rsidRPr="003E3747" w:rsidRDefault="00B2598E" w:rsidP="00B2598E">
            <w:pPr>
              <w:spacing w:before="120" w:after="120"/>
              <w:jc w:val="both"/>
              <w:rPr>
                <w:rFonts w:eastAsia="Lato" w:cstheme="minorHAnsi"/>
                <w:color w:val="000000" w:themeColor="text1"/>
              </w:rPr>
            </w:pPr>
            <w:r w:rsidRPr="003E3747">
              <w:rPr>
                <w:rFonts w:cstheme="minorHAnsi"/>
                <w:color w:val="000000" w:themeColor="text1"/>
              </w:rPr>
              <w:t xml:space="preserve">Brak zasad przypisywania kosztów do działalności kwalifikowanej. Nawet przy przyjęciu, że chodzi o dochód podatkowy, ustawa nie wskazuje, w jaki sposób przypisywać koszty wspólne. W przedsiębiorstwie prowadzącym jednocześnie obrót gazem i inną działalność problem będzie dotyczył m.in. kosztów pracowniczych, IT, zarządu, finansowania, różnic kursowych, instrumentów zabezpieczających, usług wspólnych czy amortyzacji. Bez reguł alokacyjnych dwóch podatników o identycznym profilu gospodarczym może wyliczyć istotnie różną część dochodu podlegającą stawce 30%. Jest to szczególnie problematyczne w świetle </w:t>
            </w:r>
            <w:r w:rsidRPr="003E3747">
              <w:rPr>
                <w:rFonts w:cstheme="minorHAnsi"/>
                <w:color w:val="000000" w:themeColor="text1"/>
              </w:rPr>
              <w:lastRenderedPageBreak/>
              <w:t>konstytucyjnego wymogu określoności ciężaru podatkowego.</w:t>
            </w:r>
          </w:p>
        </w:tc>
        <w:tc>
          <w:tcPr>
            <w:tcW w:w="4155" w:type="dxa"/>
            <w:vAlign w:val="center"/>
          </w:tcPr>
          <w:p w14:paraId="2C7FE329" w14:textId="77777777" w:rsidR="00B2598E" w:rsidRPr="003E3747" w:rsidRDefault="00B2598E" w:rsidP="00B2598E">
            <w:pPr>
              <w:spacing w:before="120" w:after="120"/>
              <w:jc w:val="both"/>
              <w:rPr>
                <w:rFonts w:eastAsia="Lato" w:cstheme="minorHAnsi"/>
                <w:color w:val="000000" w:themeColor="text1"/>
              </w:rPr>
            </w:pPr>
          </w:p>
        </w:tc>
        <w:tc>
          <w:tcPr>
            <w:tcW w:w="1900" w:type="dxa"/>
            <w:vAlign w:val="center"/>
          </w:tcPr>
          <w:p w14:paraId="413A75E2" w14:textId="77777777" w:rsidR="00B2598E" w:rsidRPr="003E3747" w:rsidRDefault="00B2598E" w:rsidP="00B2598E">
            <w:pPr>
              <w:jc w:val="center"/>
              <w:rPr>
                <w:rFonts w:cstheme="minorHAnsi"/>
              </w:rPr>
            </w:pPr>
          </w:p>
        </w:tc>
      </w:tr>
      <w:tr w:rsidR="00B2598E" w:rsidRPr="003E3747" w14:paraId="12FCCC6E" w14:textId="77777777" w:rsidTr="002209BA">
        <w:tc>
          <w:tcPr>
            <w:tcW w:w="562" w:type="dxa"/>
          </w:tcPr>
          <w:p w14:paraId="72A17E3C" w14:textId="4A084CE9" w:rsidR="00B2598E" w:rsidRPr="003E3747" w:rsidRDefault="00B2598E" w:rsidP="00A05649">
            <w:pPr>
              <w:pStyle w:val="Akapitzlist"/>
              <w:numPr>
                <w:ilvl w:val="0"/>
                <w:numId w:val="21"/>
              </w:numPr>
              <w:jc w:val="center"/>
              <w:rPr>
                <w:rFonts w:cstheme="minorHAnsi"/>
              </w:rPr>
            </w:pPr>
          </w:p>
        </w:tc>
        <w:tc>
          <w:tcPr>
            <w:tcW w:w="1560" w:type="dxa"/>
          </w:tcPr>
          <w:p w14:paraId="693D7527" w14:textId="35FADFD8" w:rsidR="00B2598E" w:rsidRPr="003E3747" w:rsidRDefault="76663366" w:rsidP="00A05649">
            <w:pPr>
              <w:spacing w:before="120" w:after="120"/>
              <w:ind w:left="34"/>
              <w:jc w:val="center"/>
              <w:rPr>
                <w:rFonts w:cstheme="minorHAnsi"/>
              </w:rPr>
            </w:pPr>
            <w:r w:rsidRPr="003E3747">
              <w:rPr>
                <w:rFonts w:eastAsia="Lato" w:cstheme="minorHAnsi"/>
                <w:color w:val="000000" w:themeColor="text1"/>
              </w:rPr>
              <w:t>Konfederacja Lewiatan</w:t>
            </w:r>
          </w:p>
          <w:p w14:paraId="3874AA73" w14:textId="3AEDAE7B" w:rsidR="00B2598E" w:rsidRPr="003E3747" w:rsidRDefault="00B2598E" w:rsidP="00A05649">
            <w:pPr>
              <w:spacing w:before="120" w:after="120"/>
              <w:ind w:left="34"/>
              <w:jc w:val="center"/>
              <w:rPr>
                <w:rFonts w:eastAsia="Lato" w:cstheme="minorHAnsi"/>
                <w:color w:val="000000" w:themeColor="text1"/>
              </w:rPr>
            </w:pPr>
          </w:p>
        </w:tc>
        <w:tc>
          <w:tcPr>
            <w:tcW w:w="1842" w:type="dxa"/>
          </w:tcPr>
          <w:p w14:paraId="6EBBD1EB" w14:textId="0F7C5B31" w:rsidR="00B2598E" w:rsidRPr="003E3747" w:rsidRDefault="00B2598E" w:rsidP="00A05649">
            <w:pPr>
              <w:spacing w:before="120" w:after="120"/>
              <w:ind w:left="-20"/>
              <w:jc w:val="center"/>
              <w:rPr>
                <w:rFonts w:eastAsia="Lato" w:cstheme="minorHAnsi"/>
                <w:color w:val="000000" w:themeColor="text1"/>
                <w:lang w:val="en-US"/>
              </w:rPr>
            </w:pPr>
            <w:r w:rsidRPr="003E3747">
              <w:rPr>
                <w:rFonts w:cstheme="minorHAnsi"/>
                <w:lang w:val="en-US"/>
              </w:rPr>
              <w:t xml:space="preserve">art. 38ae ust. 4 pkt 1 lit. </w:t>
            </w:r>
            <w:r w:rsidR="328CBD8D" w:rsidRPr="003E3747">
              <w:rPr>
                <w:rFonts w:cstheme="minorHAnsi"/>
                <w:lang w:val="en-US"/>
              </w:rPr>
              <w:t>a</w:t>
            </w:r>
            <w:r w:rsidR="538157FB" w:rsidRPr="003E3747">
              <w:rPr>
                <w:rFonts w:cstheme="minorHAnsi"/>
              </w:rPr>
              <w:t xml:space="preserve"> ustawy CIT</w:t>
            </w:r>
          </w:p>
        </w:tc>
        <w:tc>
          <w:tcPr>
            <w:tcW w:w="4988" w:type="dxa"/>
            <w:vAlign w:val="center"/>
          </w:tcPr>
          <w:p w14:paraId="367123E6" w14:textId="0FE97C2B" w:rsidR="00B2598E" w:rsidRPr="003E3747" w:rsidRDefault="00B2598E" w:rsidP="00B2598E">
            <w:pPr>
              <w:spacing w:before="120" w:after="120"/>
              <w:jc w:val="both"/>
              <w:rPr>
                <w:rFonts w:eastAsia="Lato" w:cstheme="minorHAnsi"/>
                <w:color w:val="000000" w:themeColor="text1"/>
              </w:rPr>
            </w:pPr>
            <w:r w:rsidRPr="003E3747">
              <w:rPr>
                <w:rFonts w:cstheme="minorHAnsi"/>
                <w:color w:val="000000" w:themeColor="text1"/>
              </w:rPr>
              <w:t>Proporcja dochodowa może być matematycznie nielogiczna. Przepis nie określa, co zrobić, gdy działalność kwalifikowana generuje stratę, cały dochód z innych źródeł jest zerowy albo działalność niekwalifikowana generuje stratę. Przykład: dochód podatkowy z obrotu gazem 100, strata z pozostałej działalności –50, łączny dochód operacyjny 50. Wskaźnik wynosi wówczas 200%. Z kolei przy stracie na gazie i dochodzie z pozostałej działalności może być ujemny. Przepis nie przewiduje ani dolnego, ani górnego ograniczenia proporcji.</w:t>
            </w:r>
          </w:p>
        </w:tc>
        <w:tc>
          <w:tcPr>
            <w:tcW w:w="4155" w:type="dxa"/>
          </w:tcPr>
          <w:p w14:paraId="2D7B0E64" w14:textId="32EA0FF8" w:rsidR="00B2598E" w:rsidRPr="003E3747" w:rsidRDefault="002209BA" w:rsidP="002209BA">
            <w:pPr>
              <w:spacing w:before="120" w:after="120"/>
              <w:jc w:val="both"/>
              <w:rPr>
                <w:rFonts w:eastAsia="Lato" w:cstheme="minorHAnsi"/>
                <w:color w:val="000000" w:themeColor="text1"/>
              </w:rPr>
            </w:pPr>
            <w:r w:rsidRPr="003E3747">
              <w:rPr>
                <w:rFonts w:cstheme="minorHAnsi"/>
              </w:rPr>
              <w:t>Należy w</w:t>
            </w:r>
            <w:r w:rsidR="00B2598E" w:rsidRPr="003E3747">
              <w:rPr>
                <w:rFonts w:cstheme="minorHAnsi"/>
              </w:rPr>
              <w:t>skazać, że proporcja nie może być niższa niż 0% ani wyższa niż 100%, oraz określić sposób postępowania w przypadku straty albo zerowego mianownika. Alternatywnie zrezygnować z proporcji dochodowej w obecnym kształcie i określić bezpośrednio podstawę odpowiadającą dochodowi podatkowemu z działalności kwalifikowanej.</w:t>
            </w:r>
          </w:p>
        </w:tc>
        <w:tc>
          <w:tcPr>
            <w:tcW w:w="1900" w:type="dxa"/>
            <w:vAlign w:val="center"/>
          </w:tcPr>
          <w:p w14:paraId="64E3D204" w14:textId="77777777" w:rsidR="00B2598E" w:rsidRPr="003E3747" w:rsidRDefault="00B2598E" w:rsidP="00B2598E">
            <w:pPr>
              <w:jc w:val="center"/>
              <w:rPr>
                <w:rFonts w:cstheme="minorHAnsi"/>
              </w:rPr>
            </w:pPr>
          </w:p>
        </w:tc>
      </w:tr>
      <w:tr w:rsidR="00B2598E" w:rsidRPr="003E3747" w14:paraId="3B03590C" w14:textId="77777777" w:rsidTr="002209BA">
        <w:tc>
          <w:tcPr>
            <w:tcW w:w="562" w:type="dxa"/>
          </w:tcPr>
          <w:p w14:paraId="468FFDA8" w14:textId="6B62AC3A" w:rsidR="00B2598E" w:rsidRPr="003E3747" w:rsidRDefault="00B2598E" w:rsidP="00A05649">
            <w:pPr>
              <w:pStyle w:val="Akapitzlist"/>
              <w:numPr>
                <w:ilvl w:val="0"/>
                <w:numId w:val="21"/>
              </w:numPr>
              <w:jc w:val="center"/>
              <w:rPr>
                <w:rFonts w:cstheme="minorHAnsi"/>
              </w:rPr>
            </w:pPr>
          </w:p>
        </w:tc>
        <w:tc>
          <w:tcPr>
            <w:tcW w:w="1560" w:type="dxa"/>
          </w:tcPr>
          <w:p w14:paraId="5CCC058D" w14:textId="35FADFD8" w:rsidR="00B2598E" w:rsidRPr="003E3747" w:rsidRDefault="3E5430BD" w:rsidP="00A05649">
            <w:pPr>
              <w:spacing w:before="120" w:after="120"/>
              <w:ind w:left="34"/>
              <w:jc w:val="center"/>
              <w:rPr>
                <w:rFonts w:cstheme="minorHAnsi"/>
              </w:rPr>
            </w:pPr>
            <w:r w:rsidRPr="003E3747">
              <w:rPr>
                <w:rFonts w:eastAsia="Lato" w:cstheme="minorHAnsi"/>
                <w:color w:val="000000" w:themeColor="text1"/>
              </w:rPr>
              <w:t>Konfederacja Lewiatan</w:t>
            </w:r>
          </w:p>
          <w:p w14:paraId="1D02EE99" w14:textId="116F9048" w:rsidR="00B2598E" w:rsidRPr="003E3747" w:rsidRDefault="00B2598E" w:rsidP="00A05649">
            <w:pPr>
              <w:spacing w:before="120" w:after="120"/>
              <w:ind w:left="34"/>
              <w:jc w:val="center"/>
              <w:rPr>
                <w:rFonts w:eastAsia="Lato" w:cstheme="minorHAnsi"/>
                <w:color w:val="000000" w:themeColor="text1"/>
              </w:rPr>
            </w:pPr>
          </w:p>
        </w:tc>
        <w:tc>
          <w:tcPr>
            <w:tcW w:w="1842" w:type="dxa"/>
          </w:tcPr>
          <w:p w14:paraId="148831E3" w14:textId="0FB28D7E" w:rsidR="00B2598E" w:rsidRPr="003E3747" w:rsidRDefault="00B2598E" w:rsidP="00A05649">
            <w:pPr>
              <w:spacing w:before="120" w:after="120"/>
              <w:ind w:left="-20"/>
              <w:jc w:val="center"/>
              <w:rPr>
                <w:rFonts w:eastAsia="Lato" w:cstheme="minorHAnsi"/>
                <w:color w:val="000000" w:themeColor="text1"/>
              </w:rPr>
            </w:pPr>
            <w:r w:rsidRPr="003E3747">
              <w:rPr>
                <w:rFonts w:cstheme="minorHAnsi"/>
              </w:rPr>
              <w:t>art. 38ae ust. 4 pkt 1 lit. b</w:t>
            </w:r>
            <w:r w:rsidR="2EB67C9C" w:rsidRPr="003E3747">
              <w:rPr>
                <w:rFonts w:cstheme="minorHAnsi"/>
              </w:rPr>
              <w:t xml:space="preserve"> ustawy CIT</w:t>
            </w:r>
          </w:p>
        </w:tc>
        <w:tc>
          <w:tcPr>
            <w:tcW w:w="4988" w:type="dxa"/>
            <w:vAlign w:val="center"/>
          </w:tcPr>
          <w:p w14:paraId="47EE7DD2" w14:textId="2CAD5C8D" w:rsidR="00B2598E" w:rsidRPr="003E3747" w:rsidRDefault="00B2598E" w:rsidP="00B2598E">
            <w:pPr>
              <w:spacing w:before="120" w:after="120"/>
              <w:jc w:val="both"/>
              <w:rPr>
                <w:rFonts w:cstheme="minorHAnsi"/>
                <w:color w:val="000000"/>
              </w:rPr>
            </w:pPr>
            <w:r w:rsidRPr="003E3747">
              <w:rPr>
                <w:rFonts w:cstheme="minorHAnsi"/>
                <w:color w:val="000000"/>
              </w:rPr>
              <w:t>Sformułowanie „wskaźnik ten powiększa się o 33%” może powodować wątpliwość, czy chodzi o zwiększenie jego wartości o 33%, tj. przemnożenie przez 1,33, czy o zwiększenie o 33 punkty procentowe. Z ekonomicznej konstrukcji przepisu wynika raczej pierwszy wariant, ale przy normie określającej zakres podstawy opodatkowania nie powinno to wynikać wyłącznie z interpretacji.</w:t>
            </w:r>
          </w:p>
        </w:tc>
        <w:tc>
          <w:tcPr>
            <w:tcW w:w="4155" w:type="dxa"/>
          </w:tcPr>
          <w:p w14:paraId="235DCF83" w14:textId="11C45A07" w:rsidR="00B2598E" w:rsidRPr="003E3747" w:rsidRDefault="00B2598E" w:rsidP="002209BA">
            <w:pPr>
              <w:spacing w:before="120" w:after="120"/>
              <w:jc w:val="both"/>
              <w:rPr>
                <w:rFonts w:cstheme="minorHAnsi"/>
              </w:rPr>
            </w:pPr>
            <w:r w:rsidRPr="003E3747">
              <w:rPr>
                <w:rFonts w:cstheme="minorHAnsi"/>
              </w:rPr>
              <w:t>Zastąpić sformułowaniem: „ustalony w ten sposób wskaźnik mnoży się przez 1,33” albo „powiększa się o 33% jego wartości”.</w:t>
            </w:r>
          </w:p>
        </w:tc>
        <w:tc>
          <w:tcPr>
            <w:tcW w:w="1900" w:type="dxa"/>
            <w:vAlign w:val="center"/>
          </w:tcPr>
          <w:p w14:paraId="60EE8F7B" w14:textId="77777777" w:rsidR="00B2598E" w:rsidRPr="003E3747" w:rsidRDefault="00B2598E" w:rsidP="00B2598E">
            <w:pPr>
              <w:jc w:val="center"/>
              <w:rPr>
                <w:rFonts w:cstheme="minorHAnsi"/>
              </w:rPr>
            </w:pPr>
          </w:p>
        </w:tc>
      </w:tr>
      <w:tr w:rsidR="00B2598E" w:rsidRPr="003E3747" w14:paraId="5AAD0161" w14:textId="77777777" w:rsidTr="00A05649">
        <w:tc>
          <w:tcPr>
            <w:tcW w:w="562" w:type="dxa"/>
          </w:tcPr>
          <w:p w14:paraId="288341E8" w14:textId="77777777" w:rsidR="00B2598E" w:rsidRPr="003E3747" w:rsidRDefault="00B2598E" w:rsidP="00A05649">
            <w:pPr>
              <w:pStyle w:val="Akapitzlist"/>
              <w:numPr>
                <w:ilvl w:val="0"/>
                <w:numId w:val="21"/>
              </w:numPr>
              <w:jc w:val="center"/>
              <w:rPr>
                <w:rFonts w:cstheme="minorHAnsi"/>
              </w:rPr>
            </w:pPr>
          </w:p>
        </w:tc>
        <w:tc>
          <w:tcPr>
            <w:tcW w:w="1560" w:type="dxa"/>
          </w:tcPr>
          <w:p w14:paraId="4E841DBF" w14:textId="523600D7" w:rsidR="00B2598E" w:rsidRPr="003E3747" w:rsidRDefault="005E18D9"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3D7618A1" w14:textId="5ADEFAD0" w:rsidR="00B2598E" w:rsidRPr="003E3747" w:rsidRDefault="00B2598E" w:rsidP="00A05649">
            <w:pPr>
              <w:ind w:left="-20"/>
              <w:jc w:val="center"/>
              <w:rPr>
                <w:rFonts w:cstheme="minorHAnsi"/>
              </w:rPr>
            </w:pPr>
            <w:r w:rsidRPr="003E3747">
              <w:rPr>
                <w:rFonts w:eastAsia="Lato" w:cstheme="minorHAnsi"/>
              </w:rPr>
              <w:t>Uzasadnienie i OSR – relacja dochodów i wydatków programu</w:t>
            </w:r>
          </w:p>
        </w:tc>
        <w:tc>
          <w:tcPr>
            <w:tcW w:w="4988" w:type="dxa"/>
            <w:vAlign w:val="center"/>
          </w:tcPr>
          <w:p w14:paraId="3748EF74" w14:textId="77777777" w:rsidR="00B2598E" w:rsidRPr="003E3747" w:rsidRDefault="00B2598E" w:rsidP="00B2598E">
            <w:pPr>
              <w:spacing w:before="120" w:after="120"/>
              <w:jc w:val="both"/>
              <w:rPr>
                <w:rFonts w:cstheme="minorHAnsi"/>
              </w:rPr>
            </w:pPr>
            <w:r w:rsidRPr="003E3747">
              <w:rPr>
                <w:rFonts w:eastAsia="Lato" w:cstheme="minorHAnsi"/>
                <w:color w:val="000000" w:themeColor="text1"/>
              </w:rPr>
              <w:t>Należy ponownie ocenić zasadność oraz proporcjonalność powiązania finansowania programu wsparcia dla sektorów energochłonnych z podwyższonym opodatkowaniem wybranych przedsiębiorstw sektora energetycznego i paliwowego –</w:t>
            </w:r>
            <w:r w:rsidRPr="003E3747">
              <w:rPr>
                <w:rFonts w:eastAsia="Segoe UI" w:cstheme="minorHAnsi"/>
              </w:rPr>
              <w:t xml:space="preserve"> </w:t>
            </w:r>
            <w:r w:rsidRPr="003E3747">
              <w:rPr>
                <w:rFonts w:eastAsia="Lato" w:cstheme="minorHAnsi"/>
                <w:color w:val="000000" w:themeColor="text1"/>
              </w:rPr>
              <w:t xml:space="preserve">rozbieżność pomiędzy szacowanymi dodatkowymi dochodami budżetu państwa z tytułu </w:t>
            </w:r>
            <w:r w:rsidRPr="003E3747">
              <w:rPr>
                <w:rFonts w:eastAsia="Lato" w:cstheme="minorHAnsi"/>
                <w:color w:val="000000" w:themeColor="text1"/>
              </w:rPr>
              <w:lastRenderedPageBreak/>
              <w:t>podwyższenia stawek CIT (ok. 7,2 mld zł) i wydatkami na program wsparcia (ok. 4,8 mld zł).</w:t>
            </w:r>
          </w:p>
          <w:p w14:paraId="04171295" w14:textId="63048A98" w:rsidR="00B2598E" w:rsidRPr="003E3747" w:rsidRDefault="00B2598E" w:rsidP="00B2598E">
            <w:pPr>
              <w:spacing w:before="120" w:after="120"/>
              <w:jc w:val="both"/>
              <w:rPr>
                <w:rFonts w:cstheme="minorHAnsi"/>
              </w:rPr>
            </w:pPr>
            <w:r w:rsidRPr="003E3747">
              <w:rPr>
                <w:rFonts w:eastAsia="Lato" w:cstheme="minorHAnsi"/>
                <w:color w:val="000000" w:themeColor="text1"/>
              </w:rPr>
              <w:t xml:space="preserve">Z uzasadnienia wynika, że dodatkowe wpływy z podwyższonej stawki CIT mają służyć nie tylko finansowaniu programu wsparcia dla sektorów energochłonnych, ale również m.in. utrzymaniu podwyższonych wydatków na obronność oraz finansowaniu potencjalnych przyszłych działań osłonowych państwa. Powstaje wątpliwość </w:t>
            </w:r>
            <w:r w:rsidRPr="003E3747">
              <w:rPr>
                <w:rFonts w:eastAsia="Lato" w:cstheme="minorHAnsi"/>
                <w:color w:val="000000" w:themeColor="text1"/>
                <w:u w:val="single"/>
              </w:rPr>
              <w:t>czy podmioty sektora energetycznego i paliwowego powinny ponosić ciężar finansowania celów publicznych wykraczających poza zakres programu wsparcia</w:t>
            </w:r>
            <w:r w:rsidRPr="003E3747">
              <w:rPr>
                <w:rFonts w:eastAsia="Lato" w:cstheme="minorHAnsi"/>
                <w:color w:val="000000" w:themeColor="text1"/>
              </w:rPr>
              <w:t xml:space="preserve">. Należy zauważyć, że przedsiębiorstwa objęte projektowanym rozwiązaniem realizują obecnie bezprecedensowe nakłady inwestycyjne związane z transformacją energetyczną (w tym przyłączaniem źródeł OZE, magazynów energii, </w:t>
            </w:r>
            <w:r w:rsidR="0017039A" w:rsidRPr="003E3747">
              <w:rPr>
                <w:rFonts w:eastAsia="Lato" w:cstheme="minorHAnsi"/>
                <w:color w:val="000000" w:themeColor="text1"/>
              </w:rPr>
              <w:br/>
            </w:r>
            <w:r w:rsidRPr="003E3747">
              <w:rPr>
                <w:rFonts w:eastAsia="Lato" w:cstheme="minorHAnsi"/>
                <w:color w:val="000000" w:themeColor="text1"/>
              </w:rPr>
              <w:t>e-</w:t>
            </w:r>
            <w:proofErr w:type="spellStart"/>
            <w:r w:rsidRPr="003E3747">
              <w:rPr>
                <w:rFonts w:eastAsia="Lato" w:cstheme="minorHAnsi"/>
                <w:color w:val="000000" w:themeColor="text1"/>
              </w:rPr>
              <w:t>mobility</w:t>
            </w:r>
            <w:proofErr w:type="spellEnd"/>
            <w:r w:rsidRPr="003E3747">
              <w:rPr>
                <w:rFonts w:eastAsia="Lato" w:cstheme="minorHAnsi"/>
                <w:color w:val="000000" w:themeColor="text1"/>
              </w:rPr>
              <w:t xml:space="preserve">, nowych odbiorców takich jak np. data </w:t>
            </w:r>
            <w:proofErr w:type="spellStart"/>
            <w:r w:rsidRPr="003E3747">
              <w:rPr>
                <w:rFonts w:eastAsia="Lato" w:cstheme="minorHAnsi"/>
                <w:color w:val="000000" w:themeColor="text1"/>
              </w:rPr>
              <w:t>centers</w:t>
            </w:r>
            <w:proofErr w:type="spellEnd"/>
            <w:r w:rsidRPr="003E3747">
              <w:rPr>
                <w:rFonts w:eastAsia="Lato" w:cstheme="minorHAnsi"/>
                <w:color w:val="000000" w:themeColor="text1"/>
              </w:rPr>
              <w:t xml:space="preserve">), modernizacją, cyfryzacją i automatyzacją sieci oraz zapewnieniem bezpieczeństwa dostaw energii. Skala tych inwestycji wynika zarówno z krajowych, jak i unijnych zobowiązań transformacyjnych i jest kluczowa dla realizacji celów polityki energetycznej państwa. W tym kontekście dodatkowe obciążenie podatkowe może ograniczać zdolność inwestycyjną przedsiębiorstw odpowiedzialnych za transformację sektora energetycznego, podczas gdy nie wykazano, dlaczego właśnie te branże powinny w szczególny sposób finansować wydatki o charakterze </w:t>
            </w:r>
            <w:r w:rsidRPr="003E3747">
              <w:rPr>
                <w:rFonts w:eastAsia="Lato" w:cstheme="minorHAnsi"/>
                <w:color w:val="000000" w:themeColor="text1"/>
              </w:rPr>
              <w:lastRenderedPageBreak/>
              <w:t>ogólnopaństwowym. Wskazane byłoby przedstawienie szerszego uzasadnienia wyboru źródła finansowania oraz oceny wpływu regulacji na możliwości realizacji niezbędnych inwestycji infrastrukturalnych i transformacyjnych.</w:t>
            </w:r>
          </w:p>
          <w:p w14:paraId="769BB612" w14:textId="2007DDCF" w:rsidR="00B2598E" w:rsidRPr="003E3747" w:rsidRDefault="00B2598E" w:rsidP="00B2598E">
            <w:pPr>
              <w:spacing w:before="120" w:after="120"/>
              <w:jc w:val="both"/>
              <w:rPr>
                <w:rFonts w:cstheme="minorHAnsi"/>
                <w:color w:val="000000"/>
              </w:rPr>
            </w:pPr>
            <w:r w:rsidRPr="003E3747">
              <w:rPr>
                <w:rFonts w:eastAsia="Lato" w:cstheme="minorHAnsi"/>
                <w:color w:val="000000" w:themeColor="text1"/>
              </w:rPr>
              <w:t xml:space="preserve">Należy podkreślić, że sfinansowanie programu CISAF poprzez obniżenie inwestycji przez OSD i OSP </w:t>
            </w:r>
            <w:r w:rsidR="00882AC1" w:rsidRPr="003E3747">
              <w:rPr>
                <w:rFonts w:eastAsia="Lato" w:cstheme="minorHAnsi"/>
                <w:color w:val="000000" w:themeColor="text1"/>
              </w:rPr>
              <w:t xml:space="preserve">- </w:t>
            </w:r>
            <w:r w:rsidRPr="003E3747">
              <w:rPr>
                <w:rFonts w:eastAsia="Lato" w:cstheme="minorHAnsi"/>
                <w:color w:val="000000" w:themeColor="text1"/>
              </w:rPr>
              <w:t>takim skutkiem będzie czasowe podwyższenie CIT - jest działaniem na szkodę przedsiębiorstw energochłonnych w średniej i długiej perspektywie. W latach 2027 – 2031 mogą nastąpić poważne korekty w dół wolumenów inwestycji OSD i OSP na skutek podwyższenia CIT.</w:t>
            </w:r>
          </w:p>
        </w:tc>
        <w:tc>
          <w:tcPr>
            <w:tcW w:w="4155" w:type="dxa"/>
            <w:vAlign w:val="center"/>
          </w:tcPr>
          <w:p w14:paraId="4EA4CBB8" w14:textId="2D542A56" w:rsidR="00B2598E" w:rsidRPr="003E3747" w:rsidRDefault="00B2598E" w:rsidP="005E18D9">
            <w:pPr>
              <w:rPr>
                <w:rFonts w:cstheme="minorHAnsi"/>
              </w:rPr>
            </w:pPr>
          </w:p>
        </w:tc>
        <w:tc>
          <w:tcPr>
            <w:tcW w:w="1900" w:type="dxa"/>
            <w:vAlign w:val="center"/>
          </w:tcPr>
          <w:p w14:paraId="2328435D" w14:textId="77777777" w:rsidR="00B2598E" w:rsidRPr="003E3747" w:rsidRDefault="00B2598E" w:rsidP="00B2598E">
            <w:pPr>
              <w:jc w:val="center"/>
              <w:rPr>
                <w:rFonts w:cstheme="minorHAnsi"/>
              </w:rPr>
            </w:pPr>
          </w:p>
        </w:tc>
      </w:tr>
      <w:tr w:rsidR="008C0835" w:rsidRPr="003E3747" w14:paraId="66FDA658" w14:textId="77777777" w:rsidTr="00A05649">
        <w:tc>
          <w:tcPr>
            <w:tcW w:w="562" w:type="dxa"/>
          </w:tcPr>
          <w:p w14:paraId="3CAB80A0" w14:textId="77777777" w:rsidR="008C0835" w:rsidRPr="003E3747" w:rsidRDefault="008C0835" w:rsidP="00A05649">
            <w:pPr>
              <w:pStyle w:val="Akapitzlist"/>
              <w:numPr>
                <w:ilvl w:val="0"/>
                <w:numId w:val="21"/>
              </w:numPr>
              <w:jc w:val="center"/>
              <w:rPr>
                <w:rFonts w:cstheme="minorHAnsi"/>
              </w:rPr>
            </w:pPr>
          </w:p>
        </w:tc>
        <w:tc>
          <w:tcPr>
            <w:tcW w:w="1560" w:type="dxa"/>
          </w:tcPr>
          <w:p w14:paraId="59115AE6" w14:textId="35FADFD8" w:rsidR="008C0835" w:rsidRPr="003E3747" w:rsidRDefault="2690A135" w:rsidP="00A05649">
            <w:pPr>
              <w:spacing w:before="120" w:after="120"/>
              <w:ind w:left="34"/>
              <w:jc w:val="center"/>
              <w:rPr>
                <w:rFonts w:cstheme="minorHAnsi"/>
              </w:rPr>
            </w:pPr>
            <w:r w:rsidRPr="003E3747">
              <w:rPr>
                <w:rFonts w:eastAsia="Lato" w:cstheme="minorHAnsi"/>
                <w:color w:val="000000" w:themeColor="text1"/>
              </w:rPr>
              <w:t>Konfederacja Lewiatan</w:t>
            </w:r>
          </w:p>
          <w:p w14:paraId="1A724DD3" w14:textId="4B3576F3" w:rsidR="008C0835" w:rsidRPr="003E3747" w:rsidRDefault="008C0835" w:rsidP="00A05649">
            <w:pPr>
              <w:ind w:left="34"/>
              <w:jc w:val="center"/>
              <w:rPr>
                <w:rFonts w:cstheme="minorHAnsi"/>
              </w:rPr>
            </w:pPr>
          </w:p>
        </w:tc>
        <w:tc>
          <w:tcPr>
            <w:tcW w:w="1842" w:type="dxa"/>
          </w:tcPr>
          <w:p w14:paraId="2E204702" w14:textId="461A7BD2" w:rsidR="008C0835" w:rsidRPr="003E3747" w:rsidRDefault="008C0835" w:rsidP="00A05649">
            <w:pPr>
              <w:ind w:left="-20"/>
              <w:jc w:val="center"/>
              <w:rPr>
                <w:rFonts w:eastAsia="Lato" w:cstheme="minorHAnsi"/>
              </w:rPr>
            </w:pPr>
            <w:r w:rsidRPr="003E3747">
              <w:rPr>
                <w:rFonts w:eastAsia="Lato" w:cstheme="minorHAnsi"/>
              </w:rPr>
              <w:t>Uzasadnienie</w:t>
            </w:r>
          </w:p>
        </w:tc>
        <w:tc>
          <w:tcPr>
            <w:tcW w:w="4988" w:type="dxa"/>
            <w:vAlign w:val="center"/>
          </w:tcPr>
          <w:p w14:paraId="2BE35EB4" w14:textId="77777777" w:rsidR="008C0835" w:rsidRPr="003E3747" w:rsidRDefault="008C0835" w:rsidP="008C0835">
            <w:pPr>
              <w:pStyle w:val="Bezodstpw"/>
              <w:jc w:val="both"/>
              <w:rPr>
                <w:rFonts w:cstheme="minorHAnsi"/>
              </w:rPr>
            </w:pPr>
            <w:r w:rsidRPr="003E3747">
              <w:rPr>
                <w:rFonts w:cstheme="minorHAnsi"/>
              </w:rPr>
              <w:t>W uzasadnieniu projektu ustawy znajduje się wyjaśnienie powodów pozostawienia podatnikom nieosiągającym progu 75% ale przekraczającym 33% wyboru metody kalkulowania podstawy opodatkowania:  „</w:t>
            </w:r>
            <w:r w:rsidRPr="003E3747">
              <w:rPr>
                <w:rFonts w:cstheme="minorHAnsi"/>
                <w:i/>
                <w:iCs/>
              </w:rPr>
              <w:t xml:space="preserve">Przyznanie podatnikom prawa wyboru pomiędzy metodą dochodową i metodą przychodową pozwala uwzględnić zróżnicowane modele prowadzenia działalności gospodarczej, a w szczególności zakres koniecznych do wdrożenia obowiązków sprawozdawczych, przy jednoczesnym zachowaniu celu regulacji jakim jest objęcie podwyższoną stawką tej części wyniku podatkowego, która pozostaje związana z działalnością prowadzoną w segmencie paliwowo-energetycznym. Tym samym to sam podatnik decydowałby, czy stosować wskaźnik </w:t>
            </w:r>
            <w:r w:rsidRPr="003E3747">
              <w:rPr>
                <w:rFonts w:cstheme="minorHAnsi"/>
                <w:i/>
              </w:rPr>
              <w:t>uproszczony, wymagający mniejszego zaangażowania pod kątem koniecznych do wdrożenia obowiązków sprawozdawczych</w:t>
            </w:r>
            <w:r w:rsidRPr="003E3747">
              <w:rPr>
                <w:rFonts w:cstheme="minorHAnsi"/>
                <w:i/>
                <w:iCs/>
              </w:rPr>
              <w:t xml:space="preserve">, czy też dążyć do ustalenia </w:t>
            </w:r>
            <w:r w:rsidRPr="003E3747">
              <w:rPr>
                <w:rFonts w:cstheme="minorHAnsi"/>
                <w:i/>
                <w:iCs/>
              </w:rPr>
              <w:lastRenderedPageBreak/>
              <w:t>rzeczywistego źródła pochodzenia jego dochodu kosztem większej szczegółowości prowadzonych ewidencji</w:t>
            </w:r>
            <w:r w:rsidRPr="003E3747">
              <w:rPr>
                <w:rFonts w:cstheme="minorHAnsi"/>
              </w:rPr>
              <w:t>.”</w:t>
            </w:r>
          </w:p>
          <w:p w14:paraId="4CB4E5F9" w14:textId="77777777" w:rsidR="008C0835" w:rsidRPr="003E3747" w:rsidRDefault="008C0835" w:rsidP="008C0835">
            <w:pPr>
              <w:pStyle w:val="Bezodstpw"/>
              <w:jc w:val="both"/>
              <w:rPr>
                <w:rFonts w:cstheme="minorHAnsi"/>
              </w:rPr>
            </w:pPr>
          </w:p>
          <w:p w14:paraId="52E75F57" w14:textId="77777777" w:rsidR="008C0835" w:rsidRPr="003E3747" w:rsidRDefault="008C0835" w:rsidP="008C0835">
            <w:pPr>
              <w:pStyle w:val="Bezodstpw"/>
              <w:jc w:val="both"/>
              <w:rPr>
                <w:rFonts w:cstheme="minorHAnsi"/>
              </w:rPr>
            </w:pPr>
            <w:r w:rsidRPr="003E3747">
              <w:rPr>
                <w:rFonts w:cstheme="minorHAnsi"/>
              </w:rPr>
              <w:t>Biorąc pod uwagę, że nie ma przepisów podatkowych wymagających od podatników wyliczania dochodów na poszczególnych strumieniach przychodowych, praktyczną trudnością jest już nawet samo przypisanie kosztów ogólnych zarządu, finansowania, wydziałowych etc.  Dobrym rozwiązaniem jest więc możliwość uproszczenia.</w:t>
            </w:r>
          </w:p>
          <w:p w14:paraId="11417D4D" w14:textId="77777777" w:rsidR="008C0835" w:rsidRPr="003E3747" w:rsidRDefault="008C0835" w:rsidP="008C0835">
            <w:pPr>
              <w:pStyle w:val="Bezodstpw"/>
              <w:jc w:val="both"/>
              <w:rPr>
                <w:rFonts w:cstheme="minorHAnsi"/>
              </w:rPr>
            </w:pPr>
          </w:p>
          <w:p w14:paraId="1870ADA5" w14:textId="507A06D4" w:rsidR="008C0835" w:rsidRPr="003E3747" w:rsidRDefault="008C0835" w:rsidP="008C0835">
            <w:pPr>
              <w:pStyle w:val="Bezodstpw"/>
              <w:jc w:val="both"/>
              <w:rPr>
                <w:rFonts w:cstheme="minorHAnsi"/>
              </w:rPr>
            </w:pPr>
            <w:r w:rsidRPr="003E3747">
              <w:rPr>
                <w:rFonts w:cstheme="minorHAnsi"/>
              </w:rPr>
              <w:t>Tym samym</w:t>
            </w:r>
            <w:r w:rsidR="00882AC1" w:rsidRPr="003E3747">
              <w:rPr>
                <w:rFonts w:cstheme="minorHAnsi"/>
              </w:rPr>
              <w:t>,</w:t>
            </w:r>
            <w:r w:rsidRPr="003E3747">
              <w:rPr>
                <w:rFonts w:cstheme="minorHAnsi"/>
              </w:rPr>
              <w:t xml:space="preserve"> jeśli podatnik może stosować wskaźnik uproszczony (tj. przychodowy) za rok poprzedni, to wydaje się, że powinien mieć on też prawo do zastosowania takiego uproszczenia w oparciu o dane za rok bieżący. Wydaje się to uzasadnione szczególnie w świetle motywów projektodawcy przywołanych w zacytowanej powyżej części uzasadnienia. </w:t>
            </w:r>
          </w:p>
          <w:p w14:paraId="35C24F09" w14:textId="77777777" w:rsidR="008C0835" w:rsidRPr="003E3747" w:rsidRDefault="008C0835" w:rsidP="008C0835">
            <w:pPr>
              <w:pStyle w:val="Bezodstpw"/>
              <w:jc w:val="both"/>
              <w:rPr>
                <w:rFonts w:cstheme="minorHAnsi"/>
              </w:rPr>
            </w:pPr>
          </w:p>
          <w:p w14:paraId="2750E9C6" w14:textId="782DB2B8" w:rsidR="008C0835" w:rsidRPr="003E3747" w:rsidRDefault="008C0835" w:rsidP="008C0835">
            <w:pPr>
              <w:pStyle w:val="Bezodstpw"/>
              <w:jc w:val="both"/>
              <w:rPr>
                <w:rFonts w:cstheme="minorHAnsi"/>
              </w:rPr>
            </w:pPr>
            <w:r w:rsidRPr="003E3747">
              <w:rPr>
                <w:rFonts w:cstheme="minorHAnsi"/>
              </w:rPr>
              <w:t xml:space="preserve">Dodatkowo, jako że przepis ust. 4 pkt 2 odsyła do wspomnianego uproszczonego wskaźnika za rok poprzedni (o czym też niżej w części </w:t>
            </w:r>
            <w:r w:rsidR="004A0EF1" w:rsidRPr="003E3747">
              <w:rPr>
                <w:rFonts w:cstheme="minorHAnsi"/>
              </w:rPr>
              <w:t>u</w:t>
            </w:r>
            <w:r w:rsidRPr="003E3747">
              <w:rPr>
                <w:rFonts w:cstheme="minorHAnsi"/>
              </w:rPr>
              <w:t xml:space="preserve">wagi mniejszej natury legislacyjnej), to wydaje się, że w celu </w:t>
            </w:r>
            <w:proofErr w:type="spellStart"/>
            <w:r w:rsidRPr="003E3747">
              <w:rPr>
                <w:rFonts w:cstheme="minorHAnsi"/>
              </w:rPr>
              <w:t>uspójnienia</w:t>
            </w:r>
            <w:proofErr w:type="spellEnd"/>
            <w:r w:rsidRPr="003E3747">
              <w:rPr>
                <w:rFonts w:cstheme="minorHAnsi"/>
              </w:rPr>
              <w:t xml:space="preserve"> z ust. 5 pkt 2, który odsyła do roku poprzedzającego rok bieżący o dwa lata, uzasadnionym wydaje się, aby przepis ust. 4 pkt 2 również odsyłał do roku poprzedzającego bieżący o dwa lata. Wtedy będzie to prawdziwe uproszczenie, gdyż ów rok N-2 jest już księgowo i podatkowo zamknięty i wszystkie kwoty przychodów są łatwiej weryfikowalne. Odpowiada to również naturze </w:t>
            </w:r>
            <w:r w:rsidRPr="003E3747">
              <w:rPr>
                <w:rFonts w:cstheme="minorHAnsi"/>
              </w:rPr>
              <w:lastRenderedPageBreak/>
              <w:t>liczenia zaliczek uproszczonych – opierają się na danych sprzed dwóch lat podatkowych.</w:t>
            </w:r>
          </w:p>
        </w:tc>
        <w:tc>
          <w:tcPr>
            <w:tcW w:w="4155" w:type="dxa"/>
            <w:vAlign w:val="center"/>
          </w:tcPr>
          <w:p w14:paraId="662526CC" w14:textId="77777777" w:rsidR="008C0835" w:rsidRPr="003E3747" w:rsidRDefault="008C0835" w:rsidP="00B2598E">
            <w:pPr>
              <w:jc w:val="center"/>
              <w:rPr>
                <w:rFonts w:eastAsia="Lato" w:cstheme="minorHAnsi"/>
              </w:rPr>
            </w:pPr>
          </w:p>
        </w:tc>
        <w:tc>
          <w:tcPr>
            <w:tcW w:w="1900" w:type="dxa"/>
            <w:vAlign w:val="center"/>
          </w:tcPr>
          <w:p w14:paraId="3A4E4018" w14:textId="77777777" w:rsidR="008C0835" w:rsidRPr="003E3747" w:rsidRDefault="008C0835" w:rsidP="00B2598E">
            <w:pPr>
              <w:jc w:val="center"/>
              <w:rPr>
                <w:rFonts w:cstheme="minorHAnsi"/>
              </w:rPr>
            </w:pPr>
          </w:p>
        </w:tc>
      </w:tr>
      <w:tr w:rsidR="00B2598E" w:rsidRPr="003E3747" w14:paraId="196B0950" w14:textId="77777777" w:rsidTr="00A05649">
        <w:tc>
          <w:tcPr>
            <w:tcW w:w="562" w:type="dxa"/>
          </w:tcPr>
          <w:p w14:paraId="62AC8D98" w14:textId="77777777" w:rsidR="00B2598E" w:rsidRPr="003E3747" w:rsidRDefault="00B2598E" w:rsidP="00A05649">
            <w:pPr>
              <w:pStyle w:val="Akapitzlist"/>
              <w:numPr>
                <w:ilvl w:val="0"/>
                <w:numId w:val="21"/>
              </w:numPr>
              <w:jc w:val="center"/>
              <w:rPr>
                <w:rFonts w:cstheme="minorHAnsi"/>
              </w:rPr>
            </w:pPr>
          </w:p>
        </w:tc>
        <w:tc>
          <w:tcPr>
            <w:tcW w:w="1560" w:type="dxa"/>
          </w:tcPr>
          <w:p w14:paraId="10C0F75C" w14:textId="612012C3" w:rsidR="00B2598E" w:rsidRPr="003E3747" w:rsidRDefault="004A0EF1" w:rsidP="00A05649">
            <w:pPr>
              <w:ind w:left="34"/>
              <w:jc w:val="center"/>
              <w:rPr>
                <w:rFonts w:cstheme="minorHAnsi"/>
              </w:rPr>
            </w:pPr>
            <w:r w:rsidRPr="003E3747">
              <w:rPr>
                <w:rFonts w:eastAsia="Lato" w:cstheme="minorHAnsi"/>
                <w:color w:val="000000" w:themeColor="text1"/>
              </w:rPr>
              <w:t>Konfederacja Lewiatan</w:t>
            </w:r>
          </w:p>
        </w:tc>
        <w:tc>
          <w:tcPr>
            <w:tcW w:w="1842" w:type="dxa"/>
          </w:tcPr>
          <w:p w14:paraId="55DE308E" w14:textId="6136E853" w:rsidR="00B2598E" w:rsidRPr="003E3747" w:rsidRDefault="00B2598E" w:rsidP="00A05649">
            <w:pPr>
              <w:ind w:left="-20"/>
              <w:jc w:val="center"/>
              <w:rPr>
                <w:rFonts w:cstheme="minorHAnsi"/>
              </w:rPr>
            </w:pPr>
            <w:r w:rsidRPr="003E3747">
              <w:rPr>
                <w:rFonts w:eastAsia="Lato" w:cstheme="minorHAnsi"/>
              </w:rPr>
              <w:t>OSR – wolumen zużycia energii</w:t>
            </w:r>
          </w:p>
        </w:tc>
        <w:tc>
          <w:tcPr>
            <w:tcW w:w="4988" w:type="dxa"/>
            <w:vAlign w:val="center"/>
          </w:tcPr>
          <w:p w14:paraId="127BB2E3" w14:textId="7DD6E1C3" w:rsidR="00B2598E" w:rsidRPr="003E3747" w:rsidRDefault="00B2598E" w:rsidP="00B2598E">
            <w:pPr>
              <w:spacing w:before="120" w:after="120"/>
              <w:jc w:val="both"/>
              <w:rPr>
                <w:rFonts w:cstheme="minorHAnsi"/>
              </w:rPr>
            </w:pPr>
            <w:r w:rsidRPr="003E3747">
              <w:rPr>
                <w:rFonts w:eastAsia="Lato" w:cstheme="minorHAnsi"/>
                <w:color w:val="000000" w:themeColor="text1"/>
              </w:rPr>
              <w:t xml:space="preserve">Należy doprecyzować metodologię wyznaczenia wolumenu 18,36 </w:t>
            </w:r>
            <w:proofErr w:type="spellStart"/>
            <w:r w:rsidRPr="003E3747">
              <w:rPr>
                <w:rFonts w:eastAsia="Lato" w:cstheme="minorHAnsi"/>
                <w:color w:val="000000" w:themeColor="text1"/>
              </w:rPr>
              <w:t>TWh</w:t>
            </w:r>
            <w:proofErr w:type="spellEnd"/>
            <w:r w:rsidRPr="003E3747">
              <w:rPr>
                <w:rFonts w:eastAsia="Lato" w:cstheme="minorHAnsi"/>
                <w:color w:val="000000" w:themeColor="text1"/>
              </w:rPr>
              <w:t xml:space="preserve"> stanowiącego podstawę kalkulacji kosztów programu. OSR wskazuje, że wolumen został oszacowany na podstawie odpowiedzi 5 organizacji branżowych uzupełnionych o dane Eurostatu, jednak nie przedstawia szczegółowych danych ani sposobu ich agregacji. Jednocześnie wartość ta jest zbliżona do wolumenów energii wykorzystywanych przy innych mechanizmach wsparcia odbiorców przemysłowych/ energochłonnych, gdzie ich liczba jest zdecydowanie niższa niż wskazana w projekcie liczba 300 podmiotów. Brak transparentności metodologii utrudnia ocenę adekwatności budżetu programu i liczby potencjalnych beneficjentów.</w:t>
            </w:r>
          </w:p>
          <w:p w14:paraId="47F990E6" w14:textId="2E8A762C" w:rsidR="00B2598E" w:rsidRPr="003E3747" w:rsidRDefault="00B2598E" w:rsidP="00B2598E">
            <w:pPr>
              <w:spacing w:before="120" w:after="120"/>
              <w:jc w:val="both"/>
              <w:rPr>
                <w:rFonts w:cstheme="minorHAnsi"/>
                <w:color w:val="000000"/>
              </w:rPr>
            </w:pPr>
            <w:r w:rsidRPr="003E3747">
              <w:rPr>
                <w:rFonts w:eastAsia="Lato" w:cstheme="minorHAnsi"/>
                <w:color w:val="000000" w:themeColor="text1"/>
              </w:rPr>
              <w:t>Jednocześnie koniecznym wydaje się</w:t>
            </w:r>
            <w:r w:rsidRPr="003E3747">
              <w:rPr>
                <w:rFonts w:eastAsia="Segoe UI" w:cstheme="minorHAnsi"/>
              </w:rPr>
              <w:t xml:space="preserve"> </w:t>
            </w:r>
            <w:r w:rsidRPr="003E3747">
              <w:rPr>
                <w:rFonts w:eastAsia="Lato" w:cstheme="minorHAnsi"/>
                <w:color w:val="000000" w:themeColor="text1"/>
              </w:rPr>
              <w:t xml:space="preserve">przeanalizowanie rzeczywistej skali wykorzystania programu przez przedsiębiorców korzystających jednocześnie z systemu rekompensat dla sektorów energochłonnych i systemu przewidzianego niniejszym projektem. Projekt przewiduje pomniejszanie wysokości nowego wsparcia o wartość uzyskanych rekompensat. W praktyce część największych odbiorców energii (o dużych wolumenach stanowiących przecież podstawę kalkulacji wsparcia w projektowanym systemie) już korzysta z systemu rekompensat, co może znacząco ograniczać zakres wsparcia dostępnego w ramach </w:t>
            </w:r>
            <w:r w:rsidRPr="003E3747">
              <w:rPr>
                <w:rFonts w:eastAsia="Lato" w:cstheme="minorHAnsi"/>
                <w:color w:val="000000" w:themeColor="text1"/>
              </w:rPr>
              <w:lastRenderedPageBreak/>
              <w:t>nowego programu. OSR nie przedstawia analizy wpływu tej zasady na liczbę beneficjentów ani faktyczne wykorzystanie środków programu. Tym samym zasadne byłoby wskazanie szacowanej liczby przedsiębiorców, którzy faktycznie będą spełniać wszystkie warunki uzyskania wsparcia, w tym obowiązek realizacji inwestycji oraz ograniczenia wynikające z kumulacji pomocy. W OSR wskazano ok. 300 odbiorców przemysłowych, jednak nie przedstawiono oceny, ilu przedsiębiorców będzie mogło skutecznie skorzystać z programu po uwzględnieniu wszystkich warunków ustawowych, obowiązku współfinansowania inwestycji oraz ograniczeń związanych z innymi formami pomocy publicznej, a co za tym idzie czy przedstawiony w ustawie limit wydatków na realizację programów w wysokości 4,8 mld zł jest właściwy / uzasadniony.</w:t>
            </w:r>
          </w:p>
        </w:tc>
        <w:tc>
          <w:tcPr>
            <w:tcW w:w="4155" w:type="dxa"/>
            <w:vAlign w:val="center"/>
          </w:tcPr>
          <w:p w14:paraId="4C38B52D" w14:textId="77777777" w:rsidR="00B2598E" w:rsidRPr="003E3747" w:rsidRDefault="00B2598E" w:rsidP="00B2598E">
            <w:pPr>
              <w:jc w:val="center"/>
              <w:rPr>
                <w:rFonts w:cstheme="minorHAnsi"/>
              </w:rPr>
            </w:pPr>
          </w:p>
        </w:tc>
        <w:tc>
          <w:tcPr>
            <w:tcW w:w="1900" w:type="dxa"/>
            <w:vAlign w:val="center"/>
          </w:tcPr>
          <w:p w14:paraId="368B4F39" w14:textId="77777777" w:rsidR="00B2598E" w:rsidRPr="003E3747" w:rsidRDefault="00B2598E" w:rsidP="00B2598E">
            <w:pPr>
              <w:jc w:val="center"/>
              <w:rPr>
                <w:rFonts w:cstheme="minorHAnsi"/>
              </w:rPr>
            </w:pPr>
          </w:p>
        </w:tc>
      </w:tr>
      <w:tr w:rsidR="00856249" w:rsidRPr="003E3747" w14:paraId="7E13D8A0" w14:textId="77777777" w:rsidTr="00A05649">
        <w:tc>
          <w:tcPr>
            <w:tcW w:w="562" w:type="dxa"/>
          </w:tcPr>
          <w:p w14:paraId="3426961B" w14:textId="77777777" w:rsidR="00856249" w:rsidRPr="003E3747" w:rsidRDefault="00856249" w:rsidP="00A05649">
            <w:pPr>
              <w:pStyle w:val="Akapitzlist"/>
              <w:numPr>
                <w:ilvl w:val="0"/>
                <w:numId w:val="21"/>
              </w:numPr>
              <w:jc w:val="center"/>
              <w:rPr>
                <w:rFonts w:cstheme="minorHAnsi"/>
              </w:rPr>
            </w:pPr>
          </w:p>
        </w:tc>
        <w:tc>
          <w:tcPr>
            <w:tcW w:w="1560" w:type="dxa"/>
          </w:tcPr>
          <w:p w14:paraId="6AD0C303" w14:textId="35FADFD8" w:rsidR="00856249" w:rsidRPr="003E3747" w:rsidRDefault="621CA815" w:rsidP="00A05649">
            <w:pPr>
              <w:spacing w:before="120" w:after="120"/>
              <w:ind w:left="34"/>
              <w:jc w:val="center"/>
              <w:rPr>
                <w:rFonts w:cstheme="minorHAnsi"/>
              </w:rPr>
            </w:pPr>
            <w:r w:rsidRPr="003E3747">
              <w:rPr>
                <w:rFonts w:eastAsia="Lato" w:cstheme="minorHAnsi"/>
                <w:color w:val="000000" w:themeColor="text1"/>
              </w:rPr>
              <w:t>Konfederacja Lewiatan</w:t>
            </w:r>
          </w:p>
          <w:p w14:paraId="47594E11" w14:textId="2960E439" w:rsidR="00856249" w:rsidRPr="003E3747" w:rsidRDefault="00856249" w:rsidP="00A05649">
            <w:pPr>
              <w:ind w:left="34"/>
              <w:jc w:val="center"/>
              <w:rPr>
                <w:rFonts w:cstheme="minorHAnsi"/>
              </w:rPr>
            </w:pPr>
          </w:p>
        </w:tc>
        <w:tc>
          <w:tcPr>
            <w:tcW w:w="1842" w:type="dxa"/>
          </w:tcPr>
          <w:p w14:paraId="4814CE39" w14:textId="77777777" w:rsidR="00856249" w:rsidRPr="003E3747" w:rsidRDefault="00856249" w:rsidP="00A05649">
            <w:pPr>
              <w:ind w:left="-20"/>
              <w:jc w:val="center"/>
              <w:rPr>
                <w:rFonts w:eastAsia="Lato" w:cstheme="minorHAnsi"/>
              </w:rPr>
            </w:pPr>
          </w:p>
        </w:tc>
        <w:tc>
          <w:tcPr>
            <w:tcW w:w="4988" w:type="dxa"/>
            <w:vAlign w:val="center"/>
          </w:tcPr>
          <w:p w14:paraId="5A6A76F9" w14:textId="77777777" w:rsidR="00856249" w:rsidRPr="003E3747" w:rsidRDefault="00856249" w:rsidP="00856249">
            <w:pPr>
              <w:pStyle w:val="Bezodstpw"/>
              <w:jc w:val="both"/>
              <w:rPr>
                <w:rFonts w:cstheme="minorHAnsi"/>
              </w:rPr>
            </w:pPr>
            <w:r w:rsidRPr="003E3747">
              <w:rPr>
                <w:rFonts w:cstheme="minorHAnsi"/>
              </w:rPr>
              <w:t>Relacja z przepisami dotyczącymi CFC</w:t>
            </w:r>
          </w:p>
          <w:p w14:paraId="41630A3F" w14:textId="77777777" w:rsidR="00856249" w:rsidRPr="003E3747" w:rsidRDefault="00856249" w:rsidP="00856249">
            <w:pPr>
              <w:pStyle w:val="Bezodstpw"/>
              <w:jc w:val="both"/>
              <w:rPr>
                <w:rFonts w:cstheme="minorHAnsi"/>
              </w:rPr>
            </w:pPr>
          </w:p>
          <w:p w14:paraId="2990EDB4" w14:textId="2F76E2D5" w:rsidR="00856249" w:rsidRPr="003E3747" w:rsidRDefault="00856249" w:rsidP="00856249">
            <w:pPr>
              <w:pStyle w:val="Bezodstpw"/>
              <w:jc w:val="both"/>
              <w:rPr>
                <w:rFonts w:cstheme="minorHAnsi"/>
              </w:rPr>
            </w:pPr>
            <w:r w:rsidRPr="003E3747">
              <w:rPr>
                <w:rFonts w:cstheme="minorHAnsi"/>
              </w:rPr>
              <w:t xml:space="preserve">Projekt przewiduje podwyższenie stawki CIT określonej w art. 19 ust. 1 pkt 1 ustawy o CIT do 30% (i odpowiednio 26% / 23% w kolejnych latach). Zmiana ta może prowadzić do niezamierzonego rozszerzenia zakresu stosowania </w:t>
            </w:r>
            <w:r w:rsidR="3A5CDBEF" w:rsidRPr="003E3747">
              <w:rPr>
                <w:rFonts w:cstheme="minorHAnsi"/>
              </w:rPr>
              <w:t>przepisów</w:t>
            </w:r>
            <w:r w:rsidR="5501984D" w:rsidRPr="003E3747">
              <w:rPr>
                <w:rFonts w:cstheme="minorHAnsi"/>
              </w:rPr>
              <w:t xml:space="preserve"> </w:t>
            </w:r>
            <w:r w:rsidR="3A5CDBEF" w:rsidRPr="003E3747">
              <w:rPr>
                <w:rFonts w:cstheme="minorHAnsi"/>
              </w:rPr>
              <w:t>o</w:t>
            </w:r>
            <w:r w:rsidRPr="003E3747">
              <w:rPr>
                <w:rFonts w:cstheme="minorHAnsi"/>
              </w:rPr>
              <w:t xml:space="preserve"> zagranicznych jednostkach kontrolowanych (CFC), ponieważ regulacje art. 24a ustawy o CIT przy ocenie spełnienia przesłanki niskiego opodatkowania odwołują się do poziomu opodatkowania wskazanego w art. 19 ust. 1 pkt 1 </w:t>
            </w:r>
            <w:r w:rsidRPr="003E3747">
              <w:rPr>
                <w:rFonts w:cstheme="minorHAnsi"/>
                <w:i/>
                <w:iCs/>
              </w:rPr>
              <w:t xml:space="preserve">(„faktycznie zapłacony podatek dochodowy przez tę jednostkę jest niższy o co najmniej 25 % od podatku dochodowego od osób prawnych, który byłby </w:t>
            </w:r>
            <w:r w:rsidRPr="003E3747">
              <w:rPr>
                <w:rFonts w:cstheme="minorHAnsi"/>
                <w:i/>
                <w:iCs/>
              </w:rPr>
              <w:lastRenderedPageBreak/>
              <w:t>od niej należny z zastosowaniem stawki podatku, o której mowa w art. 19 ust. 1 pkt 1”).</w:t>
            </w:r>
            <w:r w:rsidRPr="003E3747">
              <w:rPr>
                <w:rFonts w:cstheme="minorHAnsi"/>
              </w:rPr>
              <w:t xml:space="preserve"> </w:t>
            </w:r>
          </w:p>
          <w:p w14:paraId="37FBEA5B" w14:textId="77777777" w:rsidR="00856249" w:rsidRPr="003E3747" w:rsidRDefault="00856249" w:rsidP="00856249">
            <w:pPr>
              <w:pStyle w:val="Bezodstpw"/>
              <w:jc w:val="both"/>
              <w:rPr>
                <w:rFonts w:cstheme="minorHAnsi"/>
              </w:rPr>
            </w:pPr>
            <w:r w:rsidRPr="003E3747">
              <w:rPr>
                <w:rFonts w:cstheme="minorHAnsi"/>
              </w:rPr>
              <w:t>Jednocześnie dochód zagranicznej jednostki kontrolowanej podlega opodatkowaniu w Polsce według stawki 19%. Powoduje to brak spójności systemowej, polegający na tym, że dla celów kwalifikacji podmiotu jako CFC punktem odniesienia byłaby stawka 30% (i odpowiednio 26% / 23% w kolejnych latach), podczas gdy sam dochód CFC pozostawałby opodatkowany według stawki 19%.</w:t>
            </w:r>
          </w:p>
          <w:p w14:paraId="565A8856" w14:textId="77777777" w:rsidR="00856249" w:rsidRPr="003E3747" w:rsidRDefault="00856249" w:rsidP="00856249">
            <w:pPr>
              <w:pStyle w:val="Bezodstpw"/>
              <w:jc w:val="both"/>
              <w:rPr>
                <w:rFonts w:cstheme="minorHAnsi"/>
              </w:rPr>
            </w:pPr>
          </w:p>
          <w:p w14:paraId="6A2D3EEE" w14:textId="77777777" w:rsidR="00856249" w:rsidRPr="003E3747" w:rsidRDefault="00856249" w:rsidP="00856249">
            <w:pPr>
              <w:pStyle w:val="Bezodstpw"/>
              <w:jc w:val="both"/>
              <w:rPr>
                <w:rFonts w:cstheme="minorHAnsi"/>
              </w:rPr>
            </w:pPr>
            <w:r w:rsidRPr="003E3747">
              <w:rPr>
                <w:rFonts w:cstheme="minorHAnsi"/>
              </w:rPr>
              <w:t>W konsekwencji projekt w obecnym kształcie prowadziłby do rozszerzenia zakresu podmiotowego regulacji CFC bez równoczesnej zmiany zasad opodatkowania dochodów tych jednostek. Efekt ten wydaje się wykraczać poza cel projektowanej regulacji, którym nie jest modyfikacja zakresu stosowania przepisów o CFC.</w:t>
            </w:r>
          </w:p>
          <w:p w14:paraId="64D41BAE" w14:textId="77777777" w:rsidR="00856249" w:rsidRPr="003E3747" w:rsidRDefault="00856249" w:rsidP="00856249">
            <w:pPr>
              <w:pStyle w:val="Bezodstpw"/>
              <w:jc w:val="both"/>
              <w:rPr>
                <w:rFonts w:cstheme="minorHAnsi"/>
              </w:rPr>
            </w:pPr>
          </w:p>
          <w:p w14:paraId="613837B2" w14:textId="7D87FA3A" w:rsidR="00856249" w:rsidRPr="003E3747" w:rsidRDefault="00856249" w:rsidP="00856249">
            <w:pPr>
              <w:pStyle w:val="Bezodstpw"/>
              <w:jc w:val="both"/>
              <w:rPr>
                <w:rFonts w:cstheme="minorHAnsi"/>
              </w:rPr>
            </w:pPr>
            <w:r w:rsidRPr="003E3747">
              <w:rPr>
                <w:rFonts w:cstheme="minorHAnsi"/>
              </w:rPr>
              <w:t>W związku z powyższym postulujemy doprecyzowanie, że dla celów stosowania testów przewidzianych w art. 24a ustawy o CIT punktem odniesienia pozostaje stawka 19%, odpowiadająca stawce opodatkowania dochodów CFC w Polsce. Pozwoli to zachować spójność regulacji oraz uniknąć niezamierzonego rozszerzenia zakresu stosowania przepisów o zagranicznych jednostkach kontrolowanych.</w:t>
            </w:r>
          </w:p>
        </w:tc>
        <w:tc>
          <w:tcPr>
            <w:tcW w:w="4155" w:type="dxa"/>
            <w:vAlign w:val="center"/>
          </w:tcPr>
          <w:p w14:paraId="44BDA372" w14:textId="77777777" w:rsidR="00856249" w:rsidRPr="003E3747" w:rsidRDefault="00856249" w:rsidP="00B2598E">
            <w:pPr>
              <w:jc w:val="center"/>
              <w:rPr>
                <w:rFonts w:cstheme="minorHAnsi"/>
              </w:rPr>
            </w:pPr>
          </w:p>
        </w:tc>
        <w:tc>
          <w:tcPr>
            <w:tcW w:w="1900" w:type="dxa"/>
            <w:vAlign w:val="center"/>
          </w:tcPr>
          <w:p w14:paraId="3A3428F4" w14:textId="77777777" w:rsidR="00856249" w:rsidRPr="003E3747" w:rsidRDefault="00856249" w:rsidP="00B2598E">
            <w:pPr>
              <w:jc w:val="center"/>
              <w:rPr>
                <w:rFonts w:cstheme="minorHAnsi"/>
              </w:rPr>
            </w:pPr>
          </w:p>
        </w:tc>
      </w:tr>
      <w:tr w:rsidR="00682670" w:rsidRPr="003E3747" w14:paraId="6E7384E5" w14:textId="77777777" w:rsidTr="00A05649">
        <w:tc>
          <w:tcPr>
            <w:tcW w:w="562" w:type="dxa"/>
          </w:tcPr>
          <w:p w14:paraId="0B6E8A3F" w14:textId="77777777" w:rsidR="00682670" w:rsidRPr="003E3747" w:rsidRDefault="00682670" w:rsidP="00A05649">
            <w:pPr>
              <w:pStyle w:val="Akapitzlist"/>
              <w:numPr>
                <w:ilvl w:val="0"/>
                <w:numId w:val="21"/>
              </w:numPr>
              <w:jc w:val="center"/>
              <w:rPr>
                <w:rFonts w:cstheme="minorHAnsi"/>
              </w:rPr>
            </w:pPr>
          </w:p>
        </w:tc>
        <w:tc>
          <w:tcPr>
            <w:tcW w:w="1560" w:type="dxa"/>
          </w:tcPr>
          <w:p w14:paraId="50DD4FC9" w14:textId="35FADFD8" w:rsidR="00682670" w:rsidRPr="003E3747" w:rsidRDefault="0A1F61BC" w:rsidP="00A05649">
            <w:pPr>
              <w:spacing w:before="120" w:after="120"/>
              <w:ind w:left="34"/>
              <w:jc w:val="center"/>
              <w:rPr>
                <w:rFonts w:cstheme="minorHAnsi"/>
              </w:rPr>
            </w:pPr>
            <w:r w:rsidRPr="003E3747">
              <w:rPr>
                <w:rFonts w:eastAsia="Lato" w:cstheme="minorHAnsi"/>
                <w:color w:val="000000" w:themeColor="text1"/>
              </w:rPr>
              <w:t>Konfederacja Lewiatan</w:t>
            </w:r>
          </w:p>
          <w:p w14:paraId="2ABA4C22" w14:textId="3E278B9B" w:rsidR="00682670" w:rsidRPr="003E3747" w:rsidRDefault="00682670" w:rsidP="00A05649">
            <w:pPr>
              <w:ind w:left="34"/>
              <w:jc w:val="center"/>
              <w:rPr>
                <w:rFonts w:cstheme="minorHAnsi"/>
              </w:rPr>
            </w:pPr>
          </w:p>
        </w:tc>
        <w:tc>
          <w:tcPr>
            <w:tcW w:w="1842" w:type="dxa"/>
          </w:tcPr>
          <w:p w14:paraId="48078580" w14:textId="233D74E9" w:rsidR="00682670" w:rsidRPr="003E3747" w:rsidRDefault="00682670" w:rsidP="00A05649">
            <w:pPr>
              <w:ind w:left="-20"/>
              <w:jc w:val="center"/>
              <w:rPr>
                <w:rFonts w:eastAsia="Lato" w:cstheme="minorHAnsi"/>
              </w:rPr>
            </w:pPr>
            <w:r w:rsidRPr="003E3747">
              <w:rPr>
                <w:rFonts w:eastAsia="Lato" w:cstheme="minorHAnsi"/>
              </w:rPr>
              <w:t>Uwagi redakcyjne</w:t>
            </w:r>
          </w:p>
        </w:tc>
        <w:tc>
          <w:tcPr>
            <w:tcW w:w="4988" w:type="dxa"/>
            <w:vAlign w:val="center"/>
          </w:tcPr>
          <w:p w14:paraId="60BE4338" w14:textId="04171299" w:rsidR="00682670" w:rsidRPr="003E3747" w:rsidRDefault="00682670" w:rsidP="00682670">
            <w:pPr>
              <w:pStyle w:val="Bezodstpw"/>
              <w:jc w:val="both"/>
              <w:rPr>
                <w:rFonts w:cstheme="minorHAnsi"/>
              </w:rPr>
            </w:pPr>
            <w:r w:rsidRPr="003E3747">
              <w:rPr>
                <w:rFonts w:cstheme="minorHAnsi"/>
              </w:rPr>
              <w:t>W projekcie znajduje się kilka – jak się wydaje – błędów legislacyjnych</w:t>
            </w:r>
            <w:r w:rsidR="207974FA" w:rsidRPr="003E3747">
              <w:rPr>
                <w:rFonts w:cstheme="minorHAnsi"/>
              </w:rPr>
              <w:t xml:space="preserve"> w</w:t>
            </w:r>
            <w:r w:rsidR="5223AC2F" w:rsidRPr="003E3747">
              <w:rPr>
                <w:rFonts w:cstheme="minorHAnsi"/>
              </w:rPr>
              <w:t xml:space="preserve"> </w:t>
            </w:r>
            <w:r w:rsidR="207974FA" w:rsidRPr="003E3747">
              <w:rPr>
                <w:rFonts w:cstheme="minorHAnsi"/>
              </w:rPr>
              <w:t>a</w:t>
            </w:r>
            <w:r w:rsidR="207974FA" w:rsidRPr="003E3747">
              <w:rPr>
                <w:rFonts w:eastAsia="Calibri" w:cstheme="minorHAnsi"/>
              </w:rPr>
              <w:t>rt. 38ae</w:t>
            </w:r>
            <w:r w:rsidRPr="003E3747">
              <w:rPr>
                <w:rFonts w:cstheme="minorHAnsi"/>
              </w:rPr>
              <w:t xml:space="preserve"> </w:t>
            </w:r>
            <w:r w:rsidR="49B94879" w:rsidRPr="003E3747">
              <w:rPr>
                <w:rFonts w:cstheme="minorHAnsi"/>
              </w:rPr>
              <w:t>ustawy o CIT.</w:t>
            </w:r>
            <w:r w:rsidRPr="003E3747">
              <w:rPr>
                <w:rFonts w:cstheme="minorHAnsi"/>
              </w:rPr>
              <w:t xml:space="preserve"> W szczególności:</w:t>
            </w:r>
          </w:p>
          <w:p w14:paraId="7E25A943" w14:textId="77777777" w:rsidR="00682670" w:rsidRPr="003E3747" w:rsidRDefault="00682670" w:rsidP="00682670">
            <w:pPr>
              <w:pStyle w:val="Bezodstpw"/>
              <w:jc w:val="both"/>
              <w:rPr>
                <w:rFonts w:cstheme="minorHAnsi"/>
              </w:rPr>
            </w:pPr>
          </w:p>
          <w:p w14:paraId="05DB5B17" w14:textId="77777777" w:rsidR="00682670" w:rsidRPr="003E3747" w:rsidRDefault="00682670" w:rsidP="00682670">
            <w:pPr>
              <w:pStyle w:val="Bezodstpw"/>
              <w:numPr>
                <w:ilvl w:val="0"/>
                <w:numId w:val="19"/>
              </w:numPr>
              <w:ind w:left="426" w:hanging="284"/>
              <w:jc w:val="both"/>
              <w:rPr>
                <w:rFonts w:cstheme="minorHAnsi"/>
              </w:rPr>
            </w:pPr>
            <w:r w:rsidRPr="003E3747">
              <w:rPr>
                <w:rFonts w:cstheme="minorHAnsi"/>
              </w:rPr>
              <w:lastRenderedPageBreak/>
              <w:t xml:space="preserve">w ust. 2 pkt 1 lit. c zawarto zapis: „(…) </w:t>
            </w:r>
            <w:r w:rsidRPr="003E3747">
              <w:rPr>
                <w:rFonts w:cstheme="minorHAnsi"/>
                <w:i/>
                <w:iCs/>
              </w:rPr>
              <w:t>obrotu paliwami gazowymi lub paliwami ciekłymi</w:t>
            </w:r>
            <w:r w:rsidRPr="003E3747">
              <w:rPr>
                <w:rFonts w:cstheme="minorHAnsi"/>
              </w:rPr>
              <w:t xml:space="preserve"> (…), </w:t>
            </w:r>
            <w:r w:rsidRPr="003E3747">
              <w:rPr>
                <w:rFonts w:cstheme="minorHAnsi"/>
                <w:i/>
              </w:rPr>
              <w:t>w tym</w:t>
            </w:r>
            <w:r w:rsidRPr="003E3747">
              <w:rPr>
                <w:rFonts w:cstheme="minorHAnsi"/>
                <w:i/>
                <w:iCs/>
              </w:rPr>
              <w:t xml:space="preserve"> obrotu ropą naftową</w:t>
            </w:r>
            <w:r w:rsidRPr="003E3747">
              <w:rPr>
                <w:rFonts w:cstheme="minorHAnsi"/>
              </w:rPr>
              <w:t xml:space="preserve">”. W </w:t>
            </w:r>
            <w:proofErr w:type="gramStart"/>
            <w:r w:rsidRPr="003E3747">
              <w:rPr>
                <w:rFonts w:cstheme="minorHAnsi"/>
              </w:rPr>
              <w:t>sytuacji</w:t>
            </w:r>
            <w:proofErr w:type="gramEnd"/>
            <w:r w:rsidRPr="003E3747">
              <w:rPr>
                <w:rFonts w:cstheme="minorHAnsi"/>
              </w:rPr>
              <w:t xml:space="preserve"> gdy ropa naftowa według żadnej z definicji (ani z </w:t>
            </w:r>
            <w:proofErr w:type="spellStart"/>
            <w:r w:rsidRPr="003E3747">
              <w:rPr>
                <w:rFonts w:cstheme="minorHAnsi"/>
              </w:rPr>
              <w:t>u.s.m.k.j.p</w:t>
            </w:r>
            <w:proofErr w:type="spellEnd"/>
            <w:r w:rsidRPr="003E3747">
              <w:rPr>
                <w:rFonts w:cstheme="minorHAnsi"/>
              </w:rPr>
              <w:t xml:space="preserve">., ani z </w:t>
            </w:r>
            <w:proofErr w:type="spellStart"/>
            <w:r w:rsidRPr="003E3747">
              <w:rPr>
                <w:rFonts w:cstheme="minorHAnsi"/>
              </w:rPr>
              <w:t>u.p.e</w:t>
            </w:r>
            <w:proofErr w:type="spellEnd"/>
            <w:r w:rsidRPr="003E3747">
              <w:rPr>
                <w:rFonts w:cstheme="minorHAnsi"/>
              </w:rPr>
              <w:t xml:space="preserve">.) nie jest paliwem ciekłym, zapis ten powinien raczej brzmieć: „(…) </w:t>
            </w:r>
            <w:r w:rsidRPr="003E3747">
              <w:rPr>
                <w:rFonts w:cstheme="minorHAnsi"/>
                <w:i/>
                <w:iCs/>
              </w:rPr>
              <w:t>obrotu paliwami gazowymi lub paliwami ciekłymi</w:t>
            </w:r>
            <w:r w:rsidRPr="003E3747">
              <w:rPr>
                <w:rFonts w:cstheme="minorHAnsi"/>
              </w:rPr>
              <w:t xml:space="preserve"> (…) </w:t>
            </w:r>
            <w:r w:rsidRPr="003E3747">
              <w:rPr>
                <w:rFonts w:cstheme="minorHAnsi"/>
                <w:i/>
              </w:rPr>
              <w:t>lub</w:t>
            </w:r>
            <w:r w:rsidRPr="003E3747">
              <w:rPr>
                <w:rFonts w:cstheme="minorHAnsi"/>
                <w:i/>
                <w:iCs/>
              </w:rPr>
              <w:t xml:space="preserve"> obrotu ropą naftową</w:t>
            </w:r>
            <w:r w:rsidRPr="003E3747">
              <w:rPr>
                <w:rFonts w:cstheme="minorHAnsi"/>
              </w:rPr>
              <w:t>”,</w:t>
            </w:r>
          </w:p>
          <w:p w14:paraId="4B423CA0" w14:textId="77777777" w:rsidR="00682670" w:rsidRPr="003E3747" w:rsidRDefault="00682670" w:rsidP="00682670">
            <w:pPr>
              <w:pStyle w:val="Bezodstpw"/>
              <w:ind w:left="426"/>
              <w:jc w:val="both"/>
              <w:rPr>
                <w:rFonts w:cstheme="minorHAnsi"/>
              </w:rPr>
            </w:pPr>
            <w:r w:rsidRPr="003E3747">
              <w:rPr>
                <w:rFonts w:cstheme="minorHAnsi"/>
              </w:rPr>
              <w:t xml:space="preserve">    </w:t>
            </w:r>
          </w:p>
          <w:p w14:paraId="471C939A" w14:textId="77777777" w:rsidR="00682670" w:rsidRPr="003E3747" w:rsidRDefault="00682670" w:rsidP="00682670">
            <w:pPr>
              <w:pStyle w:val="Bezodstpw"/>
              <w:numPr>
                <w:ilvl w:val="0"/>
                <w:numId w:val="19"/>
              </w:numPr>
              <w:ind w:left="426" w:hanging="284"/>
              <w:jc w:val="both"/>
              <w:rPr>
                <w:rFonts w:cstheme="minorHAnsi"/>
              </w:rPr>
            </w:pPr>
            <w:r w:rsidRPr="003E3747">
              <w:rPr>
                <w:rFonts w:cstheme="minorHAnsi"/>
              </w:rPr>
              <w:t>w ust. 3 pkt 1 po słowie „podatników” powinno znaleźć się następujące doprecyzowanie: „</w:t>
            </w:r>
            <w:r w:rsidRPr="003E3747">
              <w:rPr>
                <w:rFonts w:cstheme="minorHAnsi"/>
                <w:i/>
                <w:iCs/>
              </w:rPr>
              <w:t xml:space="preserve">spełniających warunki określone w ust. 2 pkt 1-3”, </w:t>
            </w:r>
            <w:r w:rsidRPr="003E3747">
              <w:rPr>
                <w:rFonts w:cstheme="minorHAnsi"/>
              </w:rPr>
              <w:t>czyli dopisek analogiczny do tego w pkt 2 tego ustępu; bez tego literalnie czytając ten punkt, można by uznać (całkowicie wbrew uzasadnieniu projektu, w którym jasno wskazano: „</w:t>
            </w:r>
            <w:r w:rsidRPr="003E3747">
              <w:rPr>
                <w:rFonts w:cstheme="minorHAnsi"/>
                <w:i/>
                <w:iCs/>
              </w:rPr>
              <w:t>regulacja obejmie największe podmioty</w:t>
            </w:r>
            <w:r w:rsidRPr="003E3747">
              <w:rPr>
                <w:rFonts w:cstheme="minorHAnsi"/>
              </w:rPr>
              <w:t xml:space="preserve">”), że podatek może objąć nawet małych przedsiębiorców, jeżeli tylko ich przychody np. z handlu paliwami będą zawierać się między 33% a 75% w stosunku do ogółu przychodów; za dodaniem tego doprecyzowania przemawia też reguła wykładni systemowej wewnętrznej – skoro jest ono w pkt 2 tego ustępu, to jego brak w pkt 1 musiałby przesądzać, że podmioty tam wskazane warunków określonych w ust. 2 pkt 1-3 spełniać nie muszą, </w:t>
            </w:r>
          </w:p>
          <w:p w14:paraId="2E574DBE" w14:textId="77777777" w:rsidR="00682670" w:rsidRPr="003E3747" w:rsidRDefault="00682670" w:rsidP="00682670">
            <w:pPr>
              <w:pStyle w:val="Bezodstpw"/>
              <w:jc w:val="both"/>
              <w:rPr>
                <w:rFonts w:cstheme="minorHAnsi"/>
              </w:rPr>
            </w:pPr>
            <w:r w:rsidRPr="003E3747">
              <w:rPr>
                <w:rFonts w:cstheme="minorHAnsi"/>
              </w:rPr>
              <w:t xml:space="preserve"> </w:t>
            </w:r>
          </w:p>
          <w:p w14:paraId="664E40D9" w14:textId="77777777" w:rsidR="00682670" w:rsidRPr="003E3747" w:rsidRDefault="00682670" w:rsidP="00682670">
            <w:pPr>
              <w:pStyle w:val="Bezodstpw"/>
              <w:numPr>
                <w:ilvl w:val="0"/>
                <w:numId w:val="19"/>
              </w:numPr>
              <w:ind w:left="426" w:hanging="284"/>
              <w:jc w:val="both"/>
              <w:rPr>
                <w:rFonts w:cstheme="minorHAnsi"/>
              </w:rPr>
            </w:pPr>
            <w:r w:rsidRPr="003E3747">
              <w:rPr>
                <w:rFonts w:cstheme="minorHAnsi"/>
              </w:rPr>
              <w:t>w ust. 4 pkt 1 lit. b projektodawca posługuje się pojęciem „</w:t>
            </w:r>
            <w:r w:rsidRPr="003E3747">
              <w:rPr>
                <w:rFonts w:cstheme="minorHAnsi"/>
                <w:i/>
                <w:iCs/>
              </w:rPr>
              <w:t>w tym samym roku podatkowym</w:t>
            </w:r>
            <w:r w:rsidRPr="003E3747">
              <w:rPr>
                <w:rFonts w:cstheme="minorHAnsi"/>
              </w:rPr>
              <w:t>”, podczas gdy zgodnie z uzasadnieniem projektu chodzi mu niewątpliwie o rok poprzedni („</w:t>
            </w:r>
            <w:r w:rsidRPr="003E3747">
              <w:rPr>
                <w:rFonts w:cstheme="minorHAnsi"/>
                <w:i/>
                <w:iCs/>
              </w:rPr>
              <w:t xml:space="preserve">proporcję tą ustala się na podstawie udziału </w:t>
            </w:r>
            <w:r w:rsidRPr="003E3747">
              <w:rPr>
                <w:rFonts w:cstheme="minorHAnsi"/>
                <w:i/>
                <w:iCs/>
              </w:rPr>
              <w:lastRenderedPageBreak/>
              <w:t>przychodów z poprzedniego roku podatkowego</w:t>
            </w:r>
            <w:r w:rsidRPr="003E3747">
              <w:rPr>
                <w:rFonts w:cstheme="minorHAnsi"/>
              </w:rPr>
              <w:t>”); by przepis odpowiadał intencjom z uzasadnienia, powinno się w lit. b zmienić to określenie na „</w:t>
            </w:r>
            <w:r w:rsidRPr="003E3747">
              <w:rPr>
                <w:rFonts w:cstheme="minorHAnsi"/>
                <w:i/>
                <w:iCs/>
              </w:rPr>
              <w:t xml:space="preserve">w </w:t>
            </w:r>
            <w:r w:rsidRPr="003E3747">
              <w:rPr>
                <w:rFonts w:cstheme="minorHAnsi"/>
                <w:i/>
              </w:rPr>
              <w:t>poprzednim</w:t>
            </w:r>
            <w:r w:rsidRPr="003E3747">
              <w:rPr>
                <w:rFonts w:cstheme="minorHAnsi"/>
                <w:i/>
                <w:iCs/>
              </w:rPr>
              <w:t xml:space="preserve"> roku podatkowym</w:t>
            </w:r>
            <w:r w:rsidRPr="003E3747">
              <w:rPr>
                <w:rFonts w:cstheme="minorHAnsi"/>
              </w:rPr>
              <w:t>”,</w:t>
            </w:r>
          </w:p>
          <w:p w14:paraId="631AA1F7" w14:textId="77777777" w:rsidR="00682670" w:rsidRPr="003E3747" w:rsidRDefault="00682670" w:rsidP="00682670">
            <w:pPr>
              <w:pStyle w:val="Bezodstpw"/>
              <w:jc w:val="both"/>
              <w:rPr>
                <w:rFonts w:cstheme="minorHAnsi"/>
              </w:rPr>
            </w:pPr>
            <w:r w:rsidRPr="003E3747">
              <w:rPr>
                <w:rFonts w:cstheme="minorHAnsi"/>
              </w:rPr>
              <w:t xml:space="preserve"> </w:t>
            </w:r>
          </w:p>
          <w:p w14:paraId="0FC47878" w14:textId="77777777" w:rsidR="00682670" w:rsidRPr="003E3747" w:rsidRDefault="00682670" w:rsidP="00682670">
            <w:pPr>
              <w:pStyle w:val="Bezodstpw"/>
              <w:numPr>
                <w:ilvl w:val="0"/>
                <w:numId w:val="19"/>
              </w:numPr>
              <w:ind w:left="426" w:hanging="284"/>
              <w:jc w:val="both"/>
              <w:rPr>
                <w:rFonts w:cstheme="minorHAnsi"/>
              </w:rPr>
            </w:pPr>
            <w:r w:rsidRPr="003E3747">
              <w:rPr>
                <w:rFonts w:cstheme="minorHAnsi"/>
              </w:rPr>
              <w:t>wydaje się, że we wzorze w ust. 7 jest omyłka – za nawiasem powinno być „</w:t>
            </w:r>
            <w:r w:rsidRPr="003E3747">
              <w:rPr>
                <w:rFonts w:cstheme="minorHAnsi"/>
                <w:i/>
                <w:iCs/>
              </w:rPr>
              <w:t xml:space="preserve">x 100 </w:t>
            </w:r>
            <w:r w:rsidRPr="003E3747">
              <w:rPr>
                <w:rFonts w:cstheme="minorHAnsi"/>
                <w:i/>
              </w:rPr>
              <w:t>%</w:t>
            </w:r>
            <w:r w:rsidRPr="003E3747">
              <w:rPr>
                <w:rFonts w:cstheme="minorHAnsi"/>
              </w:rPr>
              <w:t>” a nie samo „</w:t>
            </w:r>
            <w:r w:rsidRPr="003E3747">
              <w:rPr>
                <w:rFonts w:cstheme="minorHAnsi"/>
                <w:i/>
                <w:iCs/>
              </w:rPr>
              <w:t>x 100</w:t>
            </w:r>
            <w:r w:rsidRPr="003E3747">
              <w:rPr>
                <w:rFonts w:cstheme="minorHAnsi"/>
              </w:rPr>
              <w:t>”, bo wynikiem nawiasu będzie co do zasady liczba z przedziału między 0 a 1, a wskaźnik będący rezultatem podstawienia do wzoru powinien być w % (jak wskaźniki w ust. 6),</w:t>
            </w:r>
          </w:p>
          <w:p w14:paraId="7F4E511B" w14:textId="77777777" w:rsidR="00682670" w:rsidRPr="003E3747" w:rsidRDefault="00682670" w:rsidP="00682670">
            <w:pPr>
              <w:pStyle w:val="Bezodstpw"/>
              <w:jc w:val="both"/>
              <w:rPr>
                <w:rFonts w:cstheme="minorHAnsi"/>
              </w:rPr>
            </w:pPr>
          </w:p>
          <w:p w14:paraId="63994E79" w14:textId="6DB88ECC" w:rsidR="00682670" w:rsidRPr="003E3747" w:rsidRDefault="00682670" w:rsidP="00856249">
            <w:pPr>
              <w:pStyle w:val="Bezodstpw"/>
              <w:numPr>
                <w:ilvl w:val="0"/>
                <w:numId w:val="19"/>
              </w:numPr>
              <w:ind w:left="426" w:hanging="284"/>
              <w:jc w:val="both"/>
              <w:rPr>
                <w:rFonts w:cstheme="minorHAnsi"/>
              </w:rPr>
            </w:pPr>
            <w:r w:rsidRPr="003E3747">
              <w:rPr>
                <w:rFonts w:cstheme="minorHAnsi"/>
              </w:rPr>
              <w:t>pewne pomyłki zawiera również uzasadnienie, np. wskazując, że „</w:t>
            </w:r>
            <w:r w:rsidRPr="003E3747">
              <w:rPr>
                <w:rFonts w:cstheme="minorHAnsi"/>
                <w:i/>
                <w:iCs/>
              </w:rPr>
              <w:t>Projektowany art. 38ae ust. 3 stanowi uzupełnienie zasad określonych w art. 38ae ust. 2 i ma na celu objęcie regulacją również tych podatników, u których wskaźnik określony w art. 38ae ust. 2 pkt 4 wynosi mniej niż 75%, lecz nie więcej niż 33% (próg istotności)</w:t>
            </w:r>
            <w:r w:rsidRPr="003E3747">
              <w:rPr>
                <w:rFonts w:cstheme="minorHAnsi"/>
              </w:rPr>
              <w:t>” – winno być „nie mniej niż 33%”.</w:t>
            </w:r>
          </w:p>
        </w:tc>
        <w:tc>
          <w:tcPr>
            <w:tcW w:w="4155" w:type="dxa"/>
            <w:vAlign w:val="center"/>
          </w:tcPr>
          <w:p w14:paraId="0B646308" w14:textId="77777777" w:rsidR="00682670" w:rsidRPr="003E3747" w:rsidRDefault="00682670" w:rsidP="00B2598E">
            <w:pPr>
              <w:jc w:val="center"/>
              <w:rPr>
                <w:rFonts w:cstheme="minorHAnsi"/>
              </w:rPr>
            </w:pPr>
          </w:p>
        </w:tc>
        <w:tc>
          <w:tcPr>
            <w:tcW w:w="1900" w:type="dxa"/>
            <w:vAlign w:val="center"/>
          </w:tcPr>
          <w:p w14:paraId="2537F30A" w14:textId="77777777" w:rsidR="00682670" w:rsidRPr="003E3747" w:rsidRDefault="00682670" w:rsidP="00B2598E">
            <w:pPr>
              <w:jc w:val="center"/>
              <w:rPr>
                <w:rFonts w:cstheme="minorHAnsi"/>
              </w:rPr>
            </w:pPr>
          </w:p>
        </w:tc>
      </w:tr>
      <w:tr w:rsidR="24D3862F" w:rsidRPr="003E3747" w14:paraId="7EE49326" w14:textId="77777777" w:rsidTr="00A05649">
        <w:trPr>
          <w:trHeight w:val="300"/>
        </w:trPr>
        <w:tc>
          <w:tcPr>
            <w:tcW w:w="562" w:type="dxa"/>
          </w:tcPr>
          <w:p w14:paraId="20EE110A" w14:textId="14A4F5DF" w:rsidR="24D3862F" w:rsidRPr="003E3747" w:rsidRDefault="24D3862F" w:rsidP="00A05649">
            <w:pPr>
              <w:pStyle w:val="Akapitzlist"/>
              <w:numPr>
                <w:ilvl w:val="0"/>
                <w:numId w:val="21"/>
              </w:numPr>
              <w:jc w:val="center"/>
              <w:rPr>
                <w:rFonts w:cstheme="minorHAnsi"/>
              </w:rPr>
            </w:pPr>
          </w:p>
        </w:tc>
        <w:tc>
          <w:tcPr>
            <w:tcW w:w="1560" w:type="dxa"/>
          </w:tcPr>
          <w:p w14:paraId="4CB02647" w14:textId="70212FFB" w:rsidR="24D3862F" w:rsidRPr="003E3747" w:rsidRDefault="00782826" w:rsidP="00A05649">
            <w:pPr>
              <w:ind w:left="34"/>
              <w:jc w:val="center"/>
              <w:rPr>
                <w:rFonts w:cstheme="minorHAnsi"/>
              </w:rPr>
            </w:pPr>
            <w:r w:rsidRPr="003E3747">
              <w:rPr>
                <w:rFonts w:ascii="Calibri" w:eastAsia="Lato" w:hAnsi="Calibri" w:cs="Calibri"/>
                <w:color w:val="000000" w:themeColor="text1"/>
              </w:rPr>
              <w:t>Konfederacja Lewiatan</w:t>
            </w:r>
          </w:p>
        </w:tc>
        <w:tc>
          <w:tcPr>
            <w:tcW w:w="1842" w:type="dxa"/>
          </w:tcPr>
          <w:p w14:paraId="3AF477BF" w14:textId="00EEFC58" w:rsidR="24D3862F" w:rsidRPr="003E3747" w:rsidRDefault="24D3862F" w:rsidP="00A05649">
            <w:pPr>
              <w:spacing w:after="0" w:line="276" w:lineRule="auto"/>
              <w:ind w:left="-20"/>
              <w:jc w:val="center"/>
              <w:rPr>
                <w:rFonts w:cstheme="minorHAnsi"/>
              </w:rPr>
            </w:pPr>
            <w:r w:rsidRPr="003E3747">
              <w:rPr>
                <w:rFonts w:eastAsia="Calibri" w:cstheme="minorHAnsi"/>
                <w:b/>
                <w:bCs/>
                <w:color w:val="000000" w:themeColor="text1"/>
              </w:rPr>
              <w:t>Załącznik do ustawy</w:t>
            </w:r>
            <w:r w:rsidRPr="003E3747">
              <w:rPr>
                <w:rFonts w:eastAsia="Calibri" w:cstheme="minorHAnsi"/>
                <w:color w:val="000000" w:themeColor="text1"/>
              </w:rPr>
              <w:t xml:space="preserve"> w zw. z art. 7 ust. 1 pkt 1</w:t>
            </w:r>
          </w:p>
        </w:tc>
        <w:tc>
          <w:tcPr>
            <w:tcW w:w="4988" w:type="dxa"/>
            <w:vAlign w:val="center"/>
          </w:tcPr>
          <w:p w14:paraId="44612645" w14:textId="19277331" w:rsidR="24D3862F" w:rsidRPr="003E3747" w:rsidRDefault="24D3862F" w:rsidP="24D3862F">
            <w:pPr>
              <w:spacing w:after="0" w:line="276" w:lineRule="auto"/>
              <w:jc w:val="both"/>
              <w:rPr>
                <w:rFonts w:cstheme="minorHAnsi"/>
              </w:rPr>
            </w:pPr>
            <w:r w:rsidRPr="003E3747">
              <w:rPr>
                <w:rFonts w:eastAsia="Calibri" w:cstheme="minorHAnsi"/>
                <w:b/>
                <w:bCs/>
                <w:color w:val="000000" w:themeColor="text1"/>
              </w:rPr>
              <w:t>Postulat: objęcie wsparciem wytwórców produktów leczniczych gotowych.</w:t>
            </w:r>
            <w:r w:rsidRPr="003E3747">
              <w:rPr>
                <w:rFonts w:eastAsia="Calibri" w:cstheme="minorHAnsi"/>
                <w:color w:val="000000" w:themeColor="text1"/>
              </w:rPr>
              <w:t xml:space="preserve"> Załącznik obejmuje klasę PKD 2025 21.10 – </w:t>
            </w:r>
            <w:r w:rsidRPr="003E3747">
              <w:rPr>
                <w:rFonts w:eastAsia="Calibri" w:cstheme="minorHAnsi"/>
                <w:i/>
                <w:iCs/>
                <w:color w:val="000000" w:themeColor="text1"/>
              </w:rPr>
              <w:t>„Produkcja podstawowych substancji farmaceutycznych”</w:t>
            </w:r>
            <w:r w:rsidRPr="003E3747">
              <w:rPr>
                <w:rFonts w:eastAsia="Calibri" w:cstheme="minorHAnsi"/>
                <w:color w:val="000000" w:themeColor="text1"/>
              </w:rPr>
              <w:t xml:space="preserve">, ale pomija klasę 21.20 – </w:t>
            </w:r>
            <w:r w:rsidRPr="003E3747">
              <w:rPr>
                <w:rFonts w:eastAsia="Calibri" w:cstheme="minorHAnsi"/>
                <w:i/>
                <w:iCs/>
                <w:color w:val="000000" w:themeColor="text1"/>
              </w:rPr>
              <w:t>„Produkcja leków i pozostałych wyrobów farmaceutycznych”</w:t>
            </w:r>
            <w:r w:rsidRPr="003E3747">
              <w:rPr>
                <w:rFonts w:eastAsia="Calibri" w:cstheme="minorHAnsi"/>
                <w:color w:val="000000" w:themeColor="text1"/>
              </w:rPr>
              <w:t xml:space="preserve">. </w:t>
            </w:r>
          </w:p>
          <w:p w14:paraId="1F1CEB40" w14:textId="4574D02C" w:rsidR="24D3862F" w:rsidRPr="003E3747" w:rsidRDefault="24D3862F" w:rsidP="24D3862F">
            <w:pPr>
              <w:spacing w:after="0" w:line="276" w:lineRule="auto"/>
              <w:jc w:val="both"/>
              <w:rPr>
                <w:rFonts w:cstheme="minorHAnsi"/>
              </w:rPr>
            </w:pPr>
            <w:r w:rsidRPr="003E3747">
              <w:rPr>
                <w:rFonts w:eastAsia="Calibri" w:cstheme="minorHAnsi"/>
                <w:color w:val="000000" w:themeColor="text1"/>
              </w:rPr>
              <w:t xml:space="preserve"> </w:t>
            </w:r>
          </w:p>
          <w:p w14:paraId="6A4FFDED" w14:textId="7DAE0649" w:rsidR="24D3862F" w:rsidRPr="003E3747" w:rsidRDefault="24D3862F" w:rsidP="24D3862F">
            <w:pPr>
              <w:spacing w:after="0" w:line="276" w:lineRule="auto"/>
              <w:jc w:val="both"/>
              <w:rPr>
                <w:rFonts w:cstheme="minorHAnsi"/>
              </w:rPr>
            </w:pPr>
            <w:r w:rsidRPr="003E3747">
              <w:rPr>
                <w:rFonts w:eastAsia="Calibri" w:cstheme="minorHAnsi"/>
                <w:color w:val="000000" w:themeColor="text1"/>
              </w:rPr>
              <w:t xml:space="preserve">Oznacza to objęcie wsparciem jednego etapu łańcucha farmaceutycznego – wytwarzania substancji czynnych – przy równoczesnym wyłączeniu </w:t>
            </w:r>
            <w:r w:rsidRPr="003E3747">
              <w:rPr>
                <w:rFonts w:eastAsia="Calibri" w:cstheme="minorHAnsi"/>
                <w:color w:val="000000" w:themeColor="text1"/>
              </w:rPr>
              <w:lastRenderedPageBreak/>
              <w:t>bezpośrednio powiązanego etapu wytwarzania leków gotowych. Różnicowanie to nie odpowiada celowi Projektu, którym jest wsparcie energochłonnej działalności przemysłowej narażonej na wysokie koszty energii elektrycznej i ryzyko utraty konkurencyjności. Procesy wytwarzania produktów leczniczych wymagają utrzymania parametrów kontrolowanego środowiska, działania instalacji HVAC, chłodzenia, uzdatniania wody, sprężonego powietrza, automatyki i laboratoriów kontroli jakości. Koszt energii jest zatem trwałym kosztem zgodności procesu z wymaganiami jakościowymi, a jego redukcja bez inwestycji może naruszać ciągłość i bezpieczeństwo produkcji. Dodanie klasy 21.20 nie zmienia limitów wsparcia ani warunków pomocy wynikających z Projektu, a usuwa jedynie lukę w zakresie podmiotowym instrumentu.</w:t>
            </w:r>
          </w:p>
        </w:tc>
        <w:tc>
          <w:tcPr>
            <w:tcW w:w="4155" w:type="dxa"/>
            <w:vAlign w:val="center"/>
          </w:tcPr>
          <w:p w14:paraId="19939F0E" w14:textId="41F052D6" w:rsidR="24D3862F" w:rsidRPr="003E3747" w:rsidRDefault="24D3862F" w:rsidP="24D3862F">
            <w:pPr>
              <w:spacing w:after="0" w:line="276" w:lineRule="auto"/>
              <w:jc w:val="both"/>
              <w:rPr>
                <w:rFonts w:cstheme="minorHAnsi"/>
              </w:rPr>
            </w:pPr>
            <w:r w:rsidRPr="003E3747">
              <w:rPr>
                <w:rFonts w:eastAsia="Calibri" w:cstheme="minorHAnsi"/>
                <w:b/>
                <w:bCs/>
                <w:i/>
                <w:iCs/>
                <w:color w:val="000000" w:themeColor="text1"/>
              </w:rPr>
              <w:lastRenderedPageBreak/>
              <w:t>W załączniku do ustawy, po pozycji 48 dodaje się pozycję 48a w brzmieniu:</w:t>
            </w:r>
            <w:r w:rsidRPr="003E3747">
              <w:rPr>
                <w:rFonts w:eastAsia="Calibri" w:cstheme="minorHAnsi"/>
                <w:i/>
                <w:iCs/>
                <w:color w:val="000000" w:themeColor="text1"/>
              </w:rPr>
              <w:t xml:space="preserve"> </w:t>
            </w:r>
          </w:p>
          <w:p w14:paraId="63B0E571" w14:textId="362050D9" w:rsidR="24D3862F" w:rsidRPr="003E3747" w:rsidRDefault="24D3862F" w:rsidP="24D3862F">
            <w:pPr>
              <w:spacing w:after="0" w:line="276" w:lineRule="auto"/>
              <w:jc w:val="both"/>
              <w:rPr>
                <w:rFonts w:cstheme="minorHAnsi"/>
              </w:rPr>
            </w:pPr>
            <w:r w:rsidRPr="003E3747">
              <w:rPr>
                <w:rFonts w:eastAsia="Calibri" w:cstheme="minorHAnsi"/>
                <w:i/>
                <w:iCs/>
                <w:color w:val="000000" w:themeColor="text1"/>
              </w:rPr>
              <w:t xml:space="preserve"> </w:t>
            </w:r>
          </w:p>
          <w:p w14:paraId="01CB0665" w14:textId="065BD586" w:rsidR="24D3862F" w:rsidRPr="003E3747" w:rsidRDefault="24D3862F" w:rsidP="24D3862F">
            <w:pPr>
              <w:spacing w:after="0" w:line="276" w:lineRule="auto"/>
              <w:jc w:val="both"/>
              <w:rPr>
                <w:rFonts w:cstheme="minorHAnsi"/>
              </w:rPr>
            </w:pPr>
            <w:r w:rsidRPr="003E3747">
              <w:rPr>
                <w:rFonts w:eastAsia="Calibri" w:cstheme="minorHAnsi"/>
                <w:i/>
                <w:iCs/>
                <w:color w:val="000000" w:themeColor="text1"/>
              </w:rPr>
              <w:t>„48a. 21.20 – Produkcja leków i pozostałych wyrobów farmaceutycznych.”</w:t>
            </w:r>
          </w:p>
        </w:tc>
        <w:tc>
          <w:tcPr>
            <w:tcW w:w="1900" w:type="dxa"/>
            <w:vAlign w:val="center"/>
          </w:tcPr>
          <w:p w14:paraId="6FB66FB4" w14:textId="58C6F973" w:rsidR="24D3862F" w:rsidRPr="003E3747" w:rsidRDefault="24D3862F" w:rsidP="24D3862F">
            <w:pPr>
              <w:jc w:val="center"/>
              <w:rPr>
                <w:rFonts w:cstheme="minorHAnsi"/>
              </w:rPr>
            </w:pPr>
          </w:p>
        </w:tc>
      </w:tr>
      <w:tr w:rsidR="24D3862F" w:rsidRPr="003E3747" w14:paraId="668FB609" w14:textId="77777777" w:rsidTr="00A05649">
        <w:trPr>
          <w:trHeight w:val="300"/>
        </w:trPr>
        <w:tc>
          <w:tcPr>
            <w:tcW w:w="562" w:type="dxa"/>
          </w:tcPr>
          <w:p w14:paraId="7E32CAD0" w14:textId="12679FC9" w:rsidR="24D3862F" w:rsidRPr="003E3747" w:rsidRDefault="24D3862F" w:rsidP="00A05649">
            <w:pPr>
              <w:pStyle w:val="Akapitzlist"/>
              <w:numPr>
                <w:ilvl w:val="0"/>
                <w:numId w:val="21"/>
              </w:numPr>
              <w:jc w:val="center"/>
              <w:rPr>
                <w:rFonts w:cstheme="minorHAnsi"/>
              </w:rPr>
            </w:pPr>
          </w:p>
        </w:tc>
        <w:tc>
          <w:tcPr>
            <w:tcW w:w="1560" w:type="dxa"/>
          </w:tcPr>
          <w:p w14:paraId="7E0A96E4" w14:textId="5245C90E" w:rsidR="24D3862F" w:rsidRPr="003E3747" w:rsidRDefault="006E0E72" w:rsidP="00A05649">
            <w:pPr>
              <w:ind w:left="34"/>
              <w:jc w:val="center"/>
              <w:rPr>
                <w:rFonts w:cstheme="minorHAnsi"/>
              </w:rPr>
            </w:pPr>
            <w:r w:rsidRPr="003E3747">
              <w:rPr>
                <w:rFonts w:ascii="Calibri" w:eastAsia="Lato" w:hAnsi="Calibri" w:cs="Calibri"/>
                <w:color w:val="000000" w:themeColor="text1"/>
              </w:rPr>
              <w:t>Konfederacja Lewiatan</w:t>
            </w:r>
          </w:p>
        </w:tc>
        <w:tc>
          <w:tcPr>
            <w:tcW w:w="1842" w:type="dxa"/>
          </w:tcPr>
          <w:p w14:paraId="71E83929" w14:textId="41A11CFD" w:rsidR="24D3862F" w:rsidRPr="003E3747" w:rsidRDefault="24D3862F" w:rsidP="00A05649">
            <w:pPr>
              <w:spacing w:after="0" w:line="276" w:lineRule="auto"/>
              <w:ind w:left="-20"/>
              <w:jc w:val="center"/>
              <w:rPr>
                <w:rFonts w:cstheme="minorHAnsi"/>
              </w:rPr>
            </w:pPr>
            <w:r w:rsidRPr="003E3747">
              <w:rPr>
                <w:rFonts w:eastAsia="Calibri" w:cstheme="minorHAnsi"/>
                <w:b/>
                <w:bCs/>
                <w:color w:val="000000" w:themeColor="text1"/>
              </w:rPr>
              <w:t>Załącznik do ustawy</w:t>
            </w:r>
            <w:r w:rsidRPr="003E3747">
              <w:rPr>
                <w:rFonts w:eastAsia="Calibri" w:cstheme="minorHAnsi"/>
                <w:color w:val="000000" w:themeColor="text1"/>
              </w:rPr>
              <w:t xml:space="preserve"> w zw. z art. 7 ust. 1 pkt 1</w:t>
            </w:r>
          </w:p>
        </w:tc>
        <w:tc>
          <w:tcPr>
            <w:tcW w:w="4988" w:type="dxa"/>
            <w:vAlign w:val="center"/>
          </w:tcPr>
          <w:p w14:paraId="25721857" w14:textId="4EE73B8B" w:rsidR="24D3862F" w:rsidRPr="003E3747" w:rsidRDefault="24D3862F" w:rsidP="24D3862F">
            <w:pPr>
              <w:spacing w:after="0" w:line="276" w:lineRule="auto"/>
              <w:jc w:val="both"/>
              <w:rPr>
                <w:rFonts w:cstheme="minorHAnsi"/>
              </w:rPr>
            </w:pPr>
            <w:r w:rsidRPr="003E3747">
              <w:rPr>
                <w:rFonts w:eastAsia="Calibri" w:cstheme="minorHAnsi"/>
                <w:b/>
                <w:bCs/>
                <w:color w:val="000000" w:themeColor="text1"/>
              </w:rPr>
              <w:t>Postulat: objęcie wsparciem podmioty prowadzące badania naukowe i prace rozwojowe w dziedzinie biotechnologii.</w:t>
            </w:r>
            <w:r w:rsidRPr="003E3747">
              <w:rPr>
                <w:rFonts w:eastAsia="Calibri" w:cstheme="minorHAnsi"/>
                <w:color w:val="000000" w:themeColor="text1"/>
              </w:rPr>
              <w:t xml:space="preserve"> </w:t>
            </w:r>
          </w:p>
          <w:p w14:paraId="7867C248" w14:textId="237CCE34" w:rsidR="24D3862F" w:rsidRPr="003E3747" w:rsidRDefault="24D3862F" w:rsidP="24D3862F">
            <w:pPr>
              <w:spacing w:after="0" w:line="276" w:lineRule="auto"/>
              <w:jc w:val="both"/>
              <w:rPr>
                <w:rFonts w:cstheme="minorHAnsi"/>
              </w:rPr>
            </w:pPr>
            <w:r w:rsidRPr="003E3747">
              <w:rPr>
                <w:rFonts w:eastAsia="Calibri" w:cstheme="minorHAnsi"/>
                <w:color w:val="000000" w:themeColor="text1"/>
              </w:rPr>
              <w:t xml:space="preserve"> </w:t>
            </w:r>
          </w:p>
          <w:p w14:paraId="096F10F8" w14:textId="20EA27A7" w:rsidR="24D3862F" w:rsidRPr="003E3747" w:rsidRDefault="24D3862F" w:rsidP="24D3862F">
            <w:pPr>
              <w:spacing w:after="0" w:line="276" w:lineRule="auto"/>
              <w:jc w:val="both"/>
              <w:rPr>
                <w:rFonts w:cstheme="minorHAnsi"/>
              </w:rPr>
            </w:pPr>
            <w:r w:rsidRPr="003E3747">
              <w:rPr>
                <w:rFonts w:eastAsia="Calibri" w:cstheme="minorHAnsi"/>
                <w:color w:val="000000" w:themeColor="text1"/>
              </w:rPr>
              <w:t>Rozszerzenie grona beneficjentów o podmioty prowadzące badania naukowe i prace rozwojowe w dziedzinie biotechnologii pozwoli uwzględnić w programie specyfikę innowacyjnych branż, których podmioty powinny być także uprawnione do otrzymania pomocy.</w:t>
            </w:r>
          </w:p>
        </w:tc>
        <w:tc>
          <w:tcPr>
            <w:tcW w:w="4155" w:type="dxa"/>
            <w:vAlign w:val="center"/>
          </w:tcPr>
          <w:p w14:paraId="18B9390D" w14:textId="0AD30966" w:rsidR="24D3862F" w:rsidRPr="003E3747" w:rsidRDefault="24D3862F" w:rsidP="24D3862F">
            <w:pPr>
              <w:spacing w:after="0" w:line="276" w:lineRule="auto"/>
              <w:jc w:val="both"/>
              <w:rPr>
                <w:rFonts w:cstheme="minorHAnsi"/>
              </w:rPr>
            </w:pPr>
            <w:r w:rsidRPr="003E3747">
              <w:rPr>
                <w:rFonts w:eastAsia="Calibri" w:cstheme="minorHAnsi"/>
                <w:b/>
                <w:bCs/>
                <w:i/>
                <w:iCs/>
                <w:color w:val="000000" w:themeColor="text1"/>
              </w:rPr>
              <w:t>W załączniku do ustawy, po pozycji 91 dodaje się pozycję 92 w brzmieniu:</w:t>
            </w:r>
            <w:r w:rsidRPr="003E3747">
              <w:rPr>
                <w:rFonts w:eastAsia="Calibri" w:cstheme="minorHAnsi"/>
                <w:i/>
                <w:iCs/>
                <w:color w:val="000000" w:themeColor="text1"/>
              </w:rPr>
              <w:t xml:space="preserve"> </w:t>
            </w:r>
          </w:p>
          <w:p w14:paraId="38977736" w14:textId="6BFC15D0" w:rsidR="24D3862F" w:rsidRPr="003E3747" w:rsidRDefault="24D3862F" w:rsidP="24D3862F">
            <w:pPr>
              <w:spacing w:after="0" w:line="276" w:lineRule="auto"/>
              <w:jc w:val="both"/>
              <w:rPr>
                <w:rFonts w:cstheme="minorHAnsi"/>
              </w:rPr>
            </w:pPr>
            <w:r w:rsidRPr="003E3747">
              <w:rPr>
                <w:rFonts w:eastAsia="Calibri" w:cstheme="minorHAnsi"/>
                <w:i/>
                <w:iCs/>
                <w:color w:val="000000" w:themeColor="text1"/>
              </w:rPr>
              <w:t xml:space="preserve"> </w:t>
            </w:r>
          </w:p>
          <w:p w14:paraId="36FB13C3" w14:textId="79A52F19" w:rsidR="24D3862F" w:rsidRPr="003E3747" w:rsidRDefault="24D3862F" w:rsidP="24D3862F">
            <w:pPr>
              <w:spacing w:after="0" w:line="276" w:lineRule="auto"/>
              <w:jc w:val="both"/>
              <w:rPr>
                <w:rFonts w:cstheme="minorHAnsi"/>
              </w:rPr>
            </w:pPr>
            <w:r w:rsidRPr="003E3747">
              <w:rPr>
                <w:rFonts w:eastAsia="Calibri" w:cstheme="minorHAnsi"/>
                <w:i/>
                <w:iCs/>
                <w:color w:val="000000" w:themeColor="text1"/>
              </w:rPr>
              <w:t>„42. 72.10.Z – Badania naukowe i prace rozwojowe w dziedzinie nauk przyrodniczych i technicznych.”</w:t>
            </w:r>
          </w:p>
        </w:tc>
        <w:tc>
          <w:tcPr>
            <w:tcW w:w="1900" w:type="dxa"/>
            <w:vAlign w:val="center"/>
          </w:tcPr>
          <w:p w14:paraId="65C8B45A" w14:textId="791A60D7" w:rsidR="24D3862F" w:rsidRPr="003E3747" w:rsidRDefault="24D3862F" w:rsidP="24D3862F">
            <w:pPr>
              <w:jc w:val="center"/>
              <w:rPr>
                <w:rFonts w:cstheme="minorHAnsi"/>
              </w:rPr>
            </w:pPr>
          </w:p>
        </w:tc>
      </w:tr>
      <w:tr w:rsidR="24D3862F" w:rsidRPr="00C91BC6" w14:paraId="3658B7A6" w14:textId="77777777" w:rsidTr="00A05649">
        <w:trPr>
          <w:trHeight w:val="300"/>
        </w:trPr>
        <w:tc>
          <w:tcPr>
            <w:tcW w:w="562" w:type="dxa"/>
          </w:tcPr>
          <w:p w14:paraId="7D51278C" w14:textId="5A28B881" w:rsidR="24D3862F" w:rsidRPr="003E3747" w:rsidRDefault="24D3862F" w:rsidP="00A05649">
            <w:pPr>
              <w:pStyle w:val="Akapitzlist"/>
              <w:numPr>
                <w:ilvl w:val="0"/>
                <w:numId w:val="21"/>
              </w:numPr>
              <w:jc w:val="center"/>
              <w:rPr>
                <w:rFonts w:cstheme="minorHAnsi"/>
              </w:rPr>
            </w:pPr>
          </w:p>
        </w:tc>
        <w:tc>
          <w:tcPr>
            <w:tcW w:w="1560" w:type="dxa"/>
          </w:tcPr>
          <w:p w14:paraId="09CE8CBC" w14:textId="735370F9" w:rsidR="24D3862F" w:rsidRPr="003E3747" w:rsidRDefault="003B1C4B" w:rsidP="00A05649">
            <w:pPr>
              <w:ind w:left="34"/>
              <w:jc w:val="center"/>
              <w:rPr>
                <w:rFonts w:cstheme="minorHAnsi"/>
              </w:rPr>
            </w:pPr>
            <w:r w:rsidRPr="003E3747">
              <w:rPr>
                <w:rFonts w:ascii="Calibri" w:eastAsia="Lato" w:hAnsi="Calibri" w:cs="Calibri"/>
                <w:color w:val="000000" w:themeColor="text1"/>
              </w:rPr>
              <w:t>Konfederacja Lewiatan</w:t>
            </w:r>
          </w:p>
        </w:tc>
        <w:tc>
          <w:tcPr>
            <w:tcW w:w="1842" w:type="dxa"/>
          </w:tcPr>
          <w:p w14:paraId="006FECDB" w14:textId="0E5F47D1" w:rsidR="24D3862F" w:rsidRPr="003E3747" w:rsidRDefault="24D3862F" w:rsidP="00A05649">
            <w:pPr>
              <w:spacing w:after="0" w:line="276" w:lineRule="auto"/>
              <w:ind w:left="-20"/>
              <w:jc w:val="center"/>
              <w:rPr>
                <w:rFonts w:cstheme="minorHAnsi"/>
              </w:rPr>
            </w:pPr>
            <w:r w:rsidRPr="003E3747">
              <w:rPr>
                <w:rFonts w:eastAsia="Calibri" w:cstheme="minorHAnsi"/>
                <w:b/>
                <w:bCs/>
                <w:color w:val="000000" w:themeColor="text1"/>
              </w:rPr>
              <w:t>Art. 3 ust. 7 pkt 4 oraz art. 5 ust. 2 pkt 1</w:t>
            </w:r>
          </w:p>
        </w:tc>
        <w:tc>
          <w:tcPr>
            <w:tcW w:w="4988" w:type="dxa"/>
            <w:vAlign w:val="center"/>
          </w:tcPr>
          <w:p w14:paraId="5F409D93" w14:textId="7DA727BF" w:rsidR="24D3862F" w:rsidRPr="003E3747" w:rsidRDefault="24D3862F" w:rsidP="24D3862F">
            <w:pPr>
              <w:spacing w:after="0" w:line="276" w:lineRule="auto"/>
              <w:jc w:val="both"/>
              <w:rPr>
                <w:rFonts w:cstheme="minorHAnsi"/>
              </w:rPr>
            </w:pPr>
            <w:r w:rsidRPr="003E3747">
              <w:rPr>
                <w:rFonts w:eastAsia="Calibri" w:cstheme="minorHAnsi"/>
                <w:b/>
                <w:bCs/>
                <w:color w:val="000000" w:themeColor="text1"/>
              </w:rPr>
              <w:t>Postulat: jednoznaczne objęcie kwalifikowalnością inwestycji właściwych dla energochłonnych, regulowanych procesów farmaceutycznych.</w:t>
            </w:r>
            <w:r w:rsidRPr="003E3747">
              <w:rPr>
                <w:rFonts w:eastAsia="Calibri" w:cstheme="minorHAnsi"/>
                <w:color w:val="000000" w:themeColor="text1"/>
              </w:rPr>
              <w:t xml:space="preserve"> </w:t>
            </w:r>
          </w:p>
          <w:p w14:paraId="0B0B7123" w14:textId="6F61F20A" w:rsidR="24D3862F" w:rsidRPr="003E3747" w:rsidRDefault="24D3862F" w:rsidP="24D3862F">
            <w:pPr>
              <w:spacing w:after="0" w:line="276" w:lineRule="auto"/>
              <w:jc w:val="both"/>
              <w:rPr>
                <w:rFonts w:cstheme="minorHAnsi"/>
              </w:rPr>
            </w:pPr>
            <w:r w:rsidRPr="003E3747">
              <w:rPr>
                <w:rFonts w:eastAsia="Calibri" w:cstheme="minorHAnsi"/>
                <w:color w:val="000000" w:themeColor="text1"/>
              </w:rPr>
              <w:t xml:space="preserve"> </w:t>
            </w:r>
          </w:p>
          <w:p w14:paraId="57B74FDA" w14:textId="7A8A58A2" w:rsidR="24D3862F" w:rsidRPr="003E3747" w:rsidRDefault="24D3862F" w:rsidP="24D3862F">
            <w:pPr>
              <w:spacing w:after="0" w:line="276" w:lineRule="auto"/>
              <w:jc w:val="both"/>
              <w:rPr>
                <w:rFonts w:cstheme="minorHAnsi"/>
              </w:rPr>
            </w:pPr>
            <w:r w:rsidRPr="003E3747">
              <w:rPr>
                <w:rFonts w:eastAsia="Calibri" w:cstheme="minorHAnsi"/>
                <w:color w:val="000000" w:themeColor="text1"/>
              </w:rPr>
              <w:t xml:space="preserve">Projekt prawidłowo wiąże co najmniej 50% otrzymanego wsparcia z inwestycjami poprawiającymi funkcjonowanie systemu elektroenergetycznego oraz z efektywnością, elektryfikacją, OZE i elastycznością. Wymaga jednak doprecyzowania, że do takich inwestycji mogą należeć elementy infrastruktury technicznej umożliwiające bezpieczną pracę instalacji wytwórczej. W farmacji szczególne znaczenie mają </w:t>
            </w:r>
            <w:r w:rsidRPr="003E3747">
              <w:rPr>
                <w:rFonts w:cstheme="minorHAnsi"/>
                <w:lang w:val="pl"/>
              </w:rPr>
              <w:t>m.in</w:t>
            </w:r>
            <w:r w:rsidRPr="003E3747">
              <w:rPr>
                <w:rFonts w:eastAsia="Calibri" w:cstheme="minorHAnsi"/>
                <w:color w:val="000000" w:themeColor="text1"/>
              </w:rPr>
              <w:t>. systemy zarządzania energią, automatyka i monitoring, chłodzenie, HVAC, odzysk energii, magazyny energii, systemy uzdatniania wody, sprężonego powietrza i zasilania rezerwowego. Powinny być kwalifikowane, jeżeli wykazano ich wpływ na efektywność energetyczną, elastyczność poboru, integrację OZE albo bezpieczną pracę instalacji – a nie wyłącznie dlatego, że pełnią funkcję wymaganą przez GMP.</w:t>
            </w:r>
          </w:p>
        </w:tc>
        <w:tc>
          <w:tcPr>
            <w:tcW w:w="4155" w:type="dxa"/>
            <w:vAlign w:val="center"/>
          </w:tcPr>
          <w:p w14:paraId="40BAF681" w14:textId="536AD9D1" w:rsidR="24D3862F" w:rsidRPr="003E3747" w:rsidRDefault="24D3862F" w:rsidP="24D3862F">
            <w:pPr>
              <w:spacing w:after="0" w:line="276" w:lineRule="auto"/>
              <w:jc w:val="both"/>
              <w:rPr>
                <w:rFonts w:cstheme="minorHAnsi"/>
              </w:rPr>
            </w:pPr>
            <w:r w:rsidRPr="003E3747">
              <w:rPr>
                <w:rFonts w:eastAsia="Calibri" w:cstheme="minorHAnsi"/>
                <w:b/>
                <w:bCs/>
                <w:i/>
                <w:iCs/>
                <w:color w:val="000000" w:themeColor="text1"/>
              </w:rPr>
              <w:t>W art. 5 ust. 2 po pkt 1 dodaje się pkt 1a w brzmieniu:</w:t>
            </w:r>
            <w:r w:rsidRPr="003E3747">
              <w:rPr>
                <w:rFonts w:eastAsia="Calibri" w:cstheme="minorHAnsi"/>
                <w:i/>
                <w:iCs/>
                <w:color w:val="000000" w:themeColor="text1"/>
              </w:rPr>
              <w:t xml:space="preserve"> </w:t>
            </w:r>
          </w:p>
          <w:p w14:paraId="096EC452" w14:textId="69CE0778" w:rsidR="24D3862F" w:rsidRPr="003E3747" w:rsidRDefault="24D3862F" w:rsidP="24D3862F">
            <w:pPr>
              <w:spacing w:after="0" w:line="276" w:lineRule="auto"/>
              <w:jc w:val="both"/>
              <w:rPr>
                <w:rFonts w:cstheme="minorHAnsi"/>
              </w:rPr>
            </w:pPr>
            <w:r w:rsidRPr="003E3747">
              <w:rPr>
                <w:rFonts w:eastAsia="Calibri" w:cstheme="minorHAnsi"/>
                <w:i/>
                <w:iCs/>
                <w:color w:val="000000" w:themeColor="text1"/>
              </w:rPr>
              <w:t xml:space="preserve"> </w:t>
            </w:r>
          </w:p>
          <w:p w14:paraId="79004C4A" w14:textId="1501412C" w:rsidR="24D3862F" w:rsidRPr="00C91BC6" w:rsidRDefault="24D3862F" w:rsidP="24D3862F">
            <w:pPr>
              <w:spacing w:after="0" w:line="276" w:lineRule="auto"/>
              <w:jc w:val="both"/>
              <w:rPr>
                <w:rFonts w:cstheme="minorHAnsi"/>
              </w:rPr>
            </w:pPr>
            <w:r w:rsidRPr="003E3747">
              <w:rPr>
                <w:rFonts w:eastAsia="Calibri" w:cstheme="minorHAnsi"/>
                <w:i/>
                <w:iCs/>
                <w:color w:val="000000" w:themeColor="text1"/>
              </w:rPr>
              <w:t>„1a) minimalne warunki kwalifikowania inwestycji w infrastrukturę zapewniającą bezpieczną i elastyczną pracę instalacji przemysłowych, w tym w systemy zarządzania energią, automatyki, magazynowania energii, chłodzenia, odzysku energii, uzdatniania mediów technologicznych oraz zasilania rezerwowego, jeżeli inwestycje te spełniają warunki, o których mowa w art. 3 ust. 7;”.</w:t>
            </w:r>
          </w:p>
        </w:tc>
        <w:tc>
          <w:tcPr>
            <w:tcW w:w="1900" w:type="dxa"/>
            <w:vAlign w:val="center"/>
          </w:tcPr>
          <w:p w14:paraId="445B172A" w14:textId="0B185C70" w:rsidR="24D3862F" w:rsidRPr="00C91BC6" w:rsidRDefault="24D3862F" w:rsidP="24D3862F">
            <w:pPr>
              <w:jc w:val="center"/>
              <w:rPr>
                <w:rFonts w:cstheme="minorHAnsi"/>
              </w:rPr>
            </w:pPr>
          </w:p>
        </w:tc>
      </w:tr>
    </w:tbl>
    <w:p w14:paraId="3D03EAAA" w14:textId="1C246D4E" w:rsidR="24D3862F" w:rsidRPr="00C91BC6" w:rsidRDefault="24D3862F">
      <w:pPr>
        <w:rPr>
          <w:rFonts w:cstheme="minorHAnsi"/>
        </w:rPr>
      </w:pPr>
    </w:p>
    <w:p w14:paraId="0F0211FF" w14:textId="0E9F57B5" w:rsidR="003807AC" w:rsidRPr="00C91BC6" w:rsidRDefault="00D9754D">
      <w:pPr>
        <w:spacing w:after="0" w:line="240" w:lineRule="auto"/>
        <w:rPr>
          <w:rFonts w:cstheme="minorHAnsi"/>
        </w:rPr>
      </w:pPr>
      <w:r>
        <w:rPr>
          <w:rFonts w:cstheme="minorHAnsi"/>
        </w:rPr>
        <w:t>KL/585/182/PG/2026</w:t>
      </w:r>
    </w:p>
    <w:sectPr w:rsidR="003807AC" w:rsidRPr="00C91BC6" w:rsidSect="00B91B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632C9" w14:textId="77777777" w:rsidR="00671A9E" w:rsidRDefault="00671A9E" w:rsidP="00CA2841">
      <w:pPr>
        <w:spacing w:after="0" w:line="240" w:lineRule="auto"/>
      </w:pPr>
      <w:r>
        <w:separator/>
      </w:r>
    </w:p>
  </w:endnote>
  <w:endnote w:type="continuationSeparator" w:id="0">
    <w:p w14:paraId="4D49D1EF" w14:textId="77777777" w:rsidR="00671A9E" w:rsidRDefault="00671A9E" w:rsidP="00C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76944" w14:textId="77777777" w:rsidR="00671A9E" w:rsidRDefault="00671A9E" w:rsidP="00CA2841">
      <w:pPr>
        <w:spacing w:after="0" w:line="240" w:lineRule="auto"/>
      </w:pPr>
      <w:r>
        <w:separator/>
      </w:r>
    </w:p>
  </w:footnote>
  <w:footnote w:type="continuationSeparator" w:id="0">
    <w:p w14:paraId="15F0199E" w14:textId="77777777" w:rsidR="00671A9E" w:rsidRDefault="00671A9E" w:rsidP="00CA2841">
      <w:pPr>
        <w:spacing w:after="0" w:line="240" w:lineRule="auto"/>
      </w:pPr>
      <w:r>
        <w:continuationSeparator/>
      </w:r>
    </w:p>
  </w:footnote>
  <w:footnote w:id="1">
    <w:p w14:paraId="00ABF70C" w14:textId="77777777" w:rsidR="00FC53FD" w:rsidRDefault="00FC53FD" w:rsidP="00FC53FD">
      <w:pPr>
        <w:pStyle w:val="Tekstprzypisudolnego"/>
      </w:pPr>
      <w:r>
        <w:rPr>
          <w:rStyle w:val="Odwoanieprzypisudolnego"/>
        </w:rPr>
        <w:footnoteRef/>
      </w:r>
      <w:r w:rsidR="6F0EE229">
        <w:t xml:space="preserve"> W dalszej części każda referencja do projektu dotyczy wskazanych jednostek redakcyjnych art.38ae.</w:t>
      </w:r>
    </w:p>
  </w:footnote>
  <w:footnote w:id="2">
    <w:p w14:paraId="60312B53" w14:textId="77777777" w:rsidR="00FC53FD" w:rsidRDefault="00FC53FD" w:rsidP="00FC53FD">
      <w:pPr>
        <w:pStyle w:val="Tekstprzypisudolnego"/>
      </w:pPr>
      <w:r>
        <w:rPr>
          <w:rStyle w:val="Odwoanieprzypisudolnego"/>
        </w:rPr>
        <w:footnoteRef/>
      </w:r>
      <w:r w:rsidR="6F0EE229">
        <w:t xml:space="preserve"> Błąd pisarski w treści, być może właściwa treść to „</w:t>
      </w:r>
      <w:r w:rsidR="6F0EE229" w:rsidRPr="6F0EE229">
        <w:rPr>
          <w:i/>
          <w:iCs/>
        </w:rPr>
        <w:t xml:space="preserve">ropy naftowej </w:t>
      </w:r>
      <w:r w:rsidR="6F0EE229" w:rsidRPr="6F0EE229">
        <w:rPr>
          <w:b/>
          <w:bCs/>
          <w:i/>
          <w:iCs/>
        </w:rPr>
        <w:t>celem wytworzenia paliw</w:t>
      </w:r>
      <w:r w:rsidR="6F0EE229" w:rsidRPr="6F0EE229">
        <w:rPr>
          <w:i/>
          <w:iCs/>
        </w:rPr>
        <w:t xml:space="preserve"> ciekłych</w:t>
      </w:r>
      <w:r w:rsidR="6F0EE22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0E54"/>
    <w:multiLevelType w:val="hybridMultilevel"/>
    <w:tmpl w:val="E2BA87E2"/>
    <w:lvl w:ilvl="0" w:tplc="0415000F">
      <w:start w:val="1"/>
      <w:numFmt w:val="decimal"/>
      <w:lvlText w:val="%1."/>
      <w:lvlJc w:val="left"/>
      <w:pPr>
        <w:ind w:left="142" w:hanging="360"/>
      </w:pPr>
      <w:rPr>
        <w:rFonts w:hint="default"/>
      </w:rPr>
    </w:lvl>
    <w:lvl w:ilvl="1" w:tplc="04150019" w:tentative="1">
      <w:start w:val="1"/>
      <w:numFmt w:val="lowerLetter"/>
      <w:lvlText w:val="%2."/>
      <w:lvlJc w:val="left"/>
      <w:pPr>
        <w:ind w:left="862" w:hanging="360"/>
      </w:p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1" w15:restartNumberingAfterBreak="0">
    <w:nsid w:val="070915C5"/>
    <w:multiLevelType w:val="hybridMultilevel"/>
    <w:tmpl w:val="D13ED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390245"/>
    <w:multiLevelType w:val="hybridMultilevel"/>
    <w:tmpl w:val="BCE2CF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E53ECE"/>
    <w:multiLevelType w:val="hybridMultilevel"/>
    <w:tmpl w:val="55B68E6A"/>
    <w:lvl w:ilvl="0" w:tplc="0415000F">
      <w:start w:val="1"/>
      <w:numFmt w:val="decimal"/>
      <w:lvlText w:val="%1."/>
      <w:lvlJc w:val="left"/>
      <w:pPr>
        <w:ind w:left="891" w:hanging="360"/>
      </w:pPr>
    </w:lvl>
    <w:lvl w:ilvl="1" w:tplc="04150019" w:tentative="1">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tentative="1">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4" w15:restartNumberingAfterBreak="0">
    <w:nsid w:val="16FA20B4"/>
    <w:multiLevelType w:val="hybridMultilevel"/>
    <w:tmpl w:val="95D46BBE"/>
    <w:lvl w:ilvl="0" w:tplc="FFF2AFD6">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99348D"/>
    <w:multiLevelType w:val="hybridMultilevel"/>
    <w:tmpl w:val="4DA2C06E"/>
    <w:lvl w:ilvl="0" w:tplc="AACC07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798488B"/>
    <w:multiLevelType w:val="hybridMultilevel"/>
    <w:tmpl w:val="FFFFFFFF"/>
    <w:lvl w:ilvl="0" w:tplc="4D0AD230">
      <w:start w:val="1"/>
      <w:numFmt w:val="bullet"/>
      <w:lvlText w:val=""/>
      <w:lvlJc w:val="left"/>
      <w:pPr>
        <w:ind w:left="720" w:hanging="360"/>
      </w:pPr>
      <w:rPr>
        <w:rFonts w:ascii="Symbol" w:hAnsi="Symbol" w:hint="default"/>
      </w:rPr>
    </w:lvl>
    <w:lvl w:ilvl="1" w:tplc="FC7E3290">
      <w:start w:val="1"/>
      <w:numFmt w:val="bullet"/>
      <w:lvlText w:val="o"/>
      <w:lvlJc w:val="left"/>
      <w:pPr>
        <w:ind w:left="1440" w:hanging="360"/>
      </w:pPr>
      <w:rPr>
        <w:rFonts w:ascii="Courier New" w:hAnsi="Courier New" w:hint="default"/>
      </w:rPr>
    </w:lvl>
    <w:lvl w:ilvl="2" w:tplc="0DA6066A">
      <w:start w:val="1"/>
      <w:numFmt w:val="bullet"/>
      <w:lvlText w:val=""/>
      <w:lvlJc w:val="left"/>
      <w:pPr>
        <w:ind w:left="2160" w:hanging="360"/>
      </w:pPr>
      <w:rPr>
        <w:rFonts w:ascii="Wingdings" w:hAnsi="Wingdings" w:hint="default"/>
      </w:rPr>
    </w:lvl>
    <w:lvl w:ilvl="3" w:tplc="52ECA8D8">
      <w:start w:val="1"/>
      <w:numFmt w:val="bullet"/>
      <w:lvlText w:val=""/>
      <w:lvlJc w:val="left"/>
      <w:pPr>
        <w:ind w:left="2880" w:hanging="360"/>
      </w:pPr>
      <w:rPr>
        <w:rFonts w:ascii="Symbol" w:hAnsi="Symbol" w:hint="default"/>
      </w:rPr>
    </w:lvl>
    <w:lvl w:ilvl="4" w:tplc="FCFCEF56">
      <w:start w:val="1"/>
      <w:numFmt w:val="bullet"/>
      <w:lvlText w:val="o"/>
      <w:lvlJc w:val="left"/>
      <w:pPr>
        <w:ind w:left="3600" w:hanging="360"/>
      </w:pPr>
      <w:rPr>
        <w:rFonts w:ascii="Courier New" w:hAnsi="Courier New" w:hint="default"/>
      </w:rPr>
    </w:lvl>
    <w:lvl w:ilvl="5" w:tplc="67406520">
      <w:start w:val="1"/>
      <w:numFmt w:val="bullet"/>
      <w:lvlText w:val=""/>
      <w:lvlJc w:val="left"/>
      <w:pPr>
        <w:ind w:left="4320" w:hanging="360"/>
      </w:pPr>
      <w:rPr>
        <w:rFonts w:ascii="Wingdings" w:hAnsi="Wingdings" w:hint="default"/>
      </w:rPr>
    </w:lvl>
    <w:lvl w:ilvl="6" w:tplc="EC1222BC">
      <w:start w:val="1"/>
      <w:numFmt w:val="bullet"/>
      <w:lvlText w:val=""/>
      <w:lvlJc w:val="left"/>
      <w:pPr>
        <w:ind w:left="5040" w:hanging="360"/>
      </w:pPr>
      <w:rPr>
        <w:rFonts w:ascii="Symbol" w:hAnsi="Symbol" w:hint="default"/>
      </w:rPr>
    </w:lvl>
    <w:lvl w:ilvl="7" w:tplc="EA160BF4">
      <w:start w:val="1"/>
      <w:numFmt w:val="bullet"/>
      <w:lvlText w:val="o"/>
      <w:lvlJc w:val="left"/>
      <w:pPr>
        <w:ind w:left="5760" w:hanging="360"/>
      </w:pPr>
      <w:rPr>
        <w:rFonts w:ascii="Courier New" w:hAnsi="Courier New" w:hint="default"/>
      </w:rPr>
    </w:lvl>
    <w:lvl w:ilvl="8" w:tplc="D402DBDA">
      <w:start w:val="1"/>
      <w:numFmt w:val="bullet"/>
      <w:lvlText w:val=""/>
      <w:lvlJc w:val="left"/>
      <w:pPr>
        <w:ind w:left="6480" w:hanging="360"/>
      </w:pPr>
      <w:rPr>
        <w:rFonts w:ascii="Wingdings" w:hAnsi="Wingdings" w:hint="default"/>
      </w:rPr>
    </w:lvl>
  </w:abstractNum>
  <w:abstractNum w:abstractNumId="7" w15:restartNumberingAfterBreak="0">
    <w:nsid w:val="28987D48"/>
    <w:multiLevelType w:val="multilevel"/>
    <w:tmpl w:val="F0908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0855F9"/>
    <w:multiLevelType w:val="hybridMultilevel"/>
    <w:tmpl w:val="16B0DF84"/>
    <w:lvl w:ilvl="0" w:tplc="0F54512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AE648F"/>
    <w:multiLevelType w:val="hybridMultilevel"/>
    <w:tmpl w:val="D370EAC8"/>
    <w:lvl w:ilvl="0" w:tplc="FFF2AFD6">
      <w:start w:val="1"/>
      <w:numFmt w:val="bullet"/>
      <w:lvlText w:val="–"/>
      <w:lvlJc w:val="left"/>
      <w:pPr>
        <w:ind w:left="720" w:hanging="360"/>
      </w:pPr>
      <w:rPr>
        <w:rFonts w:ascii="Lato" w:hAnsi="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742EAF"/>
    <w:multiLevelType w:val="hybridMultilevel"/>
    <w:tmpl w:val="6598CE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F7E7D3A"/>
    <w:multiLevelType w:val="hybridMultilevel"/>
    <w:tmpl w:val="37841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FE0561"/>
    <w:multiLevelType w:val="hybridMultilevel"/>
    <w:tmpl w:val="B8BCAB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B20183"/>
    <w:multiLevelType w:val="hybridMultilevel"/>
    <w:tmpl w:val="4BFEDAD8"/>
    <w:lvl w:ilvl="0" w:tplc="B716696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3A4A49"/>
    <w:multiLevelType w:val="hybridMultilevel"/>
    <w:tmpl w:val="6B54EEC4"/>
    <w:lvl w:ilvl="0" w:tplc="79DA3C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BA75B50"/>
    <w:multiLevelType w:val="hybridMultilevel"/>
    <w:tmpl w:val="DB144F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62202E"/>
    <w:multiLevelType w:val="hybridMultilevel"/>
    <w:tmpl w:val="4D9E21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79455A2"/>
    <w:multiLevelType w:val="multilevel"/>
    <w:tmpl w:val="B77E051E"/>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541482"/>
    <w:multiLevelType w:val="hybridMultilevel"/>
    <w:tmpl w:val="FD8802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0EE314F"/>
    <w:multiLevelType w:val="multilevel"/>
    <w:tmpl w:val="D54A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D949B5"/>
    <w:multiLevelType w:val="multilevel"/>
    <w:tmpl w:val="C498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7085096">
    <w:abstractNumId w:val="2"/>
  </w:num>
  <w:num w:numId="2" w16cid:durableId="1586453542">
    <w:abstractNumId w:val="17"/>
  </w:num>
  <w:num w:numId="3" w16cid:durableId="1596985115">
    <w:abstractNumId w:val="6"/>
  </w:num>
  <w:num w:numId="4" w16cid:durableId="1618682470">
    <w:abstractNumId w:val="15"/>
  </w:num>
  <w:num w:numId="5" w16cid:durableId="1631007696">
    <w:abstractNumId w:val="19"/>
  </w:num>
  <w:num w:numId="6" w16cid:durableId="1751542089">
    <w:abstractNumId w:val="12"/>
  </w:num>
  <w:num w:numId="7" w16cid:durableId="2094551033">
    <w:abstractNumId w:val="5"/>
  </w:num>
  <w:num w:numId="8" w16cid:durableId="335546442">
    <w:abstractNumId w:val="20"/>
  </w:num>
  <w:num w:numId="9" w16cid:durableId="472990895">
    <w:abstractNumId w:val="14"/>
  </w:num>
  <w:num w:numId="10" w16cid:durableId="634213570">
    <w:abstractNumId w:val="7"/>
  </w:num>
  <w:num w:numId="11" w16cid:durableId="697436913">
    <w:abstractNumId w:val="0"/>
  </w:num>
  <w:num w:numId="12" w16cid:durableId="949050280">
    <w:abstractNumId w:val="18"/>
  </w:num>
  <w:num w:numId="13" w16cid:durableId="709457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5208730">
    <w:abstractNumId w:val="13"/>
  </w:num>
  <w:num w:numId="15" w16cid:durableId="1275553011">
    <w:abstractNumId w:val="11"/>
  </w:num>
  <w:num w:numId="16" w16cid:durableId="625040744">
    <w:abstractNumId w:val="8"/>
  </w:num>
  <w:num w:numId="17" w16cid:durableId="2121024392">
    <w:abstractNumId w:val="1"/>
  </w:num>
  <w:num w:numId="18" w16cid:durableId="268926062">
    <w:abstractNumId w:val="9"/>
  </w:num>
  <w:num w:numId="19" w16cid:durableId="1019968784">
    <w:abstractNumId w:val="4"/>
  </w:num>
  <w:num w:numId="20" w16cid:durableId="1050030233">
    <w:abstractNumId w:val="3"/>
  </w:num>
  <w:num w:numId="21" w16cid:durableId="973563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1"/>
    <w:rsid w:val="00004331"/>
    <w:rsid w:val="00005E48"/>
    <w:rsid w:val="00011DCE"/>
    <w:rsid w:val="000161D7"/>
    <w:rsid w:val="00017572"/>
    <w:rsid w:val="00021379"/>
    <w:rsid w:val="000229DF"/>
    <w:rsid w:val="00022D44"/>
    <w:rsid w:val="00027BE4"/>
    <w:rsid w:val="0003424B"/>
    <w:rsid w:val="000356F6"/>
    <w:rsid w:val="000426C3"/>
    <w:rsid w:val="00043ABD"/>
    <w:rsid w:val="00044D95"/>
    <w:rsid w:val="00047AA6"/>
    <w:rsid w:val="00050270"/>
    <w:rsid w:val="00051EC2"/>
    <w:rsid w:val="000570F5"/>
    <w:rsid w:val="00057C73"/>
    <w:rsid w:val="0006041D"/>
    <w:rsid w:val="00060FAC"/>
    <w:rsid w:val="00061F28"/>
    <w:rsid w:val="000661EC"/>
    <w:rsid w:val="000668E8"/>
    <w:rsid w:val="00072876"/>
    <w:rsid w:val="00075819"/>
    <w:rsid w:val="00080923"/>
    <w:rsid w:val="00080E63"/>
    <w:rsid w:val="00082E3F"/>
    <w:rsid w:val="0008764B"/>
    <w:rsid w:val="0008771B"/>
    <w:rsid w:val="000A03E4"/>
    <w:rsid w:val="000A1367"/>
    <w:rsid w:val="000B7F46"/>
    <w:rsid w:val="000C41B1"/>
    <w:rsid w:val="000C60D6"/>
    <w:rsid w:val="000D60FF"/>
    <w:rsid w:val="000E1822"/>
    <w:rsid w:val="000E62B0"/>
    <w:rsid w:val="000F1DF3"/>
    <w:rsid w:val="000F5A3A"/>
    <w:rsid w:val="000F5A45"/>
    <w:rsid w:val="000F67D7"/>
    <w:rsid w:val="00100335"/>
    <w:rsid w:val="00105BDA"/>
    <w:rsid w:val="00114883"/>
    <w:rsid w:val="0012284A"/>
    <w:rsid w:val="00132902"/>
    <w:rsid w:val="00135695"/>
    <w:rsid w:val="00135B35"/>
    <w:rsid w:val="0014617E"/>
    <w:rsid w:val="00150FC1"/>
    <w:rsid w:val="00151C76"/>
    <w:rsid w:val="00152542"/>
    <w:rsid w:val="0016062C"/>
    <w:rsid w:val="00162E77"/>
    <w:rsid w:val="001635B8"/>
    <w:rsid w:val="00165713"/>
    <w:rsid w:val="001672F2"/>
    <w:rsid w:val="00167978"/>
    <w:rsid w:val="00167AF1"/>
    <w:rsid w:val="0017039A"/>
    <w:rsid w:val="00171697"/>
    <w:rsid w:val="00172652"/>
    <w:rsid w:val="00180BB1"/>
    <w:rsid w:val="0018210D"/>
    <w:rsid w:val="00183D0E"/>
    <w:rsid w:val="00184BC1"/>
    <w:rsid w:val="00184D05"/>
    <w:rsid w:val="00187E55"/>
    <w:rsid w:val="0019199E"/>
    <w:rsid w:val="0019449C"/>
    <w:rsid w:val="0019568F"/>
    <w:rsid w:val="001A1FCB"/>
    <w:rsid w:val="001A7F00"/>
    <w:rsid w:val="001A7F3C"/>
    <w:rsid w:val="001B0245"/>
    <w:rsid w:val="001B1DA2"/>
    <w:rsid w:val="001B4860"/>
    <w:rsid w:val="001B734F"/>
    <w:rsid w:val="001B75F4"/>
    <w:rsid w:val="001C3761"/>
    <w:rsid w:val="001D65E4"/>
    <w:rsid w:val="001D69DD"/>
    <w:rsid w:val="001E4824"/>
    <w:rsid w:val="001E582E"/>
    <w:rsid w:val="001E58AB"/>
    <w:rsid w:val="001E6252"/>
    <w:rsid w:val="001F15DD"/>
    <w:rsid w:val="00210555"/>
    <w:rsid w:val="00212269"/>
    <w:rsid w:val="00215277"/>
    <w:rsid w:val="00220114"/>
    <w:rsid w:val="002204B2"/>
    <w:rsid w:val="002209BA"/>
    <w:rsid w:val="002403CF"/>
    <w:rsid w:val="002418D2"/>
    <w:rsid w:val="00251896"/>
    <w:rsid w:val="00252776"/>
    <w:rsid w:val="0025764D"/>
    <w:rsid w:val="00263E53"/>
    <w:rsid w:val="00283D0B"/>
    <w:rsid w:val="00284940"/>
    <w:rsid w:val="002873E7"/>
    <w:rsid w:val="002A4F17"/>
    <w:rsid w:val="002A6014"/>
    <w:rsid w:val="002B3399"/>
    <w:rsid w:val="002C7708"/>
    <w:rsid w:val="002D4D7A"/>
    <w:rsid w:val="002D68C5"/>
    <w:rsid w:val="002D6A39"/>
    <w:rsid w:val="002E150A"/>
    <w:rsid w:val="002E760E"/>
    <w:rsid w:val="002F0144"/>
    <w:rsid w:val="003033DB"/>
    <w:rsid w:val="00304A9D"/>
    <w:rsid w:val="003147D2"/>
    <w:rsid w:val="00315DC3"/>
    <w:rsid w:val="00316810"/>
    <w:rsid w:val="00316879"/>
    <w:rsid w:val="0032745A"/>
    <w:rsid w:val="00331788"/>
    <w:rsid w:val="00345244"/>
    <w:rsid w:val="00345491"/>
    <w:rsid w:val="00345A8F"/>
    <w:rsid w:val="0035225B"/>
    <w:rsid w:val="00352BAF"/>
    <w:rsid w:val="0035338C"/>
    <w:rsid w:val="00362399"/>
    <w:rsid w:val="00370B6E"/>
    <w:rsid w:val="00372EE6"/>
    <w:rsid w:val="00375D69"/>
    <w:rsid w:val="00377511"/>
    <w:rsid w:val="003807AC"/>
    <w:rsid w:val="00383C7C"/>
    <w:rsid w:val="00386E2A"/>
    <w:rsid w:val="00391E2D"/>
    <w:rsid w:val="003969D0"/>
    <w:rsid w:val="003A47DF"/>
    <w:rsid w:val="003A5E3B"/>
    <w:rsid w:val="003B1C4B"/>
    <w:rsid w:val="003B3A4B"/>
    <w:rsid w:val="003B4010"/>
    <w:rsid w:val="003B48DB"/>
    <w:rsid w:val="003B4ACD"/>
    <w:rsid w:val="003D26C4"/>
    <w:rsid w:val="003D2750"/>
    <w:rsid w:val="003D4211"/>
    <w:rsid w:val="003D7D9D"/>
    <w:rsid w:val="003E214A"/>
    <w:rsid w:val="003E3747"/>
    <w:rsid w:val="003E5FEE"/>
    <w:rsid w:val="003F4B07"/>
    <w:rsid w:val="003F609C"/>
    <w:rsid w:val="00400115"/>
    <w:rsid w:val="00403FD9"/>
    <w:rsid w:val="004048A9"/>
    <w:rsid w:val="00421EE5"/>
    <w:rsid w:val="004276E7"/>
    <w:rsid w:val="00434675"/>
    <w:rsid w:val="00435D45"/>
    <w:rsid w:val="00446EC8"/>
    <w:rsid w:val="004617E5"/>
    <w:rsid w:val="0046243A"/>
    <w:rsid w:val="00463DD6"/>
    <w:rsid w:val="0046611E"/>
    <w:rsid w:val="00471584"/>
    <w:rsid w:val="004739C1"/>
    <w:rsid w:val="00473D32"/>
    <w:rsid w:val="0047535B"/>
    <w:rsid w:val="00481290"/>
    <w:rsid w:val="00482AF7"/>
    <w:rsid w:val="00486F7C"/>
    <w:rsid w:val="004910BF"/>
    <w:rsid w:val="00493CB5"/>
    <w:rsid w:val="004A0EF1"/>
    <w:rsid w:val="004A1C20"/>
    <w:rsid w:val="004A7A6B"/>
    <w:rsid w:val="004B1246"/>
    <w:rsid w:val="004B6665"/>
    <w:rsid w:val="004B79E9"/>
    <w:rsid w:val="004C2640"/>
    <w:rsid w:val="004C58BD"/>
    <w:rsid w:val="004C6205"/>
    <w:rsid w:val="004D4E26"/>
    <w:rsid w:val="004D5543"/>
    <w:rsid w:val="004E0A93"/>
    <w:rsid w:val="004E731F"/>
    <w:rsid w:val="004E75F2"/>
    <w:rsid w:val="004F1001"/>
    <w:rsid w:val="004F1C1E"/>
    <w:rsid w:val="004F2D1D"/>
    <w:rsid w:val="004F3387"/>
    <w:rsid w:val="004F64E5"/>
    <w:rsid w:val="004F65EA"/>
    <w:rsid w:val="00501126"/>
    <w:rsid w:val="005035C6"/>
    <w:rsid w:val="00506F20"/>
    <w:rsid w:val="00511BCE"/>
    <w:rsid w:val="00525D48"/>
    <w:rsid w:val="0053135E"/>
    <w:rsid w:val="00540B86"/>
    <w:rsid w:val="0054417B"/>
    <w:rsid w:val="00547151"/>
    <w:rsid w:val="00552CF4"/>
    <w:rsid w:val="0057173A"/>
    <w:rsid w:val="00571B2F"/>
    <w:rsid w:val="0057385A"/>
    <w:rsid w:val="005760D8"/>
    <w:rsid w:val="00581609"/>
    <w:rsid w:val="00581823"/>
    <w:rsid w:val="0058427A"/>
    <w:rsid w:val="00586C41"/>
    <w:rsid w:val="005872CF"/>
    <w:rsid w:val="00590A76"/>
    <w:rsid w:val="00594091"/>
    <w:rsid w:val="0059698B"/>
    <w:rsid w:val="00596CF9"/>
    <w:rsid w:val="005A0CDA"/>
    <w:rsid w:val="005A4371"/>
    <w:rsid w:val="005A5D71"/>
    <w:rsid w:val="005A65C8"/>
    <w:rsid w:val="005B2A31"/>
    <w:rsid w:val="005C57A8"/>
    <w:rsid w:val="005D6704"/>
    <w:rsid w:val="005D7566"/>
    <w:rsid w:val="005D7CF8"/>
    <w:rsid w:val="005E0475"/>
    <w:rsid w:val="005E18D9"/>
    <w:rsid w:val="005E39B6"/>
    <w:rsid w:val="005E6B6D"/>
    <w:rsid w:val="005E7870"/>
    <w:rsid w:val="005F2555"/>
    <w:rsid w:val="005F72F8"/>
    <w:rsid w:val="00603094"/>
    <w:rsid w:val="0061046E"/>
    <w:rsid w:val="00610775"/>
    <w:rsid w:val="0061467A"/>
    <w:rsid w:val="00614E31"/>
    <w:rsid w:val="00617659"/>
    <w:rsid w:val="0062533C"/>
    <w:rsid w:val="006277CD"/>
    <w:rsid w:val="00630A5E"/>
    <w:rsid w:val="00631454"/>
    <w:rsid w:val="00634417"/>
    <w:rsid w:val="00641841"/>
    <w:rsid w:val="00645E5B"/>
    <w:rsid w:val="0064620B"/>
    <w:rsid w:val="00646516"/>
    <w:rsid w:val="00652E22"/>
    <w:rsid w:val="00653898"/>
    <w:rsid w:val="0065446F"/>
    <w:rsid w:val="00656154"/>
    <w:rsid w:val="0065784C"/>
    <w:rsid w:val="00660EAC"/>
    <w:rsid w:val="00662D62"/>
    <w:rsid w:val="00664AF1"/>
    <w:rsid w:val="00666AC0"/>
    <w:rsid w:val="00667FC6"/>
    <w:rsid w:val="00671A9E"/>
    <w:rsid w:val="00672539"/>
    <w:rsid w:val="00672795"/>
    <w:rsid w:val="00674F9D"/>
    <w:rsid w:val="00677979"/>
    <w:rsid w:val="006806B6"/>
    <w:rsid w:val="00682670"/>
    <w:rsid w:val="00694206"/>
    <w:rsid w:val="006A1DBE"/>
    <w:rsid w:val="006A3645"/>
    <w:rsid w:val="006A48AC"/>
    <w:rsid w:val="006B135B"/>
    <w:rsid w:val="006B1413"/>
    <w:rsid w:val="006B1D38"/>
    <w:rsid w:val="006B23E8"/>
    <w:rsid w:val="006B2444"/>
    <w:rsid w:val="006B37BB"/>
    <w:rsid w:val="006B4E27"/>
    <w:rsid w:val="006B7E9D"/>
    <w:rsid w:val="006C234C"/>
    <w:rsid w:val="006C517E"/>
    <w:rsid w:val="006C580F"/>
    <w:rsid w:val="006C6374"/>
    <w:rsid w:val="006D06DA"/>
    <w:rsid w:val="006D2820"/>
    <w:rsid w:val="006D4B2C"/>
    <w:rsid w:val="006E0E72"/>
    <w:rsid w:val="006E16CC"/>
    <w:rsid w:val="006E56A7"/>
    <w:rsid w:val="006E7A56"/>
    <w:rsid w:val="006F07FB"/>
    <w:rsid w:val="006F15B8"/>
    <w:rsid w:val="006F3CA7"/>
    <w:rsid w:val="006F3F0E"/>
    <w:rsid w:val="00705975"/>
    <w:rsid w:val="00725B92"/>
    <w:rsid w:val="00734FD5"/>
    <w:rsid w:val="0073697F"/>
    <w:rsid w:val="00744D63"/>
    <w:rsid w:val="00746EFD"/>
    <w:rsid w:val="00747277"/>
    <w:rsid w:val="00757804"/>
    <w:rsid w:val="00761D18"/>
    <w:rsid w:val="00763410"/>
    <w:rsid w:val="007638C2"/>
    <w:rsid w:val="007660DB"/>
    <w:rsid w:val="00767CD4"/>
    <w:rsid w:val="00773DAD"/>
    <w:rsid w:val="00774920"/>
    <w:rsid w:val="00776836"/>
    <w:rsid w:val="00781CC2"/>
    <w:rsid w:val="0078231A"/>
    <w:rsid w:val="00782826"/>
    <w:rsid w:val="00782AB3"/>
    <w:rsid w:val="00785628"/>
    <w:rsid w:val="00785A7D"/>
    <w:rsid w:val="00790743"/>
    <w:rsid w:val="007908E5"/>
    <w:rsid w:val="00790941"/>
    <w:rsid w:val="007960A3"/>
    <w:rsid w:val="007A105C"/>
    <w:rsid w:val="007A1902"/>
    <w:rsid w:val="007A4026"/>
    <w:rsid w:val="007B074A"/>
    <w:rsid w:val="007B39A4"/>
    <w:rsid w:val="007B6FBA"/>
    <w:rsid w:val="007C1AA6"/>
    <w:rsid w:val="007D793F"/>
    <w:rsid w:val="007E1F23"/>
    <w:rsid w:val="007E3062"/>
    <w:rsid w:val="007E6C57"/>
    <w:rsid w:val="007E7027"/>
    <w:rsid w:val="007F602D"/>
    <w:rsid w:val="007F6AF7"/>
    <w:rsid w:val="008034C9"/>
    <w:rsid w:val="00803E51"/>
    <w:rsid w:val="00813FF6"/>
    <w:rsid w:val="00817AC0"/>
    <w:rsid w:val="0082159D"/>
    <w:rsid w:val="00825FD7"/>
    <w:rsid w:val="00826E63"/>
    <w:rsid w:val="00830196"/>
    <w:rsid w:val="008321A8"/>
    <w:rsid w:val="008372B2"/>
    <w:rsid w:val="00840B1D"/>
    <w:rsid w:val="00841B2C"/>
    <w:rsid w:val="00856249"/>
    <w:rsid w:val="008616F5"/>
    <w:rsid w:val="0086221B"/>
    <w:rsid w:val="00864FDA"/>
    <w:rsid w:val="00866038"/>
    <w:rsid w:val="008715A6"/>
    <w:rsid w:val="008770A3"/>
    <w:rsid w:val="00882AC1"/>
    <w:rsid w:val="00885CCE"/>
    <w:rsid w:val="008902C2"/>
    <w:rsid w:val="00894E5C"/>
    <w:rsid w:val="008A4E8A"/>
    <w:rsid w:val="008A5BE4"/>
    <w:rsid w:val="008B1756"/>
    <w:rsid w:val="008B5EAF"/>
    <w:rsid w:val="008B766F"/>
    <w:rsid w:val="008C0835"/>
    <w:rsid w:val="008C0F59"/>
    <w:rsid w:val="008C2C15"/>
    <w:rsid w:val="008C34E9"/>
    <w:rsid w:val="008C4814"/>
    <w:rsid w:val="008D0FFE"/>
    <w:rsid w:val="008D5305"/>
    <w:rsid w:val="008D5963"/>
    <w:rsid w:val="008D7B0E"/>
    <w:rsid w:val="008E3703"/>
    <w:rsid w:val="008F1049"/>
    <w:rsid w:val="0090574C"/>
    <w:rsid w:val="00905E41"/>
    <w:rsid w:val="0091109F"/>
    <w:rsid w:val="009122DF"/>
    <w:rsid w:val="009303A9"/>
    <w:rsid w:val="009349C8"/>
    <w:rsid w:val="00940368"/>
    <w:rsid w:val="0095032B"/>
    <w:rsid w:val="00953C17"/>
    <w:rsid w:val="0095685C"/>
    <w:rsid w:val="009676CE"/>
    <w:rsid w:val="00972387"/>
    <w:rsid w:val="00973223"/>
    <w:rsid w:val="009765F3"/>
    <w:rsid w:val="00976711"/>
    <w:rsid w:val="0098047C"/>
    <w:rsid w:val="0099614D"/>
    <w:rsid w:val="009A02EC"/>
    <w:rsid w:val="009A3FBD"/>
    <w:rsid w:val="009A5BB7"/>
    <w:rsid w:val="009B5887"/>
    <w:rsid w:val="009B5AD6"/>
    <w:rsid w:val="009C3932"/>
    <w:rsid w:val="009C414C"/>
    <w:rsid w:val="009C62C7"/>
    <w:rsid w:val="009C67B0"/>
    <w:rsid w:val="009D0565"/>
    <w:rsid w:val="009D1BC3"/>
    <w:rsid w:val="009D5372"/>
    <w:rsid w:val="009E245E"/>
    <w:rsid w:val="009E504D"/>
    <w:rsid w:val="009E7818"/>
    <w:rsid w:val="009F1372"/>
    <w:rsid w:val="009F166D"/>
    <w:rsid w:val="009F5A5E"/>
    <w:rsid w:val="00A00559"/>
    <w:rsid w:val="00A047FD"/>
    <w:rsid w:val="00A05649"/>
    <w:rsid w:val="00A06E0F"/>
    <w:rsid w:val="00A16A19"/>
    <w:rsid w:val="00A24825"/>
    <w:rsid w:val="00A24C4F"/>
    <w:rsid w:val="00A25F24"/>
    <w:rsid w:val="00A27B8E"/>
    <w:rsid w:val="00A304F7"/>
    <w:rsid w:val="00A51CB3"/>
    <w:rsid w:val="00A54992"/>
    <w:rsid w:val="00A54CB2"/>
    <w:rsid w:val="00A561EE"/>
    <w:rsid w:val="00A56CCE"/>
    <w:rsid w:val="00A642E2"/>
    <w:rsid w:val="00A64679"/>
    <w:rsid w:val="00A66A9C"/>
    <w:rsid w:val="00A66C0D"/>
    <w:rsid w:val="00A730C5"/>
    <w:rsid w:val="00A769E2"/>
    <w:rsid w:val="00A76E7F"/>
    <w:rsid w:val="00A85707"/>
    <w:rsid w:val="00A89BD1"/>
    <w:rsid w:val="00A901AA"/>
    <w:rsid w:val="00A9031B"/>
    <w:rsid w:val="00A908B5"/>
    <w:rsid w:val="00A92E41"/>
    <w:rsid w:val="00A9341F"/>
    <w:rsid w:val="00A93955"/>
    <w:rsid w:val="00A9450B"/>
    <w:rsid w:val="00AB0977"/>
    <w:rsid w:val="00AB5146"/>
    <w:rsid w:val="00AB6775"/>
    <w:rsid w:val="00AB7935"/>
    <w:rsid w:val="00AC0E8A"/>
    <w:rsid w:val="00AC3297"/>
    <w:rsid w:val="00AC363D"/>
    <w:rsid w:val="00AC5D23"/>
    <w:rsid w:val="00AD1249"/>
    <w:rsid w:val="00AD615A"/>
    <w:rsid w:val="00AE0301"/>
    <w:rsid w:val="00AE30ED"/>
    <w:rsid w:val="00AE5C77"/>
    <w:rsid w:val="00AF3CB2"/>
    <w:rsid w:val="00AF57F1"/>
    <w:rsid w:val="00AF6AAF"/>
    <w:rsid w:val="00AF76BE"/>
    <w:rsid w:val="00B01366"/>
    <w:rsid w:val="00B01618"/>
    <w:rsid w:val="00B0281D"/>
    <w:rsid w:val="00B03E88"/>
    <w:rsid w:val="00B14E50"/>
    <w:rsid w:val="00B1742A"/>
    <w:rsid w:val="00B217EC"/>
    <w:rsid w:val="00B2598E"/>
    <w:rsid w:val="00B30632"/>
    <w:rsid w:val="00B32BE2"/>
    <w:rsid w:val="00B3531C"/>
    <w:rsid w:val="00B47EBE"/>
    <w:rsid w:val="00B51862"/>
    <w:rsid w:val="00B569FB"/>
    <w:rsid w:val="00B56A7D"/>
    <w:rsid w:val="00B6058D"/>
    <w:rsid w:val="00B60B2F"/>
    <w:rsid w:val="00B622FA"/>
    <w:rsid w:val="00B712B7"/>
    <w:rsid w:val="00B807A4"/>
    <w:rsid w:val="00B829F8"/>
    <w:rsid w:val="00B83B35"/>
    <w:rsid w:val="00B85C67"/>
    <w:rsid w:val="00B90BA3"/>
    <w:rsid w:val="00B91BB7"/>
    <w:rsid w:val="00B9334E"/>
    <w:rsid w:val="00B93F04"/>
    <w:rsid w:val="00B95280"/>
    <w:rsid w:val="00BB05BD"/>
    <w:rsid w:val="00BB5674"/>
    <w:rsid w:val="00BB6998"/>
    <w:rsid w:val="00BC3F9F"/>
    <w:rsid w:val="00BC56DA"/>
    <w:rsid w:val="00BD2D0C"/>
    <w:rsid w:val="00BE160C"/>
    <w:rsid w:val="00BE1939"/>
    <w:rsid w:val="00BE4652"/>
    <w:rsid w:val="00BE658D"/>
    <w:rsid w:val="00BF3F7B"/>
    <w:rsid w:val="00BF44E8"/>
    <w:rsid w:val="00BF5E8A"/>
    <w:rsid w:val="00C00878"/>
    <w:rsid w:val="00C03484"/>
    <w:rsid w:val="00C04620"/>
    <w:rsid w:val="00C04AEA"/>
    <w:rsid w:val="00C05A17"/>
    <w:rsid w:val="00C1111A"/>
    <w:rsid w:val="00C206D0"/>
    <w:rsid w:val="00C239CC"/>
    <w:rsid w:val="00C23DDC"/>
    <w:rsid w:val="00C23ED7"/>
    <w:rsid w:val="00C23F06"/>
    <w:rsid w:val="00C24A61"/>
    <w:rsid w:val="00C33932"/>
    <w:rsid w:val="00C35690"/>
    <w:rsid w:val="00C416EA"/>
    <w:rsid w:val="00C449D9"/>
    <w:rsid w:val="00C51ADB"/>
    <w:rsid w:val="00C51FAD"/>
    <w:rsid w:val="00C51FF8"/>
    <w:rsid w:val="00C5265D"/>
    <w:rsid w:val="00C53CC4"/>
    <w:rsid w:val="00C54468"/>
    <w:rsid w:val="00C54C18"/>
    <w:rsid w:val="00C60E27"/>
    <w:rsid w:val="00C64812"/>
    <w:rsid w:val="00C65258"/>
    <w:rsid w:val="00C664BB"/>
    <w:rsid w:val="00C6743E"/>
    <w:rsid w:val="00C67B6F"/>
    <w:rsid w:val="00C75D6B"/>
    <w:rsid w:val="00C802F7"/>
    <w:rsid w:val="00C814BD"/>
    <w:rsid w:val="00C82450"/>
    <w:rsid w:val="00C82D6D"/>
    <w:rsid w:val="00C85955"/>
    <w:rsid w:val="00C8645F"/>
    <w:rsid w:val="00C906F3"/>
    <w:rsid w:val="00C91BC6"/>
    <w:rsid w:val="00C92F64"/>
    <w:rsid w:val="00C93278"/>
    <w:rsid w:val="00C93945"/>
    <w:rsid w:val="00C93DC8"/>
    <w:rsid w:val="00C977F1"/>
    <w:rsid w:val="00CA2841"/>
    <w:rsid w:val="00CB0E16"/>
    <w:rsid w:val="00CB122B"/>
    <w:rsid w:val="00CB435F"/>
    <w:rsid w:val="00CB504E"/>
    <w:rsid w:val="00CB5C00"/>
    <w:rsid w:val="00CB7056"/>
    <w:rsid w:val="00CC0F00"/>
    <w:rsid w:val="00CD00DA"/>
    <w:rsid w:val="00CD3075"/>
    <w:rsid w:val="00CD6979"/>
    <w:rsid w:val="00CD7765"/>
    <w:rsid w:val="00CE2DB1"/>
    <w:rsid w:val="00CE5843"/>
    <w:rsid w:val="00CE608A"/>
    <w:rsid w:val="00CF3565"/>
    <w:rsid w:val="00CF52E8"/>
    <w:rsid w:val="00CF719D"/>
    <w:rsid w:val="00D002DD"/>
    <w:rsid w:val="00D02930"/>
    <w:rsid w:val="00D02A59"/>
    <w:rsid w:val="00D03480"/>
    <w:rsid w:val="00D10E91"/>
    <w:rsid w:val="00D14608"/>
    <w:rsid w:val="00D16DCA"/>
    <w:rsid w:val="00D25406"/>
    <w:rsid w:val="00D2684D"/>
    <w:rsid w:val="00D35962"/>
    <w:rsid w:val="00D452C3"/>
    <w:rsid w:val="00D537F7"/>
    <w:rsid w:val="00D569A5"/>
    <w:rsid w:val="00D61EAB"/>
    <w:rsid w:val="00D676AA"/>
    <w:rsid w:val="00D7482A"/>
    <w:rsid w:val="00D75EC3"/>
    <w:rsid w:val="00D76B09"/>
    <w:rsid w:val="00D913F0"/>
    <w:rsid w:val="00D95CD2"/>
    <w:rsid w:val="00D9754D"/>
    <w:rsid w:val="00DA32B3"/>
    <w:rsid w:val="00DA3F21"/>
    <w:rsid w:val="00DA6005"/>
    <w:rsid w:val="00DA79EA"/>
    <w:rsid w:val="00DB21CB"/>
    <w:rsid w:val="00DB2E0D"/>
    <w:rsid w:val="00DD2079"/>
    <w:rsid w:val="00DD40FD"/>
    <w:rsid w:val="00DD558A"/>
    <w:rsid w:val="00DE1F33"/>
    <w:rsid w:val="00DE4399"/>
    <w:rsid w:val="00DE61CA"/>
    <w:rsid w:val="00DF1D31"/>
    <w:rsid w:val="00DF2258"/>
    <w:rsid w:val="00DF3442"/>
    <w:rsid w:val="00DF5511"/>
    <w:rsid w:val="00DF694F"/>
    <w:rsid w:val="00E07360"/>
    <w:rsid w:val="00E07A52"/>
    <w:rsid w:val="00E114E4"/>
    <w:rsid w:val="00E114F8"/>
    <w:rsid w:val="00E11AB1"/>
    <w:rsid w:val="00E13EF9"/>
    <w:rsid w:val="00E15A14"/>
    <w:rsid w:val="00E1793D"/>
    <w:rsid w:val="00E224C6"/>
    <w:rsid w:val="00E23994"/>
    <w:rsid w:val="00E26AD3"/>
    <w:rsid w:val="00E312B2"/>
    <w:rsid w:val="00E313AD"/>
    <w:rsid w:val="00E343DE"/>
    <w:rsid w:val="00E35DC0"/>
    <w:rsid w:val="00E400B0"/>
    <w:rsid w:val="00E40E3D"/>
    <w:rsid w:val="00E413BA"/>
    <w:rsid w:val="00E431B7"/>
    <w:rsid w:val="00E44F10"/>
    <w:rsid w:val="00E50DBE"/>
    <w:rsid w:val="00E574A3"/>
    <w:rsid w:val="00E57FB6"/>
    <w:rsid w:val="00E7056F"/>
    <w:rsid w:val="00E71FE9"/>
    <w:rsid w:val="00E73F4D"/>
    <w:rsid w:val="00E74BAF"/>
    <w:rsid w:val="00E74D75"/>
    <w:rsid w:val="00E77A16"/>
    <w:rsid w:val="00E8542D"/>
    <w:rsid w:val="00E91CA6"/>
    <w:rsid w:val="00E92C11"/>
    <w:rsid w:val="00E93206"/>
    <w:rsid w:val="00E94EEE"/>
    <w:rsid w:val="00E97A6B"/>
    <w:rsid w:val="00EA1640"/>
    <w:rsid w:val="00EB29D4"/>
    <w:rsid w:val="00EB31B4"/>
    <w:rsid w:val="00EB3D48"/>
    <w:rsid w:val="00EC292B"/>
    <w:rsid w:val="00EC4C43"/>
    <w:rsid w:val="00EC5930"/>
    <w:rsid w:val="00EC74EE"/>
    <w:rsid w:val="00EC7866"/>
    <w:rsid w:val="00ED3C35"/>
    <w:rsid w:val="00EE2A52"/>
    <w:rsid w:val="00EE4C60"/>
    <w:rsid w:val="00EE5A22"/>
    <w:rsid w:val="00EE74DA"/>
    <w:rsid w:val="00EF0D55"/>
    <w:rsid w:val="00EF494C"/>
    <w:rsid w:val="00F0275E"/>
    <w:rsid w:val="00F13191"/>
    <w:rsid w:val="00F13594"/>
    <w:rsid w:val="00F15468"/>
    <w:rsid w:val="00F15D19"/>
    <w:rsid w:val="00F23530"/>
    <w:rsid w:val="00F25952"/>
    <w:rsid w:val="00F26907"/>
    <w:rsid w:val="00F2787B"/>
    <w:rsid w:val="00F3593B"/>
    <w:rsid w:val="00F40C06"/>
    <w:rsid w:val="00F419CC"/>
    <w:rsid w:val="00F53D62"/>
    <w:rsid w:val="00F60E8A"/>
    <w:rsid w:val="00F75EC3"/>
    <w:rsid w:val="00FB26EE"/>
    <w:rsid w:val="00FB2DB4"/>
    <w:rsid w:val="00FB3FEC"/>
    <w:rsid w:val="00FB62B1"/>
    <w:rsid w:val="00FB6E9B"/>
    <w:rsid w:val="00FB7C18"/>
    <w:rsid w:val="00FC0401"/>
    <w:rsid w:val="00FC05C9"/>
    <w:rsid w:val="00FC4536"/>
    <w:rsid w:val="00FC53FD"/>
    <w:rsid w:val="00FC63B4"/>
    <w:rsid w:val="00FD7D2B"/>
    <w:rsid w:val="00FE2BF4"/>
    <w:rsid w:val="00FE3183"/>
    <w:rsid w:val="00FF3AA5"/>
    <w:rsid w:val="025B3346"/>
    <w:rsid w:val="03D50FFD"/>
    <w:rsid w:val="05745918"/>
    <w:rsid w:val="05C74508"/>
    <w:rsid w:val="07F1C264"/>
    <w:rsid w:val="0A1F61BC"/>
    <w:rsid w:val="0B7AE5C3"/>
    <w:rsid w:val="0CC00670"/>
    <w:rsid w:val="107AA8DA"/>
    <w:rsid w:val="1100898E"/>
    <w:rsid w:val="120B686D"/>
    <w:rsid w:val="121C9E96"/>
    <w:rsid w:val="12E72377"/>
    <w:rsid w:val="12F18E1B"/>
    <w:rsid w:val="14297A47"/>
    <w:rsid w:val="1454BEC7"/>
    <w:rsid w:val="1459F285"/>
    <w:rsid w:val="151875C5"/>
    <w:rsid w:val="153DD2FA"/>
    <w:rsid w:val="1609CE69"/>
    <w:rsid w:val="168A5383"/>
    <w:rsid w:val="185D66BB"/>
    <w:rsid w:val="18D8AA3B"/>
    <w:rsid w:val="199A6CB5"/>
    <w:rsid w:val="1A30BC51"/>
    <w:rsid w:val="1A8EDE2F"/>
    <w:rsid w:val="1AB25FD7"/>
    <w:rsid w:val="1ABEB9F9"/>
    <w:rsid w:val="1BD625D9"/>
    <w:rsid w:val="1E11A1BD"/>
    <w:rsid w:val="1E4EE4E1"/>
    <w:rsid w:val="1ED6C1C9"/>
    <w:rsid w:val="1EE1FDD1"/>
    <w:rsid w:val="1F51AE8B"/>
    <w:rsid w:val="207974FA"/>
    <w:rsid w:val="20C234E9"/>
    <w:rsid w:val="214AE564"/>
    <w:rsid w:val="21EA5BBA"/>
    <w:rsid w:val="224355F0"/>
    <w:rsid w:val="224E10E9"/>
    <w:rsid w:val="22ED0335"/>
    <w:rsid w:val="230DA56C"/>
    <w:rsid w:val="241C79E3"/>
    <w:rsid w:val="24D3862F"/>
    <w:rsid w:val="24D60C90"/>
    <w:rsid w:val="25E899D9"/>
    <w:rsid w:val="2690A135"/>
    <w:rsid w:val="26E3BC16"/>
    <w:rsid w:val="275B87FA"/>
    <w:rsid w:val="27C31611"/>
    <w:rsid w:val="281560D2"/>
    <w:rsid w:val="29BCB226"/>
    <w:rsid w:val="2A84210C"/>
    <w:rsid w:val="2AE3EFF0"/>
    <w:rsid w:val="2B04AA61"/>
    <w:rsid w:val="2BA09FAA"/>
    <w:rsid w:val="2DC5CB94"/>
    <w:rsid w:val="2DD96756"/>
    <w:rsid w:val="2EB67C9C"/>
    <w:rsid w:val="2F9B227B"/>
    <w:rsid w:val="30AF123F"/>
    <w:rsid w:val="3125342A"/>
    <w:rsid w:val="320DDA2E"/>
    <w:rsid w:val="328CBD8D"/>
    <w:rsid w:val="32C7360F"/>
    <w:rsid w:val="330325AB"/>
    <w:rsid w:val="35B1D536"/>
    <w:rsid w:val="36CA0B67"/>
    <w:rsid w:val="3781C28E"/>
    <w:rsid w:val="3836E749"/>
    <w:rsid w:val="38C614C9"/>
    <w:rsid w:val="3A009683"/>
    <w:rsid w:val="3A5CDBEF"/>
    <w:rsid w:val="3B7018C9"/>
    <w:rsid w:val="3CE84940"/>
    <w:rsid w:val="3D086D91"/>
    <w:rsid w:val="3D4ABBE3"/>
    <w:rsid w:val="3E5430BD"/>
    <w:rsid w:val="3F4DADC9"/>
    <w:rsid w:val="41831BBE"/>
    <w:rsid w:val="41F4035F"/>
    <w:rsid w:val="42089F7F"/>
    <w:rsid w:val="421A034A"/>
    <w:rsid w:val="42CDF930"/>
    <w:rsid w:val="440CCEF7"/>
    <w:rsid w:val="44DC7182"/>
    <w:rsid w:val="45296153"/>
    <w:rsid w:val="4542E366"/>
    <w:rsid w:val="45E83EB2"/>
    <w:rsid w:val="46E3AC2A"/>
    <w:rsid w:val="4945831A"/>
    <w:rsid w:val="498B28D0"/>
    <w:rsid w:val="49B5BCCC"/>
    <w:rsid w:val="49B94879"/>
    <w:rsid w:val="4B12E43C"/>
    <w:rsid w:val="4B16BD80"/>
    <w:rsid w:val="4DA1EB2D"/>
    <w:rsid w:val="4E9085AF"/>
    <w:rsid w:val="4E934738"/>
    <w:rsid w:val="4E9C401D"/>
    <w:rsid w:val="4ED1BB7E"/>
    <w:rsid w:val="4F7DF4E0"/>
    <w:rsid w:val="4FCA26F7"/>
    <w:rsid w:val="5193D5AA"/>
    <w:rsid w:val="5223AC2F"/>
    <w:rsid w:val="53033516"/>
    <w:rsid w:val="538157FB"/>
    <w:rsid w:val="53BEA1A2"/>
    <w:rsid w:val="54419B48"/>
    <w:rsid w:val="54979C98"/>
    <w:rsid w:val="5501984D"/>
    <w:rsid w:val="55B4F621"/>
    <w:rsid w:val="568E863F"/>
    <w:rsid w:val="573D4746"/>
    <w:rsid w:val="576B5617"/>
    <w:rsid w:val="57796EF2"/>
    <w:rsid w:val="59E8D50D"/>
    <w:rsid w:val="5B5BE5A0"/>
    <w:rsid w:val="5C2D0571"/>
    <w:rsid w:val="5D7F3F95"/>
    <w:rsid w:val="5E1FC251"/>
    <w:rsid w:val="5E494380"/>
    <w:rsid w:val="5F7C66E9"/>
    <w:rsid w:val="5F9929D0"/>
    <w:rsid w:val="61108B65"/>
    <w:rsid w:val="621CA815"/>
    <w:rsid w:val="6233A03C"/>
    <w:rsid w:val="625C058F"/>
    <w:rsid w:val="62A394AD"/>
    <w:rsid w:val="632354AB"/>
    <w:rsid w:val="639C2D82"/>
    <w:rsid w:val="648F153F"/>
    <w:rsid w:val="64B34B5D"/>
    <w:rsid w:val="64FCDEE8"/>
    <w:rsid w:val="6562634D"/>
    <w:rsid w:val="662AE335"/>
    <w:rsid w:val="662EB214"/>
    <w:rsid w:val="672E879C"/>
    <w:rsid w:val="673748A9"/>
    <w:rsid w:val="680AE57D"/>
    <w:rsid w:val="68212BE1"/>
    <w:rsid w:val="68302F42"/>
    <w:rsid w:val="68599925"/>
    <w:rsid w:val="6890E2DF"/>
    <w:rsid w:val="69189C88"/>
    <w:rsid w:val="69661597"/>
    <w:rsid w:val="698C8DBF"/>
    <w:rsid w:val="6A27BF43"/>
    <w:rsid w:val="6BF8556D"/>
    <w:rsid w:val="6E9C48CC"/>
    <w:rsid w:val="6F0EE229"/>
    <w:rsid w:val="72097A86"/>
    <w:rsid w:val="7210BF83"/>
    <w:rsid w:val="729432B6"/>
    <w:rsid w:val="75A365CA"/>
    <w:rsid w:val="75B5229C"/>
    <w:rsid w:val="76663366"/>
    <w:rsid w:val="76BF3B10"/>
    <w:rsid w:val="783AE07C"/>
    <w:rsid w:val="786AF994"/>
    <w:rsid w:val="7C5F50A8"/>
    <w:rsid w:val="7C6A943D"/>
    <w:rsid w:val="7CB7EA4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3F60"/>
  <w15:chartTrackingRefBased/>
  <w15:docId w15:val="{7A3B49B9-AE17-4D8B-93E2-6970D9A9E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uiPriority w:val="99"/>
    <w:semiHidden/>
    <w:unhideWhenUsed/>
    <w:rsid w:val="00CA2841"/>
    <w:rPr>
      <w:vertAlign w:val="superscript"/>
    </w:rPr>
  </w:style>
  <w:style w:type="table" w:styleId="Tabela-Siatka">
    <w:name w:val="Table Grid"/>
    <w:basedOn w:val="Standardowy"/>
    <w:uiPriority w:val="39"/>
    <w:rsid w:val="00CA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E74DA"/>
    <w:pPr>
      <w:ind w:left="720"/>
      <w:contextualSpacing/>
    </w:pPr>
  </w:style>
  <w:style w:type="paragraph" w:styleId="Nagwek">
    <w:name w:val="header"/>
    <w:basedOn w:val="Normalny"/>
    <w:link w:val="NagwekZnak"/>
    <w:uiPriority w:val="99"/>
    <w:semiHidden/>
    <w:unhideWhenUsed/>
    <w:rsid w:val="0016062C"/>
    <w:pPr>
      <w:tabs>
        <w:tab w:val="center" w:pos="4680"/>
        <w:tab w:val="right" w:pos="9360"/>
      </w:tabs>
      <w:spacing w:after="0" w:line="240" w:lineRule="auto"/>
    </w:pPr>
  </w:style>
  <w:style w:type="character" w:customStyle="1" w:styleId="NagwekZnak">
    <w:name w:val="Nagłówek Znak"/>
    <w:basedOn w:val="Domylnaczcionkaakapitu"/>
    <w:link w:val="Nagwek"/>
    <w:uiPriority w:val="99"/>
    <w:semiHidden/>
    <w:rsid w:val="00E431B7"/>
  </w:style>
  <w:style w:type="paragraph" w:styleId="Stopka">
    <w:name w:val="footer"/>
    <w:basedOn w:val="Normalny"/>
    <w:link w:val="StopkaZnak"/>
    <w:uiPriority w:val="99"/>
    <w:semiHidden/>
    <w:unhideWhenUsed/>
    <w:rsid w:val="0016062C"/>
    <w:pPr>
      <w:tabs>
        <w:tab w:val="center" w:pos="4680"/>
        <w:tab w:val="right" w:pos="9360"/>
      </w:tabs>
      <w:spacing w:after="0" w:line="240" w:lineRule="auto"/>
    </w:pPr>
  </w:style>
  <w:style w:type="character" w:customStyle="1" w:styleId="StopkaZnak">
    <w:name w:val="Stopka Znak"/>
    <w:basedOn w:val="Domylnaczcionkaakapitu"/>
    <w:link w:val="Stopka"/>
    <w:uiPriority w:val="99"/>
    <w:semiHidden/>
    <w:rsid w:val="00E431B7"/>
  </w:style>
  <w:style w:type="character" w:customStyle="1" w:styleId="TekstprzypisudolnegoZnak">
    <w:name w:val="Tekst przypisu dolnego Znak"/>
    <w:basedOn w:val="Domylnaczcionkaakapitu"/>
    <w:link w:val="Tekstprzypisudolnego"/>
    <w:uiPriority w:val="99"/>
    <w:semiHidden/>
    <w:rsid w:val="00E431B7"/>
    <w:rPr>
      <w:sz w:val="20"/>
      <w:szCs w:val="20"/>
    </w:rPr>
  </w:style>
  <w:style w:type="paragraph" w:styleId="Tekstprzypisudolnego">
    <w:name w:val="footnote text"/>
    <w:basedOn w:val="Normalny"/>
    <w:link w:val="TekstprzypisudolnegoZnak"/>
    <w:uiPriority w:val="99"/>
    <w:semiHidden/>
    <w:unhideWhenUsed/>
    <w:rsid w:val="00FC53FD"/>
    <w:pPr>
      <w:spacing w:after="0" w:line="240" w:lineRule="auto"/>
    </w:pPr>
    <w:rPr>
      <w:sz w:val="20"/>
      <w:szCs w:val="20"/>
    </w:rPr>
  </w:style>
  <w:style w:type="character" w:customStyle="1" w:styleId="TekstkomentarzaZnak">
    <w:name w:val="Tekst komentarza Znak"/>
    <w:basedOn w:val="Domylnaczcionkaakapitu"/>
    <w:uiPriority w:val="99"/>
    <w:rsid w:val="00E431B7"/>
    <w:rPr>
      <w:sz w:val="20"/>
      <w:szCs w:val="20"/>
    </w:rPr>
  </w:style>
  <w:style w:type="character" w:customStyle="1" w:styleId="TematkomentarzaZnak">
    <w:name w:val="Temat komentarza Znak"/>
    <w:basedOn w:val="TekstkomentarzaZnak"/>
    <w:uiPriority w:val="99"/>
    <w:semiHidden/>
    <w:rsid w:val="00E431B7"/>
    <w:rPr>
      <w:b/>
      <w:bCs/>
      <w:sz w:val="20"/>
      <w:szCs w:val="20"/>
    </w:rPr>
  </w:style>
  <w:style w:type="paragraph" w:styleId="Bezodstpw">
    <w:name w:val="No Spacing"/>
    <w:uiPriority w:val="1"/>
    <w:qFormat/>
    <w:rsid w:val="00FC53FD"/>
    <w:pPr>
      <w:spacing w:after="0" w:line="240" w:lineRule="auto"/>
    </w:pPr>
    <w:rPr>
      <w:kern w:val="2"/>
      <w14:ligatures w14:val="standardContextual"/>
    </w:rPr>
  </w:style>
  <w:style w:type="character" w:customStyle="1" w:styleId="TekstprzypisudolnegoZnak1">
    <w:name w:val="Tekst przypisu dolnego Znak1"/>
    <w:basedOn w:val="Domylnaczcionkaakapitu"/>
    <w:uiPriority w:val="99"/>
    <w:semiHidden/>
    <w:rsid w:val="00FC53FD"/>
    <w:rPr>
      <w:sz w:val="20"/>
      <w:szCs w:val="20"/>
    </w:rPr>
  </w:style>
  <w:style w:type="table" w:customStyle="1" w:styleId="TableNormal1">
    <w:name w:val="Table Normal1"/>
    <w:uiPriority w:val="99"/>
    <w:semiHidden/>
    <w:unhideWhenUsed/>
    <w:rsid w:val="007C1AA6"/>
    <w:tblPr>
      <w:tblInd w:w="0" w:type="dxa"/>
      <w:tblCellMar>
        <w:top w:w="0" w:type="dxa"/>
        <w:left w:w="108" w:type="dxa"/>
        <w:bottom w:w="0" w:type="dxa"/>
        <w:right w:w="108" w:type="dxa"/>
      </w:tblCellMar>
    </w:tblPr>
  </w:style>
  <w:style w:type="character" w:customStyle="1" w:styleId="CommentReference1">
    <w:name w:val="Comment Reference1"/>
    <w:basedOn w:val="Domylnaczcionkaakapitu"/>
    <w:uiPriority w:val="99"/>
    <w:semiHidden/>
    <w:unhideWhenUsed/>
    <w:rsid w:val="007C1AA6"/>
    <w:rPr>
      <w:sz w:val="16"/>
      <w:szCs w:val="16"/>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1">
    <w:name w:val="Tekst komentarza Znak1"/>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1"/>
    <w:uiPriority w:val="99"/>
    <w:semiHidden/>
    <w:unhideWhenUsed/>
    <w:rsid w:val="009E7818"/>
    <w:rPr>
      <w:b/>
      <w:bCs/>
    </w:rPr>
  </w:style>
  <w:style w:type="character" w:customStyle="1" w:styleId="TematkomentarzaZnak1">
    <w:name w:val="Temat komentarza Znak1"/>
    <w:basedOn w:val="TekstkomentarzaZnak1"/>
    <w:link w:val="Tematkomentarza"/>
    <w:uiPriority w:val="99"/>
    <w:semiHidden/>
    <w:rsid w:val="009E7818"/>
    <w:rPr>
      <w:b/>
      <w:bCs/>
      <w:sz w:val="20"/>
      <w:szCs w:val="20"/>
    </w:rPr>
  </w:style>
  <w:style w:type="character" w:styleId="Hipercze">
    <w:name w:val="Hyperlink"/>
    <w:basedOn w:val="Domylnaczcionkaakapitu"/>
    <w:uiPriority w:val="99"/>
    <w:unhideWhenUsed/>
    <w:rsid w:val="24D386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8A9B-02CF-49B8-B19D-07AFA93A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42</Pages>
  <Words>9219</Words>
  <Characters>55319</Characters>
  <Application>Microsoft Office Word</Application>
  <DocSecurity>0</DocSecurity>
  <Lines>460</Lines>
  <Paragraphs>128</Paragraphs>
  <ScaleCrop>false</ScaleCrop>
  <Company/>
  <LinksUpToDate>false</LinksUpToDate>
  <CharactersWithSpaces>64410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Wójcikiewicz-Kawa Agata</dc:creator>
  <cp:keywords/>
  <dc:description/>
  <cp:lastModifiedBy>Magdalena Widlicka</cp:lastModifiedBy>
  <cp:revision>218</cp:revision>
  <cp:lastPrinted>2026-04-14T05:36:00Z</cp:lastPrinted>
  <dcterms:created xsi:type="dcterms:W3CDTF">2026-09-02T13:10:00Z</dcterms:created>
  <dcterms:modified xsi:type="dcterms:W3CDTF">2026-09-09T18:16:00Z</dcterms:modified>
</cp:coreProperties>
</file>